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E574F">
      <w:pPr>
        <w:spacing w:line="720" w:lineRule="exact"/>
        <w:jc w:val="center"/>
        <w:rPr>
          <w:rFonts w:ascii="宋体" w:hAnsi="宋体" w:cs="宋体"/>
          <w:b/>
          <w:bCs/>
          <w:color w:val="000000" w:themeColor="text1"/>
          <w:spacing w:val="80"/>
          <w:sz w:val="60"/>
          <w:szCs w:val="60"/>
          <w:highlight w:val="none"/>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联云项目管理咨询有限公司</w:t>
      </w:r>
    </w:p>
    <w:p w14:paraId="2F6187FC">
      <w:pPr>
        <w:spacing w:line="720" w:lineRule="exact"/>
        <w:jc w:val="center"/>
        <w:rPr>
          <w:rFonts w:hint="eastAsia" w:ascii="华文中宋" w:hAnsi="华文中宋" w:eastAsia="华文中宋" w:cs="华文中宋"/>
          <w:bCs/>
          <w:color w:val="000000" w:themeColor="text1"/>
          <w:kern w:val="0"/>
          <w:sz w:val="56"/>
          <w:szCs w:val="56"/>
          <w:highlight w:val="none"/>
          <w14:textFill>
            <w14:solidFill>
              <w14:schemeClr w14:val="tx1"/>
            </w14:solidFill>
          </w14:textFill>
        </w:rPr>
      </w:pPr>
      <w:r>
        <w:rPr>
          <w:rFonts w:hint="eastAsia" w:ascii="华文中宋" w:hAnsi="华文中宋" w:eastAsia="华文中宋" w:cs="华文中宋"/>
          <w:bCs/>
          <w:color w:val="000000" w:themeColor="text1"/>
          <w:kern w:val="0"/>
          <w:sz w:val="56"/>
          <w:szCs w:val="56"/>
          <w:highlight w:val="none"/>
          <w14:textFill>
            <w14:solidFill>
              <w14:schemeClr w14:val="tx1"/>
            </w14:solidFill>
          </w14:textFill>
        </w:rPr>
        <w:t xml:space="preserve"> </w:t>
      </w:r>
      <w:r>
        <w:rPr>
          <w:rFonts w:hint="eastAsia" w:ascii="华文中宋" w:hAnsi="华文中宋" w:eastAsia="华文中宋" w:cs="华文中宋"/>
          <w:bCs/>
          <w:color w:val="000000" w:themeColor="text1"/>
          <w:kern w:val="0"/>
          <w:sz w:val="56"/>
          <w:szCs w:val="56"/>
          <w:highlight w:val="none"/>
          <w14:textFill>
            <w14:solidFill>
              <w14:schemeClr w14:val="tx1"/>
            </w14:solidFill>
          </w14:textFill>
        </w:rPr>
        <w:cr/>
      </w:r>
    </w:p>
    <w:p w14:paraId="6F18963F">
      <w:pPr>
        <w:pStyle w:val="20"/>
        <w:rPr>
          <w:rFonts w:hint="eastAsia" w:ascii="华文中宋" w:hAnsi="华文中宋" w:eastAsia="华文中宋" w:cs="华文中宋"/>
          <w:bCs/>
          <w:color w:val="000000" w:themeColor="text1"/>
          <w:kern w:val="0"/>
          <w:sz w:val="56"/>
          <w:szCs w:val="56"/>
          <w:highlight w:val="none"/>
          <w14:textFill>
            <w14:solidFill>
              <w14:schemeClr w14:val="tx1"/>
            </w14:solidFill>
          </w14:textFill>
        </w:rPr>
      </w:pPr>
    </w:p>
    <w:p w14:paraId="418AD980">
      <w:pPr>
        <w:rPr>
          <w:rFonts w:hint="eastAsia" w:ascii="华文中宋" w:hAnsi="华文中宋" w:eastAsia="华文中宋" w:cs="华文中宋"/>
          <w:bCs/>
          <w:color w:val="000000" w:themeColor="text1"/>
          <w:kern w:val="0"/>
          <w:sz w:val="56"/>
          <w:szCs w:val="56"/>
          <w:highlight w:val="none"/>
          <w14:textFill>
            <w14:solidFill>
              <w14:schemeClr w14:val="tx1"/>
            </w14:solidFill>
          </w14:textFill>
        </w:rPr>
      </w:pPr>
    </w:p>
    <w:p w14:paraId="0B82FAF9">
      <w:pPr>
        <w:pStyle w:val="20"/>
        <w:rPr>
          <w:color w:val="000000" w:themeColor="text1"/>
          <w:highlight w:val="none"/>
          <w14:textFill>
            <w14:solidFill>
              <w14:schemeClr w14:val="tx1"/>
            </w14:solidFill>
          </w14:textFill>
        </w:rPr>
      </w:pPr>
    </w:p>
    <w:p w14:paraId="7063E2A9">
      <w:pPr>
        <w:pStyle w:val="33"/>
        <w:jc w:val="center"/>
        <w:rPr>
          <w:rFonts w:ascii="宋体" w:hAnsi="宋体" w:cs="宋体"/>
          <w:bCs/>
          <w:color w:val="000000" w:themeColor="text1"/>
          <w:highlight w:val="none"/>
          <w14:textFill>
            <w14:solidFill>
              <w14:schemeClr w14:val="tx1"/>
            </w14:solidFill>
          </w14:textFill>
        </w:rPr>
      </w:pPr>
      <w:r>
        <w:rPr>
          <w:rFonts w:hint="eastAsia" w:ascii="宋体" w:hAnsi="宋体" w:eastAsia="宋体" w:cs="宋体"/>
          <w:b/>
          <w:bCs w:val="0"/>
          <w:color w:val="000000" w:themeColor="text1"/>
          <w:kern w:val="0"/>
          <w:sz w:val="72"/>
          <w:szCs w:val="72"/>
          <w:highlight w:val="none"/>
          <w14:textFill>
            <w14:solidFill>
              <w14:schemeClr w14:val="tx1"/>
            </w14:solidFill>
          </w14:textFill>
        </w:rPr>
        <w:t>竞争性磋商文件</w:t>
      </w:r>
      <w:r>
        <w:rPr>
          <w:rFonts w:hint="eastAsia" w:ascii="华文中宋" w:hAnsi="华文中宋" w:eastAsia="华文中宋" w:cs="华文中宋"/>
          <w:bCs/>
          <w:color w:val="000000" w:themeColor="text1"/>
          <w:kern w:val="0"/>
          <w:sz w:val="56"/>
          <w:szCs w:val="56"/>
          <w:highlight w:val="none"/>
          <w14:textFill>
            <w14:solidFill>
              <w14:schemeClr w14:val="tx1"/>
            </w14:solidFill>
          </w14:textFill>
        </w:rPr>
        <w:cr/>
      </w:r>
    </w:p>
    <w:p w14:paraId="0F26BFF1">
      <w:pPr>
        <w:pStyle w:val="33"/>
        <w:rPr>
          <w:rFonts w:ascii="宋体" w:hAnsi="宋体" w:cs="宋体"/>
          <w:bCs/>
          <w:color w:val="000000" w:themeColor="text1"/>
          <w:highlight w:val="none"/>
          <w14:textFill>
            <w14:solidFill>
              <w14:schemeClr w14:val="tx1"/>
            </w14:solidFill>
          </w14:textFill>
        </w:rPr>
      </w:pPr>
    </w:p>
    <w:p w14:paraId="5211731A">
      <w:pPr>
        <w:pStyle w:val="33"/>
        <w:rPr>
          <w:rFonts w:ascii="宋体" w:hAnsi="宋体" w:cs="宋体"/>
          <w:color w:val="000000" w:themeColor="text1"/>
          <w:highlight w:val="none"/>
          <w14:textFill>
            <w14:solidFill>
              <w14:schemeClr w14:val="tx1"/>
            </w14:solidFill>
          </w14:textFill>
        </w:rPr>
      </w:pPr>
    </w:p>
    <w:p w14:paraId="2F144AFC">
      <w:pPr>
        <w:pStyle w:val="33"/>
        <w:rPr>
          <w:rFonts w:ascii="宋体" w:hAnsi="宋体" w:cs="宋体"/>
          <w:color w:val="000000" w:themeColor="text1"/>
          <w:highlight w:val="none"/>
          <w14:textFill>
            <w14:solidFill>
              <w14:schemeClr w14:val="tx1"/>
            </w14:solidFill>
          </w14:textFill>
        </w:rPr>
      </w:pPr>
    </w:p>
    <w:p w14:paraId="43DEAC7B">
      <w:pPr>
        <w:pStyle w:val="33"/>
        <w:rPr>
          <w:rFonts w:ascii="宋体" w:hAnsi="宋体" w:cs="宋体"/>
          <w:color w:val="000000" w:themeColor="text1"/>
          <w:highlight w:val="none"/>
          <w14:textFill>
            <w14:solidFill>
              <w14:schemeClr w14:val="tx1"/>
            </w14:solidFill>
          </w14:textFill>
        </w:rPr>
      </w:pPr>
    </w:p>
    <w:p w14:paraId="55364BF8">
      <w:pPr>
        <w:pStyle w:val="33"/>
        <w:rPr>
          <w:rFonts w:ascii="宋体" w:hAnsi="宋体" w:cs="宋体"/>
          <w:color w:val="000000" w:themeColor="text1"/>
          <w:highlight w:val="none"/>
          <w14:textFill>
            <w14:solidFill>
              <w14:schemeClr w14:val="tx1"/>
            </w14:solidFill>
          </w14:textFill>
        </w:rPr>
      </w:pPr>
    </w:p>
    <w:p w14:paraId="1338AC24">
      <w:pPr>
        <w:pStyle w:val="27"/>
        <w:ind w:firstLine="3990" w:firstLineChars="1900"/>
        <w:rPr>
          <w:rFonts w:hAnsi="宋体" w:cs="宋体"/>
          <w:color w:val="000000" w:themeColor="text1"/>
          <w:highlight w:val="none"/>
          <w14:textFill>
            <w14:solidFill>
              <w14:schemeClr w14:val="tx1"/>
            </w14:solidFill>
          </w14:textFill>
        </w:rPr>
      </w:pPr>
    </w:p>
    <w:p w14:paraId="66EA837E">
      <w:pPr>
        <w:pStyle w:val="27"/>
        <w:rPr>
          <w:rFonts w:hAnsi="宋体" w:cs="宋体"/>
          <w:color w:val="000000" w:themeColor="text1"/>
          <w:highlight w:val="none"/>
          <w14:textFill>
            <w14:solidFill>
              <w14:schemeClr w14:val="tx1"/>
            </w14:solidFill>
          </w14:textFill>
        </w:rPr>
      </w:pPr>
    </w:p>
    <w:p w14:paraId="7508E0B0">
      <w:pPr>
        <w:ind w:left="2936" w:leftChars="693" w:hanging="1481" w:hangingChars="461"/>
        <w:rPr>
          <w:rFonts w:hint="eastAsia" w:eastAsia="宋体"/>
          <w:b/>
          <w:bCs/>
          <w:color w:val="000000" w:themeColor="text1"/>
          <w:sz w:val="32"/>
          <w:highlight w:val="none"/>
          <w:lang w:eastAsia="zh-CN"/>
          <w14:textFill>
            <w14:solidFill>
              <w14:schemeClr w14:val="tx1"/>
            </w14:solidFill>
          </w14:textFill>
        </w:rPr>
      </w:pPr>
      <w:r>
        <w:rPr>
          <w:b/>
          <w:bCs/>
          <w:color w:val="000000" w:themeColor="text1"/>
          <w:sz w:val="32"/>
          <w:highlight w:val="none"/>
          <w14:textFill>
            <w14:solidFill>
              <w14:schemeClr w14:val="tx1"/>
            </w14:solidFill>
          </w14:textFill>
        </w:rPr>
        <w:t>项目名称：</w:t>
      </w:r>
      <w:r>
        <w:rPr>
          <w:rFonts w:hint="eastAsia"/>
          <w:b/>
          <w:bCs/>
          <w:color w:val="000000" w:themeColor="text1"/>
          <w:sz w:val="32"/>
          <w:highlight w:val="none"/>
          <w:lang w:eastAsia="zh-CN"/>
          <w14:textFill>
            <w14:solidFill>
              <w14:schemeClr w14:val="tx1"/>
            </w14:solidFill>
          </w14:textFill>
        </w:rPr>
        <w:t>广西师范大学王城校区继续教育学院搬迁维修改造工程</w:t>
      </w:r>
    </w:p>
    <w:p w14:paraId="316EEB2E">
      <w:pPr>
        <w:pStyle w:val="33"/>
        <w:rPr>
          <w:color w:val="000000" w:themeColor="text1"/>
          <w:highlight w:val="none"/>
          <w14:textFill>
            <w14:solidFill>
              <w14:schemeClr w14:val="tx1"/>
            </w14:solidFill>
          </w14:textFill>
        </w:rPr>
      </w:pPr>
    </w:p>
    <w:p w14:paraId="2771E269">
      <w:pPr>
        <w:ind w:left="2936" w:leftChars="693" w:hanging="1481" w:hangingChars="461"/>
        <w:rPr>
          <w:rFonts w:hint="eastAsia" w:eastAsia="宋体"/>
          <w:b/>
          <w:bCs/>
          <w:color w:val="000000" w:themeColor="text1"/>
          <w:sz w:val="32"/>
          <w:highlight w:val="none"/>
          <w:lang w:eastAsia="zh-CN"/>
          <w14:textFill>
            <w14:solidFill>
              <w14:schemeClr w14:val="tx1"/>
            </w14:solidFill>
          </w14:textFill>
        </w:rPr>
      </w:pPr>
      <w:r>
        <w:rPr>
          <w:b/>
          <w:bCs/>
          <w:color w:val="000000" w:themeColor="text1"/>
          <w:sz w:val="32"/>
          <w:highlight w:val="none"/>
          <w14:textFill>
            <w14:solidFill>
              <w14:schemeClr w14:val="tx1"/>
            </w14:solidFill>
          </w14:textFill>
        </w:rPr>
        <w:t>项目编号：</w:t>
      </w:r>
      <w:r>
        <w:rPr>
          <w:rFonts w:hint="eastAsia"/>
          <w:b/>
          <w:bCs/>
          <w:color w:val="000000" w:themeColor="text1"/>
          <w:sz w:val="32"/>
          <w:highlight w:val="none"/>
          <w:lang w:eastAsia="zh-CN"/>
          <w14:textFill>
            <w14:solidFill>
              <w14:schemeClr w14:val="tx1"/>
            </w14:solidFill>
          </w14:textFill>
        </w:rPr>
        <w:t>GXZC2025-C2-002062-GXLY</w:t>
      </w:r>
    </w:p>
    <w:p w14:paraId="56A72AE0">
      <w:pPr>
        <w:ind w:firstLine="1050" w:firstLineChars="500"/>
        <w:rPr>
          <w:rFonts w:ascii="宋体" w:hAnsi="宋体" w:cs="宋体"/>
          <w:color w:val="000000" w:themeColor="text1"/>
          <w:highlight w:val="none"/>
          <w14:textFill>
            <w14:solidFill>
              <w14:schemeClr w14:val="tx1"/>
            </w14:solidFill>
          </w14:textFill>
        </w:rPr>
      </w:pPr>
    </w:p>
    <w:p w14:paraId="7C75BF39">
      <w:pPr>
        <w:jc w:val="center"/>
        <w:rPr>
          <w:rFonts w:ascii="宋体" w:hAnsi="宋体" w:cs="宋体"/>
          <w:color w:val="000000" w:themeColor="text1"/>
          <w:highlight w:val="none"/>
          <w14:textFill>
            <w14:solidFill>
              <w14:schemeClr w14:val="tx1"/>
            </w14:solidFill>
          </w14:textFill>
        </w:rPr>
      </w:pPr>
    </w:p>
    <w:p w14:paraId="56C2302A">
      <w:pPr>
        <w:pStyle w:val="33"/>
        <w:rPr>
          <w:rFonts w:ascii="宋体" w:hAnsi="宋体" w:cs="宋体"/>
          <w:color w:val="000000" w:themeColor="text1"/>
          <w:highlight w:val="none"/>
          <w14:textFill>
            <w14:solidFill>
              <w14:schemeClr w14:val="tx1"/>
            </w14:solidFill>
          </w14:textFill>
        </w:rPr>
      </w:pPr>
    </w:p>
    <w:p w14:paraId="086EF09D">
      <w:pPr>
        <w:pStyle w:val="33"/>
        <w:rPr>
          <w:rFonts w:ascii="宋体" w:hAnsi="宋体" w:cs="宋体"/>
          <w:color w:val="000000" w:themeColor="text1"/>
          <w:highlight w:val="none"/>
          <w14:textFill>
            <w14:solidFill>
              <w14:schemeClr w14:val="tx1"/>
            </w14:solidFill>
          </w14:textFill>
        </w:rPr>
      </w:pPr>
    </w:p>
    <w:p w14:paraId="1D235DE6">
      <w:pPr>
        <w:pStyle w:val="33"/>
        <w:rPr>
          <w:rFonts w:ascii="宋体" w:hAnsi="宋体" w:cs="宋体"/>
          <w:color w:val="000000" w:themeColor="text1"/>
          <w:highlight w:val="none"/>
          <w14:textFill>
            <w14:solidFill>
              <w14:schemeClr w14:val="tx1"/>
            </w14:solidFill>
          </w14:textFill>
        </w:rPr>
      </w:pPr>
    </w:p>
    <w:p w14:paraId="3B9528D5">
      <w:pPr>
        <w:pStyle w:val="33"/>
        <w:rPr>
          <w:rFonts w:ascii="宋体" w:hAnsi="宋体" w:cs="宋体"/>
          <w:color w:val="000000" w:themeColor="text1"/>
          <w:highlight w:val="none"/>
          <w14:textFill>
            <w14:solidFill>
              <w14:schemeClr w14:val="tx1"/>
            </w14:solidFill>
          </w14:textFill>
        </w:rPr>
      </w:pPr>
    </w:p>
    <w:p w14:paraId="4E674891">
      <w:pPr>
        <w:ind w:left="-2" w:leftChars="-1" w:firstLine="630" w:firstLineChars="300"/>
        <w:rPr>
          <w:rFonts w:ascii="宋体" w:hAnsi="宋体" w:cs="宋体"/>
          <w:color w:val="000000" w:themeColor="text1"/>
          <w:highlight w:val="none"/>
          <w14:textFill>
            <w14:solidFill>
              <w14:schemeClr w14:val="tx1"/>
            </w14:solidFill>
          </w14:textFill>
        </w:rPr>
      </w:pPr>
    </w:p>
    <w:p w14:paraId="542E29FA">
      <w:pPr>
        <w:ind w:left="-2" w:leftChars="-1" w:firstLine="630" w:firstLineChars="300"/>
        <w:rPr>
          <w:rFonts w:ascii="宋体" w:hAnsi="宋体" w:cs="宋体"/>
          <w:color w:val="000000" w:themeColor="text1"/>
          <w:highlight w:val="none"/>
          <w14:textFill>
            <w14:solidFill>
              <w14:schemeClr w14:val="tx1"/>
            </w14:solidFill>
          </w14:textFill>
        </w:rPr>
      </w:pPr>
    </w:p>
    <w:p w14:paraId="4E18A4DF">
      <w:pPr>
        <w:ind w:left="2936" w:leftChars="693" w:hanging="1481" w:hangingChars="461"/>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采购人：广西师范大学</w:t>
      </w:r>
    </w:p>
    <w:p w14:paraId="4DE86E34">
      <w:pPr>
        <w:ind w:left="2936" w:leftChars="693" w:hanging="1481" w:hangingChars="461"/>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采购代理机构：</w:t>
      </w:r>
      <w:r>
        <w:rPr>
          <w:rFonts w:hint="eastAsia" w:ascii="宋体" w:hAnsi="宋体" w:cs="宋体"/>
          <w:b/>
          <w:bCs/>
          <w:color w:val="000000" w:themeColor="text1"/>
          <w:sz w:val="32"/>
          <w:highlight w:val="none"/>
          <w:lang w:eastAsia="zh-CN"/>
          <w14:textFill>
            <w14:solidFill>
              <w14:schemeClr w14:val="tx1"/>
            </w14:solidFill>
          </w14:textFill>
        </w:rPr>
        <w:t>联云项目管理咨询有限公司</w:t>
      </w:r>
      <w:r>
        <w:rPr>
          <w:rFonts w:hint="eastAsia" w:ascii="宋体" w:hAnsi="宋体" w:cs="宋体"/>
          <w:b/>
          <w:bCs/>
          <w:color w:val="000000" w:themeColor="text1"/>
          <w:sz w:val="32"/>
          <w:highlight w:val="none"/>
          <w14:textFill>
            <w14:solidFill>
              <w14:schemeClr w14:val="tx1"/>
            </w14:solidFill>
          </w14:textFill>
        </w:rPr>
        <w:t xml:space="preserve"> </w:t>
      </w:r>
    </w:p>
    <w:p w14:paraId="3D4E2F93">
      <w:pPr>
        <w:ind w:firstLine="3694" w:firstLineChars="1150"/>
        <w:rPr>
          <w:color w:val="000000" w:themeColor="text1"/>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t>202</w:t>
      </w:r>
      <w:r>
        <w:rPr>
          <w:rFonts w:hint="eastAsia" w:ascii="宋体" w:hAnsi="宋体" w:cs="宋体"/>
          <w:b/>
          <w:bCs/>
          <w:color w:val="000000" w:themeColor="text1"/>
          <w:sz w:val="32"/>
          <w:highlight w:val="none"/>
          <w:lang w:val="en-US" w:eastAsia="zh-CN"/>
          <w14:textFill>
            <w14:solidFill>
              <w14:schemeClr w14:val="tx1"/>
            </w14:solidFill>
          </w14:textFill>
        </w:rPr>
        <w:t>5</w:t>
      </w:r>
      <w:r>
        <w:rPr>
          <w:rFonts w:hint="eastAsia" w:ascii="宋体" w:hAnsi="宋体" w:cs="宋体"/>
          <w:b/>
          <w:bCs/>
          <w:color w:val="000000" w:themeColor="text1"/>
          <w:sz w:val="32"/>
          <w:highlight w:val="none"/>
          <w14:textFill>
            <w14:solidFill>
              <w14:schemeClr w14:val="tx1"/>
            </w14:solidFill>
          </w14:textFill>
        </w:rPr>
        <w:t xml:space="preserve">年 </w:t>
      </w:r>
      <w:r>
        <w:rPr>
          <w:rFonts w:hint="eastAsia" w:ascii="宋体" w:hAnsi="宋体" w:cs="宋体"/>
          <w:b/>
          <w:bCs/>
          <w:color w:val="000000" w:themeColor="text1"/>
          <w:sz w:val="32"/>
          <w:highlight w:val="none"/>
          <w:lang w:val="en-US" w:eastAsia="zh-CN"/>
          <w14:textFill>
            <w14:solidFill>
              <w14:schemeClr w14:val="tx1"/>
            </w14:solidFill>
          </w14:textFill>
        </w:rPr>
        <w:t>7</w:t>
      </w:r>
      <w:r>
        <w:rPr>
          <w:rFonts w:hint="eastAsia" w:ascii="宋体" w:hAnsi="宋体" w:cs="宋体"/>
          <w:b/>
          <w:bCs/>
          <w:color w:val="000000" w:themeColor="text1"/>
          <w:sz w:val="32"/>
          <w:highlight w:val="none"/>
          <w14:textFill>
            <w14:solidFill>
              <w14:schemeClr w14:val="tx1"/>
            </w14:solidFill>
          </w14:textFill>
        </w:rPr>
        <w:t>月</w:t>
      </w:r>
    </w:p>
    <w:p w14:paraId="605271D7">
      <w:pPr>
        <w:pStyle w:val="35"/>
        <w:tabs>
          <w:tab w:val="right" w:leader="dot" w:pos="9660"/>
        </w:tabs>
        <w:spacing w:line="360" w:lineRule="auto"/>
        <w:jc w:val="center"/>
        <w:rPr>
          <w:rFonts w:ascii="宋体" w:hAnsi="宋体" w:cs="宋体"/>
          <w:b/>
          <w:color w:val="000000" w:themeColor="text1"/>
          <w:spacing w:val="-6"/>
          <w:kern w:val="0"/>
          <w:sz w:val="30"/>
          <w:szCs w:val="30"/>
          <w:highlight w:val="none"/>
          <w14:textFill>
            <w14:solidFill>
              <w14:schemeClr w14:val="tx1"/>
            </w14:solidFill>
          </w14:textFill>
        </w:rPr>
        <w:sectPr>
          <w:pgSz w:w="11906" w:h="16838"/>
          <w:pgMar w:top="1418" w:right="1115" w:bottom="1418" w:left="1131" w:header="851" w:footer="992" w:gutter="0"/>
          <w:cols w:space="720" w:num="1"/>
          <w:titlePg/>
          <w:docGrid w:type="lines" w:linePitch="312" w:charSpace="0"/>
        </w:sectPr>
      </w:pPr>
    </w:p>
    <w:p w14:paraId="6C2EA6BD">
      <w:pPr>
        <w:pStyle w:val="35"/>
        <w:tabs>
          <w:tab w:val="right" w:leader="dot" w:pos="9660"/>
        </w:tabs>
        <w:spacing w:line="360" w:lineRule="auto"/>
        <w:jc w:val="center"/>
        <w:rPr>
          <w:rFonts w:ascii="宋体" w:hAnsi="宋体" w:cs="宋体"/>
          <w:b/>
          <w:color w:val="000000" w:themeColor="text1"/>
          <w:spacing w:val="-6"/>
          <w:kern w:val="0"/>
          <w:sz w:val="30"/>
          <w:szCs w:val="30"/>
          <w:highlight w:val="none"/>
          <w14:textFill>
            <w14:solidFill>
              <w14:schemeClr w14:val="tx1"/>
            </w14:solidFill>
          </w14:textFill>
        </w:rPr>
      </w:pPr>
      <w:r>
        <w:rPr>
          <w:rFonts w:hint="eastAsia" w:ascii="宋体" w:hAnsi="宋体" w:cs="宋体"/>
          <w:b/>
          <w:color w:val="000000" w:themeColor="text1"/>
          <w:spacing w:val="-6"/>
          <w:kern w:val="0"/>
          <w:sz w:val="36"/>
          <w:szCs w:val="36"/>
          <w:highlight w:val="none"/>
          <w14:textFill>
            <w14:solidFill>
              <w14:schemeClr w14:val="tx1"/>
            </w14:solidFill>
          </w14:textFill>
        </w:rPr>
        <w:t>目</w:t>
      </w:r>
      <w:r>
        <w:rPr>
          <w:rFonts w:hint="eastAsia" w:ascii="宋体" w:hAnsi="宋体" w:cs="宋体"/>
          <w:b/>
          <w:color w:val="000000" w:themeColor="text1"/>
          <w:spacing w:val="-6"/>
          <w:kern w:val="0"/>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pacing w:val="-6"/>
          <w:kern w:val="0"/>
          <w:sz w:val="36"/>
          <w:szCs w:val="36"/>
          <w:highlight w:val="none"/>
          <w14:textFill>
            <w14:solidFill>
              <w14:schemeClr w14:val="tx1"/>
            </w14:solidFill>
          </w14:textFill>
        </w:rPr>
        <w:t>录</w:t>
      </w:r>
    </w:p>
    <w:p w14:paraId="69F7D893">
      <w:pPr>
        <w:pStyle w:val="35"/>
        <w:keepNext w:val="0"/>
        <w:keepLines w:val="0"/>
        <w:pageBreakBefore w:val="0"/>
        <w:widowControl w:val="0"/>
        <w:tabs>
          <w:tab w:val="right" w:leader="dot" w:pos="9660"/>
        </w:tabs>
        <w:kinsoku/>
        <w:wordWrap/>
        <w:overflowPunct/>
        <w:topLinePunct w:val="0"/>
        <w:autoSpaceDE/>
        <w:autoSpaceDN/>
        <w:bidi w:val="0"/>
        <w:adjustRightInd/>
        <w:snapToGrid/>
        <w:spacing w:line="480" w:lineRule="auto"/>
        <w:textAlignment w:val="auto"/>
        <w:rPr>
          <w:color w:val="000000" w:themeColor="text1"/>
          <w:sz w:val="30"/>
          <w:szCs w:val="30"/>
          <w:highlight w:val="none"/>
          <w14:textFill>
            <w14:solidFill>
              <w14:schemeClr w14:val="tx1"/>
            </w14:solidFill>
          </w14:textFill>
        </w:rPr>
      </w:pPr>
      <w:r>
        <w:rPr>
          <w:rFonts w:hint="eastAsia" w:ascii="宋体" w:hAnsi="宋体" w:cs="宋体"/>
          <w:color w:val="000000" w:themeColor="text1"/>
          <w:spacing w:val="-6"/>
          <w:kern w:val="0"/>
          <w:sz w:val="24"/>
          <w:highlight w:val="none"/>
          <w14:textFill>
            <w14:solidFill>
              <w14:schemeClr w14:val="tx1"/>
            </w14:solidFill>
          </w14:textFill>
        </w:rPr>
        <w:fldChar w:fldCharType="begin"/>
      </w:r>
      <w:r>
        <w:rPr>
          <w:rFonts w:hint="eastAsia" w:ascii="宋体" w:hAnsi="宋体" w:cs="宋体"/>
          <w:color w:val="000000" w:themeColor="text1"/>
          <w:spacing w:val="-6"/>
          <w:kern w:val="0"/>
          <w:sz w:val="24"/>
          <w:highlight w:val="none"/>
          <w14:textFill>
            <w14:solidFill>
              <w14:schemeClr w14:val="tx1"/>
            </w14:solidFill>
          </w14:textFill>
        </w:rPr>
        <w:instrText xml:space="preserve">TOC \o "1-3" \h \u </w:instrText>
      </w:r>
      <w:r>
        <w:rPr>
          <w:rFonts w:hint="eastAsia" w:ascii="宋体" w:hAnsi="宋体" w:cs="宋体"/>
          <w:color w:val="000000" w:themeColor="text1"/>
          <w:spacing w:val="-6"/>
          <w:kern w:val="0"/>
          <w:sz w:val="24"/>
          <w:highlight w:val="none"/>
          <w14:textFill>
            <w14:solidFill>
              <w14:schemeClr w14:val="tx1"/>
            </w14:solidFill>
          </w14:textFill>
        </w:rPr>
        <w:fldChar w:fldCharType="separate"/>
      </w:r>
      <w:r>
        <w:rPr>
          <w:rFonts w:hint="eastAsia" w:ascii="宋体" w:hAnsi="宋体" w:cs="宋体"/>
          <w:color w:val="000000" w:themeColor="text1"/>
          <w:spacing w:val="-6"/>
          <w:kern w:val="0"/>
          <w:sz w:val="30"/>
          <w:szCs w:val="30"/>
          <w:highlight w:val="none"/>
          <w14:textFill>
            <w14:solidFill>
              <w14:schemeClr w14:val="tx1"/>
            </w14:solidFill>
          </w14:textFill>
        </w:rPr>
        <w:fldChar w:fldCharType="begin"/>
      </w:r>
      <w:r>
        <w:rPr>
          <w:rFonts w:hint="eastAsia" w:ascii="宋体" w:hAnsi="宋体" w:cs="宋体"/>
          <w:color w:val="000000" w:themeColor="text1"/>
          <w:spacing w:val="-6"/>
          <w:kern w:val="0"/>
          <w:sz w:val="30"/>
          <w:szCs w:val="30"/>
          <w:highlight w:val="none"/>
          <w14:textFill>
            <w14:solidFill>
              <w14:schemeClr w14:val="tx1"/>
            </w14:solidFill>
          </w14:textFill>
        </w:rPr>
        <w:instrText xml:space="preserve"> HYPERLINK \l _Toc9644 </w:instrText>
      </w:r>
      <w:r>
        <w:rPr>
          <w:rFonts w:hint="eastAsia" w:ascii="宋体" w:hAnsi="宋体" w:cs="宋体"/>
          <w:color w:val="000000" w:themeColor="text1"/>
          <w:spacing w:val="-6"/>
          <w:kern w:val="0"/>
          <w:sz w:val="30"/>
          <w:szCs w:val="30"/>
          <w:highlight w:val="none"/>
          <w14:textFill>
            <w14:solidFill>
              <w14:schemeClr w14:val="tx1"/>
            </w14:solidFill>
          </w14:textFill>
        </w:rPr>
        <w:fldChar w:fldCharType="separate"/>
      </w:r>
      <w:r>
        <w:rPr>
          <w:rFonts w:eastAsia="华文中宋"/>
          <w:bCs/>
          <w:color w:val="000000" w:themeColor="text1"/>
          <w:sz w:val="30"/>
          <w:szCs w:val="30"/>
          <w:highlight w:val="none"/>
          <w14:textFill>
            <w14:solidFill>
              <w14:schemeClr w14:val="tx1"/>
            </w14:solidFill>
          </w14:textFill>
        </w:rPr>
        <w:t>第一章  竞争性磋商公告</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_Toc9644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1</w:t>
      </w:r>
      <w:r>
        <w:rPr>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pacing w:val="-6"/>
          <w:kern w:val="0"/>
          <w:sz w:val="30"/>
          <w:szCs w:val="30"/>
          <w:highlight w:val="none"/>
          <w14:textFill>
            <w14:solidFill>
              <w14:schemeClr w14:val="tx1"/>
            </w14:solidFill>
          </w14:textFill>
        </w:rPr>
        <w:fldChar w:fldCharType="end"/>
      </w:r>
    </w:p>
    <w:p w14:paraId="284FA159">
      <w:pPr>
        <w:pStyle w:val="35"/>
        <w:keepNext w:val="0"/>
        <w:keepLines w:val="0"/>
        <w:pageBreakBefore w:val="0"/>
        <w:widowControl w:val="0"/>
        <w:tabs>
          <w:tab w:val="right" w:leader="dot" w:pos="9660"/>
        </w:tabs>
        <w:kinsoku/>
        <w:wordWrap/>
        <w:overflowPunct/>
        <w:topLinePunct w:val="0"/>
        <w:autoSpaceDE/>
        <w:autoSpaceDN/>
        <w:bidi w:val="0"/>
        <w:adjustRightInd/>
        <w:snapToGrid/>
        <w:spacing w:line="480" w:lineRule="auto"/>
        <w:textAlignment w:val="auto"/>
        <w:rPr>
          <w:color w:val="000000" w:themeColor="text1"/>
          <w:sz w:val="30"/>
          <w:szCs w:val="30"/>
          <w:highlight w:val="none"/>
          <w14:textFill>
            <w14:solidFill>
              <w14:schemeClr w14:val="tx1"/>
            </w14:solidFill>
          </w14:textFill>
        </w:rPr>
      </w:pPr>
      <w:r>
        <w:rPr>
          <w:rFonts w:hint="eastAsia" w:ascii="宋体" w:hAnsi="宋体" w:cs="宋体"/>
          <w:color w:val="000000" w:themeColor="text1"/>
          <w:spacing w:val="-6"/>
          <w:kern w:val="0"/>
          <w:sz w:val="30"/>
          <w:szCs w:val="30"/>
          <w:highlight w:val="none"/>
          <w14:textFill>
            <w14:solidFill>
              <w14:schemeClr w14:val="tx1"/>
            </w14:solidFill>
          </w14:textFill>
        </w:rPr>
        <w:fldChar w:fldCharType="begin"/>
      </w:r>
      <w:r>
        <w:rPr>
          <w:rFonts w:hint="eastAsia" w:ascii="宋体" w:hAnsi="宋体" w:cs="宋体"/>
          <w:color w:val="000000" w:themeColor="text1"/>
          <w:spacing w:val="-6"/>
          <w:kern w:val="0"/>
          <w:sz w:val="30"/>
          <w:szCs w:val="30"/>
          <w:highlight w:val="none"/>
          <w14:textFill>
            <w14:solidFill>
              <w14:schemeClr w14:val="tx1"/>
            </w14:solidFill>
          </w14:textFill>
        </w:rPr>
        <w:instrText xml:space="preserve"> HYPERLINK \l _Toc9227 </w:instrText>
      </w:r>
      <w:r>
        <w:rPr>
          <w:rFonts w:hint="eastAsia" w:ascii="宋体" w:hAnsi="宋体" w:cs="宋体"/>
          <w:color w:val="000000" w:themeColor="text1"/>
          <w:spacing w:val="-6"/>
          <w:kern w:val="0"/>
          <w:sz w:val="30"/>
          <w:szCs w:val="30"/>
          <w:highlight w:val="none"/>
          <w14:textFill>
            <w14:solidFill>
              <w14:schemeClr w14:val="tx1"/>
            </w14:solidFill>
          </w14:textFill>
        </w:rPr>
        <w:fldChar w:fldCharType="separate"/>
      </w:r>
      <w:r>
        <w:rPr>
          <w:rFonts w:hint="eastAsia" w:ascii="华文中宋" w:hAnsi="华文中宋" w:eastAsia="华文中宋" w:cs="华文中宋"/>
          <w:bCs/>
          <w:color w:val="000000" w:themeColor="text1"/>
          <w:sz w:val="30"/>
          <w:szCs w:val="30"/>
          <w:highlight w:val="none"/>
          <w14:textFill>
            <w14:solidFill>
              <w14:schemeClr w14:val="tx1"/>
            </w14:solidFill>
          </w14:textFill>
        </w:rPr>
        <w:t>第二章  供应商须知</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_Toc9227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4</w:t>
      </w:r>
      <w:r>
        <w:rPr>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pacing w:val="-6"/>
          <w:kern w:val="0"/>
          <w:sz w:val="30"/>
          <w:szCs w:val="30"/>
          <w:highlight w:val="none"/>
          <w14:textFill>
            <w14:solidFill>
              <w14:schemeClr w14:val="tx1"/>
            </w14:solidFill>
          </w14:textFill>
        </w:rPr>
        <w:fldChar w:fldCharType="end"/>
      </w:r>
    </w:p>
    <w:p w14:paraId="2D1FA52B">
      <w:pPr>
        <w:pStyle w:val="35"/>
        <w:keepNext w:val="0"/>
        <w:keepLines w:val="0"/>
        <w:pageBreakBefore w:val="0"/>
        <w:widowControl w:val="0"/>
        <w:tabs>
          <w:tab w:val="right" w:leader="dot" w:pos="9660"/>
        </w:tabs>
        <w:kinsoku/>
        <w:wordWrap/>
        <w:overflowPunct/>
        <w:topLinePunct w:val="0"/>
        <w:autoSpaceDE/>
        <w:autoSpaceDN/>
        <w:bidi w:val="0"/>
        <w:adjustRightInd/>
        <w:snapToGrid/>
        <w:spacing w:line="480" w:lineRule="auto"/>
        <w:textAlignment w:val="auto"/>
        <w:rPr>
          <w:color w:val="000000" w:themeColor="text1"/>
          <w:sz w:val="30"/>
          <w:szCs w:val="30"/>
          <w:highlight w:val="none"/>
          <w14:textFill>
            <w14:solidFill>
              <w14:schemeClr w14:val="tx1"/>
            </w14:solidFill>
          </w14:textFill>
        </w:rPr>
      </w:pPr>
      <w:r>
        <w:rPr>
          <w:rFonts w:hint="eastAsia" w:ascii="宋体" w:hAnsi="宋体" w:cs="宋体"/>
          <w:color w:val="000000" w:themeColor="text1"/>
          <w:spacing w:val="-6"/>
          <w:kern w:val="0"/>
          <w:sz w:val="30"/>
          <w:szCs w:val="30"/>
          <w:highlight w:val="none"/>
          <w14:textFill>
            <w14:solidFill>
              <w14:schemeClr w14:val="tx1"/>
            </w14:solidFill>
          </w14:textFill>
        </w:rPr>
        <w:fldChar w:fldCharType="begin"/>
      </w:r>
      <w:r>
        <w:rPr>
          <w:rFonts w:hint="eastAsia" w:ascii="宋体" w:hAnsi="宋体" w:cs="宋体"/>
          <w:color w:val="000000" w:themeColor="text1"/>
          <w:spacing w:val="-6"/>
          <w:kern w:val="0"/>
          <w:sz w:val="30"/>
          <w:szCs w:val="30"/>
          <w:highlight w:val="none"/>
          <w14:textFill>
            <w14:solidFill>
              <w14:schemeClr w14:val="tx1"/>
            </w14:solidFill>
          </w14:textFill>
        </w:rPr>
        <w:instrText xml:space="preserve"> HYPERLINK \l _Toc16966 </w:instrText>
      </w:r>
      <w:r>
        <w:rPr>
          <w:rFonts w:hint="eastAsia" w:ascii="宋体" w:hAnsi="宋体" w:cs="宋体"/>
          <w:color w:val="000000" w:themeColor="text1"/>
          <w:spacing w:val="-6"/>
          <w:kern w:val="0"/>
          <w:sz w:val="30"/>
          <w:szCs w:val="30"/>
          <w:highlight w:val="none"/>
          <w14:textFill>
            <w14:solidFill>
              <w14:schemeClr w14:val="tx1"/>
            </w14:solidFill>
          </w14:textFill>
        </w:rPr>
        <w:fldChar w:fldCharType="separate"/>
      </w:r>
      <w:r>
        <w:rPr>
          <w:rFonts w:hint="eastAsia" w:ascii="华文中宋" w:hAnsi="华文中宋" w:eastAsia="华文中宋" w:cs="华文中宋"/>
          <w:bCs/>
          <w:color w:val="000000" w:themeColor="text1"/>
          <w:sz w:val="30"/>
          <w:szCs w:val="30"/>
          <w:highlight w:val="none"/>
          <w14:textFill>
            <w14:solidFill>
              <w14:schemeClr w14:val="tx1"/>
            </w14:solidFill>
          </w14:textFill>
        </w:rPr>
        <w:t>第三章  工程量清单</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_Toc16966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32</w:t>
      </w:r>
      <w:r>
        <w:rPr>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pacing w:val="-6"/>
          <w:kern w:val="0"/>
          <w:sz w:val="30"/>
          <w:szCs w:val="30"/>
          <w:highlight w:val="none"/>
          <w14:textFill>
            <w14:solidFill>
              <w14:schemeClr w14:val="tx1"/>
            </w14:solidFill>
          </w14:textFill>
        </w:rPr>
        <w:fldChar w:fldCharType="end"/>
      </w:r>
    </w:p>
    <w:p w14:paraId="39E5FA5B">
      <w:pPr>
        <w:pStyle w:val="35"/>
        <w:keepNext w:val="0"/>
        <w:keepLines w:val="0"/>
        <w:pageBreakBefore w:val="0"/>
        <w:widowControl w:val="0"/>
        <w:tabs>
          <w:tab w:val="right" w:leader="dot" w:pos="9660"/>
        </w:tabs>
        <w:kinsoku/>
        <w:wordWrap/>
        <w:overflowPunct/>
        <w:topLinePunct w:val="0"/>
        <w:autoSpaceDE/>
        <w:autoSpaceDN/>
        <w:bidi w:val="0"/>
        <w:adjustRightInd/>
        <w:snapToGrid/>
        <w:spacing w:line="480" w:lineRule="auto"/>
        <w:textAlignment w:val="auto"/>
        <w:rPr>
          <w:color w:val="000000" w:themeColor="text1"/>
          <w:sz w:val="30"/>
          <w:szCs w:val="30"/>
          <w:highlight w:val="none"/>
          <w14:textFill>
            <w14:solidFill>
              <w14:schemeClr w14:val="tx1"/>
            </w14:solidFill>
          </w14:textFill>
        </w:rPr>
      </w:pPr>
      <w:r>
        <w:rPr>
          <w:rFonts w:hint="eastAsia" w:ascii="宋体" w:hAnsi="宋体" w:cs="宋体"/>
          <w:color w:val="000000" w:themeColor="text1"/>
          <w:spacing w:val="-6"/>
          <w:kern w:val="0"/>
          <w:sz w:val="30"/>
          <w:szCs w:val="30"/>
          <w:highlight w:val="none"/>
          <w14:textFill>
            <w14:solidFill>
              <w14:schemeClr w14:val="tx1"/>
            </w14:solidFill>
          </w14:textFill>
        </w:rPr>
        <w:fldChar w:fldCharType="begin"/>
      </w:r>
      <w:r>
        <w:rPr>
          <w:rFonts w:hint="eastAsia" w:ascii="宋体" w:hAnsi="宋体" w:cs="宋体"/>
          <w:color w:val="000000" w:themeColor="text1"/>
          <w:spacing w:val="-6"/>
          <w:kern w:val="0"/>
          <w:sz w:val="30"/>
          <w:szCs w:val="30"/>
          <w:highlight w:val="none"/>
          <w14:textFill>
            <w14:solidFill>
              <w14:schemeClr w14:val="tx1"/>
            </w14:solidFill>
          </w14:textFill>
        </w:rPr>
        <w:instrText xml:space="preserve"> HYPERLINK \l _Toc11242 </w:instrText>
      </w:r>
      <w:r>
        <w:rPr>
          <w:rFonts w:hint="eastAsia" w:ascii="宋体" w:hAnsi="宋体" w:cs="宋体"/>
          <w:color w:val="000000" w:themeColor="text1"/>
          <w:spacing w:val="-6"/>
          <w:kern w:val="0"/>
          <w:sz w:val="30"/>
          <w:szCs w:val="30"/>
          <w:highlight w:val="none"/>
          <w14:textFill>
            <w14:solidFill>
              <w14:schemeClr w14:val="tx1"/>
            </w14:solidFill>
          </w14:textFill>
        </w:rPr>
        <w:fldChar w:fldCharType="separate"/>
      </w:r>
      <w:r>
        <w:rPr>
          <w:rFonts w:hint="eastAsia" w:ascii="华文中宋" w:hAnsi="华文中宋" w:eastAsia="华文中宋" w:cs="华文中宋"/>
          <w:bCs/>
          <w:color w:val="000000" w:themeColor="text1"/>
          <w:sz w:val="30"/>
          <w:szCs w:val="30"/>
          <w:highlight w:val="none"/>
          <w14:textFill>
            <w14:solidFill>
              <w14:schemeClr w14:val="tx1"/>
            </w14:solidFill>
          </w14:textFill>
        </w:rPr>
        <w:t>第四章  评审办法</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_Toc11242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34</w:t>
      </w:r>
      <w:r>
        <w:rPr>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pacing w:val="-6"/>
          <w:kern w:val="0"/>
          <w:sz w:val="30"/>
          <w:szCs w:val="30"/>
          <w:highlight w:val="none"/>
          <w14:textFill>
            <w14:solidFill>
              <w14:schemeClr w14:val="tx1"/>
            </w14:solidFill>
          </w14:textFill>
        </w:rPr>
        <w:fldChar w:fldCharType="end"/>
      </w:r>
    </w:p>
    <w:p w14:paraId="23791152">
      <w:pPr>
        <w:pStyle w:val="35"/>
        <w:keepNext w:val="0"/>
        <w:keepLines w:val="0"/>
        <w:pageBreakBefore w:val="0"/>
        <w:widowControl w:val="0"/>
        <w:tabs>
          <w:tab w:val="right" w:leader="dot" w:pos="9660"/>
        </w:tabs>
        <w:kinsoku/>
        <w:wordWrap/>
        <w:overflowPunct/>
        <w:topLinePunct w:val="0"/>
        <w:autoSpaceDE/>
        <w:autoSpaceDN/>
        <w:bidi w:val="0"/>
        <w:adjustRightInd/>
        <w:snapToGrid/>
        <w:spacing w:line="480" w:lineRule="auto"/>
        <w:textAlignment w:val="auto"/>
        <w:rPr>
          <w:color w:val="000000" w:themeColor="text1"/>
          <w:sz w:val="30"/>
          <w:szCs w:val="30"/>
          <w:highlight w:val="none"/>
          <w14:textFill>
            <w14:solidFill>
              <w14:schemeClr w14:val="tx1"/>
            </w14:solidFill>
          </w14:textFill>
        </w:rPr>
      </w:pPr>
      <w:r>
        <w:rPr>
          <w:rFonts w:hint="eastAsia" w:ascii="宋体" w:hAnsi="宋体" w:cs="宋体"/>
          <w:color w:val="000000" w:themeColor="text1"/>
          <w:spacing w:val="-6"/>
          <w:kern w:val="0"/>
          <w:sz w:val="30"/>
          <w:szCs w:val="30"/>
          <w:highlight w:val="none"/>
          <w14:textFill>
            <w14:solidFill>
              <w14:schemeClr w14:val="tx1"/>
            </w14:solidFill>
          </w14:textFill>
        </w:rPr>
        <w:fldChar w:fldCharType="begin"/>
      </w:r>
      <w:r>
        <w:rPr>
          <w:rFonts w:hint="eastAsia" w:ascii="宋体" w:hAnsi="宋体" w:cs="宋体"/>
          <w:color w:val="000000" w:themeColor="text1"/>
          <w:spacing w:val="-6"/>
          <w:kern w:val="0"/>
          <w:sz w:val="30"/>
          <w:szCs w:val="30"/>
          <w:highlight w:val="none"/>
          <w14:textFill>
            <w14:solidFill>
              <w14:schemeClr w14:val="tx1"/>
            </w14:solidFill>
          </w14:textFill>
        </w:rPr>
        <w:instrText xml:space="preserve"> HYPERLINK \l _Toc4566 </w:instrText>
      </w:r>
      <w:r>
        <w:rPr>
          <w:rFonts w:hint="eastAsia" w:ascii="宋体" w:hAnsi="宋体" w:cs="宋体"/>
          <w:color w:val="000000" w:themeColor="text1"/>
          <w:spacing w:val="-6"/>
          <w:kern w:val="0"/>
          <w:sz w:val="30"/>
          <w:szCs w:val="30"/>
          <w:highlight w:val="none"/>
          <w14:textFill>
            <w14:solidFill>
              <w14:schemeClr w14:val="tx1"/>
            </w14:solidFill>
          </w14:textFill>
        </w:rPr>
        <w:fldChar w:fldCharType="separate"/>
      </w:r>
      <w:r>
        <w:rPr>
          <w:rFonts w:hint="eastAsia" w:ascii="华文中宋" w:hAnsi="华文中宋" w:eastAsia="华文中宋" w:cs="华文中宋"/>
          <w:bCs/>
          <w:color w:val="000000" w:themeColor="text1"/>
          <w:sz w:val="30"/>
          <w:szCs w:val="30"/>
          <w:highlight w:val="none"/>
          <w14:textFill>
            <w14:solidFill>
              <w14:schemeClr w14:val="tx1"/>
            </w14:solidFill>
          </w14:textFill>
        </w:rPr>
        <w:t>第五章  采购合同（合同主要条款及格式）</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_Toc4566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40</w:t>
      </w:r>
      <w:r>
        <w:rPr>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pacing w:val="-6"/>
          <w:kern w:val="0"/>
          <w:sz w:val="30"/>
          <w:szCs w:val="30"/>
          <w:highlight w:val="none"/>
          <w14:textFill>
            <w14:solidFill>
              <w14:schemeClr w14:val="tx1"/>
            </w14:solidFill>
          </w14:textFill>
        </w:rPr>
        <w:fldChar w:fldCharType="end"/>
      </w:r>
    </w:p>
    <w:p w14:paraId="69567B61">
      <w:pPr>
        <w:pStyle w:val="35"/>
        <w:keepNext w:val="0"/>
        <w:keepLines w:val="0"/>
        <w:pageBreakBefore w:val="0"/>
        <w:widowControl w:val="0"/>
        <w:tabs>
          <w:tab w:val="right" w:leader="dot" w:pos="9660"/>
        </w:tabs>
        <w:kinsoku/>
        <w:wordWrap/>
        <w:overflowPunct/>
        <w:topLinePunct w:val="0"/>
        <w:autoSpaceDE/>
        <w:autoSpaceDN/>
        <w:bidi w:val="0"/>
        <w:adjustRightInd/>
        <w:snapToGrid/>
        <w:spacing w:line="480" w:lineRule="auto"/>
        <w:textAlignment w:val="auto"/>
        <w:rPr>
          <w:color w:val="000000" w:themeColor="text1"/>
          <w:sz w:val="30"/>
          <w:szCs w:val="30"/>
          <w:highlight w:val="none"/>
          <w14:textFill>
            <w14:solidFill>
              <w14:schemeClr w14:val="tx1"/>
            </w14:solidFill>
          </w14:textFill>
        </w:rPr>
      </w:pPr>
      <w:r>
        <w:rPr>
          <w:rFonts w:hint="eastAsia" w:ascii="宋体" w:hAnsi="宋体" w:cs="宋体"/>
          <w:color w:val="000000" w:themeColor="text1"/>
          <w:spacing w:val="-6"/>
          <w:kern w:val="0"/>
          <w:sz w:val="30"/>
          <w:szCs w:val="30"/>
          <w:highlight w:val="none"/>
          <w14:textFill>
            <w14:solidFill>
              <w14:schemeClr w14:val="tx1"/>
            </w14:solidFill>
          </w14:textFill>
        </w:rPr>
        <w:fldChar w:fldCharType="begin"/>
      </w:r>
      <w:r>
        <w:rPr>
          <w:rFonts w:hint="eastAsia" w:ascii="宋体" w:hAnsi="宋体" w:cs="宋体"/>
          <w:color w:val="000000" w:themeColor="text1"/>
          <w:spacing w:val="-6"/>
          <w:kern w:val="0"/>
          <w:sz w:val="30"/>
          <w:szCs w:val="30"/>
          <w:highlight w:val="none"/>
          <w14:textFill>
            <w14:solidFill>
              <w14:schemeClr w14:val="tx1"/>
            </w14:solidFill>
          </w14:textFill>
        </w:rPr>
        <w:instrText xml:space="preserve"> HYPERLINK \l _Toc18699 </w:instrText>
      </w:r>
      <w:r>
        <w:rPr>
          <w:rFonts w:hint="eastAsia" w:ascii="宋体" w:hAnsi="宋体" w:cs="宋体"/>
          <w:color w:val="000000" w:themeColor="text1"/>
          <w:spacing w:val="-6"/>
          <w:kern w:val="0"/>
          <w:sz w:val="30"/>
          <w:szCs w:val="30"/>
          <w:highlight w:val="none"/>
          <w14:textFill>
            <w14:solidFill>
              <w14:schemeClr w14:val="tx1"/>
            </w14:solidFill>
          </w14:textFill>
        </w:rPr>
        <w:fldChar w:fldCharType="separate"/>
      </w:r>
      <w:r>
        <w:rPr>
          <w:rFonts w:hint="eastAsia" w:ascii="华文中宋" w:hAnsi="华文中宋" w:eastAsia="华文中宋" w:cs="华文中宋"/>
          <w:bCs/>
          <w:color w:val="000000" w:themeColor="text1"/>
          <w:sz w:val="30"/>
          <w:szCs w:val="30"/>
          <w:highlight w:val="none"/>
          <w14:textFill>
            <w14:solidFill>
              <w14:schemeClr w14:val="tx1"/>
            </w14:solidFill>
          </w14:textFill>
        </w:rPr>
        <w:t>第六章  响应文件（格式）</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_Toc18699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79</w:t>
      </w:r>
      <w:r>
        <w:rPr>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pacing w:val="-6"/>
          <w:kern w:val="0"/>
          <w:sz w:val="30"/>
          <w:szCs w:val="30"/>
          <w:highlight w:val="none"/>
          <w14:textFill>
            <w14:solidFill>
              <w14:schemeClr w14:val="tx1"/>
            </w14:solidFill>
          </w14:textFill>
        </w:rPr>
        <w:fldChar w:fldCharType="end"/>
      </w:r>
    </w:p>
    <w:p w14:paraId="68049423">
      <w:pPr>
        <w:pStyle w:val="35"/>
        <w:keepNext w:val="0"/>
        <w:keepLines w:val="0"/>
        <w:pageBreakBefore w:val="0"/>
        <w:widowControl w:val="0"/>
        <w:tabs>
          <w:tab w:val="right" w:leader="dot" w:pos="9660"/>
        </w:tabs>
        <w:kinsoku/>
        <w:wordWrap/>
        <w:overflowPunct/>
        <w:topLinePunct w:val="0"/>
        <w:autoSpaceDE/>
        <w:autoSpaceDN/>
        <w:bidi w:val="0"/>
        <w:adjustRightInd/>
        <w:snapToGrid/>
        <w:spacing w:line="480" w:lineRule="auto"/>
        <w:textAlignment w:val="auto"/>
        <w:rPr>
          <w:color w:val="000000" w:themeColor="text1"/>
          <w:sz w:val="30"/>
          <w:szCs w:val="30"/>
          <w:highlight w:val="none"/>
          <w14:textFill>
            <w14:solidFill>
              <w14:schemeClr w14:val="tx1"/>
            </w14:solidFill>
          </w14:textFill>
        </w:rPr>
      </w:pPr>
      <w:r>
        <w:rPr>
          <w:rFonts w:hint="eastAsia" w:ascii="宋体" w:hAnsi="宋体" w:cs="宋体"/>
          <w:color w:val="000000" w:themeColor="text1"/>
          <w:spacing w:val="-6"/>
          <w:kern w:val="0"/>
          <w:sz w:val="30"/>
          <w:szCs w:val="30"/>
          <w:highlight w:val="none"/>
          <w14:textFill>
            <w14:solidFill>
              <w14:schemeClr w14:val="tx1"/>
            </w14:solidFill>
          </w14:textFill>
        </w:rPr>
        <w:fldChar w:fldCharType="begin"/>
      </w:r>
      <w:r>
        <w:rPr>
          <w:rFonts w:hint="eastAsia" w:ascii="宋体" w:hAnsi="宋体" w:cs="宋体"/>
          <w:color w:val="000000" w:themeColor="text1"/>
          <w:spacing w:val="-6"/>
          <w:kern w:val="0"/>
          <w:sz w:val="30"/>
          <w:szCs w:val="30"/>
          <w:highlight w:val="none"/>
          <w14:textFill>
            <w14:solidFill>
              <w14:schemeClr w14:val="tx1"/>
            </w14:solidFill>
          </w14:textFill>
        </w:rPr>
        <w:instrText xml:space="preserve"> HYPERLINK \l _Toc25764 </w:instrText>
      </w:r>
      <w:r>
        <w:rPr>
          <w:rFonts w:hint="eastAsia" w:ascii="宋体" w:hAnsi="宋体" w:cs="宋体"/>
          <w:color w:val="000000" w:themeColor="text1"/>
          <w:spacing w:val="-6"/>
          <w:kern w:val="0"/>
          <w:sz w:val="30"/>
          <w:szCs w:val="30"/>
          <w:highlight w:val="none"/>
          <w14:textFill>
            <w14:solidFill>
              <w14:schemeClr w14:val="tx1"/>
            </w14:solidFill>
          </w14:textFill>
        </w:rPr>
        <w:fldChar w:fldCharType="separate"/>
      </w:r>
      <w:r>
        <w:rPr>
          <w:rFonts w:hint="eastAsia" w:ascii="华文中宋" w:hAnsi="华文中宋" w:eastAsia="华文中宋" w:cs="华文中宋"/>
          <w:bCs/>
          <w:color w:val="000000" w:themeColor="text1"/>
          <w:sz w:val="30"/>
          <w:szCs w:val="30"/>
          <w:highlight w:val="none"/>
          <w14:textFill>
            <w14:solidFill>
              <w14:schemeClr w14:val="tx1"/>
            </w14:solidFill>
          </w14:textFill>
        </w:rPr>
        <w:t>第七章  图纸</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_Toc25764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99</w:t>
      </w:r>
      <w:r>
        <w:rPr>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pacing w:val="-6"/>
          <w:kern w:val="0"/>
          <w:sz w:val="30"/>
          <w:szCs w:val="30"/>
          <w:highlight w:val="none"/>
          <w14:textFill>
            <w14:solidFill>
              <w14:schemeClr w14:val="tx1"/>
            </w14:solidFill>
          </w14:textFill>
        </w:rPr>
        <w:fldChar w:fldCharType="end"/>
      </w:r>
    </w:p>
    <w:p w14:paraId="319562BD">
      <w:pPr>
        <w:pStyle w:val="35"/>
        <w:keepNext w:val="0"/>
        <w:keepLines w:val="0"/>
        <w:pageBreakBefore w:val="0"/>
        <w:widowControl w:val="0"/>
        <w:tabs>
          <w:tab w:val="right" w:leader="dot" w:pos="9660"/>
        </w:tabs>
        <w:kinsoku/>
        <w:wordWrap/>
        <w:overflowPunct/>
        <w:topLinePunct w:val="0"/>
        <w:autoSpaceDE/>
        <w:autoSpaceDN/>
        <w:bidi w:val="0"/>
        <w:adjustRightInd/>
        <w:snapToGrid/>
        <w:spacing w:line="480" w:lineRule="auto"/>
        <w:textAlignment w:val="auto"/>
        <w:rPr>
          <w:color w:val="000000" w:themeColor="text1"/>
          <w:highlight w:val="none"/>
          <w14:textFill>
            <w14:solidFill>
              <w14:schemeClr w14:val="tx1"/>
            </w14:solidFill>
          </w14:textFill>
        </w:rPr>
      </w:pPr>
      <w:r>
        <w:rPr>
          <w:rFonts w:hint="eastAsia" w:ascii="宋体" w:hAnsi="宋体" w:cs="宋体"/>
          <w:color w:val="000000" w:themeColor="text1"/>
          <w:spacing w:val="-6"/>
          <w:kern w:val="0"/>
          <w:sz w:val="30"/>
          <w:szCs w:val="30"/>
          <w:highlight w:val="none"/>
          <w14:textFill>
            <w14:solidFill>
              <w14:schemeClr w14:val="tx1"/>
            </w14:solidFill>
          </w14:textFill>
        </w:rPr>
        <w:fldChar w:fldCharType="begin"/>
      </w:r>
      <w:r>
        <w:rPr>
          <w:rFonts w:hint="eastAsia" w:ascii="宋体" w:hAnsi="宋体" w:cs="宋体"/>
          <w:color w:val="000000" w:themeColor="text1"/>
          <w:spacing w:val="-6"/>
          <w:kern w:val="0"/>
          <w:sz w:val="30"/>
          <w:szCs w:val="30"/>
          <w:highlight w:val="none"/>
          <w14:textFill>
            <w14:solidFill>
              <w14:schemeClr w14:val="tx1"/>
            </w14:solidFill>
          </w14:textFill>
        </w:rPr>
        <w:instrText xml:space="preserve"> HYPERLINK \l _Toc8396 </w:instrText>
      </w:r>
      <w:r>
        <w:rPr>
          <w:rFonts w:hint="eastAsia" w:ascii="宋体" w:hAnsi="宋体" w:cs="宋体"/>
          <w:color w:val="000000" w:themeColor="text1"/>
          <w:spacing w:val="-6"/>
          <w:kern w:val="0"/>
          <w:sz w:val="30"/>
          <w:szCs w:val="30"/>
          <w:highlight w:val="none"/>
          <w14:textFill>
            <w14:solidFill>
              <w14:schemeClr w14:val="tx1"/>
            </w14:solidFill>
          </w14:textFill>
        </w:rPr>
        <w:fldChar w:fldCharType="separate"/>
      </w:r>
      <w:r>
        <w:rPr>
          <w:rFonts w:hint="eastAsia" w:ascii="华文中宋" w:hAnsi="华文中宋" w:eastAsia="华文中宋" w:cs="华文中宋"/>
          <w:bCs/>
          <w:color w:val="000000" w:themeColor="text1"/>
          <w:sz w:val="30"/>
          <w:szCs w:val="30"/>
          <w:highlight w:val="none"/>
          <w14:textFill>
            <w14:solidFill>
              <w14:schemeClr w14:val="tx1"/>
            </w14:solidFill>
          </w14:textFill>
        </w:rPr>
        <w:t>第八章  技术标准和要求</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_Toc8396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99</w:t>
      </w:r>
      <w:r>
        <w:rPr>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pacing w:val="-6"/>
          <w:kern w:val="0"/>
          <w:sz w:val="30"/>
          <w:szCs w:val="30"/>
          <w:highlight w:val="none"/>
          <w14:textFill>
            <w14:solidFill>
              <w14:schemeClr w14:val="tx1"/>
            </w14:solidFill>
          </w14:textFill>
        </w:rPr>
        <w:fldChar w:fldCharType="end"/>
      </w:r>
    </w:p>
    <w:p w14:paraId="4F2A15BE">
      <w:pPr>
        <w:pStyle w:val="35"/>
        <w:tabs>
          <w:tab w:val="right" w:leader="dot" w:pos="9660"/>
        </w:tabs>
        <w:spacing w:line="380" w:lineRule="exact"/>
        <w:rPr>
          <w:color w:val="000000" w:themeColor="text1"/>
          <w:highlight w:val="none"/>
          <w14:textFill>
            <w14:solidFill>
              <w14:schemeClr w14:val="tx1"/>
            </w14:solidFill>
          </w14:textFill>
        </w:rPr>
      </w:pPr>
      <w:r>
        <w:rPr>
          <w:rFonts w:hint="eastAsia" w:ascii="宋体" w:hAnsi="宋体" w:cs="宋体"/>
          <w:color w:val="000000" w:themeColor="text1"/>
          <w:spacing w:val="-6"/>
          <w:kern w:val="0"/>
          <w:highlight w:val="none"/>
          <w14:textFill>
            <w14:solidFill>
              <w14:schemeClr w14:val="tx1"/>
            </w14:solidFill>
          </w14:textFill>
        </w:rPr>
        <w:fldChar w:fldCharType="end"/>
      </w:r>
    </w:p>
    <w:p w14:paraId="5E35DC90">
      <w:pPr>
        <w:pStyle w:val="2"/>
        <w:numPr>
          <w:ilvl w:val="0"/>
          <w:numId w:val="1"/>
        </w:numPr>
        <w:tabs>
          <w:tab w:val="left" w:pos="0"/>
        </w:tabs>
        <w:autoSpaceDE w:val="0"/>
        <w:autoSpaceDN w:val="0"/>
        <w:adjustRightInd w:val="0"/>
        <w:spacing w:before="0" w:after="0" w:line="360" w:lineRule="auto"/>
        <w:ind w:firstLine="425"/>
        <w:jc w:val="center"/>
        <w:rPr>
          <w:rFonts w:ascii="宋体" w:hAnsi="宋体" w:cs="宋体"/>
          <w:color w:val="000000" w:themeColor="text1"/>
          <w:sz w:val="32"/>
          <w:szCs w:val="32"/>
          <w:highlight w:val="none"/>
          <w14:textFill>
            <w14:solidFill>
              <w14:schemeClr w14:val="tx1"/>
            </w14:solidFill>
          </w14:textFill>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26809"/>
      <w:bookmarkStart w:id="1" w:name="_Toc28359011"/>
      <w:bookmarkStart w:id="2" w:name="_Toc1752"/>
      <w:bookmarkStart w:id="3" w:name="_Toc21930"/>
      <w:bookmarkStart w:id="4" w:name="_Toc35393797"/>
      <w:bookmarkStart w:id="5" w:name="_Toc30170"/>
      <w:bookmarkStart w:id="1116" w:name="_GoBack"/>
      <w:bookmarkEnd w:id="1116"/>
    </w:p>
    <w:p w14:paraId="71C90481">
      <w:pPr>
        <w:jc w:val="center"/>
        <w:outlineLvl w:val="0"/>
        <w:rPr>
          <w:rFonts w:eastAsia="华文中宋"/>
          <w:b/>
          <w:bCs/>
          <w:color w:val="000000" w:themeColor="text1"/>
          <w:sz w:val="32"/>
          <w:szCs w:val="32"/>
          <w:highlight w:val="none"/>
          <w14:textFill>
            <w14:solidFill>
              <w14:schemeClr w14:val="tx1"/>
            </w14:solidFill>
          </w14:textFill>
        </w:rPr>
      </w:pPr>
      <w:bookmarkStart w:id="6" w:name="_Toc9644"/>
      <w:r>
        <w:rPr>
          <w:rFonts w:eastAsia="华文中宋"/>
          <w:b/>
          <w:bCs/>
          <w:color w:val="000000" w:themeColor="text1"/>
          <w:sz w:val="32"/>
          <w:szCs w:val="32"/>
          <w:highlight w:val="none"/>
          <w14:textFill>
            <w14:solidFill>
              <w14:schemeClr w14:val="tx1"/>
            </w14:solidFill>
          </w14:textFill>
        </w:rPr>
        <w:t>第一章  竞争性磋商公告</w:t>
      </w:r>
      <w:bookmarkEnd w:id="0"/>
      <w:bookmarkEnd w:id="1"/>
      <w:bookmarkEnd w:id="2"/>
      <w:bookmarkEnd w:id="3"/>
      <w:bookmarkEnd w:id="4"/>
      <w:bookmarkEnd w:id="5"/>
      <w:bookmarkEnd w:id="6"/>
    </w:p>
    <w:tbl>
      <w:tblPr>
        <w:tblStyle w:val="54"/>
        <w:tblpPr w:leftFromText="180" w:rightFromText="180" w:vertAnchor="text" w:tblpX="38" w:tblpY="134"/>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571F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9800" w:type="dxa"/>
          </w:tcPr>
          <w:p w14:paraId="136B3038">
            <w:pPr>
              <w:keepNext w:val="0"/>
              <w:keepLines w:val="0"/>
              <w:pageBreakBefore w:val="0"/>
              <w:kinsoku/>
              <w:wordWrap/>
              <w:overflowPunct/>
              <w:topLinePunct w:val="0"/>
              <w:bidi w:val="0"/>
              <w:spacing w:line="360" w:lineRule="exact"/>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项目概况</w:t>
            </w:r>
          </w:p>
          <w:p w14:paraId="59EAD696">
            <w:pPr>
              <w:keepNext w:val="0"/>
              <w:keepLines w:val="0"/>
              <w:pageBreakBefore w:val="0"/>
              <w:kinsoku/>
              <w:wordWrap/>
              <w:overflowPunct/>
              <w:topLinePunct w:val="0"/>
              <w:bidi w:val="0"/>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highlight w:val="none"/>
                <w:u w:val="single"/>
                <w:lang w:eastAsia="zh-CN"/>
                <w14:textFill>
                  <w14:solidFill>
                    <w14:schemeClr w14:val="tx1"/>
                  </w14:solidFill>
                </w14:textFill>
              </w:rPr>
              <w:t>广西师范大学王城校区继续教育学院搬迁维修改造工程</w:t>
            </w:r>
            <w:r>
              <w:rPr>
                <w:color w:val="000000" w:themeColor="text1"/>
                <w:highlight w:val="none"/>
                <w14:textFill>
                  <w14:solidFill>
                    <w14:schemeClr w14:val="tx1"/>
                  </w14:solidFill>
                </w14:textFill>
              </w:rPr>
              <w:t>采购项目的潜在供应商登陆</w:t>
            </w:r>
            <w:r>
              <w:rPr>
                <w:color w:val="000000" w:themeColor="text1"/>
                <w:szCs w:val="21"/>
                <w:highlight w:val="none"/>
                <w:u w:val="single"/>
                <w14:textFill>
                  <w14:solidFill>
                    <w14:schemeClr w14:val="tx1"/>
                  </w14:solidFill>
                </w14:textFill>
              </w:rPr>
              <w:t>政府采购云平台（https://www.zcygov.cn/）</w:t>
            </w:r>
            <w:r>
              <w:rPr>
                <w:color w:val="000000" w:themeColor="text1"/>
                <w:highlight w:val="none"/>
                <w14:textFill>
                  <w14:solidFill>
                    <w14:schemeClr w14:val="tx1"/>
                  </w14:solidFill>
                </w14:textFill>
              </w:rPr>
              <w:t>免费下载竞争性磋商文件电子版，并于202</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日9</w:t>
            </w:r>
            <w:r>
              <w:rPr>
                <w:color w:val="000000" w:themeColor="text1"/>
                <w:highlight w:val="none"/>
                <w14:textFill>
                  <w14:solidFill>
                    <w14:schemeClr w14:val="tx1"/>
                  </w14:solidFill>
                </w14:textFill>
              </w:rPr>
              <w:t>点</w:t>
            </w:r>
            <w:r>
              <w:rPr>
                <w:rFonts w:hint="eastAsia"/>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t>分（北京时间）前提交相应文件。</w:t>
            </w:r>
          </w:p>
        </w:tc>
      </w:tr>
    </w:tbl>
    <w:p w14:paraId="72DCA8B2">
      <w:pPr>
        <w:keepNext w:val="0"/>
        <w:keepLines w:val="0"/>
        <w:pageBreakBefore w:val="0"/>
        <w:widowControl w:val="0"/>
        <w:kinsoku/>
        <w:wordWrap/>
        <w:overflowPunct/>
        <w:topLinePunct w:val="0"/>
        <w:autoSpaceDE/>
        <w:autoSpaceDN/>
        <w:bidi w:val="0"/>
        <w:adjustRightInd/>
        <w:snapToGrid/>
        <w:spacing w:line="340" w:lineRule="exact"/>
        <w:textAlignment w:val="auto"/>
        <w:outlineLvl w:val="1"/>
        <w:rPr>
          <w:b/>
          <w:bCs/>
          <w:color w:val="000000" w:themeColor="text1"/>
          <w:szCs w:val="21"/>
          <w:highlight w:val="none"/>
          <w14:textFill>
            <w14:solidFill>
              <w14:schemeClr w14:val="tx1"/>
            </w14:solidFill>
          </w14:textFill>
        </w:rPr>
      </w:pPr>
      <w:bookmarkStart w:id="7" w:name="_Toc28359012"/>
      <w:bookmarkStart w:id="8" w:name="_Toc23416"/>
      <w:bookmarkStart w:id="9" w:name="_Toc35393629"/>
      <w:bookmarkStart w:id="10" w:name="_Toc28359089"/>
      <w:bookmarkStart w:id="11" w:name="_Toc15564"/>
      <w:bookmarkStart w:id="12" w:name="_Toc35393798"/>
      <w:bookmarkStart w:id="13" w:name="_Toc28343"/>
      <w:bookmarkStart w:id="14" w:name="_Toc24797"/>
      <w:bookmarkStart w:id="15" w:name="_Toc27921"/>
      <w:r>
        <w:rPr>
          <w:b/>
          <w:bCs/>
          <w:color w:val="000000" w:themeColor="text1"/>
          <w:szCs w:val="21"/>
          <w:highlight w:val="none"/>
          <w14:textFill>
            <w14:solidFill>
              <w14:schemeClr w14:val="tx1"/>
            </w14:solidFill>
          </w14:textFill>
        </w:rPr>
        <w:t>一、项目基本情况</w:t>
      </w:r>
      <w:bookmarkEnd w:id="7"/>
      <w:bookmarkEnd w:id="8"/>
      <w:bookmarkEnd w:id="9"/>
      <w:bookmarkEnd w:id="10"/>
      <w:bookmarkEnd w:id="11"/>
      <w:bookmarkEnd w:id="12"/>
      <w:bookmarkEnd w:id="13"/>
      <w:bookmarkEnd w:id="14"/>
      <w:bookmarkEnd w:id="15"/>
    </w:p>
    <w:p w14:paraId="59C105B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eastAsia="宋体"/>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项目编号：</w:t>
      </w:r>
      <w:r>
        <w:rPr>
          <w:rFonts w:hint="eastAsia"/>
          <w:color w:val="000000" w:themeColor="text1"/>
          <w:szCs w:val="21"/>
          <w:highlight w:val="none"/>
          <w:lang w:eastAsia="zh-CN"/>
          <w14:textFill>
            <w14:solidFill>
              <w14:schemeClr w14:val="tx1"/>
            </w14:solidFill>
          </w14:textFill>
        </w:rPr>
        <w:t>GXZC2025-C2-002062-GXLY</w:t>
      </w:r>
    </w:p>
    <w:p w14:paraId="51B7526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eastAsia="宋体"/>
          <w:color w:val="000000" w:themeColor="text1"/>
          <w:szCs w:val="21"/>
          <w:highlight w:val="none"/>
          <w:u w:val="single"/>
          <w:lang w:eastAsia="zh-CN"/>
          <w14:textFill>
            <w14:solidFill>
              <w14:schemeClr w14:val="tx1"/>
            </w14:solidFill>
          </w14:textFill>
        </w:rPr>
      </w:pPr>
      <w:r>
        <w:rPr>
          <w:color w:val="000000" w:themeColor="text1"/>
          <w:szCs w:val="21"/>
          <w:highlight w:val="none"/>
          <w14:textFill>
            <w14:solidFill>
              <w14:schemeClr w14:val="tx1"/>
            </w14:solidFill>
          </w14:textFill>
        </w:rPr>
        <w:t>项目名称：</w:t>
      </w:r>
      <w:r>
        <w:rPr>
          <w:rFonts w:hint="eastAsia"/>
          <w:color w:val="000000" w:themeColor="text1"/>
          <w:szCs w:val="21"/>
          <w:highlight w:val="none"/>
          <w:lang w:eastAsia="zh-CN"/>
          <w14:textFill>
            <w14:solidFill>
              <w14:schemeClr w14:val="tx1"/>
            </w14:solidFill>
          </w14:textFill>
        </w:rPr>
        <w:t>广西师范大学王城校区继续教育学院搬迁维修改造工程</w:t>
      </w:r>
    </w:p>
    <w:p w14:paraId="1E337BD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采购方式：竞争性磋商</w:t>
      </w:r>
    </w:p>
    <w:p w14:paraId="3380EDD9">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Cs w:val="21"/>
          <w:highlight w:val="none"/>
          <w:u w:val="single"/>
          <w14:textFill>
            <w14:solidFill>
              <w14:schemeClr w14:val="tx1"/>
            </w14:solidFill>
          </w14:textFill>
        </w:rPr>
      </w:pPr>
      <w:r>
        <w:rPr>
          <w:rFonts w:hint="eastAsia" w:ascii="宋体"/>
          <w:color w:val="000000"/>
          <w:szCs w:val="21"/>
        </w:rPr>
        <w:t>预算总金额（元）：</w:t>
      </w:r>
      <w:r>
        <w:rPr>
          <w:rFonts w:hint="eastAsia"/>
          <w:color w:val="000000" w:themeColor="text1"/>
          <w:szCs w:val="21"/>
          <w:highlight w:val="none"/>
          <w:u w:val="none"/>
          <w:lang w:val="en-US" w:eastAsia="zh-CN"/>
          <w14:textFill>
            <w14:solidFill>
              <w14:schemeClr w14:val="tx1"/>
            </w14:solidFill>
          </w14:textFill>
        </w:rPr>
        <w:t xml:space="preserve"> 1028096.34</w:t>
      </w:r>
    </w:p>
    <w:p w14:paraId="3CF5366F">
      <w:pPr>
        <w:pStyle w:val="69"/>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b/>
          <w:color w:val="000000"/>
          <w:sz w:val="21"/>
          <w:szCs w:val="21"/>
        </w:rPr>
      </w:pPr>
      <w:r>
        <w:rPr>
          <w:rFonts w:hint="eastAsia" w:ascii="宋体"/>
          <w:b/>
          <w:color w:val="000000"/>
          <w:sz w:val="21"/>
          <w:szCs w:val="21"/>
        </w:rPr>
        <w:t>采购需求：</w:t>
      </w:r>
    </w:p>
    <w:p w14:paraId="3FE94661">
      <w:pPr>
        <w:pStyle w:val="69"/>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b/>
          <w:bCs/>
          <w:color w:val="000000"/>
          <w:sz w:val="21"/>
          <w:szCs w:val="21"/>
        </w:rPr>
      </w:pPr>
      <w:r>
        <w:rPr>
          <w:rFonts w:hint="eastAsia" w:ascii="宋体"/>
          <w:b/>
          <w:bCs/>
          <w:color w:val="000000"/>
          <w:sz w:val="21"/>
          <w:szCs w:val="21"/>
        </w:rPr>
        <w:t>标项一</w:t>
      </w:r>
    </w:p>
    <w:p w14:paraId="4A9AAD99">
      <w:pPr>
        <w:pStyle w:val="69"/>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eastAsia="宋体"/>
          <w:color w:val="000000"/>
          <w:sz w:val="21"/>
          <w:szCs w:val="21"/>
          <w:lang w:eastAsia="zh-CN"/>
        </w:rPr>
      </w:pPr>
      <w:r>
        <w:rPr>
          <w:rFonts w:hint="eastAsia" w:ascii="宋体"/>
          <w:color w:val="000000"/>
          <w:sz w:val="21"/>
          <w:szCs w:val="21"/>
        </w:rPr>
        <w:t>标项名称：广西师范大学王城校区继续教育学院搬迁维修改造工程</w:t>
      </w:r>
    </w:p>
    <w:p w14:paraId="4F780745">
      <w:pPr>
        <w:pStyle w:val="69"/>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color w:val="000000"/>
          <w:sz w:val="21"/>
          <w:szCs w:val="21"/>
        </w:rPr>
      </w:pPr>
      <w:r>
        <w:rPr>
          <w:rFonts w:hint="eastAsia" w:ascii="宋体"/>
          <w:color w:val="000000"/>
          <w:sz w:val="21"/>
          <w:szCs w:val="21"/>
        </w:rPr>
        <w:t>数量：1</w:t>
      </w:r>
    </w:p>
    <w:p w14:paraId="41AE6F94">
      <w:pPr>
        <w:pStyle w:val="69"/>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eastAsia="宋体"/>
          <w:color w:val="000000"/>
          <w:sz w:val="21"/>
          <w:szCs w:val="21"/>
          <w:lang w:val="en-US" w:eastAsia="zh-CN"/>
        </w:rPr>
      </w:pPr>
      <w:r>
        <w:rPr>
          <w:rFonts w:hint="eastAsia" w:ascii="宋体"/>
          <w:color w:val="000000"/>
          <w:sz w:val="21"/>
          <w:szCs w:val="21"/>
        </w:rPr>
        <w:t>预算金额（元）：1028096.34</w:t>
      </w:r>
    </w:p>
    <w:p w14:paraId="4F557B7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color w:val="000000"/>
          <w:sz w:val="21"/>
          <w:szCs w:val="21"/>
        </w:rPr>
      </w:pPr>
      <w:r>
        <w:rPr>
          <w:rFonts w:hint="eastAsia" w:ascii="宋体"/>
          <w:color w:val="000000"/>
          <w:sz w:val="21"/>
          <w:szCs w:val="21"/>
        </w:rPr>
        <w:t>简要规格描述或项目基本概况介绍、用途：</w:t>
      </w:r>
    </w:p>
    <w:p w14:paraId="18F232FC">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420" w:firstLineChars="200"/>
        <w:textAlignment w:val="auto"/>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工程内容：</w:t>
      </w:r>
      <w:r>
        <w:rPr>
          <w:rFonts w:hint="eastAsia"/>
          <w:color w:val="000000" w:themeColor="text1"/>
          <w:szCs w:val="21"/>
          <w:highlight w:val="none"/>
          <w14:textFill>
            <w14:solidFill>
              <w14:schemeClr w14:val="tx1"/>
            </w14:solidFill>
          </w14:textFill>
        </w:rPr>
        <w:t>王城校区马林馆维修工程、王城教学楼3#、4#、5#维修工程、育才校区老年活动室装修、王城校区行政楼维修工程，包含建筑装饰装修工程、拆除工程、市政工程、安装工程等</w:t>
      </w:r>
      <w:r>
        <w:rPr>
          <w:rFonts w:hint="eastAsia" w:ascii="宋体"/>
          <w:color w:val="000000" w:themeColor="text1"/>
          <w:szCs w:val="21"/>
          <w:highlight w:val="none"/>
          <w14:textFill>
            <w14:solidFill>
              <w14:schemeClr w14:val="tx1"/>
            </w14:solidFill>
          </w14:textFill>
        </w:rPr>
        <w:t>。</w:t>
      </w:r>
    </w:p>
    <w:p w14:paraId="5C82D06D">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420" w:firstLineChars="200"/>
        <w:textAlignment w:val="auto"/>
        <w:rPr>
          <w:rFonts w:hint="eastAsia" w:ascii="宋体" w:cs="宋体"/>
          <w:color w:val="000000" w:themeColor="text1"/>
          <w:szCs w:val="21"/>
          <w:highlight w:val="none"/>
          <w:lang w:bidi="ar-SA"/>
          <w14:textFill>
            <w14:solidFill>
              <w14:schemeClr w14:val="tx1"/>
            </w14:solidFill>
          </w14:textFill>
        </w:rPr>
      </w:pPr>
      <w:r>
        <w:rPr>
          <w:rFonts w:hint="eastAsia" w:ascii="宋体" w:cs="宋体"/>
          <w:color w:val="000000" w:themeColor="text1"/>
          <w:szCs w:val="21"/>
          <w:highlight w:val="none"/>
          <w:lang w:bidi="ar-SA"/>
          <w14:textFill>
            <w14:solidFill>
              <w14:schemeClr w14:val="tx1"/>
            </w14:solidFill>
          </w14:textFill>
        </w:rPr>
        <w:t>要求工期：</w:t>
      </w:r>
      <w:r>
        <w:rPr>
          <w:rFonts w:hint="eastAsia"/>
          <w:color w:val="000000" w:themeColor="text1"/>
          <w:szCs w:val="21"/>
          <w:highlight w:val="none"/>
          <w:lang w:val="en-US" w:eastAsia="zh-CN"/>
          <w14:textFill>
            <w14:solidFill>
              <w14:schemeClr w14:val="tx1"/>
            </w14:solidFill>
          </w14:textFill>
        </w:rPr>
        <w:t>40</w:t>
      </w:r>
      <w:r>
        <w:rPr>
          <w:rFonts w:hint="eastAsia"/>
          <w:color w:val="000000" w:themeColor="text1"/>
          <w:szCs w:val="21"/>
          <w:highlight w:val="none"/>
          <w14:textFill>
            <w14:solidFill>
              <w14:schemeClr w14:val="tx1"/>
            </w14:solidFill>
          </w14:textFill>
        </w:rPr>
        <w:t>个日历日内完工并搞完卫生退场</w:t>
      </w:r>
      <w:r>
        <w:rPr>
          <w:rFonts w:hint="eastAsia" w:ascii="宋体" w:cs="宋体"/>
          <w:color w:val="000000" w:themeColor="text1"/>
          <w:szCs w:val="21"/>
          <w:highlight w:val="none"/>
          <w:lang w:bidi="ar-SA"/>
          <w14:textFill>
            <w14:solidFill>
              <w14:schemeClr w14:val="tx1"/>
            </w14:solidFill>
          </w14:textFill>
        </w:rPr>
        <w:t>；</w:t>
      </w:r>
    </w:p>
    <w:p w14:paraId="10A82E90">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420" w:firstLineChars="200"/>
        <w:textAlignment w:val="auto"/>
        <w:rPr>
          <w:rFonts w:hint="eastAsia" w:ascii="宋体" w:cs="宋体"/>
          <w:color w:val="000000" w:themeColor="text1"/>
          <w:szCs w:val="21"/>
          <w:highlight w:val="none"/>
          <w:lang w:bidi="ar-SA"/>
          <w14:textFill>
            <w14:solidFill>
              <w14:schemeClr w14:val="tx1"/>
            </w14:solidFill>
          </w14:textFill>
        </w:rPr>
      </w:pPr>
      <w:r>
        <w:rPr>
          <w:rFonts w:hint="eastAsia" w:ascii="宋体" w:cs="宋体"/>
          <w:color w:val="000000" w:themeColor="text1"/>
          <w:szCs w:val="21"/>
          <w:highlight w:val="none"/>
          <w:lang w:bidi="ar-SA"/>
          <w14:textFill>
            <w14:solidFill>
              <w14:schemeClr w14:val="tx1"/>
            </w14:solidFill>
          </w14:textFill>
        </w:rPr>
        <w:t>质量要求：达到国家施工验收规范合格标准；</w:t>
      </w:r>
    </w:p>
    <w:p w14:paraId="025EDF97">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firstLine="420" w:firstLineChars="200"/>
        <w:textAlignment w:val="auto"/>
        <w:rPr>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bidi="ar-SA"/>
          <w14:textFill>
            <w14:solidFill>
              <w14:schemeClr w14:val="tx1"/>
            </w14:solidFill>
          </w14:textFill>
        </w:rPr>
        <w:t>采购范围：施工图纸范围内的工程，具体情况详见施工图纸及工程量清单</w:t>
      </w:r>
      <w:r>
        <w:rPr>
          <w:rFonts w:hint="eastAsia" w:ascii="宋体" w:cs="宋体"/>
          <w:color w:val="000000" w:themeColor="text1"/>
          <w:szCs w:val="21"/>
          <w:highlight w:val="none"/>
          <w:lang w:eastAsia="zh-CN" w:bidi="ar-SA"/>
          <w14:textFill>
            <w14:solidFill>
              <w14:schemeClr w14:val="tx1"/>
            </w14:solidFill>
          </w14:textFill>
        </w:rPr>
        <w:t>。</w:t>
      </w:r>
    </w:p>
    <w:p w14:paraId="192A746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cs="宋体"/>
          <w:color w:val="000000"/>
          <w:sz w:val="21"/>
          <w:szCs w:val="21"/>
          <w:lang w:bidi="ar-SA"/>
        </w:rPr>
      </w:pPr>
      <w:r>
        <w:rPr>
          <w:rFonts w:hint="eastAsia" w:ascii="宋体" w:cs="宋体"/>
          <w:color w:val="000000"/>
          <w:sz w:val="21"/>
          <w:szCs w:val="21"/>
          <w:lang w:bidi="ar-SA"/>
        </w:rPr>
        <w:t>最高限价（如有）：981062.76</w:t>
      </w:r>
    </w:p>
    <w:p w14:paraId="3549325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eastAsia="宋体" w:cs="宋体"/>
          <w:color w:val="000000"/>
          <w:sz w:val="21"/>
          <w:szCs w:val="21"/>
          <w:lang w:val="en-US" w:eastAsia="zh-CN" w:bidi="ar-SA"/>
        </w:rPr>
      </w:pPr>
      <w:r>
        <w:rPr>
          <w:rFonts w:hint="eastAsia" w:ascii="宋体"/>
          <w:color w:val="000000"/>
          <w:szCs w:val="21"/>
        </w:rPr>
        <w:t>合同履行期限：</w:t>
      </w:r>
      <w:r>
        <w:rPr>
          <w:rFonts w:hint="eastAsia"/>
          <w:color w:val="000000" w:themeColor="text1"/>
          <w:szCs w:val="21"/>
          <w:highlight w:val="none"/>
          <w:lang w:val="en-US" w:eastAsia="zh-CN"/>
          <w14:textFill>
            <w14:solidFill>
              <w14:schemeClr w14:val="tx1"/>
            </w14:solidFill>
          </w14:textFill>
        </w:rPr>
        <w:t>40</w:t>
      </w:r>
      <w:r>
        <w:rPr>
          <w:rFonts w:hint="eastAsia"/>
          <w:color w:val="000000" w:themeColor="text1"/>
          <w:szCs w:val="21"/>
          <w:highlight w:val="none"/>
          <w14:textFill>
            <w14:solidFill>
              <w14:schemeClr w14:val="tx1"/>
            </w14:solidFill>
          </w14:textFill>
        </w:rPr>
        <w:t>个日历日内完工并搞完卫生退场</w:t>
      </w:r>
      <w:r>
        <w:rPr>
          <w:rFonts w:hint="eastAsia" w:ascii="宋体" w:cs="宋体"/>
          <w:bCs/>
          <w:color w:val="000000"/>
          <w:kern w:val="0"/>
          <w:szCs w:val="21"/>
          <w:lang w:bidi="ar-SA"/>
        </w:rPr>
        <w:t>。</w:t>
      </w:r>
    </w:p>
    <w:p w14:paraId="7C5833EF">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本项目不接受联合体参与磋商。</w:t>
      </w:r>
    </w:p>
    <w:p w14:paraId="64C66B67">
      <w:pPr>
        <w:keepNext w:val="0"/>
        <w:keepLines w:val="0"/>
        <w:pageBreakBefore w:val="0"/>
        <w:widowControl w:val="0"/>
        <w:kinsoku/>
        <w:wordWrap/>
        <w:overflowPunct/>
        <w:topLinePunct w:val="0"/>
        <w:autoSpaceDE/>
        <w:autoSpaceDN/>
        <w:bidi w:val="0"/>
        <w:adjustRightInd/>
        <w:snapToGrid/>
        <w:spacing w:line="340" w:lineRule="exact"/>
        <w:textAlignment w:val="auto"/>
        <w:outlineLvl w:val="1"/>
        <w:rPr>
          <w:b/>
          <w:bCs/>
          <w:color w:val="000000" w:themeColor="text1"/>
          <w:szCs w:val="21"/>
          <w:highlight w:val="none"/>
          <w14:textFill>
            <w14:solidFill>
              <w14:schemeClr w14:val="tx1"/>
            </w14:solidFill>
          </w14:textFill>
        </w:rPr>
      </w:pPr>
      <w:bookmarkStart w:id="16" w:name="_Toc28359013"/>
      <w:bookmarkStart w:id="17" w:name="_Toc35393799"/>
      <w:bookmarkStart w:id="18" w:name="_Toc26790"/>
      <w:bookmarkStart w:id="19" w:name="_Toc4719"/>
      <w:bookmarkStart w:id="20" w:name="_Toc4261"/>
      <w:bookmarkStart w:id="21" w:name="_Toc21853"/>
      <w:bookmarkStart w:id="22" w:name="_Toc35393630"/>
      <w:bookmarkStart w:id="23" w:name="_Toc28359090"/>
      <w:bookmarkStart w:id="24" w:name="_Toc13592"/>
      <w:r>
        <w:rPr>
          <w:b/>
          <w:bCs/>
          <w:color w:val="000000" w:themeColor="text1"/>
          <w:szCs w:val="21"/>
          <w:highlight w:val="none"/>
          <w14:textFill>
            <w14:solidFill>
              <w14:schemeClr w14:val="tx1"/>
            </w14:solidFill>
          </w14:textFill>
        </w:rPr>
        <w:t>二、申请人的资格要求：</w:t>
      </w:r>
      <w:bookmarkEnd w:id="16"/>
      <w:bookmarkEnd w:id="17"/>
      <w:bookmarkEnd w:id="18"/>
      <w:bookmarkEnd w:id="19"/>
      <w:bookmarkEnd w:id="20"/>
      <w:bookmarkEnd w:id="21"/>
      <w:bookmarkEnd w:id="22"/>
      <w:bookmarkEnd w:id="23"/>
      <w:bookmarkEnd w:id="24"/>
    </w:p>
    <w:p w14:paraId="68475A9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1、满足《中华人民共和国政府采购法》第二十二条规定；</w:t>
      </w:r>
    </w:p>
    <w:p w14:paraId="26E140A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eastAsia="宋体"/>
          <w:b/>
          <w:bCs/>
          <w:color w:val="000000" w:themeColor="text1"/>
          <w:szCs w:val="21"/>
          <w:highlight w:val="none"/>
          <w:lang w:eastAsia="zh-CN"/>
          <w14:textFill>
            <w14:solidFill>
              <w14:schemeClr w14:val="tx1"/>
            </w14:solidFill>
          </w14:textFill>
        </w:rPr>
      </w:pPr>
      <w:bookmarkStart w:id="25" w:name="_Toc28359091"/>
      <w:bookmarkStart w:id="26" w:name="_Toc28359014"/>
      <w:r>
        <w:rPr>
          <w:color w:val="000000" w:themeColor="text1"/>
          <w:szCs w:val="21"/>
          <w:highlight w:val="none"/>
          <w14:textFill>
            <w14:solidFill>
              <w14:schemeClr w14:val="tx1"/>
            </w14:solidFill>
          </w14:textFill>
        </w:rPr>
        <w:t>2、落实政府采购政策需满足的资格要求：</w:t>
      </w:r>
      <w:r>
        <w:rPr>
          <w:b/>
          <w:bCs/>
          <w:color w:val="000000" w:themeColor="text1"/>
          <w:szCs w:val="21"/>
          <w:highlight w:val="none"/>
          <w:u w:val="single"/>
          <w14:textFill>
            <w14:solidFill>
              <w14:schemeClr w14:val="tx1"/>
            </w14:solidFill>
          </w14:textFill>
        </w:rPr>
        <w:t>本项目为专门面向中小企业采购的项目。按桂财采〔2021〕70号《广西壮族自治区财政厅</w:t>
      </w:r>
      <w:r>
        <w:rPr>
          <w:rFonts w:hint="eastAsia"/>
          <w:b/>
          <w:bCs/>
          <w:color w:val="000000" w:themeColor="text1"/>
          <w:szCs w:val="21"/>
          <w:highlight w:val="none"/>
          <w:u w:val="single"/>
          <w14:textFill>
            <w14:solidFill>
              <w14:schemeClr w14:val="tx1"/>
            </w14:solidFill>
          </w14:textFill>
        </w:rPr>
        <w:t xml:space="preserve"> </w:t>
      </w:r>
      <w:r>
        <w:rPr>
          <w:b/>
          <w:bCs/>
          <w:color w:val="000000" w:themeColor="text1"/>
          <w:szCs w:val="21"/>
          <w:highlight w:val="none"/>
          <w:u w:val="single"/>
          <w14:textFill>
            <w14:solidFill>
              <w14:schemeClr w14:val="tx1"/>
            </w14:solidFill>
          </w14:textFill>
        </w:rPr>
        <w:t>广西壮族自治区工业和信息化厅关于贯彻落实政府采购促进中小企业发展管理办法的通知》规定，提供中小企业声明函或者残疾人福利性单位声明函（格式后附）或者供应商属于监狱企业的需提供由省级以上监狱管理局、戒毒管理局（含新疆生产建设兵团）出具的属于监狱企业的证明文件</w:t>
      </w:r>
      <w:r>
        <w:rPr>
          <w:rFonts w:hint="eastAsia"/>
          <w:b/>
          <w:bCs/>
          <w:color w:val="000000" w:themeColor="text1"/>
          <w:szCs w:val="21"/>
          <w:highlight w:val="none"/>
          <w:u w:val="single"/>
          <w:lang w:eastAsia="zh-CN"/>
          <w14:textFill>
            <w14:solidFill>
              <w14:schemeClr w14:val="tx1"/>
            </w14:solidFill>
          </w14:textFill>
        </w:rPr>
        <w:t>。</w:t>
      </w:r>
    </w:p>
    <w:p w14:paraId="2A39EE3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3、本项目的特定资格要求：</w:t>
      </w:r>
      <w:bookmarkStart w:id="27" w:name="_Toc35393800"/>
      <w:bookmarkStart w:id="28" w:name="_Toc35393631"/>
      <w:r>
        <w:rPr>
          <w:b/>
          <w:bCs/>
          <w:color w:val="000000" w:themeColor="text1"/>
          <w:szCs w:val="21"/>
          <w:highlight w:val="none"/>
          <w:u w:val="single"/>
          <w14:textFill>
            <w14:solidFill>
              <w14:schemeClr w14:val="tx1"/>
            </w14:solidFill>
          </w14:textFill>
        </w:rPr>
        <w:t>具备</w:t>
      </w:r>
      <w:r>
        <w:rPr>
          <w:rFonts w:hint="eastAsia"/>
          <w:b/>
          <w:bCs/>
          <w:color w:val="000000" w:themeColor="text1"/>
          <w:szCs w:val="21"/>
          <w:highlight w:val="none"/>
          <w:u w:val="single"/>
          <w14:textFill>
            <w14:solidFill>
              <w14:schemeClr w14:val="tx1"/>
            </w14:solidFill>
          </w14:textFill>
        </w:rPr>
        <w:t>建筑装修装饰工程专业承包贰级（含贰级）</w:t>
      </w:r>
      <w:r>
        <w:rPr>
          <w:b/>
          <w:bCs/>
          <w:color w:val="000000" w:themeColor="text1"/>
          <w:szCs w:val="21"/>
          <w:highlight w:val="none"/>
          <w:u w:val="single"/>
          <w14:textFill>
            <w14:solidFill>
              <w14:schemeClr w14:val="tx1"/>
            </w14:solidFill>
          </w14:textFill>
        </w:rPr>
        <w:t>以上</w:t>
      </w:r>
      <w:r>
        <w:rPr>
          <w:rFonts w:hint="eastAsia"/>
          <w:b/>
          <w:bCs/>
          <w:color w:val="000000" w:themeColor="text1"/>
          <w:szCs w:val="21"/>
          <w:highlight w:val="none"/>
          <w:u w:val="single"/>
          <w14:textFill>
            <w14:solidFill>
              <w14:schemeClr w14:val="tx1"/>
            </w14:solidFill>
          </w14:textFill>
        </w:rPr>
        <w:t>或建筑工程施工总承包叁级（含叁级）以上</w:t>
      </w:r>
      <w:r>
        <w:rPr>
          <w:b/>
          <w:bCs/>
          <w:color w:val="000000" w:themeColor="text1"/>
          <w:szCs w:val="21"/>
          <w:highlight w:val="none"/>
          <w:u w:val="single"/>
          <w14:textFill>
            <w14:solidFill>
              <w14:schemeClr w14:val="tx1"/>
            </w14:solidFill>
          </w14:textFill>
        </w:rPr>
        <w:t>资质</w:t>
      </w:r>
      <w:r>
        <w:rPr>
          <w:rFonts w:hint="eastAsia"/>
          <w:b/>
          <w:bCs/>
          <w:color w:val="000000" w:themeColor="text1"/>
          <w:szCs w:val="21"/>
          <w:highlight w:val="none"/>
          <w:u w:val="single"/>
          <w14:textFill>
            <w14:solidFill>
              <w14:schemeClr w14:val="tx1"/>
            </w14:solidFill>
          </w14:textFill>
        </w:rPr>
        <w:t>并同时具备古建筑工程专业承包二级资质及以上资质</w:t>
      </w:r>
      <w:r>
        <w:rPr>
          <w:b/>
          <w:bCs/>
          <w:color w:val="000000" w:themeColor="text1"/>
          <w:szCs w:val="21"/>
          <w:highlight w:val="none"/>
          <w:u w:val="single"/>
          <w14:textFill>
            <w14:solidFill>
              <w14:schemeClr w14:val="tx1"/>
            </w14:solidFill>
          </w14:textFill>
        </w:rPr>
        <w:t>，并在人员、设备、资金等方面具备相应的施工能力。拟派项目经理须具备</w:t>
      </w:r>
      <w:r>
        <w:rPr>
          <w:rFonts w:hint="eastAsia"/>
          <w:b/>
          <w:bCs/>
          <w:color w:val="000000" w:themeColor="text1"/>
          <w:szCs w:val="21"/>
          <w:highlight w:val="none"/>
          <w:u w:val="single"/>
          <w14:textFill>
            <w14:solidFill>
              <w14:schemeClr w14:val="tx1"/>
            </w14:solidFill>
          </w14:textFill>
        </w:rPr>
        <w:t>建筑工程二级</w:t>
      </w:r>
      <w:r>
        <w:rPr>
          <w:b/>
          <w:bCs/>
          <w:color w:val="000000" w:themeColor="text1"/>
          <w:szCs w:val="21"/>
          <w:highlight w:val="none"/>
          <w:u w:val="single"/>
          <w14:textFill>
            <w14:solidFill>
              <w14:schemeClr w14:val="tx1"/>
            </w14:solidFill>
          </w14:textFill>
        </w:rPr>
        <w:t>及以上注册建造师执业资格，具备有效的</w:t>
      </w:r>
      <w:r>
        <w:rPr>
          <w:rFonts w:hint="eastAsia"/>
          <w:b/>
          <w:bCs/>
          <w:color w:val="000000" w:themeColor="text1"/>
          <w:szCs w:val="21"/>
          <w:highlight w:val="none"/>
          <w:u w:val="single"/>
          <w14:textFill>
            <w14:solidFill>
              <w14:schemeClr w14:val="tx1"/>
            </w14:solidFill>
          </w14:textFill>
        </w:rPr>
        <w:t>安全生产考核合格证书（B类）</w:t>
      </w:r>
      <w:r>
        <w:rPr>
          <w:b/>
          <w:bCs/>
          <w:color w:val="000000" w:themeColor="text1"/>
          <w:szCs w:val="21"/>
          <w:highlight w:val="none"/>
          <w:u w:val="single"/>
          <w14:textFill>
            <w14:solidFill>
              <w14:schemeClr w14:val="tx1"/>
            </w14:solidFill>
          </w14:textFill>
        </w:rPr>
        <w:t>。本项目不接受有在建、</w:t>
      </w:r>
      <w:r>
        <w:rPr>
          <w:rFonts w:hint="eastAsia"/>
          <w:b/>
          <w:bCs/>
          <w:color w:val="000000" w:themeColor="text1"/>
          <w:szCs w:val="21"/>
          <w:highlight w:val="none"/>
          <w:u w:val="single"/>
          <w14:textFill>
            <w14:solidFill>
              <w14:schemeClr w14:val="tx1"/>
            </w14:solidFill>
          </w14:textFill>
        </w:rPr>
        <w:t>已中标（成交）未开工或已列为其他项目中标（成交）候选人</w:t>
      </w:r>
      <w:r>
        <w:rPr>
          <w:b/>
          <w:bCs/>
          <w:color w:val="000000" w:themeColor="text1"/>
          <w:szCs w:val="21"/>
          <w:highlight w:val="none"/>
          <w:u w:val="single"/>
          <w14:textFill>
            <w14:solidFill>
              <w14:schemeClr w14:val="tx1"/>
            </w14:solidFill>
          </w14:textFill>
        </w:rPr>
        <w:t>第一名的建造师作为项目经理。</w:t>
      </w:r>
    </w:p>
    <w:bookmarkEnd w:id="25"/>
    <w:bookmarkEnd w:id="26"/>
    <w:bookmarkEnd w:id="27"/>
    <w:bookmarkEnd w:id="28"/>
    <w:p w14:paraId="3FB874A1">
      <w:pPr>
        <w:keepNext w:val="0"/>
        <w:keepLines w:val="0"/>
        <w:pageBreakBefore w:val="0"/>
        <w:widowControl w:val="0"/>
        <w:kinsoku/>
        <w:wordWrap/>
        <w:overflowPunct/>
        <w:topLinePunct w:val="0"/>
        <w:autoSpaceDE/>
        <w:autoSpaceDN/>
        <w:bidi w:val="0"/>
        <w:adjustRightInd/>
        <w:snapToGrid/>
        <w:spacing w:line="340" w:lineRule="exact"/>
        <w:textAlignment w:val="auto"/>
        <w:outlineLvl w:val="1"/>
        <w:rPr>
          <w:b/>
          <w:bCs/>
          <w:color w:val="000000" w:themeColor="text1"/>
          <w:szCs w:val="21"/>
          <w:highlight w:val="none"/>
          <w14:textFill>
            <w14:solidFill>
              <w14:schemeClr w14:val="tx1"/>
            </w14:solidFill>
          </w14:textFill>
        </w:rPr>
      </w:pPr>
      <w:bookmarkStart w:id="29" w:name="_Toc35393623"/>
      <w:bookmarkStart w:id="30" w:name="_Toc35393792"/>
      <w:bookmarkStart w:id="31" w:name="_Toc25397"/>
      <w:bookmarkStart w:id="32" w:name="_Toc30267"/>
      <w:bookmarkStart w:id="33" w:name="_Toc32387"/>
      <w:bookmarkStart w:id="34" w:name="_Toc17532"/>
      <w:bookmarkStart w:id="35" w:name="_Toc30519"/>
      <w:bookmarkStart w:id="36" w:name="_Toc35393805"/>
      <w:bookmarkStart w:id="37" w:name="_Toc28359018"/>
      <w:bookmarkStart w:id="38" w:name="_Toc28359095"/>
      <w:bookmarkStart w:id="39" w:name="_Toc35393636"/>
      <w:r>
        <w:rPr>
          <w:b/>
          <w:bCs/>
          <w:color w:val="000000" w:themeColor="text1"/>
          <w:szCs w:val="21"/>
          <w:highlight w:val="none"/>
          <w14:textFill>
            <w14:solidFill>
              <w14:schemeClr w14:val="tx1"/>
            </w14:solidFill>
          </w14:textFill>
        </w:rPr>
        <w:t>三、获取采购文件</w:t>
      </w:r>
      <w:bookmarkEnd w:id="29"/>
      <w:bookmarkEnd w:id="30"/>
      <w:r>
        <w:rPr>
          <w:b/>
          <w:bCs/>
          <w:color w:val="000000" w:themeColor="text1"/>
          <w:szCs w:val="21"/>
          <w:highlight w:val="none"/>
          <w14:textFill>
            <w14:solidFill>
              <w14:schemeClr w14:val="tx1"/>
            </w14:solidFill>
          </w14:textFill>
        </w:rPr>
        <w:t>：</w:t>
      </w:r>
      <w:bookmarkEnd w:id="31"/>
      <w:bookmarkEnd w:id="32"/>
      <w:bookmarkEnd w:id="33"/>
      <w:bookmarkEnd w:id="34"/>
      <w:bookmarkEnd w:id="35"/>
    </w:p>
    <w:p w14:paraId="5A547F9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时间：202</w:t>
      </w:r>
      <w:r>
        <w:rPr>
          <w:rFonts w:hint="eastAsia"/>
          <w:color w:val="000000" w:themeColor="text1"/>
          <w:szCs w:val="21"/>
          <w:highlight w:val="none"/>
          <w:lang w:val="en-US" w:eastAsia="zh-CN"/>
          <w14:textFill>
            <w14:solidFill>
              <w14:schemeClr w14:val="tx1"/>
            </w14:solidFill>
          </w14:textFill>
        </w:rPr>
        <w:t>5</w:t>
      </w:r>
      <w:r>
        <w:rPr>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21</w:t>
      </w:r>
      <w:r>
        <w:rPr>
          <w:rFonts w:hint="eastAsia"/>
          <w:color w:val="000000" w:themeColor="text1"/>
          <w:szCs w:val="21"/>
          <w:highlight w:val="none"/>
          <w14:textFill>
            <w14:solidFill>
              <w14:schemeClr w14:val="tx1"/>
            </w14:solidFill>
          </w14:textFill>
        </w:rPr>
        <w:t>日</w:t>
      </w:r>
      <w:r>
        <w:rPr>
          <w:color w:val="000000" w:themeColor="text1"/>
          <w:szCs w:val="21"/>
          <w:highlight w:val="none"/>
          <w14:textFill>
            <w14:solidFill>
              <w14:schemeClr w14:val="tx1"/>
            </w14:solidFill>
          </w14:textFill>
        </w:rPr>
        <w:t>至202</w:t>
      </w:r>
      <w:r>
        <w:rPr>
          <w:rFonts w:hint="eastAsia"/>
          <w:color w:val="000000" w:themeColor="text1"/>
          <w:szCs w:val="21"/>
          <w:highlight w:val="none"/>
          <w:lang w:val="en-US" w:eastAsia="zh-CN"/>
          <w14:textFill>
            <w14:solidFill>
              <w14:schemeClr w14:val="tx1"/>
            </w14:solidFill>
          </w14:textFill>
        </w:rPr>
        <w:t>5</w:t>
      </w:r>
      <w:r>
        <w:rPr>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日</w:t>
      </w:r>
      <w:r>
        <w:rPr>
          <w:color w:val="000000" w:themeColor="text1"/>
          <w:szCs w:val="21"/>
          <w:highlight w:val="none"/>
          <w14:textFill>
            <w14:solidFill>
              <w14:schemeClr w14:val="tx1"/>
            </w14:solidFill>
          </w14:textFill>
        </w:rPr>
        <w:t>，每天上午00:00至12:00，下午12:00至23:59（北京时间，法定节假日除外）；</w:t>
      </w:r>
    </w:p>
    <w:p w14:paraId="73919A9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地点：政府采购云平台（https://www.zcygov.cn/）；</w:t>
      </w:r>
    </w:p>
    <w:p w14:paraId="7A26E73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方式：潜在供应商登录“政采云”平台（https://www.zcygov.cn）免费获取竞争性磋商文件电子版</w:t>
      </w:r>
      <w:r>
        <w:rPr>
          <w:rFonts w:ascii="仿宋" w:hAnsi="仿宋" w:eastAsia="仿宋" w:cs="仿宋"/>
          <w:i w:val="0"/>
          <w:iCs w:val="0"/>
          <w:caps w:val="0"/>
          <w:color w:val="000000" w:themeColor="text1"/>
          <w:spacing w:val="0"/>
          <w:sz w:val="27"/>
          <w:szCs w:val="27"/>
          <w:highlight w:val="none"/>
          <w14:textFill>
            <w14:solidFill>
              <w14:schemeClr w14:val="tx1"/>
            </w14:solidFill>
          </w14:textFill>
        </w:rPr>
        <w:t>、</w:t>
      </w:r>
      <w:r>
        <w:rPr>
          <w:bCs/>
          <w:color w:val="000000" w:themeColor="text1"/>
          <w:szCs w:val="21"/>
          <w:highlight w:val="none"/>
          <w14:textFill>
            <w14:solidFill>
              <w14:schemeClr w14:val="tx1"/>
            </w14:solidFill>
          </w14:textFill>
        </w:rPr>
        <w:t>工程量清单及图纸。供应商应在“政采云”平台进行“申请获取采购文件”操作，否则，将导致无法在线编制响应文件并参与竞标，其不利后果由供应商自行承担。</w:t>
      </w:r>
    </w:p>
    <w:p w14:paraId="54D3A15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售价（元）：0。</w:t>
      </w:r>
    </w:p>
    <w:p w14:paraId="334C778F">
      <w:pPr>
        <w:keepNext w:val="0"/>
        <w:keepLines w:val="0"/>
        <w:pageBreakBefore w:val="0"/>
        <w:widowControl w:val="0"/>
        <w:kinsoku/>
        <w:wordWrap/>
        <w:overflowPunct/>
        <w:topLinePunct w:val="0"/>
        <w:autoSpaceDE/>
        <w:autoSpaceDN/>
        <w:bidi w:val="0"/>
        <w:adjustRightInd/>
        <w:snapToGrid/>
        <w:spacing w:line="340" w:lineRule="exact"/>
        <w:textAlignment w:val="auto"/>
        <w:outlineLvl w:val="1"/>
        <w:rPr>
          <w:b/>
          <w:bCs/>
          <w:color w:val="000000" w:themeColor="text1"/>
          <w:szCs w:val="21"/>
          <w:highlight w:val="none"/>
          <w14:textFill>
            <w14:solidFill>
              <w14:schemeClr w14:val="tx1"/>
            </w14:solidFill>
          </w14:textFill>
        </w:rPr>
      </w:pPr>
      <w:bookmarkStart w:id="40" w:name="_Toc28359082"/>
      <w:bookmarkStart w:id="41" w:name="_Toc28359005"/>
      <w:bookmarkStart w:id="42" w:name="_Toc31924"/>
      <w:bookmarkStart w:id="43" w:name="_Toc21011"/>
      <w:bookmarkStart w:id="44" w:name="_Toc35393793"/>
      <w:bookmarkStart w:id="45" w:name="_Toc30504"/>
      <w:bookmarkStart w:id="46" w:name="_Toc26953"/>
      <w:bookmarkStart w:id="47" w:name="_Toc5092"/>
      <w:bookmarkStart w:id="48" w:name="_Toc35393624"/>
      <w:r>
        <w:rPr>
          <w:b/>
          <w:bCs/>
          <w:color w:val="000000" w:themeColor="text1"/>
          <w:szCs w:val="21"/>
          <w:highlight w:val="none"/>
          <w14:textFill>
            <w14:solidFill>
              <w14:schemeClr w14:val="tx1"/>
            </w14:solidFill>
          </w14:textFill>
        </w:rPr>
        <w:t>四、响应文件</w:t>
      </w:r>
      <w:bookmarkEnd w:id="40"/>
      <w:bookmarkEnd w:id="41"/>
      <w:r>
        <w:rPr>
          <w:b/>
          <w:bCs/>
          <w:color w:val="000000" w:themeColor="text1"/>
          <w:szCs w:val="21"/>
          <w:highlight w:val="none"/>
          <w14:textFill>
            <w14:solidFill>
              <w14:schemeClr w14:val="tx1"/>
            </w14:solidFill>
          </w14:textFill>
        </w:rPr>
        <w:t>提交时间和地点</w:t>
      </w:r>
      <w:bookmarkEnd w:id="42"/>
      <w:bookmarkEnd w:id="43"/>
      <w:bookmarkEnd w:id="44"/>
      <w:bookmarkEnd w:id="45"/>
      <w:bookmarkEnd w:id="46"/>
      <w:bookmarkEnd w:id="47"/>
      <w:bookmarkEnd w:id="48"/>
    </w:p>
    <w:p w14:paraId="15B575B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截止时间：</w:t>
      </w:r>
      <w:r>
        <w:rPr>
          <w:rFonts w:hint="eastAsia"/>
          <w:color w:val="000000" w:themeColor="text1"/>
          <w:szCs w:val="21"/>
          <w:highlight w:val="none"/>
          <w14:textFill>
            <w14:solidFill>
              <w14:schemeClr w14:val="tx1"/>
            </w14:solidFill>
          </w14:textFill>
        </w:rPr>
        <w:t>202</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日9时30分</w:t>
      </w:r>
      <w:r>
        <w:rPr>
          <w:bCs/>
          <w:color w:val="000000" w:themeColor="text1"/>
          <w:szCs w:val="21"/>
          <w:highlight w:val="none"/>
          <w14:textFill>
            <w14:solidFill>
              <w14:schemeClr w14:val="tx1"/>
            </w14:solidFill>
          </w14:textFill>
        </w:rPr>
        <w:t>（北京时间）。</w:t>
      </w:r>
    </w:p>
    <w:p w14:paraId="6D82CB81">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    点：</w:t>
      </w:r>
      <w:r>
        <w:rPr>
          <w:rFonts w:hint="eastAsia"/>
          <w:color w:val="000000" w:themeColor="text1"/>
          <w:szCs w:val="21"/>
          <w:highlight w:val="none"/>
          <w14:textFill>
            <w14:solidFill>
              <w14:schemeClr w14:val="tx1"/>
            </w14:solidFill>
          </w14:textFill>
        </w:rPr>
        <w:t>登录“广西政府采购云”平台客户端在线提交</w:t>
      </w:r>
      <w:r>
        <w:rPr>
          <w:color w:val="000000" w:themeColor="text1"/>
          <w:szCs w:val="21"/>
          <w:highlight w:val="none"/>
          <w14:textFill>
            <w14:solidFill>
              <w14:schemeClr w14:val="tx1"/>
            </w14:solidFill>
          </w14:textFill>
        </w:rPr>
        <w:t>。</w:t>
      </w:r>
    </w:p>
    <w:p w14:paraId="74041359">
      <w:pPr>
        <w:keepNext w:val="0"/>
        <w:keepLines w:val="0"/>
        <w:pageBreakBefore w:val="0"/>
        <w:widowControl w:val="0"/>
        <w:kinsoku/>
        <w:wordWrap/>
        <w:overflowPunct/>
        <w:topLinePunct w:val="0"/>
        <w:autoSpaceDE/>
        <w:autoSpaceDN/>
        <w:bidi w:val="0"/>
        <w:adjustRightInd/>
        <w:snapToGrid/>
        <w:spacing w:line="340" w:lineRule="exact"/>
        <w:textAlignment w:val="auto"/>
        <w:outlineLvl w:val="1"/>
        <w:rPr>
          <w:b/>
          <w:bCs/>
          <w:color w:val="000000" w:themeColor="text1"/>
          <w:szCs w:val="21"/>
          <w:highlight w:val="none"/>
          <w14:textFill>
            <w14:solidFill>
              <w14:schemeClr w14:val="tx1"/>
            </w14:solidFill>
          </w14:textFill>
        </w:rPr>
      </w:pPr>
      <w:bookmarkStart w:id="49" w:name="_Toc25415"/>
      <w:bookmarkStart w:id="50" w:name="_Toc14929"/>
      <w:bookmarkStart w:id="51" w:name="_Toc23386"/>
      <w:bookmarkStart w:id="52" w:name="_Toc4433"/>
      <w:bookmarkStart w:id="53" w:name="_Toc12246"/>
      <w:r>
        <w:rPr>
          <w:b/>
          <w:bCs/>
          <w:color w:val="000000" w:themeColor="text1"/>
          <w:szCs w:val="21"/>
          <w:highlight w:val="none"/>
          <w14:textFill>
            <w14:solidFill>
              <w14:schemeClr w14:val="tx1"/>
            </w14:solidFill>
          </w14:textFill>
        </w:rPr>
        <w:t>五、开启</w:t>
      </w:r>
      <w:bookmarkEnd w:id="49"/>
      <w:bookmarkEnd w:id="50"/>
      <w:bookmarkEnd w:id="51"/>
      <w:bookmarkEnd w:id="52"/>
      <w:bookmarkEnd w:id="53"/>
    </w:p>
    <w:p w14:paraId="150B12D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时间：</w:t>
      </w:r>
      <w:r>
        <w:rPr>
          <w:rFonts w:hint="eastAsia"/>
          <w:color w:val="000000" w:themeColor="text1"/>
          <w:szCs w:val="21"/>
          <w:highlight w:val="none"/>
          <w14:textFill>
            <w14:solidFill>
              <w14:schemeClr w14:val="tx1"/>
            </w14:solidFill>
          </w14:textFill>
        </w:rPr>
        <w:t>202</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日9时30分</w:t>
      </w:r>
      <w:r>
        <w:rPr>
          <w:color w:val="000000" w:themeColor="text1"/>
          <w:szCs w:val="21"/>
          <w:highlight w:val="none"/>
          <w14:textFill>
            <w14:solidFill>
              <w14:schemeClr w14:val="tx1"/>
            </w14:solidFill>
          </w14:textFill>
        </w:rPr>
        <w:t>（北京时间）截标后。</w:t>
      </w:r>
    </w:p>
    <w:p w14:paraId="261B660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地点：通过政采云平台实行在线解密开启。</w:t>
      </w:r>
    </w:p>
    <w:p w14:paraId="0FFE765F">
      <w:pPr>
        <w:keepNext w:val="0"/>
        <w:keepLines w:val="0"/>
        <w:pageBreakBefore w:val="0"/>
        <w:widowControl w:val="0"/>
        <w:kinsoku/>
        <w:wordWrap/>
        <w:overflowPunct/>
        <w:topLinePunct w:val="0"/>
        <w:autoSpaceDE/>
        <w:autoSpaceDN/>
        <w:bidi w:val="0"/>
        <w:adjustRightInd/>
        <w:snapToGrid/>
        <w:spacing w:line="340" w:lineRule="exact"/>
        <w:textAlignment w:val="auto"/>
        <w:outlineLvl w:val="1"/>
        <w:rPr>
          <w:b/>
          <w:bCs/>
          <w:color w:val="000000" w:themeColor="text1"/>
          <w:szCs w:val="21"/>
          <w:highlight w:val="none"/>
          <w14:textFill>
            <w14:solidFill>
              <w14:schemeClr w14:val="tx1"/>
            </w14:solidFill>
          </w14:textFill>
        </w:rPr>
      </w:pPr>
      <w:bookmarkStart w:id="54" w:name="_Toc2109"/>
      <w:bookmarkStart w:id="55" w:name="_Toc35393625"/>
      <w:bookmarkStart w:id="56" w:name="_Toc28359007"/>
      <w:bookmarkStart w:id="57" w:name="_Toc4496"/>
      <w:bookmarkStart w:id="58" w:name="_Toc35393794"/>
      <w:bookmarkStart w:id="59" w:name="_Toc15888"/>
      <w:bookmarkStart w:id="60" w:name="_Toc28359084"/>
      <w:bookmarkStart w:id="61" w:name="_Toc24180"/>
      <w:bookmarkStart w:id="62" w:name="_Toc22491"/>
      <w:r>
        <w:rPr>
          <w:b/>
          <w:bCs/>
          <w:color w:val="000000" w:themeColor="text1"/>
          <w:szCs w:val="21"/>
          <w:highlight w:val="none"/>
          <w14:textFill>
            <w14:solidFill>
              <w14:schemeClr w14:val="tx1"/>
            </w14:solidFill>
          </w14:textFill>
        </w:rPr>
        <w:t>六、公告期限</w:t>
      </w:r>
      <w:bookmarkEnd w:id="54"/>
      <w:bookmarkEnd w:id="55"/>
      <w:bookmarkEnd w:id="56"/>
      <w:bookmarkEnd w:id="57"/>
      <w:bookmarkEnd w:id="58"/>
      <w:bookmarkEnd w:id="59"/>
      <w:bookmarkEnd w:id="60"/>
      <w:bookmarkEnd w:id="61"/>
      <w:bookmarkEnd w:id="62"/>
    </w:p>
    <w:p w14:paraId="0195170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自本公告发布之日起</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个工作日。</w:t>
      </w:r>
    </w:p>
    <w:p w14:paraId="509A219B">
      <w:pPr>
        <w:keepNext w:val="0"/>
        <w:keepLines w:val="0"/>
        <w:pageBreakBefore w:val="0"/>
        <w:widowControl w:val="0"/>
        <w:kinsoku/>
        <w:wordWrap/>
        <w:overflowPunct/>
        <w:topLinePunct w:val="0"/>
        <w:autoSpaceDE/>
        <w:autoSpaceDN/>
        <w:bidi w:val="0"/>
        <w:adjustRightInd/>
        <w:snapToGrid/>
        <w:spacing w:line="340" w:lineRule="exact"/>
        <w:textAlignment w:val="auto"/>
        <w:outlineLvl w:val="1"/>
        <w:rPr>
          <w:b/>
          <w:bCs/>
          <w:color w:val="000000" w:themeColor="text1"/>
          <w:szCs w:val="21"/>
          <w:highlight w:val="none"/>
          <w14:textFill>
            <w14:solidFill>
              <w14:schemeClr w14:val="tx1"/>
            </w14:solidFill>
          </w14:textFill>
        </w:rPr>
      </w:pPr>
      <w:bookmarkStart w:id="63" w:name="_Toc35393795"/>
      <w:bookmarkStart w:id="64" w:name="_Toc35393626"/>
      <w:bookmarkStart w:id="65" w:name="_Toc8521"/>
      <w:bookmarkStart w:id="66" w:name="_Toc2690"/>
      <w:bookmarkStart w:id="67" w:name="_Toc23691"/>
      <w:bookmarkStart w:id="68" w:name="_Toc1323"/>
      <w:bookmarkStart w:id="69" w:name="_Toc15803"/>
      <w:r>
        <w:rPr>
          <w:b/>
          <w:bCs/>
          <w:color w:val="000000" w:themeColor="text1"/>
          <w:szCs w:val="21"/>
          <w:highlight w:val="none"/>
          <w14:textFill>
            <w14:solidFill>
              <w14:schemeClr w14:val="tx1"/>
            </w14:solidFill>
          </w14:textFill>
        </w:rPr>
        <w:t>七、其他补充事宜</w:t>
      </w:r>
      <w:bookmarkEnd w:id="63"/>
      <w:bookmarkEnd w:id="64"/>
      <w:bookmarkEnd w:id="65"/>
      <w:bookmarkEnd w:id="66"/>
      <w:bookmarkEnd w:id="67"/>
      <w:bookmarkEnd w:id="68"/>
      <w:bookmarkEnd w:id="69"/>
    </w:p>
    <w:p w14:paraId="1DBB73D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b/>
          <w:bCs/>
          <w:color w:val="000000" w:themeColor="text1"/>
          <w:kern w:val="0"/>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竞标</w:t>
      </w:r>
      <w:r>
        <w:rPr>
          <w:color w:val="000000" w:themeColor="text1"/>
          <w:szCs w:val="20"/>
          <w:highlight w:val="none"/>
          <w14:textFill>
            <w14:solidFill>
              <w14:schemeClr w14:val="tx1"/>
            </w14:solidFill>
          </w14:textFill>
        </w:rPr>
        <w:t>保证金</w:t>
      </w:r>
      <w:r>
        <w:rPr>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本项目竞标保证金按采购项目预算金额的</w:t>
      </w:r>
      <w:r>
        <w:rPr>
          <w:rFonts w:hint="eastAsia" w:ascii="宋体" w:hAnsi="宋体" w:cs="宋体"/>
          <w:color w:val="000000" w:themeColor="text1"/>
          <w:kern w:val="0"/>
          <w:szCs w:val="21"/>
          <w:highlight w:val="none"/>
          <w:u w:val="single"/>
          <w14:textFill>
            <w14:solidFill>
              <w14:schemeClr w14:val="tx1"/>
            </w14:solidFill>
          </w14:textFill>
        </w:rPr>
        <w:t xml:space="preserve"> 1</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%金额：</w:t>
      </w:r>
      <w:r>
        <w:rPr>
          <w:rFonts w:hint="eastAsia" w:ascii="宋体" w:hAnsi="宋体" w:cs="宋体"/>
          <w:b/>
          <w:bCs/>
          <w:color w:val="000000" w:themeColor="text1"/>
          <w:kern w:val="0"/>
          <w:szCs w:val="21"/>
          <w:highlight w:val="none"/>
          <w14:textFill>
            <w14:solidFill>
              <w14:schemeClr w14:val="tx1"/>
            </w14:solidFill>
          </w14:textFill>
        </w:rPr>
        <w:t>（大写）</w:t>
      </w:r>
      <w:r>
        <w:rPr>
          <w:rFonts w:hint="eastAsia" w:ascii="宋体" w:hAnsi="宋体" w:cs="宋体"/>
          <w:b/>
          <w:bCs/>
          <w:color w:val="000000" w:themeColor="text1"/>
          <w:kern w:val="0"/>
          <w:szCs w:val="21"/>
          <w:highlight w:val="none"/>
          <w:lang w:val="en-US" w:eastAsia="zh-CN"/>
          <w14:textFill>
            <w14:solidFill>
              <w14:schemeClr w14:val="tx1"/>
            </w14:solidFill>
          </w14:textFill>
        </w:rPr>
        <w:t>玖仟捌佰元整</w:t>
      </w:r>
      <w:r>
        <w:rPr>
          <w:rFonts w:hint="eastAsia" w:ascii="宋体" w:hAnsi="宋体" w:cs="宋体"/>
          <w:b/>
          <w:bCs/>
          <w:color w:val="000000" w:themeColor="text1"/>
          <w:kern w:val="0"/>
          <w:szCs w:val="21"/>
          <w:highlight w:val="none"/>
          <w14:textFill>
            <w14:solidFill>
              <w14:schemeClr w14:val="tx1"/>
            </w14:solidFill>
          </w14:textFill>
        </w:rPr>
        <w:t>（¥</w:t>
      </w:r>
      <w:r>
        <w:rPr>
          <w:rFonts w:hint="eastAsia" w:ascii="宋体" w:hAnsi="宋体" w:cs="宋体"/>
          <w:b/>
          <w:bCs/>
          <w:color w:val="000000" w:themeColor="text1"/>
          <w:kern w:val="0"/>
          <w:szCs w:val="21"/>
          <w:highlight w:val="none"/>
          <w:lang w:val="en-US" w:eastAsia="zh-CN"/>
          <w14:textFill>
            <w14:solidFill>
              <w14:schemeClr w14:val="tx1"/>
            </w14:solidFill>
          </w14:textFill>
        </w:rPr>
        <w:t>9800.00</w:t>
      </w:r>
      <w:r>
        <w:rPr>
          <w:rFonts w:hint="eastAsia" w:ascii="宋体" w:hAnsi="宋体" w:cs="宋体"/>
          <w:b/>
          <w:bCs/>
          <w:color w:val="000000" w:themeColor="text1"/>
          <w:kern w:val="0"/>
          <w:szCs w:val="21"/>
          <w:highlight w:val="none"/>
          <w14:textFill>
            <w14:solidFill>
              <w14:schemeClr w14:val="tx1"/>
            </w14:solidFill>
          </w14:textFill>
        </w:rPr>
        <w:t>元）</w:t>
      </w:r>
    </w:p>
    <w:p w14:paraId="1271BEF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缴纳截止时间：202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日09: 30(本项目提交</w:t>
      </w:r>
      <w:r>
        <w:rPr>
          <w:rFonts w:hint="eastAsia" w:ascii="宋体" w:hAnsi="宋体" w:cs="宋体"/>
          <w:color w:val="000000" w:themeColor="text1"/>
          <w:kern w:val="0"/>
          <w:szCs w:val="21"/>
          <w:highlight w:val="none"/>
          <w:lang w:val="en-US" w:eastAsia="zh-CN"/>
          <w14:textFill>
            <w14:solidFill>
              <w14:schemeClr w14:val="tx1"/>
            </w14:solidFill>
          </w14:textFill>
        </w:rPr>
        <w:t>响应</w:t>
      </w:r>
      <w:r>
        <w:rPr>
          <w:rFonts w:hint="eastAsia" w:ascii="宋体" w:hAnsi="宋体" w:cs="宋体"/>
          <w:color w:val="000000" w:themeColor="text1"/>
          <w:kern w:val="0"/>
          <w:szCs w:val="21"/>
          <w:highlight w:val="none"/>
          <w14:textFill>
            <w14:solidFill>
              <w14:schemeClr w14:val="tx1"/>
            </w14:solidFill>
          </w14:textFill>
        </w:rPr>
        <w:t>文件截止时间），以竞标保证金账户实际收款时间为准。</w:t>
      </w:r>
    </w:p>
    <w:p w14:paraId="00CDBEA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缴纳方式：银行转账、电汇或网上支付、保函等方式提交。</w:t>
      </w:r>
    </w:p>
    <w:p w14:paraId="132C65C6">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（1）采用电汇、转账形式的供应商应于谈判截止时间前将竞标保证金从供应商账户一次性足额缴纳至本项目对应的专用账号，转账时备注转账时建议备注：“项目编号+项目名称+竞标保证金”</w:t>
      </w:r>
    </w:p>
    <w:p w14:paraId="7ED47FBD">
      <w:pPr>
        <w:keepNext w:val="0"/>
        <w:keepLines w:val="0"/>
        <w:pageBreakBefore w:val="0"/>
        <w:widowControl w:val="0"/>
        <w:kinsoku/>
        <w:wordWrap/>
        <w:overflowPunct/>
        <w:topLinePunct w:val="0"/>
        <w:autoSpaceDE/>
        <w:autoSpaceDN w:val="0"/>
        <w:bidi w:val="0"/>
        <w:adjustRightInd/>
        <w:snapToGrid/>
        <w:spacing w:after="0" w:line="300" w:lineRule="exact"/>
        <w:ind w:firstLine="420" w:firstLineChars="200"/>
        <w:jc w:val="left"/>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（2）缴纳竞标保证金账户信息：</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开户名称:联云项目管理咨询有限公司桂林第一分公司</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开户银行:桂林银行股份有限公司中隐路支行；银行账号:6600 0001 9576 8000 16。</w:t>
      </w:r>
    </w:p>
    <w:p w14:paraId="4737A495">
      <w:pPr>
        <w:keepNext w:val="0"/>
        <w:keepLines w:val="0"/>
        <w:pageBreakBefore w:val="0"/>
        <w:kinsoku/>
        <w:wordWrap/>
        <w:overflowPunct/>
        <w:topLinePunct w:val="0"/>
        <w:bidi w:val="0"/>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2、本项目所属行业：建筑业。</w:t>
      </w:r>
    </w:p>
    <w:p w14:paraId="7D2E18A2">
      <w:pPr>
        <w:keepNext w:val="0"/>
        <w:keepLines w:val="0"/>
        <w:pageBreakBefore w:val="0"/>
        <w:kinsoku/>
        <w:wordWrap/>
        <w:overflowPunct/>
        <w:topLinePunct w:val="0"/>
        <w:bidi w:val="0"/>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3、对在“信用中国”网站(www.creditchina.gov.cn)、中国政府采购网(www.ccgp.gov.cn)渠道列入失信被执行人、</w:t>
      </w:r>
      <w:r>
        <w:rPr>
          <w:rFonts w:hint="eastAsia"/>
          <w:color w:val="000000" w:themeColor="text1"/>
          <w:szCs w:val="21"/>
          <w:highlight w:val="none"/>
          <w14:textFill>
            <w14:solidFill>
              <w14:schemeClr w14:val="tx1"/>
            </w14:solidFill>
          </w14:textFill>
        </w:rPr>
        <w:t>重大税收违法失信主体</w:t>
      </w:r>
      <w:r>
        <w:rPr>
          <w:color w:val="000000" w:themeColor="text1"/>
          <w:szCs w:val="21"/>
          <w:highlight w:val="none"/>
          <w14:textFill>
            <w14:solidFill>
              <w14:schemeClr w14:val="tx1"/>
            </w14:solidFill>
          </w14:textFill>
        </w:rPr>
        <w:t>、政府采购严重违法失信行为记录名单及其他不符合《中华人民共和国政府采购法》第二十二条规定条件的供应商，不得参与政府采购活动。</w:t>
      </w:r>
    </w:p>
    <w:p w14:paraId="5620AF84">
      <w:pPr>
        <w:keepNext w:val="0"/>
        <w:keepLines w:val="0"/>
        <w:pageBreakBefore w:val="0"/>
        <w:kinsoku/>
        <w:wordWrap/>
        <w:overflowPunct/>
        <w:topLinePunct w:val="0"/>
        <w:bidi w:val="0"/>
        <w:spacing w:line="360" w:lineRule="exact"/>
        <w:ind w:firstLine="420" w:firstLineChars="200"/>
        <w:jc w:val="lef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4、本项目信息发布媒体：http://www.ccgp.gov.cn（中国政府采购网）、http://www.ccgp-guangxi.gov.cn/（广西壮族自治区政府采购网）。</w:t>
      </w:r>
    </w:p>
    <w:p w14:paraId="64514A56">
      <w:pPr>
        <w:pStyle w:val="365"/>
        <w:keepNext w:val="0"/>
        <w:keepLines w:val="0"/>
        <w:pageBreakBefore w:val="0"/>
        <w:kinsoku/>
        <w:wordWrap/>
        <w:overflowPunct/>
        <w:topLinePunct w:val="0"/>
        <w:bidi w:val="0"/>
        <w:spacing w:line="360" w:lineRule="exact"/>
        <w:ind w:firstLine="420" w:firstLineChars="200"/>
        <w:rPr>
          <w:color w:val="000000" w:themeColor="text1"/>
          <w:highlight w:val="none"/>
          <w14:textFill>
            <w14:solidFill>
              <w14:schemeClr w14:val="tx1"/>
            </w14:solidFill>
          </w14:textFill>
        </w:rPr>
      </w:pPr>
      <w:r>
        <w:rPr>
          <w:rFonts w:cs="Times New Roman"/>
          <w:color w:val="000000" w:themeColor="text1"/>
          <w:sz w:val="21"/>
          <w:szCs w:val="21"/>
          <w:highlight w:val="none"/>
          <w14:textFill>
            <w14:solidFill>
              <w14:schemeClr w14:val="tx1"/>
            </w14:solidFill>
          </w14:textFill>
        </w:rPr>
        <w:t>5、磋商响应文件解密</w:t>
      </w:r>
      <w:r>
        <w:rPr>
          <w:rFonts w:cs="Times New Roman"/>
          <w:color w:val="000000" w:themeColor="text1"/>
          <w:kern w:val="21"/>
          <w:sz w:val="21"/>
          <w:szCs w:val="21"/>
          <w:highlight w:val="none"/>
          <w14:textFill>
            <w14:solidFill>
              <w14:schemeClr w14:val="tx1"/>
            </w14:solidFill>
          </w14:textFill>
        </w:rPr>
        <w:t>时间（北京时间）：截标时间后30分钟内【202</w:t>
      </w:r>
      <w:r>
        <w:rPr>
          <w:rFonts w:hint="eastAsia" w:cs="Times New Roman"/>
          <w:color w:val="000000" w:themeColor="text1"/>
          <w:kern w:val="21"/>
          <w:sz w:val="21"/>
          <w:szCs w:val="21"/>
          <w:highlight w:val="none"/>
          <w:lang w:val="en-US" w:eastAsia="zh-CN"/>
          <w14:textFill>
            <w14:solidFill>
              <w14:schemeClr w14:val="tx1"/>
            </w14:solidFill>
          </w14:textFill>
        </w:rPr>
        <w:t>5</w:t>
      </w:r>
      <w:r>
        <w:rPr>
          <w:rFonts w:cs="Times New Roman"/>
          <w:color w:val="000000" w:themeColor="text1"/>
          <w:kern w:val="21"/>
          <w:sz w:val="21"/>
          <w:szCs w:val="21"/>
          <w:highlight w:val="none"/>
          <w14:textFill>
            <w14:solidFill>
              <w14:schemeClr w14:val="tx1"/>
            </w14:solidFill>
          </w14:textFill>
        </w:rPr>
        <w:t>年</w:t>
      </w:r>
      <w:r>
        <w:rPr>
          <w:rFonts w:hint="eastAsia" w:cs="Times New Roman"/>
          <w:color w:val="000000" w:themeColor="text1"/>
          <w:kern w:val="21"/>
          <w:sz w:val="21"/>
          <w:szCs w:val="21"/>
          <w:highlight w:val="none"/>
          <w:lang w:val="en-US" w:eastAsia="zh-CN"/>
          <w14:textFill>
            <w14:solidFill>
              <w14:schemeClr w14:val="tx1"/>
            </w14:solidFill>
          </w14:textFill>
        </w:rPr>
        <w:t>8</w:t>
      </w:r>
      <w:r>
        <w:rPr>
          <w:rFonts w:hint="eastAsia" w:cs="Times New Roman"/>
          <w:color w:val="000000" w:themeColor="text1"/>
          <w:kern w:val="21"/>
          <w:sz w:val="21"/>
          <w:szCs w:val="21"/>
          <w:highlight w:val="none"/>
          <w14:textFill>
            <w14:solidFill>
              <w14:schemeClr w14:val="tx1"/>
            </w14:solidFill>
          </w14:textFill>
        </w:rPr>
        <w:t>月</w:t>
      </w:r>
      <w:r>
        <w:rPr>
          <w:rFonts w:hint="eastAsia" w:cs="Times New Roman"/>
          <w:color w:val="000000" w:themeColor="text1"/>
          <w:kern w:val="21"/>
          <w:sz w:val="21"/>
          <w:szCs w:val="21"/>
          <w:highlight w:val="none"/>
          <w:lang w:val="en-US" w:eastAsia="zh-CN"/>
          <w14:textFill>
            <w14:solidFill>
              <w14:schemeClr w14:val="tx1"/>
            </w14:solidFill>
          </w14:textFill>
        </w:rPr>
        <w:t>1</w:t>
      </w:r>
      <w:r>
        <w:rPr>
          <w:rFonts w:hint="eastAsia" w:cs="Times New Roman"/>
          <w:color w:val="000000" w:themeColor="text1"/>
          <w:kern w:val="21"/>
          <w:sz w:val="21"/>
          <w:szCs w:val="21"/>
          <w:highlight w:val="none"/>
          <w14:textFill>
            <w14:solidFill>
              <w14:schemeClr w14:val="tx1"/>
            </w14:solidFill>
          </w14:textFill>
        </w:rPr>
        <w:t>日</w:t>
      </w:r>
      <w:r>
        <w:rPr>
          <w:rFonts w:cs="Times New Roman"/>
          <w:color w:val="000000" w:themeColor="text1"/>
          <w:kern w:val="21"/>
          <w:sz w:val="21"/>
          <w:szCs w:val="21"/>
          <w:highlight w:val="none"/>
          <w14:textFill>
            <w14:solidFill>
              <w14:schemeClr w14:val="tx1"/>
            </w14:solidFill>
          </w14:textFill>
        </w:rPr>
        <w:t>上午9时</w:t>
      </w:r>
      <w:r>
        <w:rPr>
          <w:rFonts w:hint="eastAsia" w:cs="Times New Roman"/>
          <w:color w:val="000000" w:themeColor="text1"/>
          <w:kern w:val="21"/>
          <w:sz w:val="21"/>
          <w:szCs w:val="21"/>
          <w:highlight w:val="none"/>
          <w14:textFill>
            <w14:solidFill>
              <w14:schemeClr w14:val="tx1"/>
            </w14:solidFill>
          </w14:textFill>
        </w:rPr>
        <w:t>00</w:t>
      </w:r>
      <w:r>
        <w:rPr>
          <w:rFonts w:cs="Times New Roman"/>
          <w:color w:val="000000" w:themeColor="text1"/>
          <w:kern w:val="21"/>
          <w:sz w:val="21"/>
          <w:szCs w:val="21"/>
          <w:highlight w:val="none"/>
          <w14:textFill>
            <w14:solidFill>
              <w14:schemeClr w14:val="tx1"/>
            </w14:solidFill>
          </w14:textFill>
        </w:rPr>
        <w:t>至</w:t>
      </w:r>
      <w:r>
        <w:rPr>
          <w:rFonts w:hint="eastAsia" w:cs="Times New Roman"/>
          <w:color w:val="000000" w:themeColor="text1"/>
          <w:kern w:val="21"/>
          <w:sz w:val="21"/>
          <w:szCs w:val="21"/>
          <w:highlight w:val="none"/>
          <w14:textFill>
            <w14:solidFill>
              <w14:schemeClr w14:val="tx1"/>
            </w14:solidFill>
          </w14:textFill>
        </w:rPr>
        <w:t>9</w:t>
      </w:r>
      <w:r>
        <w:rPr>
          <w:rFonts w:cs="Times New Roman"/>
          <w:color w:val="000000" w:themeColor="text1"/>
          <w:kern w:val="21"/>
          <w:sz w:val="21"/>
          <w:szCs w:val="21"/>
          <w:highlight w:val="none"/>
          <w14:textFill>
            <w14:solidFill>
              <w14:schemeClr w14:val="tx1"/>
            </w14:solidFill>
          </w14:textFill>
        </w:rPr>
        <w:t>时</w:t>
      </w:r>
      <w:r>
        <w:rPr>
          <w:rFonts w:hint="eastAsia" w:cs="Times New Roman"/>
          <w:color w:val="000000" w:themeColor="text1"/>
          <w:kern w:val="21"/>
          <w:sz w:val="21"/>
          <w:szCs w:val="21"/>
          <w:highlight w:val="none"/>
          <w14:textFill>
            <w14:solidFill>
              <w14:schemeClr w14:val="tx1"/>
            </w14:solidFill>
          </w14:textFill>
        </w:rPr>
        <w:t>3</w:t>
      </w:r>
      <w:r>
        <w:rPr>
          <w:rFonts w:cs="Times New Roman"/>
          <w:color w:val="000000" w:themeColor="text1"/>
          <w:kern w:val="21"/>
          <w:sz w:val="21"/>
          <w:szCs w:val="21"/>
          <w:highlight w:val="none"/>
          <w14:textFill>
            <w14:solidFill>
              <w14:schemeClr w14:val="tx1"/>
            </w14:solidFill>
          </w14:textFill>
        </w:rPr>
        <w:t>0分(北京时间)】磋商供应商可以登录政采云</w:t>
      </w:r>
      <w:r>
        <w:rPr>
          <w:rFonts w:cs="Times New Roman"/>
          <w:color w:val="000000" w:themeColor="text1"/>
          <w:sz w:val="21"/>
          <w:szCs w:val="21"/>
          <w:highlight w:val="none"/>
          <w14:textFill>
            <w14:solidFill>
              <w14:schemeClr w14:val="tx1"/>
            </w14:solidFill>
          </w14:textFill>
        </w:rPr>
        <w:t>平台，用“项目采购-开标评标”功能进行解密电子磋商响应文件。若磋商供应商在规定时间内无法解密或解密失败，视为无效响应。</w:t>
      </w:r>
    </w:p>
    <w:p w14:paraId="6B5DDE30">
      <w:pPr>
        <w:pStyle w:val="365"/>
        <w:keepNext w:val="0"/>
        <w:keepLines w:val="0"/>
        <w:pageBreakBefore w:val="0"/>
        <w:kinsoku/>
        <w:wordWrap/>
        <w:overflowPunct/>
        <w:topLinePunct w:val="0"/>
        <w:bidi w:val="0"/>
        <w:spacing w:line="360" w:lineRule="exact"/>
        <w:ind w:firstLine="422" w:firstLineChars="200"/>
        <w:rPr>
          <w:rFonts w:cs="Times New Roman"/>
          <w:color w:val="000000" w:themeColor="text1"/>
          <w:sz w:val="21"/>
          <w:szCs w:val="21"/>
          <w:highlight w:val="none"/>
          <w14:textFill>
            <w14:solidFill>
              <w14:schemeClr w14:val="tx1"/>
            </w14:solidFill>
          </w14:textFill>
        </w:rPr>
      </w:pPr>
      <w:r>
        <w:rPr>
          <w:rFonts w:cs="Times New Roman"/>
          <w:b/>
          <w:bCs/>
          <w:color w:val="000000" w:themeColor="text1"/>
          <w:sz w:val="21"/>
          <w:szCs w:val="21"/>
          <w:highlight w:val="none"/>
          <w14:textFill>
            <w14:solidFill>
              <w14:schemeClr w14:val="tx1"/>
            </w14:solidFill>
          </w14:textFill>
        </w:rPr>
        <w:t>6、本项目需要落实的政府采购政策：</w:t>
      </w:r>
    </w:p>
    <w:p w14:paraId="486CA46E">
      <w:pPr>
        <w:pStyle w:val="365"/>
        <w:keepNext w:val="0"/>
        <w:keepLines w:val="0"/>
        <w:pageBreakBefore w:val="0"/>
        <w:kinsoku/>
        <w:wordWrap/>
        <w:overflowPunct/>
        <w:topLinePunct w:val="0"/>
        <w:bidi w:val="0"/>
        <w:spacing w:line="360" w:lineRule="exact"/>
        <w:ind w:firstLine="420" w:firstLineChars="200"/>
        <w:rPr>
          <w:rFonts w:cs="Times New Roman"/>
          <w:color w:val="000000" w:themeColor="text1"/>
          <w:sz w:val="21"/>
          <w:szCs w:val="21"/>
          <w:highlight w:val="none"/>
          <w14:textFill>
            <w14:solidFill>
              <w14:schemeClr w14:val="tx1"/>
            </w14:solidFill>
          </w14:textFill>
        </w:rPr>
      </w:pPr>
      <w:r>
        <w:rPr>
          <w:rFonts w:cs="Times New Roman"/>
          <w:color w:val="000000" w:themeColor="text1"/>
          <w:sz w:val="21"/>
          <w:szCs w:val="21"/>
          <w:highlight w:val="none"/>
          <w14:textFill>
            <w14:solidFill>
              <w14:schemeClr w14:val="tx1"/>
            </w14:solidFill>
          </w14:textFill>
        </w:rPr>
        <w:t>（1）政府采购促进中小企业发展。</w:t>
      </w:r>
    </w:p>
    <w:p w14:paraId="4DA905A3">
      <w:pPr>
        <w:pStyle w:val="365"/>
        <w:keepNext w:val="0"/>
        <w:keepLines w:val="0"/>
        <w:pageBreakBefore w:val="0"/>
        <w:kinsoku/>
        <w:wordWrap/>
        <w:overflowPunct/>
        <w:topLinePunct w:val="0"/>
        <w:bidi w:val="0"/>
        <w:spacing w:line="360" w:lineRule="exact"/>
        <w:ind w:firstLine="420" w:firstLineChars="200"/>
        <w:rPr>
          <w:rFonts w:cs="Times New Roman"/>
          <w:color w:val="000000" w:themeColor="text1"/>
          <w:sz w:val="21"/>
          <w:szCs w:val="21"/>
          <w:highlight w:val="none"/>
          <w14:textFill>
            <w14:solidFill>
              <w14:schemeClr w14:val="tx1"/>
            </w14:solidFill>
          </w14:textFill>
        </w:rPr>
      </w:pPr>
      <w:r>
        <w:rPr>
          <w:rFonts w:cs="Times New Roman"/>
          <w:color w:val="000000" w:themeColor="text1"/>
          <w:sz w:val="21"/>
          <w:szCs w:val="21"/>
          <w:highlight w:val="none"/>
          <w14:textFill>
            <w14:solidFill>
              <w14:schemeClr w14:val="tx1"/>
            </w14:solidFill>
          </w14:textFill>
        </w:rPr>
        <w:t>（2）政府采购促进残疾人就业政策。</w:t>
      </w:r>
    </w:p>
    <w:p w14:paraId="6BFCAD68">
      <w:pPr>
        <w:pStyle w:val="365"/>
        <w:keepNext w:val="0"/>
        <w:keepLines w:val="0"/>
        <w:pageBreakBefore w:val="0"/>
        <w:kinsoku/>
        <w:wordWrap/>
        <w:overflowPunct/>
        <w:topLinePunct w:val="0"/>
        <w:bidi w:val="0"/>
        <w:spacing w:line="360" w:lineRule="exact"/>
        <w:ind w:firstLine="420" w:firstLineChars="200"/>
        <w:rPr>
          <w:rFonts w:cs="Times New Roman"/>
          <w:color w:val="000000" w:themeColor="text1"/>
          <w:sz w:val="21"/>
          <w:szCs w:val="21"/>
          <w:highlight w:val="none"/>
          <w14:textFill>
            <w14:solidFill>
              <w14:schemeClr w14:val="tx1"/>
            </w14:solidFill>
          </w14:textFill>
        </w:rPr>
      </w:pPr>
      <w:r>
        <w:rPr>
          <w:rFonts w:cs="Times New Roman"/>
          <w:color w:val="000000" w:themeColor="text1"/>
          <w:sz w:val="21"/>
          <w:szCs w:val="21"/>
          <w:highlight w:val="none"/>
          <w14:textFill>
            <w14:solidFill>
              <w14:schemeClr w14:val="tx1"/>
            </w14:solidFill>
          </w14:textFill>
        </w:rPr>
        <w:t>（3）政府采购支持监狱企业发展。</w:t>
      </w:r>
    </w:p>
    <w:p w14:paraId="291D86DD">
      <w:pPr>
        <w:pStyle w:val="365"/>
        <w:keepNext w:val="0"/>
        <w:keepLines w:val="0"/>
        <w:pageBreakBefore w:val="0"/>
        <w:kinsoku/>
        <w:wordWrap/>
        <w:overflowPunct/>
        <w:topLinePunct w:val="0"/>
        <w:bidi w:val="0"/>
        <w:spacing w:line="360" w:lineRule="exact"/>
        <w:ind w:firstLine="422" w:firstLineChars="200"/>
        <w:rPr>
          <w:rFonts w:cs="Times New Roman"/>
          <w:b/>
          <w:bCs/>
          <w:color w:val="000000" w:themeColor="text1"/>
          <w:sz w:val="21"/>
          <w:szCs w:val="21"/>
          <w:highlight w:val="none"/>
          <w14:textFill>
            <w14:solidFill>
              <w14:schemeClr w14:val="tx1"/>
            </w14:solidFill>
          </w14:textFill>
        </w:rPr>
      </w:pPr>
      <w:bookmarkStart w:id="70" w:name="_Toc22796"/>
      <w:bookmarkStart w:id="71" w:name="_Toc24668"/>
      <w:r>
        <w:rPr>
          <w:rFonts w:cs="Times New Roman"/>
          <w:b/>
          <w:bCs/>
          <w:color w:val="000000" w:themeColor="text1"/>
          <w:sz w:val="21"/>
          <w:szCs w:val="21"/>
          <w:highlight w:val="none"/>
          <w14:textFill>
            <w14:solidFill>
              <w14:schemeClr w14:val="tx1"/>
            </w14:solidFill>
          </w14:textFill>
        </w:rPr>
        <w:t>7、在线响应（电子响应）说明</w:t>
      </w:r>
      <w:bookmarkEnd w:id="70"/>
      <w:bookmarkEnd w:id="71"/>
    </w:p>
    <w:p w14:paraId="61B025AB">
      <w:pPr>
        <w:keepNext w:val="0"/>
        <w:keepLines w:val="0"/>
        <w:pageBreakBefore w:val="0"/>
        <w:kinsoku/>
        <w:wordWrap/>
        <w:overflowPunct/>
        <w:topLinePunct w:val="0"/>
        <w:bidi w:val="0"/>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本项目通过政采云平台实行在线响应（电子响应），供应商需要先安装“政采云电子交易客户端”，并按照本磋商文件和政采云平台的要求，通过“政采云电子交易客户端”编制并加密响应文件。供应商未按规定编制并加密的响应文件，政采云平台将予以拒收。</w:t>
      </w:r>
    </w:p>
    <w:p w14:paraId="36369109">
      <w:pPr>
        <w:keepNext w:val="0"/>
        <w:keepLines w:val="0"/>
        <w:pageBreakBefore w:val="0"/>
        <w:kinsoku/>
        <w:wordWrap/>
        <w:overflowPunct/>
        <w:topLinePunct w:val="0"/>
        <w:autoSpaceDE w:val="0"/>
        <w:autoSpaceDN w:val="0"/>
        <w:bidi w:val="0"/>
        <w:adjustRightInd w:val="0"/>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政采云电子交易客户端”请自行前往广西政府采购网下载并安装（http://zfcg.gxzf.gov.cn/OfficeService/DownloadArea/2455918.html?utm=sites_group_front.b8b6c91.0.0.c51f9820a48111eabb9bcbdf01af125e）；电子响应具体操作流程参考《政府采购项目电子交易管理操作指南-供应商》；在使用政采云投标客户端时，建议使用WIN7及以上操作系统，通过政采云平台参与在线响应时如遇平台技术问题拨打政采云服务热线95763获取热线服务帮助</w:t>
      </w:r>
      <w:r>
        <w:rPr>
          <w:rFonts w:hint="eastAsia"/>
          <w:color w:val="000000" w:themeColor="text1"/>
          <w:szCs w:val="21"/>
          <w:highlight w:val="none"/>
          <w14:textFill>
            <w14:solidFill>
              <w14:schemeClr w14:val="tx1"/>
            </w14:solidFill>
          </w14:textFill>
        </w:rPr>
        <w:t>。</w:t>
      </w:r>
    </w:p>
    <w:p w14:paraId="42176499">
      <w:pPr>
        <w:keepNext w:val="0"/>
        <w:keepLines w:val="0"/>
        <w:pageBreakBefore w:val="0"/>
        <w:kinsoku/>
        <w:wordWrap/>
        <w:overflowPunct/>
        <w:topLinePunct w:val="0"/>
        <w:bidi w:val="0"/>
        <w:spacing w:line="360" w:lineRule="exact"/>
        <w:ind w:firstLine="420" w:firstLineChars="200"/>
        <w:rPr>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（2）为确保网上操作合法、有效和安全，磋商供应商应当在首次响应文件提交</w:t>
      </w:r>
      <w:r>
        <w:rPr>
          <w:color w:val="000000" w:themeColor="text1"/>
          <w:highlight w:val="none"/>
          <w14:textFill>
            <w14:solidFill>
              <w14:schemeClr w14:val="tx1"/>
            </w14:solidFill>
          </w14:textFill>
        </w:rPr>
        <w:t>截止</w:t>
      </w:r>
      <w:r>
        <w:rPr>
          <w:color w:val="000000" w:themeColor="text1"/>
          <w:szCs w:val="21"/>
          <w:highlight w:val="none"/>
          <w14:textFill>
            <w14:solidFill>
              <w14:schemeClr w14:val="tx1"/>
            </w14:solidFill>
          </w14:textFill>
        </w:rPr>
        <w:t>时间前完成在“政府采购云平台”的身份认证，确保在电子响应过程中能够对相关数据电文进行加密和使用电子签章。使用“政采云电子交易客户端”需要提前申领CA数字证书，申领流程请自行前往政采云平台网站进行查阅；</w:t>
      </w:r>
      <w:r>
        <w:rPr>
          <w:b/>
          <w:bCs/>
          <w:color w:val="000000" w:themeColor="text1"/>
          <w:szCs w:val="21"/>
          <w:highlight w:val="none"/>
          <w14:textFill>
            <w14:solidFill>
              <w14:schemeClr w14:val="tx1"/>
            </w14:solidFill>
          </w14:textFill>
        </w:rPr>
        <w:t>（完成CA数字证书办理预计一周左右，建议供应商获取竞争性磋商文件后立即办理。）</w:t>
      </w:r>
    </w:p>
    <w:p w14:paraId="235D28A0">
      <w:pPr>
        <w:keepNext w:val="0"/>
        <w:keepLines w:val="0"/>
        <w:pageBreakBefore w:val="0"/>
        <w:kinsoku/>
        <w:wordWrap/>
        <w:overflowPunct/>
        <w:topLinePunct w:val="0"/>
        <w:bidi w:val="0"/>
        <w:spacing w:line="3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（3）磋商供应商应当在</w:t>
      </w:r>
      <w:r>
        <w:rPr>
          <w:color w:val="000000" w:themeColor="text1"/>
          <w:highlight w:val="none"/>
          <w14:textFill>
            <w14:solidFill>
              <w14:schemeClr w14:val="tx1"/>
            </w14:solidFill>
          </w14:textFill>
        </w:rPr>
        <w:t>响应文件提交截止时间</w:t>
      </w:r>
      <w:r>
        <w:rPr>
          <w:color w:val="000000" w:themeColor="text1"/>
          <w:szCs w:val="21"/>
          <w:highlight w:val="none"/>
          <w14:textFill>
            <w14:solidFill>
              <w14:schemeClr w14:val="tx1"/>
            </w14:solidFill>
          </w14:textFill>
        </w:rPr>
        <w:t>前，将生成的“电子磋商响应文件”上传递交至政采云平台。响应文件提交截止时间前可以撤回电子磋商响应文件。补充或者修改电子磋商响应文件的，应当先行撤回原文件，补充、修改后重新传输递交，磋商响应文件提交截止时间前未完成传输的，视为撤回磋商响应文件。</w:t>
      </w:r>
    </w:p>
    <w:p w14:paraId="7C2C2AB5">
      <w:pPr>
        <w:keepNext w:val="0"/>
        <w:keepLines w:val="0"/>
        <w:pageBreakBefore w:val="0"/>
        <w:kinsoku/>
        <w:wordWrap/>
        <w:overflowPunct/>
        <w:topLinePunct w:val="0"/>
        <w:autoSpaceDE w:val="0"/>
        <w:autoSpaceDN w:val="0"/>
        <w:bidi w:val="0"/>
        <w:adjustRightInd w:val="0"/>
        <w:spacing w:line="360" w:lineRule="exact"/>
        <w:ind w:firstLine="422" w:firstLineChars="200"/>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（4）本项目需要磋商供应商代表在截标当天截标后，按磋商小组要求及时登陆政采云平台等候在线磋商及提交最后报价。</w:t>
      </w:r>
    </w:p>
    <w:p w14:paraId="7E6FCB4A">
      <w:pPr>
        <w:keepNext w:val="0"/>
        <w:keepLines w:val="0"/>
        <w:pageBreakBefore w:val="0"/>
        <w:kinsoku/>
        <w:wordWrap/>
        <w:overflowPunct/>
        <w:topLinePunct w:val="0"/>
        <w:autoSpaceDE w:val="0"/>
        <w:autoSpaceDN w:val="0"/>
        <w:bidi w:val="0"/>
        <w:adjustRightInd w:val="0"/>
        <w:spacing w:line="360" w:lineRule="exact"/>
        <w:ind w:firstLine="422" w:firstLineChars="200"/>
        <w:rPr>
          <w:b/>
          <w:bCs/>
          <w:color w:val="000000" w:themeColor="text1"/>
          <w:szCs w:val="21"/>
          <w:highlight w:val="none"/>
          <w:u w:val="single"/>
          <w14:textFill>
            <w14:solidFill>
              <w14:schemeClr w14:val="tx1"/>
            </w14:solidFill>
          </w14:textFill>
        </w:rPr>
      </w:pPr>
      <w:r>
        <w:rPr>
          <w:b/>
          <w:bCs/>
          <w:color w:val="000000" w:themeColor="text1"/>
          <w:szCs w:val="21"/>
          <w:highlight w:val="none"/>
          <w:u w:val="single"/>
          <w14:textFill>
            <w14:solidFill>
              <w14:schemeClr w14:val="tx1"/>
            </w14:solidFill>
          </w14:textFill>
        </w:rPr>
        <w:t>（5）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14:paraId="3E04CB83">
      <w:pPr>
        <w:keepNext w:val="0"/>
        <w:keepLines w:val="0"/>
        <w:pageBreakBefore w:val="0"/>
        <w:kinsoku/>
        <w:wordWrap/>
        <w:overflowPunct/>
        <w:topLinePunct w:val="0"/>
        <w:bidi w:val="0"/>
        <w:spacing w:line="360" w:lineRule="exact"/>
        <w:outlineLvl w:val="1"/>
        <w:rPr>
          <w:b/>
          <w:bCs/>
          <w:color w:val="000000" w:themeColor="text1"/>
          <w:szCs w:val="21"/>
          <w:highlight w:val="none"/>
          <w14:textFill>
            <w14:solidFill>
              <w14:schemeClr w14:val="tx1"/>
            </w14:solidFill>
          </w14:textFill>
        </w:rPr>
      </w:pPr>
      <w:bookmarkStart w:id="72" w:name="_Toc8972"/>
      <w:bookmarkStart w:id="73" w:name="_Toc15882"/>
      <w:bookmarkStart w:id="74" w:name="_Toc24689"/>
      <w:bookmarkStart w:id="75" w:name="_Toc13059"/>
      <w:bookmarkStart w:id="76" w:name="_Toc25069"/>
      <w:r>
        <w:rPr>
          <w:b/>
          <w:bCs/>
          <w:color w:val="000000" w:themeColor="text1"/>
          <w:szCs w:val="21"/>
          <w:highlight w:val="none"/>
          <w14:textFill>
            <w14:solidFill>
              <w14:schemeClr w14:val="tx1"/>
            </w14:solidFill>
          </w14:textFill>
        </w:rPr>
        <w:t>八、凡对本次采购提出询问，请按以下方式联系。</w:t>
      </w:r>
      <w:bookmarkEnd w:id="36"/>
      <w:bookmarkEnd w:id="37"/>
      <w:bookmarkEnd w:id="38"/>
      <w:bookmarkEnd w:id="39"/>
      <w:bookmarkEnd w:id="72"/>
      <w:bookmarkEnd w:id="73"/>
      <w:bookmarkEnd w:id="74"/>
      <w:bookmarkEnd w:id="75"/>
      <w:bookmarkEnd w:id="76"/>
    </w:p>
    <w:p w14:paraId="040FBCD7">
      <w:pPr>
        <w:keepNext w:val="0"/>
        <w:keepLines w:val="0"/>
        <w:pageBreakBefore w:val="0"/>
        <w:kinsoku/>
        <w:wordWrap/>
        <w:overflowPunct/>
        <w:topLinePunct w:val="0"/>
        <w:bidi w:val="0"/>
        <w:spacing w:line="360" w:lineRule="exact"/>
        <w:ind w:firstLine="422" w:firstLineChars="200"/>
        <w:rPr>
          <w:b/>
          <w:bCs/>
          <w:color w:val="000000" w:themeColor="text1"/>
          <w:szCs w:val="21"/>
          <w:highlight w:val="none"/>
          <w14:textFill>
            <w14:solidFill>
              <w14:schemeClr w14:val="tx1"/>
            </w14:solidFill>
          </w14:textFill>
        </w:rPr>
      </w:pPr>
      <w:bookmarkStart w:id="77" w:name="_Toc32457"/>
      <w:bookmarkStart w:id="78" w:name="_Toc13906"/>
      <w:bookmarkStart w:id="79" w:name="_Toc11511"/>
      <w:bookmarkStart w:id="80" w:name="_Toc2342"/>
      <w:bookmarkStart w:id="81" w:name="_Toc4192"/>
      <w:bookmarkStart w:id="82" w:name="_Toc9888"/>
      <w:bookmarkStart w:id="83" w:name="_Toc12125"/>
      <w:bookmarkStart w:id="84" w:name="_Toc6861"/>
      <w:r>
        <w:rPr>
          <w:b/>
          <w:bCs/>
          <w:color w:val="000000" w:themeColor="text1"/>
          <w:szCs w:val="21"/>
          <w:highlight w:val="none"/>
          <w14:textFill>
            <w14:solidFill>
              <w14:schemeClr w14:val="tx1"/>
            </w14:solidFill>
          </w14:textFill>
        </w:rPr>
        <w:t>1.采购人信息</w:t>
      </w:r>
      <w:bookmarkEnd w:id="77"/>
      <w:bookmarkEnd w:id="78"/>
      <w:bookmarkEnd w:id="79"/>
      <w:bookmarkEnd w:id="80"/>
      <w:bookmarkEnd w:id="81"/>
      <w:bookmarkEnd w:id="82"/>
      <w:bookmarkEnd w:id="83"/>
      <w:bookmarkEnd w:id="84"/>
    </w:p>
    <w:p w14:paraId="3D95196B">
      <w:pPr>
        <w:keepNext w:val="0"/>
        <w:keepLines w:val="0"/>
        <w:pageBreakBefore w:val="0"/>
        <w:widowControl/>
        <w:kinsoku/>
        <w:wordWrap/>
        <w:overflowPunct/>
        <w:topLinePunct w:val="0"/>
        <w:bidi w:val="0"/>
        <w:adjustRightInd w:val="0"/>
        <w:snapToGrid w:val="0"/>
        <w:spacing w:line="360" w:lineRule="exact"/>
        <w:ind w:firstLine="420" w:firstLineChars="200"/>
        <w:textAlignment w:val="baseline"/>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名称：广西师范大学</w:t>
      </w:r>
    </w:p>
    <w:p w14:paraId="19DD6360">
      <w:pPr>
        <w:keepNext w:val="0"/>
        <w:keepLines w:val="0"/>
        <w:pageBreakBefore w:val="0"/>
        <w:widowControl/>
        <w:kinsoku/>
        <w:wordWrap/>
        <w:overflowPunct/>
        <w:topLinePunct w:val="0"/>
        <w:bidi w:val="0"/>
        <w:adjustRightInd w:val="0"/>
        <w:snapToGrid w:val="0"/>
        <w:spacing w:line="360" w:lineRule="exact"/>
        <w:ind w:firstLine="420" w:firstLineChars="200"/>
        <w:textAlignment w:val="baseline"/>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地址：广西桂林市雁山区雁中路1号</w:t>
      </w:r>
    </w:p>
    <w:p w14:paraId="076B1D4F">
      <w:pPr>
        <w:keepNext w:val="0"/>
        <w:keepLines w:val="0"/>
        <w:pageBreakBefore w:val="0"/>
        <w:widowControl/>
        <w:kinsoku/>
        <w:wordWrap/>
        <w:overflowPunct/>
        <w:topLinePunct w:val="0"/>
        <w:bidi w:val="0"/>
        <w:adjustRightInd w:val="0"/>
        <w:snapToGrid w:val="0"/>
        <w:spacing w:line="360" w:lineRule="exact"/>
        <w:ind w:firstLine="420" w:firstLineChars="200"/>
        <w:textAlignment w:val="baseline"/>
        <w:rPr>
          <w:rFonts w:hint="eastAsia" w:eastAsia="宋体"/>
          <w:color w:val="000000" w:themeColor="text1"/>
          <w:kern w:val="0"/>
          <w:szCs w:val="21"/>
          <w:highlight w:val="none"/>
          <w:lang w:eastAsia="zh-CN"/>
          <w14:textFill>
            <w14:solidFill>
              <w14:schemeClr w14:val="tx1"/>
            </w14:solidFill>
          </w14:textFill>
        </w:rPr>
      </w:pPr>
      <w:r>
        <w:rPr>
          <w:rFonts w:hint="eastAsia"/>
          <w:color w:val="000000" w:themeColor="text1"/>
          <w:kern w:val="0"/>
          <w:szCs w:val="21"/>
          <w:highlight w:val="none"/>
          <w14:textFill>
            <w14:solidFill>
              <w14:schemeClr w14:val="tx1"/>
            </w14:solidFill>
          </w14:textFill>
        </w:rPr>
        <w:t>项目联系人：</w:t>
      </w:r>
      <w:r>
        <w:rPr>
          <w:rFonts w:hint="eastAsia"/>
          <w:color w:val="000000" w:themeColor="text1"/>
          <w:kern w:val="0"/>
          <w:szCs w:val="21"/>
          <w:highlight w:val="none"/>
          <w:lang w:eastAsia="zh-CN"/>
          <w14:textFill>
            <w14:solidFill>
              <w14:schemeClr w14:val="tx1"/>
            </w14:solidFill>
          </w14:textFill>
        </w:rPr>
        <w:t>高老师</w:t>
      </w:r>
    </w:p>
    <w:p w14:paraId="45B7F896">
      <w:pPr>
        <w:keepNext w:val="0"/>
        <w:keepLines w:val="0"/>
        <w:pageBreakBefore w:val="0"/>
        <w:widowControl/>
        <w:kinsoku/>
        <w:wordWrap/>
        <w:overflowPunct/>
        <w:topLinePunct w:val="0"/>
        <w:bidi w:val="0"/>
        <w:adjustRightInd w:val="0"/>
        <w:snapToGrid w:val="0"/>
        <w:spacing w:line="360" w:lineRule="exact"/>
        <w:ind w:firstLine="420" w:firstLineChars="200"/>
        <w:textAlignment w:val="baseline"/>
        <w:rPr>
          <w:rFonts w:hint="eastAsia"/>
          <w:color w:val="000000" w:themeColor="text1"/>
          <w:kern w:val="0"/>
          <w:szCs w:val="21"/>
          <w:highlight w:val="none"/>
          <w:lang w:eastAsia="zh-CN"/>
          <w14:textFill>
            <w14:solidFill>
              <w14:schemeClr w14:val="tx1"/>
            </w14:solidFill>
          </w14:textFill>
        </w:rPr>
      </w:pPr>
      <w:r>
        <w:rPr>
          <w:rFonts w:hint="eastAsia"/>
          <w:color w:val="000000" w:themeColor="text1"/>
          <w:kern w:val="0"/>
          <w:szCs w:val="21"/>
          <w:highlight w:val="none"/>
          <w14:textFill>
            <w14:solidFill>
              <w14:schemeClr w14:val="tx1"/>
            </w14:solidFill>
          </w14:textFill>
        </w:rPr>
        <w:t>联系方式：</w:t>
      </w:r>
      <w:r>
        <w:rPr>
          <w:rFonts w:hint="eastAsia"/>
          <w:color w:val="000000" w:themeColor="text1"/>
          <w:kern w:val="0"/>
          <w:szCs w:val="21"/>
          <w:highlight w:val="none"/>
          <w:lang w:val="en-US" w:eastAsia="zh-CN"/>
          <w14:textFill>
            <w14:solidFill>
              <w14:schemeClr w14:val="tx1"/>
            </w14:solidFill>
          </w14:textFill>
        </w:rPr>
        <w:t xml:space="preserve"> 0773-3696563</w:t>
      </w:r>
    </w:p>
    <w:p w14:paraId="259332EA">
      <w:pPr>
        <w:keepNext w:val="0"/>
        <w:keepLines w:val="0"/>
        <w:pageBreakBefore w:val="0"/>
        <w:widowControl/>
        <w:kinsoku/>
        <w:wordWrap/>
        <w:overflowPunct/>
        <w:topLinePunct w:val="0"/>
        <w:bidi w:val="0"/>
        <w:adjustRightInd w:val="0"/>
        <w:snapToGrid w:val="0"/>
        <w:spacing w:line="360" w:lineRule="exact"/>
        <w:ind w:firstLine="422" w:firstLineChars="200"/>
        <w:textAlignment w:val="baseline"/>
        <w:rPr>
          <w:rFonts w:hint="eastAsia"/>
          <w:b/>
          <w:bCs/>
          <w:color w:val="000000" w:themeColor="text1"/>
          <w:kern w:val="0"/>
          <w:szCs w:val="21"/>
          <w:highlight w:val="none"/>
          <w14:textFill>
            <w14:solidFill>
              <w14:schemeClr w14:val="tx1"/>
            </w14:solidFill>
          </w14:textFill>
        </w:rPr>
      </w:pPr>
      <w:bookmarkStart w:id="85" w:name="_Toc5959"/>
      <w:bookmarkStart w:id="86" w:name="_Toc6278"/>
      <w:bookmarkStart w:id="87" w:name="_Toc12451"/>
      <w:bookmarkStart w:id="88" w:name="_Toc21403"/>
      <w:bookmarkStart w:id="89" w:name="_Toc16936"/>
      <w:bookmarkStart w:id="90" w:name="_Toc20363"/>
      <w:bookmarkStart w:id="91" w:name="_Toc12405"/>
      <w:r>
        <w:rPr>
          <w:rFonts w:hint="eastAsia"/>
          <w:b/>
          <w:bCs/>
          <w:color w:val="000000" w:themeColor="text1"/>
          <w:kern w:val="0"/>
          <w:szCs w:val="21"/>
          <w:highlight w:val="none"/>
          <w14:textFill>
            <w14:solidFill>
              <w14:schemeClr w14:val="tx1"/>
            </w14:solidFill>
          </w14:textFill>
        </w:rPr>
        <w:t>2.采购代理机构信息</w:t>
      </w:r>
      <w:bookmarkEnd w:id="85"/>
      <w:bookmarkEnd w:id="86"/>
      <w:bookmarkEnd w:id="87"/>
      <w:bookmarkEnd w:id="88"/>
      <w:bookmarkEnd w:id="89"/>
      <w:bookmarkEnd w:id="90"/>
      <w:bookmarkEnd w:id="91"/>
    </w:p>
    <w:p w14:paraId="169693A5">
      <w:pPr>
        <w:keepNext w:val="0"/>
        <w:keepLines w:val="0"/>
        <w:pageBreakBefore w:val="0"/>
        <w:widowControl/>
        <w:kinsoku/>
        <w:wordWrap/>
        <w:overflowPunct/>
        <w:topLinePunct w:val="0"/>
        <w:bidi w:val="0"/>
        <w:adjustRightInd w:val="0"/>
        <w:snapToGrid w:val="0"/>
        <w:spacing w:line="360" w:lineRule="exact"/>
        <w:ind w:firstLine="420" w:firstLineChars="200"/>
        <w:textAlignment w:val="baseline"/>
        <w:rPr>
          <w:rFonts w:hint="eastAsia"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名称：</w:t>
      </w:r>
      <w:r>
        <w:rPr>
          <w:rFonts w:hint="eastAsia"/>
          <w:color w:val="000000" w:themeColor="text1"/>
          <w:kern w:val="0"/>
          <w:szCs w:val="21"/>
          <w:highlight w:val="none"/>
          <w14:textFill>
            <w14:solidFill>
              <w14:schemeClr w14:val="tx1"/>
            </w14:solidFill>
          </w14:textFill>
        </w:rPr>
        <w:t xml:space="preserve"> </w:t>
      </w:r>
      <w:r>
        <w:rPr>
          <w:rFonts w:hint="eastAsia"/>
          <w:color w:val="000000" w:themeColor="text1"/>
          <w:kern w:val="0"/>
          <w:szCs w:val="21"/>
          <w:highlight w:val="none"/>
          <w:lang w:eastAsia="zh-CN"/>
          <w14:textFill>
            <w14:solidFill>
              <w14:schemeClr w14:val="tx1"/>
            </w14:solidFill>
          </w14:textFill>
        </w:rPr>
        <w:t>联云项目管理咨询有限公司</w:t>
      </w:r>
    </w:p>
    <w:p w14:paraId="7073C204">
      <w:pPr>
        <w:keepNext w:val="0"/>
        <w:keepLines w:val="0"/>
        <w:pageBreakBefore w:val="0"/>
        <w:widowControl/>
        <w:kinsoku/>
        <w:wordWrap/>
        <w:overflowPunct/>
        <w:topLinePunct w:val="0"/>
        <w:bidi w:val="0"/>
        <w:adjustRightInd w:val="0"/>
        <w:snapToGrid w:val="0"/>
        <w:spacing w:line="360" w:lineRule="exact"/>
        <w:ind w:firstLine="420" w:firstLineChars="200"/>
        <w:textAlignment w:val="baseline"/>
        <w:rPr>
          <w:rFonts w:hint="eastAsia" w:eastAsia="宋体"/>
          <w:color w:val="000000" w:themeColor="text1"/>
          <w:kern w:val="0"/>
          <w:szCs w:val="21"/>
          <w:highlight w:val="none"/>
          <w:lang w:eastAsia="zh-CN"/>
          <w14:textFill>
            <w14:solidFill>
              <w14:schemeClr w14:val="tx1"/>
            </w14:solidFill>
          </w14:textFill>
        </w:rPr>
      </w:pPr>
      <w:r>
        <w:rPr>
          <w:color w:val="000000" w:themeColor="text1"/>
          <w:kern w:val="0"/>
          <w:szCs w:val="21"/>
          <w:highlight w:val="none"/>
          <w14:textFill>
            <w14:solidFill>
              <w14:schemeClr w14:val="tx1"/>
            </w14:solidFill>
          </w14:textFill>
        </w:rPr>
        <w:t>地址：</w:t>
      </w:r>
      <w:r>
        <w:rPr>
          <w:rFonts w:hint="eastAsia"/>
          <w:color w:val="000000" w:themeColor="text1"/>
          <w:kern w:val="0"/>
          <w:szCs w:val="21"/>
          <w:highlight w:val="none"/>
          <w14:textFill>
            <w14:solidFill>
              <w14:schemeClr w14:val="tx1"/>
            </w14:solidFill>
          </w14:textFill>
        </w:rPr>
        <w:t xml:space="preserve">广西桂林市秀峰区红岭路 1 号华润置地金融大厦 11 楼 1109 室 </w:t>
      </w:r>
      <w:r>
        <w:rPr>
          <w:rFonts w:hint="eastAsia" w:ascii="Arial" w:hAnsi="Arial" w:cs="Arial"/>
          <w:color w:val="000000" w:themeColor="text1"/>
          <w:highlight w:val="none"/>
          <w:lang w:val="en-US" w:eastAsia="zh-CN"/>
          <w14:textFill>
            <w14:solidFill>
              <w14:schemeClr w14:val="tx1"/>
            </w14:solidFill>
          </w14:textFill>
        </w:rPr>
        <w:t xml:space="preserve"> </w:t>
      </w:r>
    </w:p>
    <w:p w14:paraId="080A1D86">
      <w:pPr>
        <w:keepNext w:val="0"/>
        <w:keepLines w:val="0"/>
        <w:pageBreakBefore w:val="0"/>
        <w:widowControl/>
        <w:kinsoku/>
        <w:wordWrap/>
        <w:overflowPunct/>
        <w:topLinePunct w:val="0"/>
        <w:bidi w:val="0"/>
        <w:adjustRightInd w:val="0"/>
        <w:snapToGrid w:val="0"/>
        <w:spacing w:line="360" w:lineRule="exact"/>
        <w:ind w:firstLine="420" w:firstLineChars="200"/>
        <w:textAlignment w:val="baseline"/>
        <w:rPr>
          <w:rFonts w:hint="eastAsia"/>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项目联系人：</w:t>
      </w:r>
      <w:r>
        <w:rPr>
          <w:rFonts w:hint="eastAsia"/>
          <w:color w:val="000000" w:themeColor="text1"/>
          <w:kern w:val="0"/>
          <w:szCs w:val="21"/>
          <w:highlight w:val="none"/>
          <w:lang w:val="en-US" w:eastAsia="zh-CN"/>
          <w14:textFill>
            <w14:solidFill>
              <w14:schemeClr w14:val="tx1"/>
            </w14:solidFill>
          </w14:textFill>
        </w:rPr>
        <w:t>翁雪莲、徐春梅、周聪</w:t>
      </w:r>
    </w:p>
    <w:p w14:paraId="11E419F6">
      <w:pPr>
        <w:keepNext w:val="0"/>
        <w:keepLines w:val="0"/>
        <w:pageBreakBefore w:val="0"/>
        <w:widowControl/>
        <w:kinsoku/>
        <w:wordWrap/>
        <w:overflowPunct/>
        <w:topLinePunct w:val="0"/>
        <w:bidi w:val="0"/>
        <w:adjustRightInd w:val="0"/>
        <w:snapToGrid w:val="0"/>
        <w:spacing w:line="360" w:lineRule="exact"/>
        <w:ind w:firstLine="420" w:firstLineChars="200"/>
        <w:textAlignment w:val="baseline"/>
        <w:rPr>
          <w:rFonts w:ascii="宋体" w:hAnsi="宋体" w:cs="宋体"/>
          <w:color w:val="000000" w:themeColor="text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联系方式：0773-3615888</w:t>
      </w:r>
      <w:r>
        <w:rPr>
          <w:rFonts w:hint="eastAsia"/>
          <w:color w:val="000000" w:themeColor="text1"/>
          <w:kern w:val="0"/>
          <w:szCs w:val="21"/>
          <w:highlight w:val="none"/>
          <w:lang w:val="en-US" w:eastAsia="zh-CN"/>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p>
    <w:p w14:paraId="675CAF52">
      <w:pPr>
        <w:keepNext w:val="0"/>
        <w:keepLines w:val="0"/>
        <w:pageBreakBefore w:val="0"/>
        <w:kinsoku/>
        <w:wordWrap/>
        <w:overflowPunct/>
        <w:topLinePunct w:val="0"/>
        <w:bidi w:val="0"/>
        <w:spacing w:line="360" w:lineRule="exact"/>
        <w:ind w:firstLine="527" w:firstLineChars="250"/>
        <w:jc w:val="right"/>
        <w:rPr>
          <w:rFonts w:ascii="宋体" w:hAnsi="宋体"/>
          <w:b/>
          <w:bCs/>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联云项目管理咨询有限公司</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 xml:space="preserve"> </w:t>
      </w:r>
    </w:p>
    <w:p w14:paraId="788C450A">
      <w:pPr>
        <w:keepNext w:val="0"/>
        <w:keepLines w:val="0"/>
        <w:pageBreakBefore w:val="0"/>
        <w:kinsoku/>
        <w:wordWrap/>
        <w:overflowPunct/>
        <w:topLinePunct w:val="0"/>
        <w:bidi w:val="0"/>
        <w:spacing w:line="360" w:lineRule="exact"/>
        <w:ind w:firstLine="6114" w:firstLineChars="2900"/>
        <w:jc w:val="righ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202</w:t>
      </w:r>
      <w:r>
        <w:rPr>
          <w:rFonts w:hint="eastAsia" w:ascii="宋体" w:hAnsi="宋体"/>
          <w:b/>
          <w:bCs/>
          <w:color w:val="000000" w:themeColor="text1"/>
          <w:szCs w:val="21"/>
          <w:highlight w:val="none"/>
          <w:lang w:val="en-US" w:eastAsia="zh-CN"/>
          <w14:textFill>
            <w14:solidFill>
              <w14:schemeClr w14:val="tx1"/>
            </w14:solidFill>
          </w14:textFill>
        </w:rPr>
        <w:t>5</w:t>
      </w:r>
      <w:r>
        <w:rPr>
          <w:rFonts w:hint="eastAsia" w:ascii="宋体" w:hAnsi="宋体"/>
          <w:b/>
          <w:bCs/>
          <w:color w:val="000000" w:themeColor="text1"/>
          <w:szCs w:val="21"/>
          <w:highlight w:val="none"/>
          <w14:textFill>
            <w14:solidFill>
              <w14:schemeClr w14:val="tx1"/>
            </w14:solidFill>
          </w14:textFill>
        </w:rPr>
        <w:t xml:space="preserve">年 </w:t>
      </w:r>
      <w:r>
        <w:rPr>
          <w:rFonts w:hint="eastAsia" w:ascii="宋体" w:hAnsi="宋体"/>
          <w:b/>
          <w:bCs/>
          <w:color w:val="000000" w:themeColor="text1"/>
          <w:szCs w:val="21"/>
          <w:highlight w:val="none"/>
          <w:lang w:val="en-US" w:eastAsia="zh-CN"/>
          <w14:textFill>
            <w14:solidFill>
              <w14:schemeClr w14:val="tx1"/>
            </w14:solidFill>
          </w14:textFill>
        </w:rPr>
        <w:t>7</w:t>
      </w:r>
      <w:r>
        <w:rPr>
          <w:rFonts w:hint="eastAsia" w:ascii="宋体" w:hAnsi="宋体"/>
          <w:b/>
          <w:bCs/>
          <w:color w:val="000000" w:themeColor="text1"/>
          <w:szCs w:val="21"/>
          <w:highlight w:val="none"/>
          <w14:textFill>
            <w14:solidFill>
              <w14:schemeClr w14:val="tx1"/>
            </w14:solidFill>
          </w14:textFill>
        </w:rPr>
        <w:t>月</w:t>
      </w:r>
      <w:r>
        <w:rPr>
          <w:rFonts w:hint="eastAsia" w:ascii="宋体" w:hAnsi="宋体"/>
          <w:b/>
          <w:bCs/>
          <w:color w:val="000000" w:themeColor="text1"/>
          <w:szCs w:val="21"/>
          <w:highlight w:val="none"/>
          <w:lang w:val="en-US" w:eastAsia="zh-CN"/>
          <w14:textFill>
            <w14:solidFill>
              <w14:schemeClr w14:val="tx1"/>
            </w14:solidFill>
          </w14:textFill>
        </w:rPr>
        <w:t>21</w:t>
      </w:r>
      <w:r>
        <w:rPr>
          <w:rFonts w:hint="eastAsia" w:ascii="宋体" w:hAnsi="宋体"/>
          <w:b/>
          <w:bCs/>
          <w:color w:val="000000" w:themeColor="text1"/>
          <w:szCs w:val="21"/>
          <w:highlight w:val="none"/>
          <w14:textFill>
            <w14:solidFill>
              <w14:schemeClr w14:val="tx1"/>
            </w14:solidFill>
          </w14:textFill>
        </w:rPr>
        <w:t>日</w:t>
      </w:r>
    </w:p>
    <w:p w14:paraId="10CE09F7">
      <w:pPr>
        <w:jc w:val="center"/>
        <w:outlineLvl w:val="0"/>
        <w:rPr>
          <w:rFonts w:ascii="华文中宋" w:hAnsi="华文中宋" w:eastAsia="华文中宋" w:cs="华文中宋"/>
          <w:b/>
          <w:bCs/>
          <w:color w:val="000000" w:themeColor="text1"/>
          <w:sz w:val="32"/>
          <w:szCs w:val="32"/>
          <w:highlight w:val="none"/>
          <w14:textFill>
            <w14:solidFill>
              <w14:schemeClr w14:val="tx1"/>
            </w14:solidFill>
          </w14:textFill>
        </w:rPr>
      </w:pPr>
      <w:bookmarkStart w:id="92" w:name="_Toc31707"/>
      <w:bookmarkStart w:id="93" w:name="_Toc26924"/>
      <w:r>
        <w:rPr>
          <w:rFonts w:hint="eastAsia" w:ascii="华文中宋" w:hAnsi="华文中宋" w:eastAsia="华文中宋" w:cs="华文中宋"/>
          <w:b/>
          <w:bCs/>
          <w:color w:val="000000" w:themeColor="text1"/>
          <w:sz w:val="32"/>
          <w:szCs w:val="32"/>
          <w:highlight w:val="none"/>
          <w14:textFill>
            <w14:solidFill>
              <w14:schemeClr w14:val="tx1"/>
            </w14:solidFill>
          </w14:textFill>
        </w:rPr>
        <w:br w:type="page"/>
      </w:r>
      <w:bookmarkStart w:id="94" w:name="_Toc9227"/>
      <w:r>
        <w:rPr>
          <w:rFonts w:hint="eastAsia" w:ascii="华文中宋" w:hAnsi="华文中宋" w:eastAsia="华文中宋" w:cs="华文中宋"/>
          <w:b/>
          <w:bCs/>
          <w:color w:val="000000" w:themeColor="text1"/>
          <w:sz w:val="32"/>
          <w:szCs w:val="32"/>
          <w:highlight w:val="none"/>
          <w14:textFill>
            <w14:solidFill>
              <w14:schemeClr w14:val="tx1"/>
            </w14:solidFill>
          </w14:textFill>
        </w:rPr>
        <w:t>第二章  供应商须知</w:t>
      </w:r>
      <w:bookmarkEnd w:id="92"/>
      <w:bookmarkEnd w:id="93"/>
      <w:bookmarkEnd w:id="94"/>
    </w:p>
    <w:p w14:paraId="52D5D868">
      <w:pPr>
        <w:jc w:val="center"/>
        <w:outlineLvl w:val="1"/>
        <w:rPr>
          <w:rFonts w:ascii="宋体" w:hAnsi="宋体" w:cs="宋体"/>
          <w:b/>
          <w:bCs/>
          <w:color w:val="000000" w:themeColor="text1"/>
          <w:sz w:val="28"/>
          <w:szCs w:val="28"/>
          <w:highlight w:val="none"/>
          <w14:textFill>
            <w14:solidFill>
              <w14:schemeClr w14:val="tx1"/>
            </w14:solidFill>
          </w14:textFill>
        </w:rPr>
      </w:pPr>
      <w:bookmarkStart w:id="95" w:name="_Toc10555"/>
      <w:bookmarkStart w:id="96" w:name="_Toc9508"/>
      <w:bookmarkStart w:id="97" w:name="_Toc1585"/>
      <w:bookmarkStart w:id="98" w:name="_Toc25063"/>
      <w:bookmarkStart w:id="99" w:name="_Toc13547"/>
      <w:bookmarkStart w:id="100" w:name="_Toc13800"/>
      <w:bookmarkStart w:id="101" w:name="_Toc27880"/>
      <w:r>
        <w:rPr>
          <w:rFonts w:hint="eastAsia" w:ascii="宋体" w:hAnsi="宋体" w:cs="宋体"/>
          <w:b/>
          <w:bCs/>
          <w:color w:val="000000" w:themeColor="text1"/>
          <w:sz w:val="28"/>
          <w:szCs w:val="28"/>
          <w:highlight w:val="none"/>
          <w14:textFill>
            <w14:solidFill>
              <w14:schemeClr w14:val="tx1"/>
            </w14:solidFill>
          </w14:textFill>
        </w:rPr>
        <w:t>供应商须知前附表</w:t>
      </w:r>
      <w:bookmarkEnd w:id="95"/>
      <w:bookmarkEnd w:id="96"/>
      <w:bookmarkEnd w:id="97"/>
      <w:bookmarkEnd w:id="98"/>
      <w:bookmarkEnd w:id="99"/>
      <w:bookmarkEnd w:id="100"/>
      <w:bookmarkEnd w:id="101"/>
    </w:p>
    <w:tbl>
      <w:tblPr>
        <w:tblStyle w:val="53"/>
        <w:tblW w:w="960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6FAA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662" w:type="dxa"/>
            <w:shd w:val="clear" w:color="auto" w:fill="8DB3E2"/>
            <w:vAlign w:val="center"/>
          </w:tcPr>
          <w:p w14:paraId="03FF1B38">
            <w:pPr>
              <w:spacing w:line="400" w:lineRule="exact"/>
              <w:jc w:val="center"/>
              <w:rPr>
                <w:rFonts w:eastAsia="华文中宋"/>
                <w:b/>
                <w:bCs/>
                <w:color w:val="000000" w:themeColor="text1"/>
                <w:szCs w:val="21"/>
                <w:highlight w:val="none"/>
                <w14:textFill>
                  <w14:solidFill>
                    <w14:schemeClr w14:val="tx1"/>
                  </w14:solidFill>
                </w14:textFill>
              </w:rPr>
            </w:pPr>
            <w:r>
              <w:rPr>
                <w:rFonts w:eastAsia="华文中宋"/>
                <w:b/>
                <w:bCs/>
                <w:color w:val="000000" w:themeColor="text1"/>
                <w:szCs w:val="21"/>
                <w:highlight w:val="none"/>
                <w14:textFill>
                  <w14:solidFill>
                    <w14:schemeClr w14:val="tx1"/>
                  </w14:solidFill>
                </w14:textFill>
              </w:rPr>
              <w:t>序号</w:t>
            </w:r>
          </w:p>
        </w:tc>
        <w:tc>
          <w:tcPr>
            <w:tcW w:w="942" w:type="dxa"/>
            <w:shd w:val="clear" w:color="auto" w:fill="8DB3E2"/>
            <w:vAlign w:val="center"/>
          </w:tcPr>
          <w:p w14:paraId="6A7D320D">
            <w:pPr>
              <w:spacing w:line="400" w:lineRule="exact"/>
              <w:jc w:val="center"/>
              <w:rPr>
                <w:rFonts w:eastAsia="华文中宋"/>
                <w:b/>
                <w:bCs/>
                <w:color w:val="000000" w:themeColor="text1"/>
                <w:szCs w:val="21"/>
                <w:highlight w:val="none"/>
                <w14:textFill>
                  <w14:solidFill>
                    <w14:schemeClr w14:val="tx1"/>
                  </w14:solidFill>
                </w14:textFill>
              </w:rPr>
            </w:pPr>
            <w:r>
              <w:rPr>
                <w:rFonts w:eastAsia="华文中宋"/>
                <w:b/>
                <w:bCs/>
                <w:color w:val="000000" w:themeColor="text1"/>
                <w:szCs w:val="21"/>
                <w:highlight w:val="none"/>
                <w14:textFill>
                  <w14:solidFill>
                    <w14:schemeClr w14:val="tx1"/>
                  </w14:solidFill>
                </w14:textFill>
              </w:rPr>
              <w:t>条款号</w:t>
            </w:r>
          </w:p>
        </w:tc>
        <w:tc>
          <w:tcPr>
            <w:tcW w:w="1775" w:type="dxa"/>
            <w:shd w:val="clear" w:color="auto" w:fill="8DB3E2"/>
            <w:vAlign w:val="center"/>
          </w:tcPr>
          <w:p w14:paraId="5B5976C9">
            <w:pPr>
              <w:spacing w:line="400" w:lineRule="exact"/>
              <w:jc w:val="center"/>
              <w:rPr>
                <w:rFonts w:eastAsia="华文中宋"/>
                <w:b/>
                <w:bCs/>
                <w:color w:val="000000" w:themeColor="text1"/>
                <w:szCs w:val="21"/>
                <w:highlight w:val="none"/>
                <w14:textFill>
                  <w14:solidFill>
                    <w14:schemeClr w14:val="tx1"/>
                  </w14:solidFill>
                </w14:textFill>
              </w:rPr>
            </w:pPr>
            <w:r>
              <w:rPr>
                <w:rFonts w:eastAsia="华文中宋"/>
                <w:b/>
                <w:bCs/>
                <w:color w:val="000000" w:themeColor="text1"/>
                <w:szCs w:val="21"/>
                <w:highlight w:val="none"/>
                <w14:textFill>
                  <w14:solidFill>
                    <w14:schemeClr w14:val="tx1"/>
                  </w14:solidFill>
                </w14:textFill>
              </w:rPr>
              <w:t>条款名称</w:t>
            </w:r>
          </w:p>
        </w:tc>
        <w:tc>
          <w:tcPr>
            <w:tcW w:w="6221" w:type="dxa"/>
            <w:shd w:val="clear" w:color="auto" w:fill="8DB3E2"/>
            <w:vAlign w:val="center"/>
          </w:tcPr>
          <w:p w14:paraId="7DAB74B9">
            <w:pPr>
              <w:spacing w:line="400" w:lineRule="exact"/>
              <w:jc w:val="center"/>
              <w:rPr>
                <w:rFonts w:eastAsia="华文中宋"/>
                <w:b/>
                <w:bCs/>
                <w:color w:val="000000" w:themeColor="text1"/>
                <w:szCs w:val="21"/>
                <w:highlight w:val="none"/>
                <w14:textFill>
                  <w14:solidFill>
                    <w14:schemeClr w14:val="tx1"/>
                  </w14:solidFill>
                </w14:textFill>
              </w:rPr>
            </w:pPr>
            <w:r>
              <w:rPr>
                <w:rFonts w:eastAsia="华文中宋"/>
                <w:b/>
                <w:bCs/>
                <w:color w:val="000000" w:themeColor="text1"/>
                <w:szCs w:val="21"/>
                <w:highlight w:val="none"/>
                <w14:textFill>
                  <w14:solidFill>
                    <w14:schemeClr w14:val="tx1"/>
                  </w14:solidFill>
                </w14:textFill>
              </w:rPr>
              <w:t>内容、要求</w:t>
            </w:r>
          </w:p>
        </w:tc>
      </w:tr>
      <w:tr w14:paraId="65BB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2" w:type="dxa"/>
            <w:vAlign w:val="center"/>
          </w:tcPr>
          <w:p w14:paraId="546B806B">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942" w:type="dxa"/>
            <w:vAlign w:val="center"/>
          </w:tcPr>
          <w:p w14:paraId="68A36951">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w:t>
            </w:r>
          </w:p>
        </w:tc>
        <w:tc>
          <w:tcPr>
            <w:tcW w:w="1775" w:type="dxa"/>
            <w:vAlign w:val="center"/>
          </w:tcPr>
          <w:p w14:paraId="4030AE01">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项目名称及项目编号</w:t>
            </w:r>
          </w:p>
        </w:tc>
        <w:tc>
          <w:tcPr>
            <w:tcW w:w="6221" w:type="dxa"/>
            <w:vAlign w:val="center"/>
          </w:tcPr>
          <w:p w14:paraId="16D15657">
            <w:pPr>
              <w:spacing w:line="400" w:lineRule="exact"/>
              <w:rPr>
                <w:rFonts w:hint="eastAsia" w:eastAsia="宋体"/>
                <w:color w:val="000000" w:themeColor="text1"/>
                <w:szCs w:val="21"/>
                <w:highlight w:val="none"/>
                <w:lang w:eastAsia="zh-CN"/>
                <w14:textFill>
                  <w14:solidFill>
                    <w14:schemeClr w14:val="tx1"/>
                  </w14:solidFill>
                </w14:textFill>
              </w:rPr>
            </w:pPr>
            <w:r>
              <w:rPr>
                <w:color w:val="000000" w:themeColor="text1"/>
                <w:szCs w:val="21"/>
                <w:highlight w:val="none"/>
                <w14:textFill>
                  <w14:solidFill>
                    <w14:schemeClr w14:val="tx1"/>
                  </w14:solidFill>
                </w14:textFill>
              </w:rPr>
              <w:t>项目名称：</w:t>
            </w:r>
            <w:r>
              <w:rPr>
                <w:rFonts w:hint="eastAsia"/>
                <w:color w:val="000000" w:themeColor="text1"/>
                <w:szCs w:val="21"/>
                <w:highlight w:val="none"/>
                <w:lang w:eastAsia="zh-CN"/>
                <w14:textFill>
                  <w14:solidFill>
                    <w14:schemeClr w14:val="tx1"/>
                  </w14:solidFill>
                </w14:textFill>
              </w:rPr>
              <w:t>广西师范大学王城校区继续教育学院搬迁维修改造工程</w:t>
            </w:r>
          </w:p>
          <w:p w14:paraId="6F766CBE">
            <w:pPr>
              <w:spacing w:line="400" w:lineRule="exac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项目编号：</w:t>
            </w:r>
            <w:r>
              <w:rPr>
                <w:rFonts w:hint="eastAsia"/>
                <w:color w:val="000000" w:themeColor="text1"/>
                <w:szCs w:val="21"/>
                <w:highlight w:val="none"/>
                <w:lang w:eastAsia="zh-CN"/>
                <w14:textFill>
                  <w14:solidFill>
                    <w14:schemeClr w14:val="tx1"/>
                  </w14:solidFill>
                </w14:textFill>
              </w:rPr>
              <w:t>GXZC2025-C2-002062-GXLY</w:t>
            </w:r>
            <w:r>
              <w:rPr>
                <w:color w:val="000000" w:themeColor="text1"/>
                <w:szCs w:val="21"/>
                <w:highlight w:val="none"/>
                <w14:textFill>
                  <w14:solidFill>
                    <w14:schemeClr w14:val="tx1"/>
                  </w14:solidFill>
                </w14:textFill>
              </w:rPr>
              <w:t xml:space="preserve"> </w:t>
            </w:r>
          </w:p>
        </w:tc>
      </w:tr>
      <w:tr w14:paraId="4708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35963499">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942" w:type="dxa"/>
            <w:vAlign w:val="center"/>
          </w:tcPr>
          <w:p w14:paraId="63C314BB">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1775" w:type="dxa"/>
            <w:vAlign w:val="center"/>
          </w:tcPr>
          <w:p w14:paraId="2CAAAF7C">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供应商资格</w:t>
            </w:r>
          </w:p>
        </w:tc>
        <w:tc>
          <w:tcPr>
            <w:tcW w:w="6221" w:type="dxa"/>
            <w:vAlign w:val="center"/>
          </w:tcPr>
          <w:p w14:paraId="5D7F84EE">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3.1满足《中华人民共和国政府采购法》第二十二条规定；</w:t>
            </w:r>
          </w:p>
          <w:p w14:paraId="2D463D4E">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3.2落实政府采购政策需满足的资格要求：本项目为专门面向中小企业采购的项目。按桂财采〔2021〕70号《广西壮族自治区财政厅 广西壮族自治区工业和信息化厅关于贯彻落实政府采购促进中小企业发展管理办法的通知》规定，提供中小企业声明函或者残疾人福利性单位声明函（格式后附）或者供应商属于监狱企业的需提供由省级以上监狱管理局、戒毒管理局（含新疆生产建设兵团）出具的属于监狱企业的证明文件。</w:t>
            </w:r>
          </w:p>
          <w:p w14:paraId="76368112">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3.3本项目的特定资格要求：</w:t>
            </w:r>
            <w:r>
              <w:rPr>
                <w:rFonts w:hint="eastAsia"/>
                <w:color w:val="000000" w:themeColor="text1"/>
                <w:highlight w:val="none"/>
                <w14:textFill>
                  <w14:solidFill>
                    <w14:schemeClr w14:val="tx1"/>
                  </w14:solidFill>
                </w14:textFill>
              </w:rPr>
              <w:t>具备建筑装修装饰工程专业承包贰级（含贰级）以上或建筑工程施工总承包叁级（含叁级）以上资质并同时具备古建筑工程专业承包二级资质</w:t>
            </w:r>
            <w:r>
              <w:rPr>
                <w:color w:val="000000" w:themeColor="text1"/>
                <w:highlight w:val="none"/>
                <w14:textFill>
                  <w14:solidFill>
                    <w14:schemeClr w14:val="tx1"/>
                  </w14:solidFill>
                </w14:textFill>
              </w:rPr>
              <w:t>，并在人员、设备、资金等方面具备相应的施工能力。拟派项目经理须具备建筑工程二级及以上注册建造师执业资格，具备有效的安全生产考核合格证书（B类）。本项目不接受有在建、已中标（成交）未开工或已列为其他项目中标（成交）候选人第一名的建造师作为项目经理。</w:t>
            </w:r>
          </w:p>
        </w:tc>
      </w:tr>
      <w:tr w14:paraId="6A6F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62" w:type="dxa"/>
            <w:vAlign w:val="center"/>
          </w:tcPr>
          <w:p w14:paraId="54D80367">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942" w:type="dxa"/>
            <w:vAlign w:val="center"/>
          </w:tcPr>
          <w:p w14:paraId="480A8EDD">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1775" w:type="dxa"/>
            <w:vAlign w:val="center"/>
          </w:tcPr>
          <w:p w14:paraId="29E93D44">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磋商费用</w:t>
            </w:r>
          </w:p>
        </w:tc>
        <w:tc>
          <w:tcPr>
            <w:tcW w:w="6221" w:type="dxa"/>
            <w:vAlign w:val="center"/>
          </w:tcPr>
          <w:p w14:paraId="0A51FAAF">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不论磋商结果如何，供应商均应自行承担所有与磋商有关的全部费用。 </w:t>
            </w:r>
          </w:p>
        </w:tc>
      </w:tr>
      <w:tr w14:paraId="4F3E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597CF72D">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942" w:type="dxa"/>
            <w:vAlign w:val="center"/>
          </w:tcPr>
          <w:p w14:paraId="03785FFF">
            <w:pPr>
              <w:spacing w:line="400" w:lineRule="exact"/>
              <w:jc w:val="center"/>
              <w:rPr>
                <w:color w:val="000000" w:themeColor="text1"/>
                <w:position w:val="-2"/>
                <w:szCs w:val="21"/>
                <w:highlight w:val="none"/>
                <w14:textFill>
                  <w14:solidFill>
                    <w14:schemeClr w14:val="tx1"/>
                  </w14:solidFill>
                </w14:textFill>
              </w:rPr>
            </w:pPr>
            <w:r>
              <w:rPr>
                <w:rFonts w:hint="eastAsia"/>
                <w:color w:val="000000" w:themeColor="text1"/>
                <w:position w:val="-2"/>
                <w:szCs w:val="21"/>
                <w:highlight w:val="none"/>
                <w14:textFill>
                  <w14:solidFill>
                    <w14:schemeClr w14:val="tx1"/>
                  </w14:solidFill>
                </w14:textFill>
              </w:rPr>
              <w:t>13.1</w:t>
            </w:r>
          </w:p>
        </w:tc>
        <w:tc>
          <w:tcPr>
            <w:tcW w:w="1775" w:type="dxa"/>
            <w:vAlign w:val="center"/>
          </w:tcPr>
          <w:p w14:paraId="794CDDA5">
            <w:pPr>
              <w:spacing w:line="400" w:lineRule="exact"/>
              <w:jc w:val="center"/>
              <w:rPr>
                <w:color w:val="000000" w:themeColor="text1"/>
                <w:position w:val="-2"/>
                <w:szCs w:val="21"/>
                <w:highlight w:val="none"/>
                <w14:textFill>
                  <w14:solidFill>
                    <w14:schemeClr w14:val="tx1"/>
                  </w14:solidFill>
                </w14:textFill>
              </w:rPr>
            </w:pPr>
            <w:r>
              <w:rPr>
                <w:color w:val="000000" w:themeColor="text1"/>
                <w:szCs w:val="21"/>
                <w:highlight w:val="none"/>
                <w14:textFill>
                  <w14:solidFill>
                    <w14:schemeClr w14:val="tx1"/>
                  </w14:solidFill>
                </w14:textFill>
              </w:rPr>
              <w:t>采购预算金额和上限控制价</w:t>
            </w:r>
          </w:p>
        </w:tc>
        <w:tc>
          <w:tcPr>
            <w:tcW w:w="6221" w:type="dxa"/>
            <w:vAlign w:val="center"/>
          </w:tcPr>
          <w:p w14:paraId="2B081A43">
            <w:pPr>
              <w:spacing w:line="400" w:lineRule="exact"/>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本工程预算造价经审核，招标控制价为人民币1028096.34元</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包含安全文明施工费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33839.18 元</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规费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1194.13元</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增值税</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w:t>
            </w:r>
            <w:r>
              <w:rPr>
                <w:rFonts w:hint="eastAsia"/>
                <w:b/>
                <w:color w:val="000000" w:themeColor="text1"/>
                <w:highlight w:val="none"/>
                <w14:textFill>
                  <w14:solidFill>
                    <w14:schemeClr w14:val="tx1"/>
                  </w14:solidFill>
                </w14:textFill>
              </w:rPr>
              <w:t>元</w:t>
            </w:r>
            <w:r>
              <w:rPr>
                <w:rFonts w:hint="eastAsia"/>
                <w:b/>
                <w:color w:val="000000" w:themeColor="text1"/>
                <w:highlight w:val="none"/>
                <w:lang w:eastAsia="zh-CN"/>
                <w14:textFill>
                  <w14:solidFill>
                    <w14:schemeClr w14:val="tx1"/>
                  </w14:solidFill>
                </w14:textFill>
              </w:rPr>
              <w:t>，暂列金额￥48956.97 元（含税）</w:t>
            </w:r>
            <w:r>
              <w:rPr>
                <w:rFonts w:hint="eastAsia"/>
                <w:b/>
                <w:color w:val="000000" w:themeColor="text1"/>
                <w:highlight w:val="none"/>
                <w14:textFill>
                  <w14:solidFill>
                    <w14:schemeClr w14:val="tx1"/>
                  </w14:solidFill>
                </w14:textFill>
              </w:rPr>
              <w:t>，安全生产责任保险费暂估价</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1951.97</w:t>
            </w:r>
            <w:r>
              <w:rPr>
                <w:rFonts w:hint="eastAsia"/>
                <w:b/>
                <w:color w:val="000000" w:themeColor="text1"/>
                <w:highlight w:val="none"/>
                <w:lang w:eastAsia="zh-CN"/>
                <w14:textFill>
                  <w14:solidFill>
                    <w14:schemeClr w14:val="tx1"/>
                  </w14:solidFill>
                </w14:textFill>
              </w:rPr>
              <w:t>元，材料（工程设备）暂估价￥ 1482.40 元（含税），专业暂估价￥ / 元】</w:t>
            </w:r>
            <w:r>
              <w:rPr>
                <w:rFonts w:hint="eastAsia"/>
                <w:b/>
                <w:color w:val="000000" w:themeColor="text1"/>
                <w:highlight w:val="none"/>
                <w14:textFill>
                  <w14:solidFill>
                    <w14:schemeClr w14:val="tx1"/>
                  </w14:solidFill>
                </w14:textFill>
              </w:rPr>
              <w:t>。</w:t>
            </w:r>
          </w:p>
          <w:p w14:paraId="4CBD2141">
            <w:pPr>
              <w:spacing w:line="400" w:lineRule="exact"/>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本工程上限控制价为人民币 981062.76元（包含安全文明施工费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安全生产责任保险费暂估价</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规费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增值税</w:t>
            </w:r>
            <w:r>
              <w:rPr>
                <w:rFonts w:hint="eastAsia"/>
                <w:b/>
                <w:color w:val="000000" w:themeColor="text1"/>
                <w:highlight w:val="none"/>
                <w:lang w:eastAsia="zh-CN"/>
                <w14:textFill>
                  <w14:solidFill>
                    <w14:schemeClr w14:val="tx1"/>
                  </w14:solidFill>
                </w14:textFill>
              </w:rPr>
              <w:t>、暂列金额、材料（工程设备）暂估价、专业暂估价</w:t>
            </w:r>
            <w:r>
              <w:rPr>
                <w:rFonts w:hint="eastAsia"/>
                <w:b/>
                <w:color w:val="000000" w:themeColor="text1"/>
                <w:highlight w:val="none"/>
                <w14:textFill>
                  <w14:solidFill>
                    <w14:schemeClr w14:val="tx1"/>
                  </w14:solidFill>
                </w14:textFill>
              </w:rPr>
              <w:t>），供应商最后磋商总报价（包含安全文明施工费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安全生产责任保险费暂估价</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规费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增值税</w:t>
            </w:r>
            <w:r>
              <w:rPr>
                <w:rFonts w:hint="eastAsia"/>
                <w:b/>
                <w:color w:val="000000" w:themeColor="text1"/>
                <w:highlight w:val="none"/>
                <w:lang w:eastAsia="zh-CN"/>
                <w14:textFill>
                  <w14:solidFill>
                    <w14:schemeClr w14:val="tx1"/>
                  </w14:solidFill>
                </w14:textFill>
              </w:rPr>
              <w:t>、暂列金额、材料（工程设备）暂估价、专业暂估价</w:t>
            </w:r>
            <w:r>
              <w:rPr>
                <w:rFonts w:hint="eastAsia"/>
                <w:b/>
                <w:color w:val="000000" w:themeColor="text1"/>
                <w:highlight w:val="none"/>
                <w14:textFill>
                  <w14:solidFill>
                    <w14:schemeClr w14:val="tx1"/>
                  </w14:solidFill>
                </w14:textFill>
              </w:rPr>
              <w:t>）不得超出本工程上限控制价，否则，响应文件无效。</w:t>
            </w:r>
          </w:p>
        </w:tc>
      </w:tr>
      <w:tr w14:paraId="56C7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402C5A5D">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942" w:type="dxa"/>
            <w:vAlign w:val="center"/>
          </w:tcPr>
          <w:p w14:paraId="7E03E185">
            <w:pPr>
              <w:spacing w:line="400" w:lineRule="exact"/>
              <w:jc w:val="center"/>
              <w:rPr>
                <w:color w:val="000000" w:themeColor="text1"/>
                <w:position w:val="-2"/>
                <w:szCs w:val="21"/>
                <w:highlight w:val="none"/>
                <w14:textFill>
                  <w14:solidFill>
                    <w14:schemeClr w14:val="tx1"/>
                  </w14:solidFill>
                </w14:textFill>
              </w:rPr>
            </w:pPr>
            <w:r>
              <w:rPr>
                <w:color w:val="000000" w:themeColor="text1"/>
                <w:position w:val="-2"/>
                <w:szCs w:val="21"/>
                <w:highlight w:val="none"/>
                <w14:textFill>
                  <w14:solidFill>
                    <w14:schemeClr w14:val="tx1"/>
                  </w14:solidFill>
                </w14:textFill>
              </w:rPr>
              <w:t>14.1</w:t>
            </w:r>
          </w:p>
        </w:tc>
        <w:tc>
          <w:tcPr>
            <w:tcW w:w="1775" w:type="dxa"/>
            <w:vAlign w:val="center"/>
          </w:tcPr>
          <w:p w14:paraId="72E12E41">
            <w:pPr>
              <w:spacing w:line="400" w:lineRule="exact"/>
              <w:jc w:val="center"/>
              <w:rPr>
                <w:color w:val="000000" w:themeColor="text1"/>
                <w:position w:val="-2"/>
                <w:szCs w:val="21"/>
                <w:highlight w:val="none"/>
                <w14:textFill>
                  <w14:solidFill>
                    <w14:schemeClr w14:val="tx1"/>
                  </w14:solidFill>
                </w14:textFill>
              </w:rPr>
            </w:pPr>
            <w:r>
              <w:rPr>
                <w:color w:val="000000" w:themeColor="text1"/>
                <w:position w:val="-2"/>
                <w:szCs w:val="21"/>
                <w:highlight w:val="none"/>
                <w14:textFill>
                  <w14:solidFill>
                    <w14:schemeClr w14:val="tx1"/>
                  </w14:solidFill>
                </w14:textFill>
              </w:rPr>
              <w:t>响应文件有效期</w:t>
            </w:r>
          </w:p>
        </w:tc>
        <w:tc>
          <w:tcPr>
            <w:tcW w:w="6221" w:type="dxa"/>
          </w:tcPr>
          <w:p w14:paraId="5D17262D">
            <w:pPr>
              <w:tabs>
                <w:tab w:val="left" w:pos="1305"/>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响应文件递交截止时间之日起90天，有效期不足的响应文件将被拒绝。</w:t>
            </w:r>
          </w:p>
        </w:tc>
      </w:tr>
      <w:tr w14:paraId="4BFF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500AF39B">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p>
        </w:tc>
        <w:tc>
          <w:tcPr>
            <w:tcW w:w="942" w:type="dxa"/>
            <w:vAlign w:val="center"/>
          </w:tcPr>
          <w:p w14:paraId="287BD5CE">
            <w:pPr>
              <w:spacing w:line="400" w:lineRule="exact"/>
              <w:jc w:val="center"/>
              <w:rPr>
                <w:color w:val="000000" w:themeColor="text1"/>
                <w:position w:val="-2"/>
                <w:szCs w:val="21"/>
                <w:highlight w:val="none"/>
                <w14:textFill>
                  <w14:solidFill>
                    <w14:schemeClr w14:val="tx1"/>
                  </w14:solidFill>
                </w14:textFill>
              </w:rPr>
            </w:pPr>
            <w:r>
              <w:rPr>
                <w:color w:val="000000" w:themeColor="text1"/>
                <w:position w:val="-2"/>
                <w:szCs w:val="21"/>
                <w:highlight w:val="none"/>
                <w14:textFill>
                  <w14:solidFill>
                    <w14:schemeClr w14:val="tx1"/>
                  </w14:solidFill>
                </w14:textFill>
              </w:rPr>
              <w:t>15</w:t>
            </w:r>
          </w:p>
        </w:tc>
        <w:tc>
          <w:tcPr>
            <w:tcW w:w="1775" w:type="dxa"/>
            <w:vAlign w:val="center"/>
          </w:tcPr>
          <w:p w14:paraId="0B9768F7">
            <w:pPr>
              <w:spacing w:line="400" w:lineRule="exact"/>
              <w:jc w:val="center"/>
              <w:rPr>
                <w:color w:val="000000" w:themeColor="text1"/>
                <w:position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w:t>
            </w:r>
            <w:r>
              <w:rPr>
                <w:color w:val="000000" w:themeColor="text1"/>
                <w:position w:val="-2"/>
                <w:szCs w:val="21"/>
                <w:highlight w:val="none"/>
                <w14:textFill>
                  <w14:solidFill>
                    <w14:schemeClr w14:val="tx1"/>
                  </w14:solidFill>
                </w14:textFill>
              </w:rPr>
              <w:t>保证金</w:t>
            </w:r>
          </w:p>
        </w:tc>
        <w:tc>
          <w:tcPr>
            <w:tcW w:w="6221" w:type="dxa"/>
          </w:tcPr>
          <w:p w14:paraId="19FF16CF">
            <w:pPr>
              <w:tabs>
                <w:tab w:val="left" w:pos="1305"/>
              </w:tabs>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本项目竞标保证金按采购项目预算金额的</w:t>
            </w:r>
            <w:r>
              <w:rPr>
                <w:rFonts w:hint="eastAsia"/>
                <w:color w:val="000000" w:themeColor="text1"/>
                <w:szCs w:val="21"/>
                <w:highlight w:val="none"/>
                <w:u w:val="single"/>
                <w14:textFill>
                  <w14:solidFill>
                    <w14:schemeClr w14:val="tx1"/>
                  </w14:solidFill>
                </w14:textFill>
              </w:rPr>
              <w:t xml:space="preserve"> 1 </w:t>
            </w:r>
            <w:r>
              <w:rPr>
                <w:rFonts w:hint="eastAsia"/>
                <w:color w:val="000000" w:themeColor="text1"/>
                <w:szCs w:val="21"/>
                <w:highlight w:val="none"/>
                <w14:textFill>
                  <w14:solidFill>
                    <w14:schemeClr w14:val="tx1"/>
                  </w14:solidFill>
                </w14:textFill>
              </w:rPr>
              <w:t>%金额：</w:t>
            </w:r>
            <w:r>
              <w:rPr>
                <w:rFonts w:hint="eastAsia"/>
                <w:b/>
                <w:color w:val="000000" w:themeColor="text1"/>
                <w:szCs w:val="21"/>
                <w:highlight w:val="none"/>
                <w14:textFill>
                  <w14:solidFill>
                    <w14:schemeClr w14:val="tx1"/>
                  </w14:solidFill>
                </w14:textFill>
              </w:rPr>
              <w:t>（大写）</w:t>
            </w:r>
            <w:r>
              <w:rPr>
                <w:rFonts w:hint="eastAsia"/>
                <w:b/>
                <w:color w:val="000000" w:themeColor="text1"/>
                <w:szCs w:val="21"/>
                <w:highlight w:val="none"/>
                <w:lang w:val="en-US" w:eastAsia="zh-CN"/>
                <w14:textFill>
                  <w14:solidFill>
                    <w14:schemeClr w14:val="tx1"/>
                  </w14:solidFill>
                </w14:textFill>
              </w:rPr>
              <w:t>玖仟捌佰元整</w:t>
            </w:r>
            <w:r>
              <w:rPr>
                <w:rFonts w:hint="eastAsia"/>
                <w:b/>
                <w:color w:val="000000" w:themeColor="text1"/>
                <w:szCs w:val="21"/>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980</w:t>
            </w:r>
            <w:r>
              <w:rPr>
                <w:rFonts w:hint="eastAsia"/>
                <w:b/>
                <w:color w:val="000000" w:themeColor="text1"/>
                <w:szCs w:val="21"/>
                <w:highlight w:val="none"/>
                <w14:textFill>
                  <w14:solidFill>
                    <w14:schemeClr w14:val="tx1"/>
                  </w14:solidFill>
                </w14:textFill>
              </w:rPr>
              <w:t>0</w:t>
            </w:r>
            <w:r>
              <w:rPr>
                <w:rFonts w:hint="eastAsia"/>
                <w:b/>
                <w:color w:val="000000" w:themeColor="text1"/>
                <w:szCs w:val="21"/>
                <w:highlight w:val="none"/>
                <w:lang w:val="en-US" w:eastAsia="zh-CN"/>
                <w14:textFill>
                  <w14:solidFill>
                    <w14:schemeClr w14:val="tx1"/>
                  </w14:solidFill>
                </w14:textFill>
              </w:rPr>
              <w:t>.00</w:t>
            </w:r>
            <w:r>
              <w:rPr>
                <w:rFonts w:hint="eastAsia"/>
                <w:b/>
                <w:color w:val="000000" w:themeColor="text1"/>
                <w:szCs w:val="21"/>
                <w:highlight w:val="none"/>
                <w14:textFill>
                  <w14:solidFill>
                    <w14:schemeClr w14:val="tx1"/>
                  </w14:solidFill>
                </w14:textFill>
              </w:rPr>
              <w:t>元）</w:t>
            </w:r>
          </w:p>
          <w:p w14:paraId="270406F3">
            <w:pPr>
              <w:tabs>
                <w:tab w:val="left" w:pos="1305"/>
              </w:tabs>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缴纳截止时间：202</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日09: 30(本项目提交</w:t>
            </w:r>
            <w:r>
              <w:rPr>
                <w:rFonts w:hint="eastAsia"/>
                <w:color w:val="000000" w:themeColor="text1"/>
                <w:szCs w:val="21"/>
                <w:highlight w:val="none"/>
                <w:lang w:val="en-US" w:eastAsia="zh-CN"/>
                <w14:textFill>
                  <w14:solidFill>
                    <w14:schemeClr w14:val="tx1"/>
                  </w14:solidFill>
                </w14:textFill>
              </w:rPr>
              <w:t>响应</w:t>
            </w:r>
            <w:r>
              <w:rPr>
                <w:rFonts w:hint="eastAsia"/>
                <w:color w:val="000000" w:themeColor="text1"/>
                <w:szCs w:val="21"/>
                <w:highlight w:val="none"/>
                <w14:textFill>
                  <w14:solidFill>
                    <w14:schemeClr w14:val="tx1"/>
                  </w14:solidFill>
                </w14:textFill>
              </w:rPr>
              <w:t>文件截止时间），以竞标保证金账户实际收款时间为准。</w:t>
            </w:r>
          </w:p>
          <w:p w14:paraId="5B95C6A1">
            <w:pPr>
              <w:tabs>
                <w:tab w:val="left" w:pos="1305"/>
              </w:tabs>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缴纳方式：银行转账、电汇或网上支付、保函等方式提交。</w:t>
            </w:r>
          </w:p>
          <w:p w14:paraId="1E4C33EB">
            <w:pPr>
              <w:tabs>
                <w:tab w:val="left" w:pos="1305"/>
              </w:tabs>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（1）采用电汇、转账形式的供应商应于谈判截止时间前将竞标保证金从供应商账户一次性足额缴纳至本项目对应的专用账号，转账时备注转账时建议备注：“项目编号+项目名称+竞标保证金”</w:t>
            </w:r>
          </w:p>
          <w:p w14:paraId="39633929">
            <w:pPr>
              <w:tabs>
                <w:tab w:val="left" w:pos="1305"/>
              </w:tabs>
              <w:spacing w:line="400" w:lineRule="exac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（2）缴纳竞标保证金账户信息：</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开户名称:联云项目管理咨询有限公司桂林第一分公司</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开户银行:桂林银行股份有限公司中隐路支行；银行账号:6600 0001 9576 8000 16。</w:t>
            </w:r>
          </w:p>
          <w:p w14:paraId="03821238">
            <w:pPr>
              <w:pStyle w:val="69"/>
              <w:ind w:left="0" w:leftChars="0"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凡未在规定时间内足额交纳或以其它方式交纳的竞标保证金均视为无效，其响应文件一律作无效处理。</w:t>
            </w:r>
          </w:p>
          <w:p w14:paraId="4696B1C1">
            <w:pPr>
              <w:pStyle w:val="69"/>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供应商应按上述要求交纳竞标保证金,并自行考虑到账时间，妥善安排竞标保证金交纳工作，确保按时到账。供应商应将竞标保证金交纳凭证</w:t>
            </w:r>
            <w:r>
              <w:rPr>
                <w:rFonts w:hint="eastAsia"/>
                <w:color w:val="000000" w:themeColor="text1"/>
                <w:sz w:val="21"/>
                <w:szCs w:val="21"/>
                <w:highlight w:val="none"/>
                <w:lang w:eastAsia="zh-CN"/>
                <w14:textFill>
                  <w14:solidFill>
                    <w14:schemeClr w14:val="tx1"/>
                  </w14:solidFill>
                </w14:textFill>
              </w:rPr>
              <w:t>扫描件</w:t>
            </w:r>
            <w:r>
              <w:rPr>
                <w:rFonts w:hint="eastAsia"/>
                <w:color w:val="000000" w:themeColor="text1"/>
                <w:sz w:val="21"/>
                <w:szCs w:val="21"/>
                <w:highlight w:val="none"/>
                <w14:textFill>
                  <w14:solidFill>
                    <w14:schemeClr w14:val="tx1"/>
                  </w14:solidFill>
                </w14:textFill>
              </w:rPr>
              <w:t>放入响应文件中，确保按时递交响应文件。否则，其响应文件无效。</w:t>
            </w:r>
          </w:p>
          <w:p w14:paraId="7BC1BF40">
            <w:pPr>
              <w:pStyle w:val="69"/>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.4对未足额、按时交纳竞标保证金的，均按未交纳竞标保证金处理，并由谈判小组现场核定该响应文件无效。</w:t>
            </w:r>
          </w:p>
          <w:p w14:paraId="4CB01EF5">
            <w:pPr>
              <w:pStyle w:val="69"/>
              <w:ind w:firstLine="0" w:firstLineChars="0"/>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5竞标保证金的退还均以转账形式（无息）退回到供应商银行账户。除谈判文件规定不予退还竞标保证金的情形外，未成交供应商的竞标保证金在成交通知书发出后四个工作日内，供应商提供本单位开户银行及账号后，以转账方式退还竞标保证金。成交供应商的竞标保证金在合同签订并将壹份采购合同原件送采购代理机构存档后的四个工作日内，以转账方式退还。</w:t>
            </w:r>
          </w:p>
        </w:tc>
      </w:tr>
      <w:tr w14:paraId="41B2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2" w:type="dxa"/>
            <w:vAlign w:val="center"/>
          </w:tcPr>
          <w:p w14:paraId="0FC1111E">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p>
        </w:tc>
        <w:tc>
          <w:tcPr>
            <w:tcW w:w="942" w:type="dxa"/>
            <w:vAlign w:val="center"/>
          </w:tcPr>
          <w:p w14:paraId="39659AE3">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w:t>
            </w:r>
          </w:p>
        </w:tc>
        <w:tc>
          <w:tcPr>
            <w:tcW w:w="1775" w:type="dxa"/>
            <w:vAlign w:val="center"/>
          </w:tcPr>
          <w:p w14:paraId="4E0BBCFC">
            <w:pPr>
              <w:keepNext/>
              <w:keepLines/>
              <w:spacing w:line="400" w:lineRule="exact"/>
              <w:jc w:val="center"/>
              <w:rPr>
                <w:color w:val="000000" w:themeColor="text1"/>
                <w:szCs w:val="21"/>
                <w:highlight w:val="none"/>
                <w14:textFill>
                  <w14:solidFill>
                    <w14:schemeClr w14:val="tx1"/>
                  </w14:solidFill>
                </w14:textFill>
              </w:rPr>
            </w:pPr>
            <w:bookmarkStart w:id="102" w:name="_Toc4542"/>
            <w:bookmarkStart w:id="103" w:name="_Toc19954"/>
            <w:bookmarkStart w:id="104" w:name="_Toc27452"/>
            <w:bookmarkStart w:id="105" w:name="_Toc19911"/>
            <w:r>
              <w:rPr>
                <w:bCs/>
                <w:color w:val="000000" w:themeColor="text1"/>
                <w:szCs w:val="21"/>
                <w:highlight w:val="none"/>
                <w14:textFill>
                  <w14:solidFill>
                    <w14:schemeClr w14:val="tx1"/>
                  </w14:solidFill>
                </w14:textFill>
              </w:rPr>
              <w:t>竞争性磋商响应文件的制作</w:t>
            </w:r>
            <w:bookmarkEnd w:id="102"/>
            <w:bookmarkEnd w:id="103"/>
            <w:bookmarkEnd w:id="104"/>
            <w:bookmarkEnd w:id="105"/>
          </w:p>
        </w:tc>
        <w:tc>
          <w:tcPr>
            <w:tcW w:w="6221" w:type="dxa"/>
            <w:vAlign w:val="center"/>
          </w:tcPr>
          <w:p w14:paraId="60D892E9">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E7F417C">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5F61944B">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16.3 磋商响应文件不得涂改，若有修改错漏处，须法定代表人（负责人）或授权委托人签字（或个人CA签章）。磋商响应文件因字迹潦草或表达不清所引起的后果由供应商负责。</w:t>
            </w:r>
          </w:p>
          <w:p w14:paraId="396AC8C8">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16.4磋商前准备 </w:t>
            </w:r>
          </w:p>
          <w:p w14:paraId="7D7D8AD5">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16.4.1本项目实行在线磋商，采用电子磋商响应文件。若供应商参与磋商，自行承担磋商一切费用。 </w:t>
            </w:r>
          </w:p>
          <w:p w14:paraId="05097897">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16.4.2各供应商应在截标前应确保成为政采云平台正式注册入库供应商，并完成 CA 数字证书申领。因未注册入库、未办理 CA 数字证书等原因造成无法磋商或磋商失败等后果由供应商自行承担。 </w:t>
            </w:r>
          </w:p>
          <w:p w14:paraId="2780B4E4">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16.4.3供应商将政采云电子交易客户端下载、安装完成后，可通过账号密码或CA登录客户端进行响应文件制作。客户端请至网站下载专区查看，如有问题拨打政采云服务热线95763获取热线服务帮助</w:t>
            </w:r>
            <w:r>
              <w:rPr>
                <w:rFonts w:hint="eastAsia"/>
                <w:color w:val="000000" w:themeColor="text1"/>
                <w:szCs w:val="21"/>
                <w:highlight w:val="none"/>
                <w14:textFill>
                  <w14:solidFill>
                    <w14:schemeClr w14:val="tx1"/>
                  </w14:solidFill>
                </w14:textFill>
              </w:rPr>
              <w:t>。</w:t>
            </w:r>
          </w:p>
        </w:tc>
      </w:tr>
      <w:tr w14:paraId="1417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14:paraId="4E564C0A">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p>
        </w:tc>
        <w:tc>
          <w:tcPr>
            <w:tcW w:w="942" w:type="dxa"/>
            <w:vAlign w:val="center"/>
          </w:tcPr>
          <w:p w14:paraId="17C4527E">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18.1</w:t>
            </w:r>
          </w:p>
        </w:tc>
        <w:tc>
          <w:tcPr>
            <w:tcW w:w="1775" w:type="dxa"/>
            <w:vAlign w:val="center"/>
          </w:tcPr>
          <w:p w14:paraId="3EDC03A0">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响应文件递交截止时间</w:t>
            </w:r>
          </w:p>
        </w:tc>
        <w:tc>
          <w:tcPr>
            <w:tcW w:w="6221" w:type="dxa"/>
            <w:vAlign w:val="center"/>
          </w:tcPr>
          <w:p w14:paraId="2FB4CC0A">
            <w:pPr>
              <w:spacing w:line="400" w:lineRule="exact"/>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于</w:t>
            </w:r>
            <w:r>
              <w:rPr>
                <w:rFonts w:hint="eastAsia"/>
                <w:color w:val="000000" w:themeColor="text1"/>
                <w:szCs w:val="21"/>
                <w:highlight w:val="none"/>
                <w:u w:val="single"/>
                <w14:textFill>
                  <w14:solidFill>
                    <w14:schemeClr w14:val="tx1"/>
                  </w14:solidFill>
                </w14:textFill>
              </w:rPr>
              <w:t>202</w:t>
            </w:r>
            <w:r>
              <w:rPr>
                <w:rFonts w:hint="eastAsia"/>
                <w:color w:val="000000" w:themeColor="text1"/>
                <w:szCs w:val="21"/>
                <w:highlight w:val="none"/>
                <w:u w:val="single"/>
                <w:lang w:val="en-US" w:eastAsia="zh-CN"/>
                <w14:textFill>
                  <w14:solidFill>
                    <w14:schemeClr w14:val="tx1"/>
                  </w14:solidFill>
                </w14:textFill>
              </w:rPr>
              <w:t>5</w:t>
            </w:r>
            <w:r>
              <w:rPr>
                <w:rFonts w:hint="eastAsia"/>
                <w:color w:val="000000" w:themeColor="text1"/>
                <w:szCs w:val="21"/>
                <w:highlight w:val="none"/>
                <w:u w:val="single"/>
                <w14:textFill>
                  <w14:solidFill>
                    <w14:schemeClr w14:val="tx1"/>
                  </w14:solidFill>
                </w14:textFill>
              </w:rPr>
              <w:t>年</w:t>
            </w:r>
            <w:r>
              <w:rPr>
                <w:rFonts w:hint="eastAsia"/>
                <w:color w:val="000000" w:themeColor="text1"/>
                <w:szCs w:val="21"/>
                <w:highlight w:val="none"/>
                <w:u w:val="single"/>
                <w:lang w:val="en-US" w:eastAsia="zh-CN"/>
                <w14:textFill>
                  <w14:solidFill>
                    <w14:schemeClr w14:val="tx1"/>
                  </w14:solidFill>
                </w14:textFill>
              </w:rPr>
              <w:t>8</w:t>
            </w:r>
            <w:r>
              <w:rPr>
                <w:rFonts w:hint="eastAsia"/>
                <w:color w:val="000000" w:themeColor="text1"/>
                <w:szCs w:val="21"/>
                <w:highlight w:val="none"/>
                <w:u w:val="single"/>
                <w14:textFill>
                  <w14:solidFill>
                    <w14:schemeClr w14:val="tx1"/>
                  </w14:solidFill>
                </w14:textFill>
              </w:rPr>
              <w:t>月</w:t>
            </w:r>
            <w:r>
              <w:rPr>
                <w:rFonts w:hint="eastAsia"/>
                <w:color w:val="000000" w:themeColor="text1"/>
                <w:szCs w:val="21"/>
                <w:highlight w:val="none"/>
                <w:u w:val="single"/>
                <w:lang w:val="en-US" w:eastAsia="zh-CN"/>
                <w14:textFill>
                  <w14:solidFill>
                    <w14:schemeClr w14:val="tx1"/>
                  </w14:solidFill>
                </w14:textFill>
              </w:rPr>
              <w:t>1</w:t>
            </w:r>
            <w:r>
              <w:rPr>
                <w:rFonts w:hint="eastAsia"/>
                <w:color w:val="000000" w:themeColor="text1"/>
                <w:szCs w:val="21"/>
                <w:highlight w:val="none"/>
                <w:u w:val="single"/>
                <w14:textFill>
                  <w14:solidFill>
                    <w14:schemeClr w14:val="tx1"/>
                  </w14:solidFill>
                </w14:textFill>
              </w:rPr>
              <w:t>日9时30分</w:t>
            </w:r>
            <w:r>
              <w:rPr>
                <w:color w:val="000000" w:themeColor="text1"/>
                <w:szCs w:val="21"/>
                <w:highlight w:val="none"/>
                <w:u w:val="single"/>
                <w14:textFill>
                  <w14:solidFill>
                    <w14:schemeClr w14:val="tx1"/>
                  </w14:solidFill>
                </w14:textFill>
              </w:rPr>
              <w:t>（北京时间）</w:t>
            </w:r>
            <w:r>
              <w:rPr>
                <w:color w:val="000000" w:themeColor="text1"/>
                <w:szCs w:val="21"/>
                <w:highlight w:val="none"/>
                <w14:textFill>
                  <w14:solidFill>
                    <w14:schemeClr w14:val="tx1"/>
                  </w14:solidFill>
                </w14:textFill>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w:t>
            </w:r>
          </w:p>
        </w:tc>
      </w:tr>
      <w:tr w14:paraId="5DEB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2" w:type="dxa"/>
            <w:vAlign w:val="center"/>
          </w:tcPr>
          <w:p w14:paraId="4AE39BD7">
            <w:pPr>
              <w:spacing w:line="400" w:lineRule="exact"/>
              <w:jc w:val="center"/>
              <w:rPr>
                <w:color w:val="000000" w:themeColor="text1"/>
                <w:position w:val="-2"/>
                <w:szCs w:val="21"/>
                <w:highlight w:val="none"/>
                <w14:textFill>
                  <w14:solidFill>
                    <w14:schemeClr w14:val="tx1"/>
                  </w14:solidFill>
                </w14:textFill>
              </w:rPr>
            </w:pPr>
            <w:r>
              <w:rPr>
                <w:color w:val="000000" w:themeColor="text1"/>
                <w:position w:val="-2"/>
                <w:szCs w:val="21"/>
                <w:highlight w:val="none"/>
                <w14:textFill>
                  <w14:solidFill>
                    <w14:schemeClr w14:val="tx1"/>
                  </w14:solidFill>
                </w14:textFill>
              </w:rPr>
              <w:t>9</w:t>
            </w:r>
          </w:p>
        </w:tc>
        <w:tc>
          <w:tcPr>
            <w:tcW w:w="942" w:type="dxa"/>
            <w:vAlign w:val="center"/>
          </w:tcPr>
          <w:p w14:paraId="4611992E">
            <w:pPr>
              <w:spacing w:line="400" w:lineRule="exact"/>
              <w:jc w:val="center"/>
              <w:rPr>
                <w:color w:val="000000" w:themeColor="text1"/>
                <w:position w:val="-2"/>
                <w:szCs w:val="21"/>
                <w:highlight w:val="none"/>
                <w14:textFill>
                  <w14:solidFill>
                    <w14:schemeClr w14:val="tx1"/>
                  </w14:solidFill>
                </w14:textFill>
              </w:rPr>
            </w:pPr>
            <w:r>
              <w:rPr>
                <w:color w:val="000000" w:themeColor="text1"/>
                <w:position w:val="-2"/>
                <w:szCs w:val="21"/>
                <w:highlight w:val="none"/>
                <w14:textFill>
                  <w14:solidFill>
                    <w14:schemeClr w14:val="tx1"/>
                  </w14:solidFill>
                </w14:textFill>
              </w:rPr>
              <w:t>18.2</w:t>
            </w:r>
          </w:p>
        </w:tc>
        <w:tc>
          <w:tcPr>
            <w:tcW w:w="1775" w:type="dxa"/>
            <w:vAlign w:val="center"/>
          </w:tcPr>
          <w:p w14:paraId="1B7FC903">
            <w:pPr>
              <w:spacing w:line="400" w:lineRule="exact"/>
              <w:jc w:val="center"/>
              <w:rPr>
                <w:color w:val="000000" w:themeColor="text1"/>
                <w:position w:val="-2"/>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磋商响应文件解密时间</w:t>
            </w:r>
          </w:p>
        </w:tc>
        <w:tc>
          <w:tcPr>
            <w:tcW w:w="6221" w:type="dxa"/>
            <w:vAlign w:val="center"/>
          </w:tcPr>
          <w:p w14:paraId="4D6E5E23">
            <w:pPr>
              <w:pStyle w:val="18"/>
              <w:widowControl w:val="0"/>
              <w:spacing w:line="40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磋商响应文件解密时间（北京时间）</w:t>
            </w:r>
            <w:r>
              <w:rPr>
                <w:rFonts w:ascii="Times New Roman" w:hAnsi="Times New Roman"/>
                <w:color w:val="000000" w:themeColor="text1"/>
                <w:highlight w:val="none"/>
                <w14:textFill>
                  <w14:solidFill>
                    <w14:schemeClr w14:val="tx1"/>
                  </w14:solidFill>
                </w14:textFill>
              </w:rPr>
              <w:t>：截标时间后</w:t>
            </w:r>
            <w:r>
              <w:rPr>
                <w:rFonts w:ascii="Times New Roman" w:hAnsi="Times New Roman"/>
                <w:color w:val="000000" w:themeColor="text1"/>
                <w:highlight w:val="none"/>
                <w:u w:val="single"/>
                <w14:textFill>
                  <w14:solidFill>
                    <w14:schemeClr w14:val="tx1"/>
                  </w14:solidFill>
                </w14:textFill>
              </w:rPr>
              <w:t>30</w:t>
            </w:r>
            <w:r>
              <w:rPr>
                <w:rFonts w:ascii="Times New Roman" w:hAnsi="Times New Roman"/>
                <w:color w:val="000000" w:themeColor="text1"/>
                <w:highlight w:val="none"/>
                <w14:textFill>
                  <w14:solidFill>
                    <w14:schemeClr w14:val="tx1"/>
                  </w14:solidFill>
                </w14:textFill>
              </w:rPr>
              <w:t>分钟内（</w:t>
            </w:r>
            <w:r>
              <w:rPr>
                <w:rFonts w:hint="eastAsia" w:ascii="Times New Roman" w:hAnsi="Times New Roman"/>
                <w:color w:val="000000" w:themeColor="text1"/>
                <w:szCs w:val="21"/>
                <w:highlight w:val="none"/>
                <w:u w:val="single"/>
                <w14:textFill>
                  <w14:solidFill>
                    <w14:schemeClr w14:val="tx1"/>
                  </w14:solidFill>
                </w14:textFill>
              </w:rPr>
              <w:t>202</w:t>
            </w:r>
            <w:r>
              <w:rPr>
                <w:rFonts w:hint="eastAsia" w:ascii="Times New Roman" w:hAnsi="Times New Roman"/>
                <w:color w:val="000000" w:themeColor="text1"/>
                <w:szCs w:val="21"/>
                <w:highlight w:val="none"/>
                <w:u w:val="single"/>
                <w:lang w:val="en-US" w:eastAsia="zh-CN"/>
                <w14:textFill>
                  <w14:solidFill>
                    <w14:schemeClr w14:val="tx1"/>
                  </w14:solidFill>
                </w14:textFill>
              </w:rPr>
              <w:t>5</w:t>
            </w:r>
            <w:r>
              <w:rPr>
                <w:rFonts w:hint="eastAsia" w:ascii="Times New Roman" w:hAnsi="Times New Roman"/>
                <w:color w:val="000000" w:themeColor="text1"/>
                <w:szCs w:val="21"/>
                <w:highlight w:val="none"/>
                <w:u w:val="single"/>
                <w14:textFill>
                  <w14:solidFill>
                    <w14:schemeClr w14:val="tx1"/>
                  </w14:solidFill>
                </w14:textFill>
              </w:rPr>
              <w:t>年</w:t>
            </w:r>
            <w:r>
              <w:rPr>
                <w:rFonts w:hint="eastAsia" w:ascii="Times New Roman" w:hAnsi="Times New Roman"/>
                <w:color w:val="000000" w:themeColor="text1"/>
                <w:szCs w:val="21"/>
                <w:highlight w:val="none"/>
                <w:u w:val="single"/>
                <w:lang w:val="en-US" w:eastAsia="zh-CN"/>
                <w14:textFill>
                  <w14:solidFill>
                    <w14:schemeClr w14:val="tx1"/>
                  </w14:solidFill>
                </w14:textFill>
              </w:rPr>
              <w:t>8</w:t>
            </w:r>
            <w:r>
              <w:rPr>
                <w:rFonts w:hint="eastAsia" w:ascii="Times New Roman" w:hAnsi="Times New Roman"/>
                <w:color w:val="000000" w:themeColor="text1"/>
                <w:szCs w:val="21"/>
                <w:highlight w:val="none"/>
                <w:u w:val="single"/>
                <w14:textFill>
                  <w14:solidFill>
                    <w14:schemeClr w14:val="tx1"/>
                  </w14:solidFill>
                </w14:textFill>
              </w:rPr>
              <w:t>月</w:t>
            </w:r>
            <w:r>
              <w:rPr>
                <w:rFonts w:hint="eastAsia" w:ascii="Times New Roman" w:hAnsi="Times New Roman"/>
                <w:color w:val="000000" w:themeColor="text1"/>
                <w:szCs w:val="21"/>
                <w:highlight w:val="none"/>
                <w:u w:val="single"/>
                <w:lang w:val="en-US" w:eastAsia="zh-CN"/>
                <w14:textFill>
                  <w14:solidFill>
                    <w14:schemeClr w14:val="tx1"/>
                  </w14:solidFill>
                </w14:textFill>
              </w:rPr>
              <w:t>1</w:t>
            </w:r>
            <w:r>
              <w:rPr>
                <w:rFonts w:hint="eastAsia" w:ascii="Times New Roman" w:hAnsi="Times New Roman"/>
                <w:color w:val="000000" w:themeColor="text1"/>
                <w:szCs w:val="21"/>
                <w:highlight w:val="none"/>
                <w:u w:val="single"/>
                <w14:textFill>
                  <w14:solidFill>
                    <w14:schemeClr w14:val="tx1"/>
                  </w14:solidFill>
                </w14:textFill>
              </w:rPr>
              <w:t>日9时00分至9时30分</w:t>
            </w:r>
            <w:r>
              <w:rPr>
                <w:rFonts w:ascii="Times New Roman" w:hAnsi="Times New Roman"/>
                <w:color w:val="000000" w:themeColor="text1"/>
                <w:highlight w:val="none"/>
                <w14:textFill>
                  <w14:solidFill>
                    <w14:schemeClr w14:val="tx1"/>
                  </w14:solidFill>
                </w14:textFill>
              </w:rPr>
              <w:t>)磋商供应商可以登录政采云平台，用“项目采购-开标评标”功能进行解密磋商响应文件。</w:t>
            </w:r>
            <w:r>
              <w:rPr>
                <w:rFonts w:hint="eastAsia" w:ascii="宋体" w:hAnsi="宋体" w:cs="宋体"/>
                <w:color w:val="000000" w:themeColor="text1"/>
                <w:highlight w:val="none"/>
                <w14:textFill>
                  <w14:solidFill>
                    <w14:schemeClr w14:val="tx1"/>
                  </w14:solidFill>
                </w14:textFill>
              </w:rPr>
              <w:t>若磋商供应商在规定时间内无法解密或解密失败，视为无效响应。</w:t>
            </w:r>
          </w:p>
        </w:tc>
      </w:tr>
      <w:tr w14:paraId="2D79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2" w:type="dxa"/>
            <w:vAlign w:val="center"/>
          </w:tcPr>
          <w:p w14:paraId="788B7321">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w:t>
            </w:r>
          </w:p>
        </w:tc>
        <w:tc>
          <w:tcPr>
            <w:tcW w:w="942" w:type="dxa"/>
            <w:vAlign w:val="center"/>
          </w:tcPr>
          <w:p w14:paraId="1C0A5FD5">
            <w:pPr>
              <w:spacing w:line="400" w:lineRule="exact"/>
              <w:ind w:firstLine="105" w:firstLineChars="50"/>
              <w:jc w:val="center"/>
              <w:rPr>
                <w:color w:val="000000" w:themeColor="text1"/>
                <w:position w:val="-2"/>
                <w:szCs w:val="21"/>
                <w:highlight w:val="none"/>
                <w14:textFill>
                  <w14:solidFill>
                    <w14:schemeClr w14:val="tx1"/>
                  </w14:solidFill>
                </w14:textFill>
              </w:rPr>
            </w:pPr>
            <w:r>
              <w:rPr>
                <w:color w:val="000000" w:themeColor="text1"/>
                <w:position w:val="-2"/>
                <w:szCs w:val="21"/>
                <w:highlight w:val="none"/>
                <w14:textFill>
                  <w14:solidFill>
                    <w14:schemeClr w14:val="tx1"/>
                  </w14:solidFill>
                </w14:textFill>
              </w:rPr>
              <w:t>19.1</w:t>
            </w:r>
          </w:p>
        </w:tc>
        <w:tc>
          <w:tcPr>
            <w:tcW w:w="1775" w:type="dxa"/>
            <w:vAlign w:val="center"/>
          </w:tcPr>
          <w:p w14:paraId="60C79804">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磋商小组组成</w:t>
            </w:r>
          </w:p>
        </w:tc>
        <w:tc>
          <w:tcPr>
            <w:tcW w:w="6221" w:type="dxa"/>
            <w:vAlign w:val="center"/>
          </w:tcPr>
          <w:p w14:paraId="44389939">
            <w:pPr>
              <w:spacing w:line="400" w:lineRule="exact"/>
              <w:ind w:left="15" w:hanging="14" w:hangingChars="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磋商及评审工作由采购代理机构负责组织，具体磋商、评审工作由依法组建的磋商小组负责，磋商小组由采购人代表和有关方面的专家组成。磋商小组的构成：</w:t>
            </w:r>
            <w:r>
              <w:rPr>
                <w:color w:val="000000" w:themeColor="text1"/>
                <w:szCs w:val="21"/>
                <w:highlight w:val="none"/>
                <w:u w:val="single"/>
                <w14:textFill>
                  <w14:solidFill>
                    <w14:schemeClr w14:val="tx1"/>
                  </w14:solidFill>
                </w14:textFill>
              </w:rPr>
              <w:t xml:space="preserve">3 </w:t>
            </w:r>
            <w:r>
              <w:rPr>
                <w:color w:val="000000" w:themeColor="text1"/>
                <w:szCs w:val="21"/>
                <w:highlight w:val="none"/>
                <w14:textFill>
                  <w14:solidFill>
                    <w14:schemeClr w14:val="tx1"/>
                  </w14:solidFill>
                </w14:textFill>
              </w:rPr>
              <w:t>人，其中采购人代表</w:t>
            </w:r>
            <w:r>
              <w:rPr>
                <w:color w:val="000000" w:themeColor="text1"/>
                <w:szCs w:val="21"/>
                <w:highlight w:val="none"/>
                <w:u w:val="single"/>
                <w14:textFill>
                  <w14:solidFill>
                    <w14:schemeClr w14:val="tx1"/>
                  </w14:solidFill>
                </w14:textFill>
              </w:rPr>
              <w:t xml:space="preserve"> 1 </w:t>
            </w:r>
            <w:r>
              <w:rPr>
                <w:color w:val="000000" w:themeColor="text1"/>
                <w:szCs w:val="21"/>
                <w:highlight w:val="none"/>
                <w14:textFill>
                  <w14:solidFill>
                    <w14:schemeClr w14:val="tx1"/>
                  </w14:solidFill>
                </w14:textFill>
              </w:rPr>
              <w:t>人，专家</w:t>
            </w:r>
            <w:r>
              <w:rPr>
                <w:color w:val="000000" w:themeColor="text1"/>
                <w:szCs w:val="21"/>
                <w:highlight w:val="none"/>
                <w:u w:val="single"/>
                <w14:textFill>
                  <w14:solidFill>
                    <w14:schemeClr w14:val="tx1"/>
                  </w14:solidFill>
                </w14:textFill>
              </w:rPr>
              <w:t xml:space="preserve"> 2 </w:t>
            </w:r>
            <w:r>
              <w:rPr>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14:textFill>
                  <w14:solidFill>
                    <w14:schemeClr w14:val="tx1"/>
                  </w14:solidFill>
                </w14:textFill>
              </w:rPr>
              <w:t>评审前从政府采购云平台专家库中通过电脑随机抽取。</w:t>
            </w:r>
          </w:p>
        </w:tc>
      </w:tr>
      <w:tr w14:paraId="35D5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62" w:type="dxa"/>
            <w:vAlign w:val="center"/>
          </w:tcPr>
          <w:p w14:paraId="1F02DF6A">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w:t>
            </w:r>
          </w:p>
        </w:tc>
        <w:tc>
          <w:tcPr>
            <w:tcW w:w="942" w:type="dxa"/>
            <w:vAlign w:val="center"/>
          </w:tcPr>
          <w:p w14:paraId="679FF5AB">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w:t>
            </w:r>
          </w:p>
        </w:tc>
        <w:tc>
          <w:tcPr>
            <w:tcW w:w="1775" w:type="dxa"/>
            <w:vAlign w:val="center"/>
          </w:tcPr>
          <w:p w14:paraId="07C80218">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磋商时间、地点、人员</w:t>
            </w:r>
          </w:p>
        </w:tc>
        <w:tc>
          <w:tcPr>
            <w:tcW w:w="6221" w:type="dxa"/>
          </w:tcPr>
          <w:p w14:paraId="0F42B68A">
            <w:pPr>
              <w:spacing w:line="400" w:lineRule="exact"/>
              <w:ind w:left="315" w:hanging="315" w:hangingChars="15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19.2.1磋商时间：响应文件递交截止时间后。</w:t>
            </w:r>
          </w:p>
          <w:p w14:paraId="38BBE289">
            <w:pPr>
              <w:spacing w:line="4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19.2.2磋商地点：本项目需要磋商供应商代表在截标当天截标后，按磋商小组要求及时登陆政采云平台等候在线磋商。</w:t>
            </w:r>
          </w:p>
          <w:p w14:paraId="5EE67C32">
            <w:pPr>
              <w:spacing w:line="400" w:lineRule="exact"/>
              <w:ind w:left="15" w:hanging="14" w:hangingChars="7"/>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19.2.3磋商参加人员：供应商法定代表人、负责人、自然人或相应的委托代理人持有效身份证和供应商政采云平台CA数字证书参加磋商。请供应商按时等候磋商。</w:t>
            </w:r>
          </w:p>
          <w:p w14:paraId="0C977576">
            <w:pPr>
              <w:tabs>
                <w:tab w:val="left" w:pos="1140"/>
              </w:tabs>
              <w:spacing w:line="400" w:lineRule="exact"/>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19.2.4响应文件递交截止时间后，由磋商小组在评标室内线上开启响应文件。</w:t>
            </w:r>
          </w:p>
        </w:tc>
      </w:tr>
      <w:tr w14:paraId="2C7B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vAlign w:val="center"/>
          </w:tcPr>
          <w:p w14:paraId="568CDB1C">
            <w:pPr>
              <w:spacing w:line="400" w:lineRule="exact"/>
              <w:jc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12</w:t>
            </w:r>
          </w:p>
        </w:tc>
        <w:tc>
          <w:tcPr>
            <w:tcW w:w="942" w:type="dxa"/>
            <w:vAlign w:val="center"/>
          </w:tcPr>
          <w:p w14:paraId="38BD43C5">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20.2</w:t>
            </w:r>
          </w:p>
        </w:tc>
        <w:tc>
          <w:tcPr>
            <w:tcW w:w="1775" w:type="dxa"/>
            <w:vAlign w:val="center"/>
          </w:tcPr>
          <w:p w14:paraId="2816531A">
            <w:pPr>
              <w:pStyle w:val="27"/>
              <w:spacing w:line="400" w:lineRule="exact"/>
              <w:jc w:val="center"/>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评审办法</w:t>
            </w:r>
          </w:p>
        </w:tc>
        <w:tc>
          <w:tcPr>
            <w:tcW w:w="6221" w:type="dxa"/>
            <w:vAlign w:val="center"/>
          </w:tcPr>
          <w:p w14:paraId="1628D94C">
            <w:pPr>
              <w:tabs>
                <w:tab w:val="left" w:pos="11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具体详见第四章评审办法。</w:t>
            </w:r>
          </w:p>
        </w:tc>
      </w:tr>
      <w:tr w14:paraId="7960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vAlign w:val="center"/>
          </w:tcPr>
          <w:p w14:paraId="4BD7E920">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13</w:t>
            </w:r>
          </w:p>
        </w:tc>
        <w:tc>
          <w:tcPr>
            <w:tcW w:w="942" w:type="dxa"/>
            <w:vAlign w:val="center"/>
          </w:tcPr>
          <w:p w14:paraId="0F651EB8">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p>
        </w:tc>
        <w:tc>
          <w:tcPr>
            <w:tcW w:w="1775" w:type="dxa"/>
            <w:vAlign w:val="center"/>
          </w:tcPr>
          <w:p w14:paraId="45394B37">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信用查询</w:t>
            </w:r>
          </w:p>
        </w:tc>
        <w:tc>
          <w:tcPr>
            <w:tcW w:w="6221" w:type="dxa"/>
            <w:vAlign w:val="center"/>
          </w:tcPr>
          <w:p w14:paraId="6A288EC6">
            <w:pPr>
              <w:spacing w:line="400" w:lineRule="exact"/>
              <w:ind w:left="15" w:hanging="14" w:hangingChars="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根据《关于做好政府采购有关信用主体标识码登记及在政府采购活动中查询使用信用记录有关问题的通知》（桂财采〔2016〕37），由采购代理机构对第一成交候选人进行信用查询：</w:t>
            </w:r>
          </w:p>
          <w:p w14:paraId="602ED9C9">
            <w:pPr>
              <w:spacing w:line="400" w:lineRule="exact"/>
              <w:ind w:left="15" w:hanging="14" w:hangingChars="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⑴查询渠道：“信用中国”网站(www.creditchina.gov.cn)、中国政府采购网(www.ccgp.gov.cn)；</w:t>
            </w:r>
          </w:p>
          <w:p w14:paraId="41332EC6">
            <w:pPr>
              <w:spacing w:line="400" w:lineRule="exact"/>
              <w:ind w:left="315" w:hanging="315" w:hangingChars="15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⑵查询时间：成交通知书发出前；</w:t>
            </w:r>
          </w:p>
          <w:p w14:paraId="6714D370">
            <w:pPr>
              <w:spacing w:line="400" w:lineRule="exact"/>
              <w:ind w:left="15" w:hanging="14" w:hangingChars="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⑶信用信息查询记录和证据留存方式：在查询网站中直接打印查询记录，打印材料作为采购活动资料保存；</w:t>
            </w:r>
          </w:p>
          <w:p w14:paraId="5CEA1816">
            <w:pPr>
              <w:spacing w:line="400" w:lineRule="exact"/>
              <w:ind w:left="15" w:hanging="14" w:hangingChars="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⑷信用信息使用规则：对在“信用中国”网站(www.creditchina.gov.cn)、中国政府采购网(www.ccgp.gov.cn)渠道列入失信被执行人、</w:t>
            </w:r>
            <w:r>
              <w:rPr>
                <w:rFonts w:hint="eastAsia"/>
                <w:color w:val="000000" w:themeColor="text1"/>
                <w:szCs w:val="21"/>
                <w:highlight w:val="none"/>
                <w14:textFill>
                  <w14:solidFill>
                    <w14:schemeClr w14:val="tx1"/>
                  </w14:solidFill>
                </w14:textFill>
              </w:rPr>
              <w:t>重大税收违法失信主体</w:t>
            </w:r>
            <w:r>
              <w:rPr>
                <w:color w:val="000000" w:themeColor="text1"/>
                <w:szCs w:val="21"/>
                <w:highlight w:val="none"/>
                <w14:textFill>
                  <w14:solidFill>
                    <w14:schemeClr w14:val="tx1"/>
                  </w14:solidFill>
                </w14:textFill>
              </w:rPr>
              <w:t>、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F03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2" w:type="dxa"/>
            <w:vAlign w:val="center"/>
          </w:tcPr>
          <w:p w14:paraId="114C9B7E">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w:t>
            </w:r>
          </w:p>
        </w:tc>
        <w:tc>
          <w:tcPr>
            <w:tcW w:w="942" w:type="dxa"/>
            <w:vAlign w:val="center"/>
          </w:tcPr>
          <w:p w14:paraId="4EDE071C">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27</w:t>
            </w:r>
          </w:p>
        </w:tc>
        <w:tc>
          <w:tcPr>
            <w:tcW w:w="1775" w:type="dxa"/>
            <w:vAlign w:val="center"/>
          </w:tcPr>
          <w:p w14:paraId="01218D77">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成交结果公告</w:t>
            </w:r>
          </w:p>
          <w:p w14:paraId="65BCA754">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及成交通知书</w:t>
            </w:r>
          </w:p>
        </w:tc>
        <w:tc>
          <w:tcPr>
            <w:tcW w:w="6221" w:type="dxa"/>
          </w:tcPr>
          <w:p w14:paraId="1A1DFA4E">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8E83861">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27.2在发布成交公告的同时，采购代理机构向成交供应商发出成交通知书。成交供应商自接到通知之日起七个工作日内，办理成交通知书领取手续。</w:t>
            </w:r>
          </w:p>
        </w:tc>
      </w:tr>
      <w:tr w14:paraId="324B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62" w:type="dxa"/>
            <w:vAlign w:val="center"/>
          </w:tcPr>
          <w:p w14:paraId="500E14DC">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w:t>
            </w:r>
          </w:p>
        </w:tc>
        <w:tc>
          <w:tcPr>
            <w:tcW w:w="942" w:type="dxa"/>
            <w:vAlign w:val="center"/>
          </w:tcPr>
          <w:p w14:paraId="410B1287">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28</w:t>
            </w:r>
            <w:r>
              <w:rPr>
                <w:rFonts w:hint="eastAsia"/>
                <w:color w:val="000000" w:themeColor="text1"/>
                <w:szCs w:val="21"/>
                <w:highlight w:val="none"/>
                <w14:textFill>
                  <w14:solidFill>
                    <w14:schemeClr w14:val="tx1"/>
                  </w14:solidFill>
                </w14:textFill>
              </w:rPr>
              <w:t>.1</w:t>
            </w:r>
          </w:p>
        </w:tc>
        <w:tc>
          <w:tcPr>
            <w:tcW w:w="1775" w:type="dxa"/>
            <w:vAlign w:val="center"/>
          </w:tcPr>
          <w:p w14:paraId="16E67BE3">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w:t>
            </w:r>
          </w:p>
        </w:tc>
        <w:tc>
          <w:tcPr>
            <w:tcW w:w="6221" w:type="dxa"/>
            <w:vAlign w:val="center"/>
          </w:tcPr>
          <w:p w14:paraId="038EEBC0">
            <w:pPr>
              <w:spacing w:line="400" w:lineRule="exac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履约保证金金额：</w:t>
            </w:r>
            <w:r>
              <w:rPr>
                <w:rFonts w:hint="eastAsia" w:ascii="宋体" w:hAnsi="宋体" w:cs="宋体"/>
                <w:bCs/>
                <w:color w:val="000000" w:themeColor="text1"/>
                <w:szCs w:val="21"/>
                <w:highlight w:val="none"/>
                <w14:textFill>
                  <w14:solidFill>
                    <w14:schemeClr w14:val="tx1"/>
                  </w14:solidFill>
                </w14:textFill>
              </w:rPr>
              <w:t>在合同签订之前，成交供应商按成交金额的5%（如成交供应商为中小微企业的，按成交金额的2%））向采购人交纳履约保证金</w:t>
            </w:r>
            <w:r>
              <w:rPr>
                <w:rFonts w:hint="eastAsia" w:ascii="宋体" w:hAnsi="宋体" w:cs="宋体"/>
                <w:bCs/>
                <w:color w:val="000000" w:themeColor="text1"/>
                <w:szCs w:val="21"/>
                <w:highlight w:val="none"/>
                <w:lang w:eastAsia="zh-CN"/>
                <w14:textFill>
                  <w14:solidFill>
                    <w14:schemeClr w14:val="tx1"/>
                  </w14:solidFill>
                </w14:textFill>
              </w:rPr>
              <w:t>。</w:t>
            </w:r>
          </w:p>
          <w:p w14:paraId="30D95408">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履约保证金提交方式：以电汇、转账、汇票等非现金形式提交。由成交供应商在签订合同前按规定的金额直接缴入采购人账户。否则，不予办理签订合同。</w:t>
            </w:r>
          </w:p>
          <w:p w14:paraId="240CB81B">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履约保证金退付方式、时间及条件：履约保证金待履行完合同约定的权利义务事项后且不存在争议的，由成交供应商向履约保证金收取单位提供《广西壮族自治区政府采购项目合同验收书》及《政府采购项目履约保证金退付意见书》，履约保证金收取单位在收到合格材料后5个工作日内办理退还手续（不计利息）。</w:t>
            </w:r>
          </w:p>
          <w:p w14:paraId="5A1DB571">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履约保证金指定缴纳账户：</w:t>
            </w:r>
          </w:p>
          <w:p w14:paraId="3E43B56F">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开户名称：广西师范大学</w:t>
            </w:r>
          </w:p>
          <w:p w14:paraId="3C5B5590">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开户银行：中国工商银行股份有限公司桂林市高新科技支行</w:t>
            </w:r>
          </w:p>
          <w:p w14:paraId="0A3F0F18">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银行账号：2103215109264004618</w:t>
            </w:r>
          </w:p>
          <w:p w14:paraId="36374C22">
            <w:pPr>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备注：</w:t>
            </w:r>
          </w:p>
          <w:p w14:paraId="776AC1D4">
            <w:pPr>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1）根据《广西壮族自治区财政厅关于进一步发挥政府采购政策功能促进企业发展的通知》（桂财采〔2022〕30号）规定，鼓励采购人在与成交供应商签订政府采购合同时，可根据供应商的资信等情况减少或免于收取履约保证金，有必要收取履约保证金的，收取的履约保证金不得超过政府采购合同金额的5%，对中小企业收取的履约保证金数额不得超过政府采购合同金额的2%。</w:t>
            </w:r>
          </w:p>
          <w:p w14:paraId="0B8DFF9C">
            <w:pPr>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（2）履约保证金不足额缴纳的，或者金融、担保机构出具的保函额度不足的或者保函有效期低于合同履行期限（即签订采购合同之日起至履行完合同约定的权利及义务之日止）的，不予签订合同。</w:t>
            </w:r>
          </w:p>
          <w:p w14:paraId="5607F800">
            <w:pPr>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（3）采用金融、担保机构出具的保函的，必须为无条件保函，否则不予签订合同。</w:t>
            </w:r>
          </w:p>
          <w:p w14:paraId="3AA7F3F0">
            <w:pPr>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（4）供应商为联合体的，由联合体任意一方按规定提交的履约保证金，视为有效履约保证金。</w:t>
            </w:r>
          </w:p>
          <w:p w14:paraId="2EFDF2F5">
            <w:pPr>
              <w:spacing w:line="400" w:lineRule="exact"/>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（5）签订合同后，如中标供应商不按双方签订的合同规定履约，则不退还其全部履约保证金，履约保证金不足以赔偿损失的，按实际损失赔偿。</w:t>
            </w:r>
          </w:p>
        </w:tc>
      </w:tr>
      <w:tr w14:paraId="69BF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vAlign w:val="center"/>
          </w:tcPr>
          <w:p w14:paraId="54D7A42E">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16</w:t>
            </w:r>
          </w:p>
        </w:tc>
        <w:tc>
          <w:tcPr>
            <w:tcW w:w="942" w:type="dxa"/>
            <w:vAlign w:val="center"/>
          </w:tcPr>
          <w:p w14:paraId="104C187D">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29.1</w:t>
            </w:r>
          </w:p>
        </w:tc>
        <w:tc>
          <w:tcPr>
            <w:tcW w:w="1775" w:type="dxa"/>
            <w:vAlign w:val="center"/>
          </w:tcPr>
          <w:p w14:paraId="7C623F08">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签订合同时间</w:t>
            </w:r>
          </w:p>
        </w:tc>
        <w:tc>
          <w:tcPr>
            <w:tcW w:w="6221" w:type="dxa"/>
          </w:tcPr>
          <w:p w14:paraId="1870F647">
            <w:pPr>
              <w:spacing w:line="400" w:lineRule="exact"/>
              <w:rPr>
                <w:color w:val="000000" w:themeColor="text1"/>
                <w:szCs w:val="21"/>
                <w:highlight w:val="none"/>
                <w14:textFill>
                  <w14:solidFill>
                    <w14:schemeClr w14:val="tx1"/>
                  </w14:solidFill>
                </w14:textFill>
              </w:rPr>
            </w:pPr>
            <w:r>
              <w:rPr>
                <w:bCs/>
                <w:color w:val="000000" w:themeColor="text1"/>
                <w:kern w:val="0"/>
                <w:szCs w:val="21"/>
                <w:highlight w:val="none"/>
                <w14:textFill>
                  <w14:solidFill>
                    <w14:schemeClr w14:val="tx1"/>
                  </w14:solidFill>
                </w14:textFill>
              </w:rPr>
              <w:t>成交通知书发出之日起二十五日内签订合同</w:t>
            </w:r>
            <w:r>
              <w:rPr>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成交供应商领取成交通知书后，应按规定与采购人签订合同。</w:t>
            </w:r>
          </w:p>
        </w:tc>
      </w:tr>
      <w:tr w14:paraId="69CA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vAlign w:val="center"/>
          </w:tcPr>
          <w:p w14:paraId="2A79A3E5">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w:t>
            </w:r>
          </w:p>
        </w:tc>
        <w:tc>
          <w:tcPr>
            <w:tcW w:w="942" w:type="dxa"/>
            <w:vAlign w:val="center"/>
          </w:tcPr>
          <w:p w14:paraId="59D82C92">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29.3</w:t>
            </w:r>
          </w:p>
        </w:tc>
        <w:tc>
          <w:tcPr>
            <w:tcW w:w="1775" w:type="dxa"/>
            <w:vAlign w:val="center"/>
          </w:tcPr>
          <w:p w14:paraId="35DEC949">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合同备案存档</w:t>
            </w:r>
          </w:p>
        </w:tc>
        <w:tc>
          <w:tcPr>
            <w:tcW w:w="6221" w:type="dxa"/>
            <w:vAlign w:val="center"/>
          </w:tcPr>
          <w:p w14:paraId="0B34A602">
            <w:pPr>
              <w:spacing w:line="400" w:lineRule="exac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政府采购合同双方自签订之日起一个工作日内将合同原件一份交采购代理机构，采购代理机构将政府采购合同在省级以上人民政府财政部门指定媒体上公告。</w:t>
            </w:r>
          </w:p>
        </w:tc>
      </w:tr>
      <w:tr w14:paraId="0507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2" w:type="dxa"/>
            <w:vAlign w:val="center"/>
          </w:tcPr>
          <w:p w14:paraId="329F9518">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w:t>
            </w:r>
          </w:p>
        </w:tc>
        <w:tc>
          <w:tcPr>
            <w:tcW w:w="942" w:type="dxa"/>
            <w:vAlign w:val="center"/>
          </w:tcPr>
          <w:p w14:paraId="25CBCD94">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w:t>
            </w:r>
          </w:p>
        </w:tc>
        <w:tc>
          <w:tcPr>
            <w:tcW w:w="1775" w:type="dxa"/>
            <w:vAlign w:val="center"/>
          </w:tcPr>
          <w:p w14:paraId="199861D2">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采购代理服务费</w:t>
            </w:r>
          </w:p>
        </w:tc>
        <w:tc>
          <w:tcPr>
            <w:tcW w:w="6221" w:type="dxa"/>
          </w:tcPr>
          <w:p w14:paraId="3AF1F827">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30.1.采购代理服务费支付方式：</w:t>
            </w:r>
          </w:p>
          <w:p w14:paraId="4D55B3EB">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本项目采购代理服务费由成交供应商在签订合同前，以银行转账、电汇等方式一次性向采购代理机构支付。</w:t>
            </w:r>
          </w:p>
          <w:p w14:paraId="323B4680">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30.2采购代理服务费收取标准：</w:t>
            </w:r>
          </w:p>
          <w:p w14:paraId="25486964">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以项目成交总金额为计费额，按本须知正文第30.3条规定的收费计算标准工程类采用差额定率累进法计算出收费基准价格，采购代理机构收费以收费基准价格下浮</w:t>
            </w:r>
            <w:r>
              <w:rPr>
                <w:rFonts w:hint="eastAsia"/>
                <w:color w:val="000000" w:themeColor="text1"/>
                <w:highlight w:val="none"/>
                <w:lang w:val="en-US" w:eastAsia="zh-CN"/>
                <w14:textFill>
                  <w14:solidFill>
                    <w14:schemeClr w14:val="tx1"/>
                  </w14:solidFill>
                </w14:textFill>
              </w:rPr>
              <w:t>70</w:t>
            </w:r>
            <w:r>
              <w:rPr>
                <w:rFonts w:hint="eastAsia"/>
                <w:color w:val="000000" w:themeColor="text1"/>
                <w:highlight w:val="none"/>
                <w14:textFill>
                  <w14:solidFill>
                    <w14:schemeClr w14:val="tx1"/>
                  </w14:solidFill>
                </w14:textFill>
              </w:rPr>
              <w:t>%收取。</w:t>
            </w:r>
          </w:p>
          <w:p w14:paraId="351724CE">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30.3采购代理服务费收费计算标准：详见“供应商须知”正文30.3</w:t>
            </w:r>
          </w:p>
          <w:p w14:paraId="1E9C4F42">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30.4采购代理服务费缴纳账户：</w:t>
            </w:r>
          </w:p>
          <w:p w14:paraId="48E3369D">
            <w:pPr>
              <w:spacing w:line="400" w:lineRule="exact"/>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开户名称:联云项目管理咨询有限公司桂林第一分公司；</w:t>
            </w:r>
          </w:p>
          <w:p w14:paraId="00C5F2C4">
            <w:pPr>
              <w:spacing w:line="400" w:lineRule="exact"/>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开户银行:桂林银行股份有限公司中隐路支行；</w:t>
            </w:r>
          </w:p>
          <w:p w14:paraId="7B469C8E">
            <w:pPr>
              <w:spacing w:line="400" w:lineRule="exact"/>
              <w:rPr>
                <w:rFonts w:hint="eastAsia" w:eastAsia="宋体"/>
                <w:color w:val="000000" w:themeColor="text1"/>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银行账号:6600 0001 9576 8000 16</w:t>
            </w:r>
          </w:p>
        </w:tc>
      </w:tr>
      <w:tr w14:paraId="0EA4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vAlign w:val="center"/>
          </w:tcPr>
          <w:p w14:paraId="3CC22E33">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w:t>
            </w:r>
          </w:p>
        </w:tc>
        <w:tc>
          <w:tcPr>
            <w:tcW w:w="942" w:type="dxa"/>
            <w:vAlign w:val="center"/>
          </w:tcPr>
          <w:p w14:paraId="4411A11F">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31</w:t>
            </w:r>
          </w:p>
        </w:tc>
        <w:tc>
          <w:tcPr>
            <w:tcW w:w="1775" w:type="dxa"/>
            <w:vAlign w:val="center"/>
          </w:tcPr>
          <w:p w14:paraId="461735A2">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编制依据</w:t>
            </w:r>
          </w:p>
        </w:tc>
        <w:tc>
          <w:tcPr>
            <w:tcW w:w="6221" w:type="dxa"/>
          </w:tcPr>
          <w:p w14:paraId="56A9A4A4">
            <w:pPr>
              <w:spacing w:line="400" w:lineRule="exac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w:t>
            </w:r>
          </w:p>
        </w:tc>
      </w:tr>
      <w:tr w14:paraId="75FF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2" w:type="dxa"/>
            <w:vAlign w:val="center"/>
          </w:tcPr>
          <w:p w14:paraId="2E4AE866">
            <w:pPr>
              <w:spacing w:line="40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20</w:t>
            </w:r>
          </w:p>
        </w:tc>
        <w:tc>
          <w:tcPr>
            <w:tcW w:w="942" w:type="dxa"/>
            <w:vAlign w:val="center"/>
          </w:tcPr>
          <w:p w14:paraId="5D9C4BEA">
            <w:pPr>
              <w:spacing w:line="40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32</w:t>
            </w:r>
          </w:p>
        </w:tc>
        <w:tc>
          <w:tcPr>
            <w:tcW w:w="1775" w:type="dxa"/>
            <w:vAlign w:val="center"/>
          </w:tcPr>
          <w:p w14:paraId="5240424F">
            <w:pPr>
              <w:spacing w:line="400" w:lineRule="exact"/>
              <w:jc w:val="center"/>
              <w:rPr>
                <w:rFonts w:hint="eastAsia"/>
                <w:color w:val="000000" w:themeColor="text1"/>
                <w:szCs w:val="21"/>
                <w:highlight w:val="none"/>
                <w14:textFill>
                  <w14:solidFill>
                    <w14:schemeClr w14:val="tx1"/>
                  </w14:solidFill>
                </w14:textFill>
              </w:rPr>
            </w:pPr>
            <w:bookmarkStart w:id="106" w:name="_Toc21175"/>
            <w:r>
              <w:rPr>
                <w:rStyle w:val="100"/>
                <w:rFonts w:hint="eastAsia" w:ascii="宋体" w:hAnsi="宋体" w:cs="宋体"/>
                <w:color w:val="000000" w:themeColor="text1"/>
                <w:sz w:val="21"/>
                <w:szCs w:val="21"/>
                <w:highlight w:val="none"/>
                <w14:textFill>
                  <w14:solidFill>
                    <w14:schemeClr w14:val="tx1"/>
                  </w14:solidFill>
                </w14:textFill>
              </w:rPr>
              <w:t>监督管理机构</w:t>
            </w:r>
            <w:bookmarkEnd w:id="106"/>
          </w:p>
        </w:tc>
        <w:tc>
          <w:tcPr>
            <w:tcW w:w="6221" w:type="dxa"/>
          </w:tcPr>
          <w:p w14:paraId="11B0060C">
            <w:pPr>
              <w:spacing w:line="440" w:lineRule="exact"/>
              <w:outlineLvl w:val="2"/>
              <w:rPr>
                <w:rFonts w:hint="eastAsia"/>
                <w:color w:val="000000" w:themeColor="text1"/>
                <w:highlight w:val="none"/>
                <w14:textFill>
                  <w14:solidFill>
                    <w14:schemeClr w14:val="tx1"/>
                  </w14:solidFill>
                </w14:textFill>
              </w:rPr>
            </w:pPr>
            <w:bookmarkStart w:id="107" w:name="_Toc13380"/>
            <w:r>
              <w:rPr>
                <w:rFonts w:hint="eastAsia" w:ascii="宋体" w:hAnsi="宋体"/>
                <w:color w:val="000000" w:themeColor="text1"/>
                <w:highlight w:val="none"/>
                <w14:textFill>
                  <w14:solidFill>
                    <w14:schemeClr w14:val="tx1"/>
                  </w14:solidFill>
                </w14:textFill>
              </w:rPr>
              <w:t>广西壮族自治区财政厅</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联系电话：0771-5331544</w:t>
            </w:r>
            <w:bookmarkEnd w:id="107"/>
          </w:p>
        </w:tc>
      </w:tr>
    </w:tbl>
    <w:p w14:paraId="77DBE5C1">
      <w:pPr>
        <w:pStyle w:val="52"/>
        <w:ind w:left="0" w:leftChars="0" w:firstLine="0" w:firstLineChars="0"/>
        <w:rPr>
          <w:rFonts w:ascii="宋体" w:hAnsi="宋体" w:cs="宋体"/>
          <w:b/>
          <w:color w:val="000000" w:themeColor="text1"/>
          <w:sz w:val="28"/>
          <w:szCs w:val="28"/>
          <w:highlight w:val="none"/>
          <w14:textFill>
            <w14:solidFill>
              <w14:schemeClr w14:val="tx1"/>
            </w14:solidFill>
          </w14:textFill>
        </w:rPr>
      </w:pPr>
    </w:p>
    <w:p w14:paraId="09FCD7FA">
      <w:pPr>
        <w:pStyle w:val="3"/>
        <w:tabs>
          <w:tab w:val="left" w:pos="567"/>
        </w:tabs>
        <w:spacing w:line="440" w:lineRule="exact"/>
        <w:jc w:val="center"/>
        <w:rPr>
          <w:rFonts w:ascii="宋体" w:hAnsi="宋体" w:cs="宋体"/>
          <w:bCs w:val="0"/>
          <w:color w:val="000000" w:themeColor="text1"/>
          <w:szCs w:val="28"/>
          <w:highlight w:val="none"/>
          <w14:textFill>
            <w14:solidFill>
              <w14:schemeClr w14:val="tx1"/>
            </w14:solidFill>
          </w14:textFill>
        </w:rPr>
      </w:pPr>
      <w:bookmarkStart w:id="108" w:name="_Toc27120"/>
      <w:bookmarkStart w:id="109" w:name="_Toc22792"/>
      <w:bookmarkStart w:id="110" w:name="_Toc27216"/>
      <w:r>
        <w:rPr>
          <w:rFonts w:hint="eastAsia" w:ascii="宋体" w:hAnsi="宋体" w:cs="宋体"/>
          <w:bCs w:val="0"/>
          <w:color w:val="000000" w:themeColor="text1"/>
          <w:szCs w:val="28"/>
          <w:highlight w:val="none"/>
          <w14:textFill>
            <w14:solidFill>
              <w14:schemeClr w14:val="tx1"/>
            </w14:solidFill>
          </w14:textFill>
        </w:rPr>
        <w:br w:type="page"/>
      </w:r>
      <w:bookmarkStart w:id="111" w:name="_Toc6686"/>
      <w:bookmarkStart w:id="112" w:name="_Toc2231"/>
      <w:r>
        <w:rPr>
          <w:rFonts w:hint="eastAsia" w:ascii="宋体" w:hAnsi="宋体" w:cs="宋体"/>
          <w:bCs w:val="0"/>
          <w:color w:val="000000" w:themeColor="text1"/>
          <w:szCs w:val="28"/>
          <w:highlight w:val="none"/>
          <w14:textFill>
            <w14:solidFill>
              <w14:schemeClr w14:val="tx1"/>
            </w14:solidFill>
          </w14:textFill>
        </w:rPr>
        <w:t>一、总则</w:t>
      </w:r>
      <w:bookmarkEnd w:id="108"/>
      <w:bookmarkEnd w:id="109"/>
      <w:bookmarkEnd w:id="110"/>
      <w:bookmarkEnd w:id="111"/>
      <w:bookmarkEnd w:id="112"/>
    </w:p>
    <w:p w14:paraId="728E6BAB">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13" w:name="_Toc2996"/>
      <w:bookmarkStart w:id="114" w:name="_Toc3367"/>
      <w:bookmarkStart w:id="115" w:name="_Toc6626"/>
      <w:bookmarkStart w:id="116" w:name="_Toc16061"/>
      <w:r>
        <w:rPr>
          <w:rFonts w:hint="eastAsia" w:ascii="宋体" w:hAnsi="宋体" w:cs="宋体"/>
          <w:color w:val="000000" w:themeColor="text1"/>
          <w:sz w:val="21"/>
          <w:szCs w:val="21"/>
          <w:highlight w:val="none"/>
          <w14:textFill>
            <w14:solidFill>
              <w14:schemeClr w14:val="tx1"/>
            </w14:solidFill>
          </w14:textFill>
        </w:rPr>
        <w:t>1. 适应范围</w:t>
      </w:r>
      <w:bookmarkEnd w:id="113"/>
      <w:bookmarkEnd w:id="114"/>
      <w:bookmarkEnd w:id="115"/>
      <w:bookmarkEnd w:id="116"/>
    </w:p>
    <w:p w14:paraId="36A8AED9">
      <w:pPr>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  项目名称及项目编号：</w:t>
      </w:r>
    </w:p>
    <w:p w14:paraId="769A6DF9">
      <w:pPr>
        <w:spacing w:line="44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广西师范大学王城校区继续教育学院搬迁维修改造工程</w:t>
      </w:r>
    </w:p>
    <w:p w14:paraId="01EE33D1">
      <w:pPr>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项目编号：GXZC2025-C2-002062-GXLY</w:t>
      </w:r>
    </w:p>
    <w:p w14:paraId="16E9A605">
      <w:pPr>
        <w:spacing w:line="44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14:paraId="4C5C32C1">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17" w:name="_Toc11598"/>
      <w:bookmarkStart w:id="118" w:name="_Toc25139"/>
      <w:bookmarkStart w:id="119" w:name="_Toc28336"/>
      <w:bookmarkStart w:id="120" w:name="_Toc2845"/>
      <w:r>
        <w:rPr>
          <w:rFonts w:hint="eastAsia" w:ascii="宋体" w:hAnsi="宋体" w:cs="宋体"/>
          <w:color w:val="000000" w:themeColor="text1"/>
          <w:sz w:val="21"/>
          <w:szCs w:val="21"/>
          <w:highlight w:val="none"/>
          <w14:textFill>
            <w14:solidFill>
              <w14:schemeClr w14:val="tx1"/>
            </w14:solidFill>
          </w14:textFill>
        </w:rPr>
        <w:t>2. 定义</w:t>
      </w:r>
      <w:bookmarkEnd w:id="117"/>
      <w:bookmarkEnd w:id="118"/>
      <w:bookmarkEnd w:id="119"/>
      <w:bookmarkEnd w:id="120"/>
    </w:p>
    <w:p w14:paraId="4A39155D">
      <w:pPr>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14:paraId="298C4C00">
      <w:pPr>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14:paraId="22017B8E">
      <w:pPr>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2.3“服务”系指按磋商文件规定，供应商须承担的安装、调试、技术协助、校准、培训、技术指导以及其他类似的义务。</w:t>
      </w:r>
    </w:p>
    <w:p w14:paraId="23A1A691">
      <w:pPr>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2.4“项目”系指供应商按磋商文件规定向采购人提供的货物和服务。</w:t>
      </w:r>
    </w:p>
    <w:p w14:paraId="5D66DBC2">
      <w:pPr>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2.5“书面形式”包括信函、传真、电报等。</w:t>
      </w:r>
    </w:p>
    <w:p w14:paraId="44612787">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21" w:name="_Toc28542"/>
      <w:bookmarkStart w:id="122" w:name="_Toc2884"/>
      <w:bookmarkStart w:id="123" w:name="_Toc13017"/>
      <w:bookmarkStart w:id="124" w:name="_Toc25441"/>
      <w:r>
        <w:rPr>
          <w:rFonts w:hint="eastAsia" w:ascii="宋体" w:hAnsi="宋体" w:cs="宋体"/>
          <w:color w:val="000000" w:themeColor="text1"/>
          <w:sz w:val="21"/>
          <w:szCs w:val="21"/>
          <w:highlight w:val="none"/>
          <w14:textFill>
            <w14:solidFill>
              <w14:schemeClr w14:val="tx1"/>
            </w14:solidFill>
          </w14:textFill>
        </w:rPr>
        <w:t>3. 供应商资格</w:t>
      </w:r>
      <w:bookmarkEnd w:id="121"/>
      <w:bookmarkEnd w:id="122"/>
      <w:bookmarkEnd w:id="123"/>
      <w:bookmarkEnd w:id="124"/>
    </w:p>
    <w:p w14:paraId="2E7AE926">
      <w:pPr>
        <w:spacing w:line="440" w:lineRule="exact"/>
        <w:ind w:firstLine="435"/>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满足《中华人民共和国政府采购法》第二十二条规定</w:t>
      </w:r>
      <w:r>
        <w:rPr>
          <w:rFonts w:hint="eastAsia" w:ascii="宋体" w:hAnsi="宋体" w:cs="宋体"/>
          <w:bCs/>
          <w:color w:val="000000" w:themeColor="text1"/>
          <w:szCs w:val="21"/>
          <w:highlight w:val="none"/>
          <w14:textFill>
            <w14:solidFill>
              <w14:schemeClr w14:val="tx1"/>
            </w14:solidFill>
          </w14:textFill>
        </w:rPr>
        <w:t>；</w:t>
      </w:r>
    </w:p>
    <w:p w14:paraId="1B0A4D74">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bookmarkStart w:id="125" w:name="_Toc16496"/>
      <w:r>
        <w:rPr>
          <w:rFonts w:hint="eastAsia" w:ascii="宋体" w:hAnsi="宋体" w:cs="宋体"/>
          <w:color w:val="000000" w:themeColor="text1"/>
          <w:szCs w:val="21"/>
          <w:highlight w:val="none"/>
          <w14:textFill>
            <w14:solidFill>
              <w14:schemeClr w14:val="tx1"/>
            </w14:solidFill>
          </w14:textFill>
        </w:rPr>
        <w:t>3.2落实政府采购政策需满足的资格要求：</w:t>
      </w:r>
      <w:r>
        <w:rPr>
          <w:b/>
          <w:bCs/>
          <w:color w:val="000000" w:themeColor="text1"/>
          <w:szCs w:val="21"/>
          <w:highlight w:val="none"/>
          <w:u w:val="single"/>
          <w14:textFill>
            <w14:solidFill>
              <w14:schemeClr w14:val="tx1"/>
            </w14:solidFill>
          </w14:textFill>
        </w:rPr>
        <w:t>本项目为专门面向中小企业采购的项目。按桂财采〔2021〕70号《广西壮族自治区财政厅</w:t>
      </w:r>
      <w:r>
        <w:rPr>
          <w:rFonts w:hint="eastAsia"/>
          <w:b/>
          <w:bCs/>
          <w:color w:val="000000" w:themeColor="text1"/>
          <w:szCs w:val="21"/>
          <w:highlight w:val="none"/>
          <w:u w:val="single"/>
          <w14:textFill>
            <w14:solidFill>
              <w14:schemeClr w14:val="tx1"/>
            </w14:solidFill>
          </w14:textFill>
        </w:rPr>
        <w:t xml:space="preserve"> </w:t>
      </w:r>
      <w:r>
        <w:rPr>
          <w:b/>
          <w:bCs/>
          <w:color w:val="000000" w:themeColor="text1"/>
          <w:szCs w:val="21"/>
          <w:highlight w:val="none"/>
          <w:u w:val="single"/>
          <w14:textFill>
            <w14:solidFill>
              <w14:schemeClr w14:val="tx1"/>
            </w14:solidFill>
          </w14:textFill>
        </w:rPr>
        <w:t>广西壮族自治区工业和信息化厅关于贯彻落实政府采购促进中小企业发展管理办法的通知》规定，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000000" w:themeColor="text1"/>
          <w:szCs w:val="21"/>
          <w:highlight w:val="none"/>
          <w14:textFill>
            <w14:solidFill>
              <w14:schemeClr w14:val="tx1"/>
            </w14:solidFill>
          </w14:textFill>
        </w:rPr>
        <w:t>。</w:t>
      </w:r>
    </w:p>
    <w:p w14:paraId="235E09DC">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bookmarkStart w:id="126" w:name="_Toc3452"/>
      <w:bookmarkStart w:id="127" w:name="_Toc5736"/>
      <w:bookmarkStart w:id="128" w:name="_Toc4527"/>
      <w:r>
        <w:rPr>
          <w:rFonts w:hint="eastAsia" w:ascii="宋体" w:hAnsi="宋体" w:cs="宋体"/>
          <w:color w:val="000000" w:themeColor="text1"/>
          <w:szCs w:val="21"/>
          <w:highlight w:val="none"/>
          <w14:textFill>
            <w14:solidFill>
              <w14:schemeClr w14:val="tx1"/>
            </w14:solidFill>
          </w14:textFill>
        </w:rPr>
        <w:t>3.3本项目的特定资格要求：</w:t>
      </w:r>
      <w:bookmarkEnd w:id="126"/>
      <w:bookmarkEnd w:id="127"/>
      <w:bookmarkEnd w:id="128"/>
      <w:bookmarkStart w:id="129" w:name="_Toc9216"/>
      <w:r>
        <w:rPr>
          <w:b/>
          <w:bCs/>
          <w:color w:val="000000" w:themeColor="text1"/>
          <w:szCs w:val="21"/>
          <w:highlight w:val="none"/>
          <w:u w:val="single"/>
          <w14:textFill>
            <w14:solidFill>
              <w14:schemeClr w14:val="tx1"/>
            </w14:solidFill>
          </w14:textFill>
        </w:rPr>
        <w:t>具备</w:t>
      </w:r>
      <w:r>
        <w:rPr>
          <w:rFonts w:hint="eastAsia"/>
          <w:b/>
          <w:bCs/>
          <w:color w:val="000000" w:themeColor="text1"/>
          <w:szCs w:val="21"/>
          <w:highlight w:val="none"/>
          <w:u w:val="single"/>
          <w14:textFill>
            <w14:solidFill>
              <w14:schemeClr w14:val="tx1"/>
            </w14:solidFill>
          </w14:textFill>
        </w:rPr>
        <w:t>建筑装修装饰工程专业承包贰级（含贰级）</w:t>
      </w:r>
      <w:r>
        <w:rPr>
          <w:b/>
          <w:bCs/>
          <w:color w:val="000000" w:themeColor="text1"/>
          <w:szCs w:val="21"/>
          <w:highlight w:val="none"/>
          <w:u w:val="single"/>
          <w14:textFill>
            <w14:solidFill>
              <w14:schemeClr w14:val="tx1"/>
            </w14:solidFill>
          </w14:textFill>
        </w:rPr>
        <w:t>以上</w:t>
      </w:r>
      <w:r>
        <w:rPr>
          <w:rFonts w:hint="eastAsia"/>
          <w:b/>
          <w:bCs/>
          <w:color w:val="000000" w:themeColor="text1"/>
          <w:szCs w:val="21"/>
          <w:highlight w:val="none"/>
          <w:u w:val="single"/>
          <w14:textFill>
            <w14:solidFill>
              <w14:schemeClr w14:val="tx1"/>
            </w14:solidFill>
          </w14:textFill>
        </w:rPr>
        <w:t>或建筑工程施工总承包叁级（含叁级）以上</w:t>
      </w:r>
      <w:r>
        <w:rPr>
          <w:b/>
          <w:bCs/>
          <w:color w:val="000000" w:themeColor="text1"/>
          <w:szCs w:val="21"/>
          <w:highlight w:val="none"/>
          <w:u w:val="single"/>
          <w14:textFill>
            <w14:solidFill>
              <w14:schemeClr w14:val="tx1"/>
            </w14:solidFill>
          </w14:textFill>
        </w:rPr>
        <w:t>资质</w:t>
      </w:r>
      <w:r>
        <w:rPr>
          <w:rFonts w:hint="eastAsia"/>
          <w:b/>
          <w:bCs/>
          <w:color w:val="000000" w:themeColor="text1"/>
          <w:szCs w:val="21"/>
          <w:highlight w:val="none"/>
          <w:u w:val="single"/>
          <w14:textFill>
            <w14:solidFill>
              <w14:schemeClr w14:val="tx1"/>
            </w14:solidFill>
          </w14:textFill>
        </w:rPr>
        <w:t>并同时具备古建筑工程专业承包二级资质</w:t>
      </w:r>
      <w:r>
        <w:rPr>
          <w:b/>
          <w:bCs/>
          <w:color w:val="000000" w:themeColor="text1"/>
          <w:szCs w:val="21"/>
          <w:highlight w:val="none"/>
          <w:u w:val="single"/>
          <w14:textFill>
            <w14:solidFill>
              <w14:schemeClr w14:val="tx1"/>
            </w14:solidFill>
          </w14:textFill>
        </w:rPr>
        <w:t>，并在人员、设备、资金等方面具备相应的施工能力。拟派项目经理须具备</w:t>
      </w:r>
      <w:r>
        <w:rPr>
          <w:rFonts w:hint="eastAsia"/>
          <w:b/>
          <w:bCs/>
          <w:color w:val="000000" w:themeColor="text1"/>
          <w:szCs w:val="21"/>
          <w:highlight w:val="none"/>
          <w:u w:val="single"/>
          <w14:textFill>
            <w14:solidFill>
              <w14:schemeClr w14:val="tx1"/>
            </w14:solidFill>
          </w14:textFill>
        </w:rPr>
        <w:t>建筑工程二级</w:t>
      </w:r>
      <w:r>
        <w:rPr>
          <w:b/>
          <w:bCs/>
          <w:color w:val="000000" w:themeColor="text1"/>
          <w:szCs w:val="21"/>
          <w:highlight w:val="none"/>
          <w:u w:val="single"/>
          <w14:textFill>
            <w14:solidFill>
              <w14:schemeClr w14:val="tx1"/>
            </w14:solidFill>
          </w14:textFill>
        </w:rPr>
        <w:t>及以上注册建造师执业资格，具备有效的</w:t>
      </w:r>
      <w:r>
        <w:rPr>
          <w:rFonts w:hint="eastAsia"/>
          <w:b/>
          <w:bCs/>
          <w:color w:val="000000" w:themeColor="text1"/>
          <w:szCs w:val="21"/>
          <w:highlight w:val="none"/>
          <w:u w:val="single"/>
          <w14:textFill>
            <w14:solidFill>
              <w14:schemeClr w14:val="tx1"/>
            </w14:solidFill>
          </w14:textFill>
        </w:rPr>
        <w:t>安全生产考核合格证书（B类）</w:t>
      </w:r>
      <w:r>
        <w:rPr>
          <w:b/>
          <w:bCs/>
          <w:color w:val="000000" w:themeColor="text1"/>
          <w:szCs w:val="21"/>
          <w:highlight w:val="none"/>
          <w:u w:val="single"/>
          <w14:textFill>
            <w14:solidFill>
              <w14:schemeClr w14:val="tx1"/>
            </w14:solidFill>
          </w14:textFill>
        </w:rPr>
        <w:t>。本项目不接受有在建、</w:t>
      </w:r>
      <w:r>
        <w:rPr>
          <w:rFonts w:hint="eastAsia"/>
          <w:b/>
          <w:bCs/>
          <w:color w:val="000000" w:themeColor="text1"/>
          <w:szCs w:val="21"/>
          <w:highlight w:val="none"/>
          <w:u w:val="single"/>
          <w14:textFill>
            <w14:solidFill>
              <w14:schemeClr w14:val="tx1"/>
            </w14:solidFill>
          </w14:textFill>
        </w:rPr>
        <w:t>已中标（成交）未开工或已列为其他项目中标（成交）候选人</w:t>
      </w:r>
      <w:r>
        <w:rPr>
          <w:b/>
          <w:bCs/>
          <w:color w:val="000000" w:themeColor="text1"/>
          <w:szCs w:val="21"/>
          <w:highlight w:val="none"/>
          <w:u w:val="single"/>
          <w14:textFill>
            <w14:solidFill>
              <w14:schemeClr w14:val="tx1"/>
            </w14:solidFill>
          </w14:textFill>
        </w:rPr>
        <w:t>第一名的建造师作为项目经理</w:t>
      </w:r>
      <w:r>
        <w:rPr>
          <w:rFonts w:hint="eastAsia" w:ascii="宋体" w:hAnsi="宋体" w:cs="宋体"/>
          <w:b/>
          <w:bCs/>
          <w:color w:val="000000" w:themeColor="text1"/>
          <w:szCs w:val="21"/>
          <w:highlight w:val="none"/>
          <w14:textFill>
            <w14:solidFill>
              <w14:schemeClr w14:val="tx1"/>
            </w14:solidFill>
          </w14:textFill>
        </w:rPr>
        <w:t>。</w:t>
      </w:r>
    </w:p>
    <w:p w14:paraId="616549EF">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30" w:name="_Toc21942"/>
      <w:bookmarkStart w:id="131" w:name="_Toc27029"/>
      <w:r>
        <w:rPr>
          <w:rFonts w:hint="eastAsia" w:ascii="宋体" w:hAnsi="宋体" w:cs="宋体"/>
          <w:color w:val="000000" w:themeColor="text1"/>
          <w:sz w:val="21"/>
          <w:szCs w:val="21"/>
          <w:highlight w:val="none"/>
          <w14:textFill>
            <w14:solidFill>
              <w14:schemeClr w14:val="tx1"/>
            </w14:solidFill>
          </w14:textFill>
        </w:rPr>
        <w:t>4. 磋商费用</w:t>
      </w:r>
      <w:bookmarkEnd w:id="125"/>
      <w:bookmarkEnd w:id="129"/>
      <w:bookmarkEnd w:id="130"/>
      <w:bookmarkEnd w:id="131"/>
    </w:p>
    <w:p w14:paraId="2C327E43">
      <w:pPr>
        <w:tabs>
          <w:tab w:val="left" w:pos="1635"/>
        </w:tabs>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不论磋商结果如何，供应商均应自行承担所有与磋商有关的全部费用。</w:t>
      </w:r>
    </w:p>
    <w:p w14:paraId="29466E30">
      <w:pPr>
        <w:pStyle w:val="4"/>
        <w:widowControl w:val="0"/>
        <w:numPr>
          <w:ilvl w:val="0"/>
          <w:numId w:val="3"/>
        </w:numPr>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32" w:name="_Toc31376"/>
      <w:bookmarkStart w:id="133" w:name="_Toc25728"/>
      <w:bookmarkStart w:id="134" w:name="_Toc22877"/>
      <w:bookmarkStart w:id="135" w:name="_Toc22888"/>
      <w:r>
        <w:rPr>
          <w:rFonts w:hint="eastAsia" w:ascii="宋体" w:hAnsi="宋体" w:cs="宋体"/>
          <w:color w:val="000000" w:themeColor="text1"/>
          <w:sz w:val="21"/>
          <w:szCs w:val="21"/>
          <w:highlight w:val="none"/>
          <w14:textFill>
            <w14:solidFill>
              <w14:schemeClr w14:val="tx1"/>
            </w14:solidFill>
          </w14:textFill>
        </w:rPr>
        <w:t>联合体要求</w:t>
      </w:r>
      <w:bookmarkEnd w:id="132"/>
      <w:bookmarkEnd w:id="133"/>
      <w:bookmarkEnd w:id="134"/>
      <w:bookmarkEnd w:id="135"/>
    </w:p>
    <w:p w14:paraId="662166B3">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本项目不接受联合体参与磋商</w:t>
      </w:r>
    </w:p>
    <w:p w14:paraId="69575F79">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36" w:name="_Toc4152"/>
      <w:bookmarkStart w:id="137" w:name="_Toc2772"/>
      <w:bookmarkStart w:id="138" w:name="_Toc18940"/>
      <w:bookmarkStart w:id="139" w:name="_Toc13621"/>
      <w:r>
        <w:rPr>
          <w:rFonts w:hint="eastAsia" w:ascii="宋体" w:hAnsi="宋体" w:cs="宋体"/>
          <w:color w:val="000000" w:themeColor="text1"/>
          <w:sz w:val="21"/>
          <w:szCs w:val="21"/>
          <w:highlight w:val="none"/>
          <w14:textFill>
            <w14:solidFill>
              <w14:schemeClr w14:val="tx1"/>
            </w14:solidFill>
          </w14:textFill>
        </w:rPr>
        <w:t>6. 质疑和投诉</w:t>
      </w:r>
      <w:bookmarkEnd w:id="136"/>
      <w:bookmarkEnd w:id="137"/>
      <w:bookmarkEnd w:id="138"/>
      <w:bookmarkEnd w:id="139"/>
      <w:r>
        <w:rPr>
          <w:rFonts w:hint="eastAsia" w:ascii="宋体" w:hAnsi="宋体" w:cs="宋体"/>
          <w:color w:val="000000" w:themeColor="text1"/>
          <w:sz w:val="21"/>
          <w:szCs w:val="21"/>
          <w:highlight w:val="none"/>
          <w14:textFill>
            <w14:solidFill>
              <w14:schemeClr w14:val="tx1"/>
            </w14:solidFill>
          </w14:textFill>
        </w:rPr>
        <w:tab/>
      </w:r>
    </w:p>
    <w:p w14:paraId="5BACDD12">
      <w:pPr>
        <w:tabs>
          <w:tab w:val="left" w:pos="2190"/>
        </w:tabs>
        <w:spacing w:line="440" w:lineRule="exact"/>
        <w:ind w:firstLine="435"/>
        <w:rPr>
          <w:rFonts w:ascii="宋体" w:hAnsi="宋体" w:cs="宋体"/>
          <w:color w:val="000000" w:themeColor="text1"/>
          <w:szCs w:val="21"/>
          <w:highlight w:val="none"/>
          <w14:textFill>
            <w14:solidFill>
              <w14:schemeClr w14:val="tx1"/>
            </w14:solidFill>
          </w14:textFill>
        </w:rPr>
      </w:pPr>
      <w:bookmarkStart w:id="140" w:name="_Toc8195"/>
      <w:bookmarkStart w:id="141" w:name="_Toc26087"/>
      <w:r>
        <w:rPr>
          <w:rFonts w:hint="eastAsia" w:ascii="宋体" w:hAnsi="宋体" w:cs="宋体"/>
          <w:color w:val="000000" w:themeColor="text1"/>
          <w:szCs w:val="21"/>
          <w:highlight w:val="none"/>
          <w14:textFill>
            <w14:solidFill>
              <w14:schemeClr w14:val="tx1"/>
            </w14:solidFill>
          </w14:textFill>
        </w:rPr>
        <w:t>6.1供应对政府采购活动事项有疑问的，可以向采购人或采购代理机构提出询问。</w:t>
      </w:r>
    </w:p>
    <w:p w14:paraId="4D058F42">
      <w:pPr>
        <w:tabs>
          <w:tab w:val="left" w:pos="2190"/>
        </w:tabs>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供应商认为磋商文件使自己的合法权益受到损害的，应当在竞争性磋商公告期限届满之日起七个工作日内，以书面形式向采购代理机构或采购人提出质疑。供应商认为采购过程或成交结果使自己的合法权益受到损害的，应当在各采购程序环节结束之日起七个工作日内，以书面形式向采购代理机构或采购人提出质疑。采购代理机构或采购人应认真做好质疑处理工作。</w:t>
      </w:r>
    </w:p>
    <w:p w14:paraId="127896D2">
      <w:pPr>
        <w:tabs>
          <w:tab w:val="left" w:pos="2190"/>
        </w:tabs>
        <w:spacing w:line="440" w:lineRule="exact"/>
        <w:ind w:firstLine="43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供应商在法定的质疑期内一次性提出针对同一采购程序环节的质疑，</w:t>
      </w:r>
      <w:r>
        <w:rPr>
          <w:rFonts w:hint="eastAsia" w:ascii="宋体" w:hAnsi="宋体" w:cs="宋体"/>
          <w:color w:val="000000" w:themeColor="text1"/>
          <w:szCs w:val="21"/>
          <w:highlight w:val="none"/>
          <w14:textFill>
            <w14:solidFill>
              <w14:schemeClr w14:val="tx1"/>
            </w14:solidFill>
          </w14:textFill>
        </w:rPr>
        <w:t>采购代理机构应认真做好质疑处理工作。</w:t>
      </w:r>
    </w:p>
    <w:p w14:paraId="5BE97610">
      <w:pPr>
        <w:tabs>
          <w:tab w:val="left" w:pos="2190"/>
        </w:tabs>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6.3供应商对采购代理机构的质疑答复不满意或者采购代理机构未在规定的时间内作出答复的，可以在答复期满后十五个工作日内向本级财政部门投诉。</w:t>
      </w:r>
    </w:p>
    <w:p w14:paraId="30130F4F">
      <w:pPr>
        <w:tabs>
          <w:tab w:val="left" w:pos="2190"/>
        </w:tabs>
        <w:spacing w:line="44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3B4B386E">
      <w:pPr>
        <w:tabs>
          <w:tab w:val="left" w:pos="2190"/>
        </w:tabs>
        <w:spacing w:line="440" w:lineRule="exact"/>
        <w:ind w:firstLine="435"/>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6.5质疑联系</w:t>
      </w:r>
      <w:bookmarkEnd w:id="140"/>
      <w:bookmarkEnd w:id="141"/>
      <w:r>
        <w:rPr>
          <w:rFonts w:hint="eastAsia" w:ascii="宋体" w:hAnsi="宋体" w:cs="宋体"/>
          <w:color w:val="000000" w:themeColor="text1"/>
          <w:szCs w:val="21"/>
          <w:highlight w:val="none"/>
          <w14:textFill>
            <w14:solidFill>
              <w14:schemeClr w14:val="tx1"/>
            </w14:solidFill>
          </w14:textFill>
        </w:rPr>
        <w:t>方式</w:t>
      </w:r>
      <w:r>
        <w:rPr>
          <w:rFonts w:hint="eastAsia" w:ascii="宋体" w:hAnsi="宋体" w:cs="宋体"/>
          <w:color w:val="000000" w:themeColor="text1"/>
          <w:szCs w:val="21"/>
          <w:highlight w:val="none"/>
          <w:lang w:eastAsia="zh-CN"/>
          <w14:textFill>
            <w14:solidFill>
              <w14:schemeClr w14:val="tx1"/>
            </w14:solidFill>
          </w14:textFill>
        </w:rPr>
        <w:t>：</w:t>
      </w:r>
    </w:p>
    <w:p w14:paraId="55A3B867">
      <w:pPr>
        <w:tabs>
          <w:tab w:val="left" w:pos="2190"/>
        </w:tabs>
        <w:spacing w:line="440" w:lineRule="exact"/>
        <w:ind w:firstLine="435"/>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 xml:space="preserve">①质疑部门及电话为：联云项目管理咨询有限公司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联系电话：0773-3615888</w:t>
      </w:r>
    </w:p>
    <w:p w14:paraId="3A779F85">
      <w:pPr>
        <w:tabs>
          <w:tab w:val="left" w:pos="2190"/>
        </w:tabs>
        <w:spacing w:line="440" w:lineRule="exact"/>
        <w:ind w:firstLine="43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 xml:space="preserve">②投诉联系部门及电话为：广西壮族自治区财政厅     联系电话：0771-5331544 </w:t>
      </w:r>
    </w:p>
    <w:p w14:paraId="369D6290">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42" w:name="_Toc6998"/>
      <w:bookmarkStart w:id="143" w:name="_Toc2186"/>
      <w:bookmarkStart w:id="144" w:name="_Toc5032"/>
      <w:bookmarkStart w:id="145" w:name="_Toc3925"/>
      <w:r>
        <w:rPr>
          <w:rFonts w:hint="eastAsia" w:ascii="宋体" w:hAnsi="宋体" w:cs="宋体"/>
          <w:color w:val="000000" w:themeColor="text1"/>
          <w:sz w:val="21"/>
          <w:szCs w:val="21"/>
          <w:highlight w:val="none"/>
          <w14:textFill>
            <w14:solidFill>
              <w14:schemeClr w14:val="tx1"/>
            </w14:solidFill>
          </w14:textFill>
        </w:rPr>
        <w:t>7. 转包与分包</w:t>
      </w:r>
      <w:bookmarkEnd w:id="142"/>
      <w:bookmarkEnd w:id="143"/>
      <w:bookmarkEnd w:id="144"/>
      <w:bookmarkEnd w:id="145"/>
    </w:p>
    <w:p w14:paraId="486AF971">
      <w:pPr>
        <w:tabs>
          <w:tab w:val="left" w:pos="2190"/>
        </w:tabs>
        <w:spacing w:line="440" w:lineRule="exact"/>
        <w:ind w:firstLine="420" w:firstLineChars="200"/>
        <w:rPr>
          <w:rFonts w:ascii="宋体" w:hAnsi="宋体" w:cs="宋体"/>
          <w:color w:val="000000" w:themeColor="text1"/>
          <w:kern w:val="0"/>
          <w:szCs w:val="21"/>
          <w:highlight w:val="none"/>
          <w:shd w:val="clear" w:color="auto" w:fill="FFFFFF"/>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kern w:val="0"/>
          <w:szCs w:val="21"/>
          <w:highlight w:val="none"/>
          <w:shd w:val="clear" w:color="auto" w:fill="FFFFFF"/>
          <w:lang w:bidi="ar"/>
          <w14:textFill>
            <w14:solidFill>
              <w14:schemeClr w14:val="tx1"/>
            </w14:solidFill>
          </w14:textFill>
        </w:rPr>
        <w:t>.1 本项目不允许转包。</w:t>
      </w:r>
    </w:p>
    <w:p w14:paraId="1FC55AF1">
      <w:pPr>
        <w:tabs>
          <w:tab w:val="left" w:pos="2190"/>
        </w:tabs>
        <w:spacing w:line="440" w:lineRule="exact"/>
        <w:ind w:firstLine="420" w:firstLineChars="200"/>
        <w:rPr>
          <w:rFonts w:ascii="宋体" w:hAnsi="宋体" w:cs="宋体"/>
          <w:color w:val="000000" w:themeColor="text1"/>
          <w:kern w:val="0"/>
          <w:szCs w:val="21"/>
          <w:highlight w:val="none"/>
          <w:shd w:val="clear" w:color="auto" w:fill="FFFFFF"/>
          <w:lang w:bidi="ar"/>
          <w14:textFill>
            <w14:solidFill>
              <w14:schemeClr w14:val="tx1"/>
            </w14:solidFill>
          </w14:textFill>
        </w:rPr>
      </w:pPr>
      <w:r>
        <w:rPr>
          <w:rFonts w:hint="eastAsia" w:ascii="宋体" w:hAnsi="宋体" w:cs="宋体"/>
          <w:color w:val="000000" w:themeColor="text1"/>
          <w:kern w:val="0"/>
          <w:szCs w:val="21"/>
          <w:highlight w:val="none"/>
          <w:shd w:val="clear" w:color="auto" w:fill="FFFFFF"/>
          <w:lang w:bidi="ar"/>
          <w14:textFill>
            <w14:solidFill>
              <w14:schemeClr w14:val="tx1"/>
            </w14:solidFill>
          </w14:textFill>
        </w:rPr>
        <w:t>7.2 本项目不可以分包。</w:t>
      </w:r>
    </w:p>
    <w:p w14:paraId="17467330">
      <w:pPr>
        <w:tabs>
          <w:tab w:val="left" w:pos="2190"/>
        </w:tabs>
        <w:spacing w:line="440" w:lineRule="exact"/>
        <w:ind w:firstLine="420" w:firstLineChars="200"/>
        <w:rPr>
          <w:rFonts w:ascii="宋体" w:hAnsi="宋体" w:cs="宋体"/>
          <w:color w:val="000000" w:themeColor="text1"/>
          <w:kern w:val="0"/>
          <w:szCs w:val="21"/>
          <w:highlight w:val="none"/>
          <w:shd w:val="clear" w:color="auto" w:fill="FFFFFF"/>
          <w:lang w:bidi="ar"/>
          <w14:textFill>
            <w14:solidFill>
              <w14:schemeClr w14:val="tx1"/>
            </w14:solidFill>
          </w14:textFill>
        </w:rPr>
      </w:pPr>
      <w:r>
        <w:rPr>
          <w:rFonts w:hint="eastAsia" w:ascii="宋体" w:hAnsi="宋体" w:cs="宋体"/>
          <w:color w:val="000000" w:themeColor="text1"/>
          <w:kern w:val="0"/>
          <w:szCs w:val="21"/>
          <w:highlight w:val="none"/>
          <w:shd w:val="clear" w:color="auto" w:fill="FFFFFF"/>
          <w:lang w:bidi="ar"/>
          <w14:textFill>
            <w14:solidFill>
              <w14:schemeClr w14:val="tx1"/>
            </w14:solidFill>
          </w14:textFill>
        </w:rPr>
        <w:t>7.3本项目不允许挂靠。</w:t>
      </w:r>
    </w:p>
    <w:p w14:paraId="42990D76">
      <w:pPr>
        <w:tabs>
          <w:tab w:val="left" w:pos="2190"/>
        </w:tabs>
        <w:spacing w:line="440" w:lineRule="exact"/>
        <w:ind w:firstLine="420" w:firstLineChars="200"/>
        <w:rPr>
          <w:rFonts w:ascii="宋体" w:hAnsi="宋体" w:cs="宋体"/>
          <w:color w:val="000000" w:themeColor="text1"/>
          <w:kern w:val="0"/>
          <w:szCs w:val="21"/>
          <w:highlight w:val="none"/>
          <w:shd w:val="clear" w:color="auto" w:fill="FFFFFF"/>
          <w:lang w:bidi="ar"/>
          <w14:textFill>
            <w14:solidFill>
              <w14:schemeClr w14:val="tx1"/>
            </w14:solidFill>
          </w14:textFill>
        </w:rPr>
      </w:pPr>
      <w:r>
        <w:rPr>
          <w:rFonts w:hint="eastAsia" w:ascii="宋体" w:hAnsi="宋体" w:cs="宋体"/>
          <w:color w:val="000000" w:themeColor="text1"/>
          <w:kern w:val="0"/>
          <w:szCs w:val="21"/>
          <w:highlight w:val="none"/>
          <w:shd w:val="clear" w:color="auto" w:fill="FFFFFF"/>
          <w:lang w:bidi="ar"/>
          <w14:textFill>
            <w14:solidFill>
              <w14:schemeClr w14:val="tx1"/>
            </w14:solidFill>
          </w14:textFill>
        </w:rPr>
        <w:t>7.4如发现有以上行为，采购人有权终止合同，所有损失由成交供应商承担。</w:t>
      </w:r>
    </w:p>
    <w:p w14:paraId="61B7B3C6">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46" w:name="_Toc23428"/>
      <w:bookmarkStart w:id="147" w:name="_Toc3368"/>
      <w:bookmarkStart w:id="148" w:name="_Toc15097"/>
      <w:bookmarkStart w:id="149" w:name="_Toc4558"/>
      <w:r>
        <w:rPr>
          <w:rFonts w:hint="eastAsia" w:ascii="宋体" w:hAnsi="宋体" w:cs="宋体"/>
          <w:color w:val="000000" w:themeColor="text1"/>
          <w:sz w:val="21"/>
          <w:szCs w:val="21"/>
          <w:highlight w:val="none"/>
          <w14:textFill>
            <w14:solidFill>
              <w14:schemeClr w14:val="tx1"/>
            </w14:solidFill>
          </w14:textFill>
        </w:rPr>
        <w:t>8. 特别说明</w:t>
      </w:r>
      <w:bookmarkEnd w:id="146"/>
      <w:bookmarkEnd w:id="147"/>
      <w:bookmarkEnd w:id="148"/>
      <w:bookmarkEnd w:id="149"/>
    </w:p>
    <w:p w14:paraId="7546ACE7">
      <w:pPr>
        <w:tabs>
          <w:tab w:val="left" w:pos="1635"/>
        </w:tabs>
        <w:spacing w:line="44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14:paraId="187797E1">
      <w:pPr>
        <w:tabs>
          <w:tab w:val="left" w:pos="1635"/>
        </w:tabs>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14:paraId="63742190">
      <w:pPr>
        <w:tabs>
          <w:tab w:val="left" w:pos="1635"/>
        </w:tabs>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（2）为本采购项目提供整体设计、规范编制或者项目管理、监理、检测等服务的供应商，不得再参加本次采购活动。</w:t>
      </w:r>
    </w:p>
    <w:p w14:paraId="78F86389">
      <w:pPr>
        <w:pStyle w:val="20"/>
        <w:spacing w:line="440" w:lineRule="exact"/>
        <w:rPr>
          <w:rFonts w:ascii="宋体" w:hAnsi="宋体" w:cs="宋体"/>
          <w:color w:val="000000" w:themeColor="text1"/>
          <w:highlight w:val="none"/>
          <w14:textFill>
            <w14:solidFill>
              <w14:schemeClr w14:val="tx1"/>
            </w14:solidFill>
          </w14:textFill>
        </w:rPr>
      </w:pPr>
    </w:p>
    <w:p w14:paraId="455ECFCE">
      <w:pPr>
        <w:pStyle w:val="3"/>
        <w:tabs>
          <w:tab w:val="left" w:pos="567"/>
        </w:tabs>
        <w:spacing w:line="440" w:lineRule="exact"/>
        <w:jc w:val="center"/>
        <w:rPr>
          <w:rFonts w:ascii="宋体" w:hAnsi="宋体" w:cs="宋体"/>
          <w:bCs w:val="0"/>
          <w:color w:val="000000" w:themeColor="text1"/>
          <w:szCs w:val="28"/>
          <w:highlight w:val="none"/>
          <w14:textFill>
            <w14:solidFill>
              <w14:schemeClr w14:val="tx1"/>
            </w14:solidFill>
          </w14:textFill>
        </w:rPr>
      </w:pPr>
      <w:bookmarkStart w:id="150" w:name="_Toc29496"/>
      <w:bookmarkStart w:id="151" w:name="_Toc25527"/>
      <w:bookmarkStart w:id="152" w:name="_Toc16417"/>
      <w:bookmarkStart w:id="153" w:name="_Toc22498"/>
      <w:bookmarkStart w:id="154" w:name="_Toc2952"/>
      <w:r>
        <w:rPr>
          <w:rFonts w:hint="eastAsia" w:ascii="宋体" w:hAnsi="宋体" w:cs="宋体"/>
          <w:bCs w:val="0"/>
          <w:color w:val="000000" w:themeColor="text1"/>
          <w:szCs w:val="28"/>
          <w:highlight w:val="none"/>
          <w14:textFill>
            <w14:solidFill>
              <w14:schemeClr w14:val="tx1"/>
            </w14:solidFill>
          </w14:textFill>
        </w:rPr>
        <w:t>二、磋商文件</w:t>
      </w:r>
      <w:bookmarkEnd w:id="150"/>
      <w:bookmarkEnd w:id="151"/>
      <w:bookmarkEnd w:id="152"/>
      <w:bookmarkEnd w:id="153"/>
      <w:bookmarkEnd w:id="154"/>
    </w:p>
    <w:p w14:paraId="5FD88E63">
      <w:pPr>
        <w:pStyle w:val="4"/>
        <w:widowControl w:val="0"/>
        <w:spacing w:before="0" w:after="0" w:line="440" w:lineRule="exact"/>
        <w:ind w:firstLine="422" w:firstLineChars="200"/>
        <w:rPr>
          <w:rFonts w:ascii="宋体" w:hAnsi="宋体" w:cs="宋体"/>
          <w:color w:val="000000" w:themeColor="text1"/>
          <w:sz w:val="21"/>
          <w:szCs w:val="21"/>
          <w:highlight w:val="none"/>
          <w:lang w:val="pt-BR"/>
          <w14:textFill>
            <w14:solidFill>
              <w14:schemeClr w14:val="tx1"/>
            </w14:solidFill>
          </w14:textFill>
        </w:rPr>
      </w:pPr>
      <w:bookmarkStart w:id="155" w:name="_Toc22380"/>
      <w:bookmarkStart w:id="156" w:name="_Toc18964"/>
      <w:bookmarkStart w:id="157" w:name="_Toc20057"/>
      <w:bookmarkStart w:id="158" w:name="_Toc16347"/>
      <w:r>
        <w:rPr>
          <w:rFonts w:hint="eastAsia" w:ascii="宋体" w:hAnsi="宋体" w:cs="宋体"/>
          <w:color w:val="000000" w:themeColor="text1"/>
          <w:sz w:val="21"/>
          <w:szCs w:val="21"/>
          <w:highlight w:val="none"/>
          <w:lang w:val="pt-BR"/>
          <w14:textFill>
            <w14:solidFill>
              <w14:schemeClr w14:val="tx1"/>
            </w14:solidFill>
          </w14:textFill>
        </w:rPr>
        <w:t xml:space="preserve">9. </w:t>
      </w:r>
      <w:r>
        <w:rPr>
          <w:rFonts w:hint="eastAsia" w:ascii="宋体" w:hAnsi="宋体" w:cs="宋体"/>
          <w:color w:val="000000" w:themeColor="text1"/>
          <w:sz w:val="21"/>
          <w:szCs w:val="21"/>
          <w:highlight w:val="none"/>
          <w14:textFill>
            <w14:solidFill>
              <w14:schemeClr w14:val="tx1"/>
            </w14:solidFill>
          </w14:textFill>
        </w:rPr>
        <w:t>磋商文件的构成</w:t>
      </w:r>
      <w:bookmarkEnd w:id="155"/>
      <w:bookmarkEnd w:id="156"/>
      <w:bookmarkEnd w:id="157"/>
      <w:bookmarkEnd w:id="158"/>
    </w:p>
    <w:p w14:paraId="76B2280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（1）竞争性磋商公告；</w:t>
      </w:r>
    </w:p>
    <w:p w14:paraId="60235D8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（2）供应商须知；</w:t>
      </w:r>
    </w:p>
    <w:p w14:paraId="30BF841A">
      <w:pPr>
        <w:spacing w:line="44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（3）工程量清单</w:t>
      </w:r>
      <w:r>
        <w:rPr>
          <w:rFonts w:hint="eastAsia" w:ascii="宋体" w:hAnsi="宋体" w:cs="宋体"/>
          <w:bCs/>
          <w:color w:val="000000" w:themeColor="text1"/>
          <w:szCs w:val="21"/>
          <w:highlight w:val="none"/>
          <w14:textFill>
            <w14:solidFill>
              <w14:schemeClr w14:val="tx1"/>
            </w14:solidFill>
          </w14:textFill>
        </w:rPr>
        <w:t>；</w:t>
      </w:r>
    </w:p>
    <w:p w14:paraId="10F424F9">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（4）评审办法；</w:t>
      </w:r>
    </w:p>
    <w:p w14:paraId="3EB2B486">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（5）采购合同（合同主要条款及格式）；</w:t>
      </w:r>
    </w:p>
    <w:p w14:paraId="7EAEB3F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（6）响应文件（格式）；</w:t>
      </w:r>
    </w:p>
    <w:p w14:paraId="2BCFB418">
      <w:pPr>
        <w:spacing w:line="440" w:lineRule="exact"/>
        <w:ind w:firstLine="420" w:firstLineChars="200"/>
        <w:rPr>
          <w:rFonts w:ascii="宋体" w:hAnsi="宋体" w:cs="宋体"/>
          <w:color w:val="000000" w:themeColor="text1"/>
          <w:szCs w:val="21"/>
          <w:highlight w:val="none"/>
          <w14:textFill>
            <w14:solidFill>
              <w14:schemeClr w14:val="tx1"/>
            </w14:solidFill>
          </w14:textFill>
        </w:rPr>
      </w:pPr>
      <w:bookmarkStart w:id="159" w:name="_Toc9103"/>
      <w:r>
        <w:rPr>
          <w:rFonts w:hint="eastAsia" w:ascii="宋体" w:hAnsi="宋体" w:cs="宋体"/>
          <w:color w:val="000000" w:themeColor="text1"/>
          <w:szCs w:val="21"/>
          <w:highlight w:val="none"/>
          <w14:textFill>
            <w14:solidFill>
              <w14:schemeClr w14:val="tx1"/>
            </w14:solidFill>
          </w14:textFill>
        </w:rPr>
        <w:t>（7）图纸。</w:t>
      </w:r>
    </w:p>
    <w:p w14:paraId="12113C88">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60" w:name="_Toc17932"/>
      <w:bookmarkStart w:id="161" w:name="_Toc26702"/>
      <w:bookmarkStart w:id="162" w:name="_Toc3979"/>
      <w:r>
        <w:rPr>
          <w:rFonts w:hint="eastAsia" w:ascii="宋体" w:hAnsi="宋体" w:cs="宋体"/>
          <w:color w:val="000000" w:themeColor="text1"/>
          <w:sz w:val="21"/>
          <w:szCs w:val="21"/>
          <w:highlight w:val="none"/>
          <w14:textFill>
            <w14:solidFill>
              <w14:schemeClr w14:val="tx1"/>
            </w14:solidFill>
          </w14:textFill>
        </w:rPr>
        <w:t>10. 磋商文件的澄清与修改</w:t>
      </w:r>
      <w:bookmarkEnd w:id="159"/>
      <w:bookmarkEnd w:id="160"/>
      <w:bookmarkEnd w:id="161"/>
      <w:bookmarkEnd w:id="162"/>
    </w:p>
    <w:p w14:paraId="0D4573A6">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000000" w:themeColor="text1"/>
          <w:szCs w:val="21"/>
          <w:highlight w:val="none"/>
          <w14:textFill>
            <w14:solidFill>
              <w14:schemeClr w14:val="tx1"/>
            </w14:solidFill>
          </w14:textFill>
        </w:rPr>
        <w:t>五日</w:t>
      </w:r>
      <w:r>
        <w:rPr>
          <w:rFonts w:hint="eastAsia" w:ascii="宋体" w:hAnsi="宋体" w:cs="宋体"/>
          <w:color w:val="000000" w:themeColor="text1"/>
          <w:szCs w:val="21"/>
          <w:highlight w:val="none"/>
          <w14:textFill>
            <w14:solidFill>
              <w14:schemeClr w14:val="tx1"/>
            </w14:solidFill>
          </w14:textFill>
        </w:rPr>
        <w:t>前在本项目竞争性磋商公告发布的同一媒体上发布更正公告，不足</w:t>
      </w:r>
      <w:r>
        <w:rPr>
          <w:rFonts w:hint="eastAsia" w:ascii="宋体" w:hAnsi="宋体" w:cs="宋体"/>
          <w:b/>
          <w:bCs/>
          <w:color w:val="000000" w:themeColor="text1"/>
          <w:szCs w:val="21"/>
          <w:highlight w:val="none"/>
          <w14:textFill>
            <w14:solidFill>
              <w14:schemeClr w14:val="tx1"/>
            </w14:solidFill>
          </w14:textFill>
        </w:rPr>
        <w:t>五日</w:t>
      </w:r>
      <w:r>
        <w:rPr>
          <w:rFonts w:hint="eastAsia" w:ascii="宋体" w:hAnsi="宋体" w:cs="宋体"/>
          <w:color w:val="000000" w:themeColor="text1"/>
          <w:szCs w:val="21"/>
          <w:highlight w:val="none"/>
          <w14:textFill>
            <w14:solidFill>
              <w14:schemeClr w14:val="tx1"/>
            </w14:solidFill>
          </w14:textFill>
        </w:rPr>
        <w:t>的，应当顺延首次响应文件递交截止时间。</w:t>
      </w:r>
    </w:p>
    <w:p w14:paraId="48EBBD0F">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w:t>
      </w:r>
      <w:r>
        <w:rPr>
          <w:rFonts w:hint="eastAsia" w:ascii="宋体" w:hAnsi="宋体" w:cs="宋体"/>
          <w:b/>
          <w:bCs/>
          <w:color w:val="000000" w:themeColor="text1"/>
          <w:szCs w:val="21"/>
          <w:highlight w:val="none"/>
          <w14:textFill>
            <w14:solidFill>
              <w14:schemeClr w14:val="tx1"/>
            </w14:solidFill>
          </w14:textFill>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47DEBCA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10.3澄清或者修改的内容为磋商文件的组成部分。当澄清或者修改通知就同一内容的表述不一致时，以最后发出的文件为准。</w:t>
      </w:r>
    </w:p>
    <w:p w14:paraId="136CC94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10.4 磋商文件的澄清或者修改都应该通过本项目采购代理机构以法定形式发布，采购人非通过本机构，不得擅自澄清或者修改磋商文件。</w:t>
      </w:r>
    </w:p>
    <w:p w14:paraId="1DD0715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10.5采购单位可以视采购具体情况，延长响应文件截止时间和磋商时间，在本项目竞争性磋商公告发布的同一媒体上发布变更公告。</w:t>
      </w:r>
    </w:p>
    <w:p w14:paraId="5D538F02">
      <w:pPr>
        <w:pStyle w:val="365"/>
        <w:spacing w:line="440" w:lineRule="exact"/>
        <w:rPr>
          <w:rFonts w:ascii="宋体" w:hAnsi="宋体" w:cs="宋体"/>
          <w:color w:val="000000" w:themeColor="text1"/>
          <w:highlight w:val="none"/>
          <w14:textFill>
            <w14:solidFill>
              <w14:schemeClr w14:val="tx1"/>
            </w14:solidFill>
          </w14:textFill>
        </w:rPr>
      </w:pPr>
    </w:p>
    <w:p w14:paraId="0D608CD6">
      <w:pPr>
        <w:pStyle w:val="3"/>
        <w:tabs>
          <w:tab w:val="left" w:pos="567"/>
        </w:tabs>
        <w:spacing w:line="440" w:lineRule="exact"/>
        <w:jc w:val="center"/>
        <w:rPr>
          <w:rFonts w:ascii="宋体" w:hAnsi="宋体" w:cs="宋体"/>
          <w:bCs w:val="0"/>
          <w:color w:val="000000" w:themeColor="text1"/>
          <w:szCs w:val="28"/>
          <w:highlight w:val="none"/>
          <w14:textFill>
            <w14:solidFill>
              <w14:schemeClr w14:val="tx1"/>
            </w14:solidFill>
          </w14:textFill>
        </w:rPr>
      </w:pPr>
      <w:bookmarkStart w:id="163" w:name="_Toc32467"/>
      <w:bookmarkStart w:id="164" w:name="_Toc17820"/>
      <w:bookmarkStart w:id="165" w:name="_Toc20830"/>
      <w:bookmarkStart w:id="166" w:name="_Toc21873"/>
      <w:bookmarkStart w:id="167" w:name="_Toc9971"/>
      <w:r>
        <w:rPr>
          <w:rFonts w:hint="eastAsia" w:ascii="宋体" w:hAnsi="宋体" w:cs="宋体"/>
          <w:bCs w:val="0"/>
          <w:color w:val="000000" w:themeColor="text1"/>
          <w:szCs w:val="28"/>
          <w:highlight w:val="none"/>
          <w14:textFill>
            <w14:solidFill>
              <w14:schemeClr w14:val="tx1"/>
            </w14:solidFill>
          </w14:textFill>
        </w:rPr>
        <w:t>三、竞争性磋商响应文件的编制</w:t>
      </w:r>
      <w:bookmarkEnd w:id="163"/>
      <w:bookmarkEnd w:id="164"/>
      <w:bookmarkEnd w:id="165"/>
      <w:bookmarkEnd w:id="166"/>
      <w:bookmarkEnd w:id="167"/>
    </w:p>
    <w:p w14:paraId="7874E0E4">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68" w:name="_Toc30771"/>
      <w:bookmarkStart w:id="169" w:name="_Toc10245"/>
      <w:bookmarkStart w:id="170" w:name="_Toc19747"/>
      <w:r>
        <w:rPr>
          <w:rFonts w:hint="eastAsia" w:ascii="宋体" w:hAnsi="宋体" w:cs="宋体"/>
          <w:color w:val="000000" w:themeColor="text1"/>
          <w:sz w:val="21"/>
          <w:szCs w:val="21"/>
          <w:highlight w:val="none"/>
          <w14:textFill>
            <w14:solidFill>
              <w14:schemeClr w14:val="tx1"/>
            </w14:solidFill>
          </w14:textFill>
        </w:rPr>
        <w:t>11.竞争性磋商响应文件编制基本要求</w:t>
      </w:r>
      <w:bookmarkEnd w:id="168"/>
      <w:bookmarkEnd w:id="169"/>
      <w:bookmarkEnd w:id="170"/>
    </w:p>
    <w:p w14:paraId="143473C2">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11.1 本项目实行电子响应，供应商应准备电子磋商响应文件：</w:t>
      </w:r>
    </w:p>
    <w:p w14:paraId="1C6F4478">
      <w:pPr>
        <w:spacing w:line="44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11.1.1 电子响应文件按政采云平台要求及本磋商文件要求制作、加密并递交。具体操作流程可参考《政府采购项目电子交易管理操作指南-供应商》，指南可在“http://www.ccgp-guangxi.gov.cn/PurchaseAdvisory/ImportantNotice/2866753.html”下载。</w:t>
      </w:r>
    </w:p>
    <w:p w14:paraId="7D385C00">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11.2竞争性磋商响应文件（以下简称响应文件）的组成及要求</w:t>
      </w:r>
    </w:p>
    <w:p w14:paraId="3FDC00C1">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11.2.1响应文件组成【格式见第六章“响应文件（格式）”，格式外的供应商可自行编制】</w:t>
      </w:r>
    </w:p>
    <w:p w14:paraId="50FC14C1">
      <w:pPr>
        <w:spacing w:line="440" w:lineRule="exact"/>
        <w:ind w:firstLine="422" w:firstLineChars="200"/>
        <w:outlineLvl w:val="2"/>
        <w:rPr>
          <w:rFonts w:ascii="宋体" w:hAnsi="宋体" w:cs="宋体"/>
          <w:color w:val="000000" w:themeColor="text1"/>
          <w:szCs w:val="21"/>
          <w:highlight w:val="none"/>
          <w14:textFill>
            <w14:solidFill>
              <w14:schemeClr w14:val="tx1"/>
            </w14:solidFill>
          </w14:textFill>
        </w:rPr>
      </w:pPr>
      <w:bookmarkStart w:id="171" w:name="_Toc19449"/>
      <w:bookmarkStart w:id="172" w:name="_Toc32478"/>
      <w:r>
        <w:rPr>
          <w:rFonts w:hint="eastAsia" w:ascii="宋体" w:hAnsi="宋体" w:cs="宋体"/>
          <w:b/>
          <w:bCs/>
          <w:color w:val="000000" w:themeColor="text1"/>
          <w:szCs w:val="21"/>
          <w:highlight w:val="none"/>
          <w14:textFill>
            <w14:solidFill>
              <w14:schemeClr w14:val="tx1"/>
            </w14:solidFill>
          </w14:textFill>
        </w:rPr>
        <w:t>11.2.1.1资格性响应证明材料：</w:t>
      </w:r>
      <w:bookmarkEnd w:id="171"/>
      <w:bookmarkEnd w:id="172"/>
    </w:p>
    <w:p w14:paraId="24EF3CC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（1）供应商相应的法定代表人、负责人、自然人有效身份证正反两面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4BB4EA44">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（2）供应商的授权委托书原件、委托代理人有效身份证正反面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以及由县级以上（含县级）社会养老保险经办机构出具的供应商为委托代理人交纳的响应文件递交截止时间前半年内任意连续二个月社保证明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（委托代理时必须提供）。</w:t>
      </w:r>
      <w:r>
        <w:rPr>
          <w:rFonts w:hint="eastAsia" w:ascii="宋体" w:hAnsi="宋体" w:cs="宋体"/>
          <w:color w:val="000000" w:themeColor="text1"/>
          <w:szCs w:val="21"/>
          <w:highlight w:val="none"/>
          <w14:textFill>
            <w14:solidFill>
              <w14:schemeClr w14:val="tx1"/>
            </w14:solidFill>
          </w14:textFill>
        </w:rPr>
        <w:t>除供应商为以下三种情形的：</w:t>
      </w:r>
    </w:p>
    <w:p w14:paraId="5E45AB09">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281654F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0E06B1E9">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③如委托代理人为免缴纳社保人员，提供免缴纳社保的证明材料</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62945F98">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）供应商参加政府采购活动前3年内在经营活动中没有重大违法记录及有关信用信息的书面声明</w:t>
      </w:r>
      <w:r>
        <w:rPr>
          <w:rFonts w:hint="eastAsia" w:ascii="宋体" w:hAnsi="宋体" w:cs="宋体"/>
          <w:b/>
          <w:bCs/>
          <w:color w:val="000000" w:themeColor="text1"/>
          <w:szCs w:val="21"/>
          <w:highlight w:val="none"/>
          <w14:textFill>
            <w14:solidFill>
              <w14:schemeClr w14:val="tx1"/>
            </w14:solidFill>
          </w14:textFill>
        </w:rPr>
        <w:t>（必须提供）；</w:t>
      </w:r>
    </w:p>
    <w:p w14:paraId="5BED42D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b/>
          <w:bCs/>
          <w:color w:val="000000" w:themeColor="text1"/>
          <w:szCs w:val="21"/>
          <w:highlight w:val="none"/>
          <w14:textFill>
            <w14:solidFill>
              <w14:schemeClr w14:val="tx1"/>
            </w14:solidFill>
          </w14:textFill>
        </w:rPr>
        <w:t>（必须提供，自然人除外）；</w:t>
      </w:r>
    </w:p>
    <w:p w14:paraId="7C8CA4B1">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34F805C">
      <w:pPr>
        <w:spacing w:line="440" w:lineRule="exact"/>
        <w:ind w:left="21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供应商有效的资质证书</w:t>
      </w:r>
      <w:r>
        <w:rPr>
          <w:rFonts w:hint="eastAsia" w:ascii="宋体" w:hAnsi="宋体" w:cs="宋体"/>
          <w:bCs/>
          <w:color w:val="000000" w:themeColor="text1"/>
          <w:kern w:val="0"/>
          <w:szCs w:val="21"/>
          <w:highlight w:val="none"/>
          <w:lang w:eastAsia="zh-CN"/>
          <w14:textFill>
            <w14:solidFill>
              <w14:schemeClr w14:val="tx1"/>
            </w14:solidFill>
          </w14:textFill>
        </w:rPr>
        <w:t>扫描</w:t>
      </w:r>
      <w:r>
        <w:rPr>
          <w:rFonts w:hint="eastAsia" w:ascii="宋体" w:hAnsi="宋体" w:cs="宋体"/>
          <w:bCs/>
          <w:color w:val="000000" w:themeColor="text1"/>
          <w:kern w:val="0"/>
          <w:szCs w:val="21"/>
          <w:highlight w:val="none"/>
          <w14:textFill>
            <w14:solidFill>
              <w14:schemeClr w14:val="tx1"/>
            </w14:solidFill>
          </w14:textFill>
        </w:rPr>
        <w:t>件，项目经理有效的注册建造师证书及安全生产考核合格证书(B类)</w:t>
      </w:r>
      <w:r>
        <w:rPr>
          <w:rFonts w:hint="eastAsia" w:ascii="宋体" w:hAnsi="宋体" w:cs="宋体"/>
          <w:bCs/>
          <w:color w:val="000000" w:themeColor="text1"/>
          <w:kern w:val="0"/>
          <w:szCs w:val="21"/>
          <w:highlight w:val="none"/>
          <w:lang w:eastAsia="zh-CN"/>
          <w14:textFill>
            <w14:solidFill>
              <w14:schemeClr w14:val="tx1"/>
            </w14:solidFill>
          </w14:textFill>
        </w:rPr>
        <w:t>扫描件，</w:t>
      </w:r>
      <w:r>
        <w:rPr>
          <w:rFonts w:hint="eastAsia" w:ascii="宋体" w:cs="Arial"/>
          <w:color w:val="000000" w:themeColor="text1"/>
          <w:kern w:val="0"/>
          <w:szCs w:val="21"/>
          <w:highlight w:val="none"/>
          <w:lang w:bidi="ar-SA"/>
          <w14:textFill>
            <w14:solidFill>
              <w14:schemeClr w14:val="tx1"/>
            </w14:solidFill>
          </w14:textFill>
        </w:rPr>
        <w:t>项目经理无在建工程承诺书</w:t>
      </w:r>
      <w:r>
        <w:rPr>
          <w:rFonts w:hint="eastAsia" w:ascii="宋体" w:cs="Arial"/>
          <w:color w:val="000000" w:themeColor="text1"/>
          <w:kern w:val="0"/>
          <w:szCs w:val="21"/>
          <w:highlight w:val="none"/>
          <w:lang w:eastAsia="zh-CN" w:bidi="ar-SA"/>
          <w14:textFill>
            <w14:solidFill>
              <w14:schemeClr w14:val="tx1"/>
            </w14:solidFill>
          </w14:textFill>
        </w:rPr>
        <w:t>（格式自拟）</w:t>
      </w:r>
      <w:r>
        <w:rPr>
          <w:rFonts w:hint="eastAsia" w:ascii="宋体" w:hAnsi="宋体" w:cs="宋体"/>
          <w:b/>
          <w:bCs w:val="0"/>
          <w:color w:val="000000" w:themeColor="text1"/>
          <w:kern w:val="0"/>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19743DBD">
      <w:pPr>
        <w:spacing w:line="440" w:lineRule="exact"/>
        <w:ind w:left="21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供应商2023年</w:t>
      </w:r>
      <w:r>
        <w:rPr>
          <w:rFonts w:hint="eastAsia" w:ascii="宋体" w:hAnsi="宋体" w:cs="宋体"/>
          <w:bCs/>
          <w:color w:val="000000" w:themeColor="text1"/>
          <w:kern w:val="0"/>
          <w:szCs w:val="21"/>
          <w:highlight w:val="none"/>
          <w:lang w:eastAsia="zh-CN"/>
          <w14:textFill>
            <w14:solidFill>
              <w14:schemeClr w14:val="tx1"/>
            </w14:solidFill>
          </w14:textFill>
        </w:rPr>
        <w:t>以来任意一年度的</w:t>
      </w:r>
      <w:r>
        <w:rPr>
          <w:rFonts w:hint="eastAsia" w:ascii="宋体" w:hAnsi="宋体" w:cs="宋体"/>
          <w:bCs/>
          <w:color w:val="000000" w:themeColor="text1"/>
          <w:kern w:val="0"/>
          <w:szCs w:val="21"/>
          <w:highlight w:val="none"/>
          <w14:textFill>
            <w14:solidFill>
              <w14:schemeClr w14:val="tx1"/>
            </w14:solidFill>
          </w14:textFill>
        </w:rPr>
        <w:t>财务状况报告</w:t>
      </w:r>
      <w:r>
        <w:rPr>
          <w:rFonts w:hint="eastAsia" w:ascii="宋体" w:hAnsi="宋体" w:cs="宋体"/>
          <w:b/>
          <w:bCs/>
          <w:color w:val="000000" w:themeColor="text1"/>
          <w:szCs w:val="21"/>
          <w:highlight w:val="none"/>
          <w14:textFill>
            <w14:solidFill>
              <w14:schemeClr w14:val="tx1"/>
            </w14:solidFill>
          </w14:textFill>
        </w:rPr>
        <w:t>（必须提供，</w:t>
      </w:r>
      <w:r>
        <w:rPr>
          <w:rFonts w:ascii="宋体" w:hAnsi="宋体" w:cs="宋体"/>
          <w:b/>
          <w:bCs/>
          <w:color w:val="000000" w:themeColor="text1"/>
          <w:szCs w:val="21"/>
          <w:highlight w:val="none"/>
          <w14:textFill>
            <w14:solidFill>
              <w14:schemeClr w14:val="tx1"/>
            </w14:solidFill>
          </w14:textFill>
        </w:rPr>
        <w:t>可</w:t>
      </w:r>
      <w:r>
        <w:rPr>
          <w:rFonts w:hint="eastAsia" w:ascii="宋体" w:hAnsi="宋体" w:cs="宋体"/>
          <w:b/>
          <w:bCs/>
          <w:color w:val="000000" w:themeColor="text1"/>
          <w:szCs w:val="21"/>
          <w:highlight w:val="none"/>
          <w14:textFill>
            <w14:solidFill>
              <w14:schemeClr w14:val="tx1"/>
            </w14:solidFill>
          </w14:textFill>
        </w:rPr>
        <w:t>以是磋商供应商</w:t>
      </w:r>
      <w:r>
        <w:rPr>
          <w:rFonts w:ascii="宋体" w:hAnsi="宋体" w:cs="宋体"/>
          <w:b/>
          <w:bCs/>
          <w:color w:val="000000" w:themeColor="text1"/>
          <w:szCs w:val="21"/>
          <w:highlight w:val="none"/>
          <w14:textFill>
            <w14:solidFill>
              <w14:schemeClr w14:val="tx1"/>
            </w14:solidFill>
          </w14:textFill>
        </w:rPr>
        <w:t>自行编制也可</w:t>
      </w:r>
      <w:r>
        <w:rPr>
          <w:rFonts w:hint="eastAsia" w:ascii="宋体" w:hAnsi="宋体" w:cs="宋体"/>
          <w:b/>
          <w:bCs/>
          <w:color w:val="000000" w:themeColor="text1"/>
          <w:szCs w:val="21"/>
          <w:highlight w:val="none"/>
          <w14:textFill>
            <w14:solidFill>
              <w14:schemeClr w14:val="tx1"/>
            </w14:solidFill>
          </w14:textFill>
        </w:rPr>
        <w:t>是</w:t>
      </w:r>
      <w:r>
        <w:rPr>
          <w:rFonts w:ascii="宋体" w:hAnsi="宋体" w:cs="宋体"/>
          <w:b/>
          <w:bCs/>
          <w:color w:val="000000" w:themeColor="text1"/>
          <w:szCs w:val="21"/>
          <w:highlight w:val="none"/>
          <w14:textFill>
            <w14:solidFill>
              <w14:schemeClr w14:val="tx1"/>
            </w14:solidFill>
          </w14:textFill>
        </w:rPr>
        <w:t>通过</w:t>
      </w:r>
      <w:r>
        <w:rPr>
          <w:rFonts w:hint="eastAsia" w:ascii="宋体" w:hAnsi="宋体" w:cs="宋体"/>
          <w:b/>
          <w:bCs/>
          <w:color w:val="000000" w:themeColor="text1"/>
          <w:szCs w:val="21"/>
          <w:highlight w:val="none"/>
          <w14:textFill>
            <w14:solidFill>
              <w14:schemeClr w14:val="tx1"/>
            </w14:solidFill>
          </w14:textFill>
        </w:rPr>
        <w:t>第三方</w:t>
      </w:r>
      <w:r>
        <w:rPr>
          <w:rFonts w:ascii="宋体" w:hAnsi="宋体" w:cs="宋体"/>
          <w:b/>
          <w:bCs/>
          <w:color w:val="000000" w:themeColor="text1"/>
          <w:szCs w:val="21"/>
          <w:highlight w:val="none"/>
          <w14:textFill>
            <w14:solidFill>
              <w14:schemeClr w14:val="tx1"/>
            </w14:solidFill>
          </w14:textFill>
        </w:rPr>
        <w:t>审计公司编制，如为自行编制至少须提供现金流量表、负债表及利润表</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67BD77EC">
      <w:pPr>
        <w:spacing w:line="440" w:lineRule="exact"/>
        <w:ind w:left="21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供应商截止响应文件递交截止时间前半年内任意一个月或任一季度依法缴纳税收的证明材料[增值税缴纳发票(税收完税证明)或企业所得税完税证明或税务部门出具的免税证明]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b/>
          <w:bCs/>
          <w:color w:val="000000" w:themeColor="text1"/>
          <w:szCs w:val="21"/>
          <w:highlight w:val="none"/>
          <w14:textFill>
            <w14:solidFill>
              <w14:schemeClr w14:val="tx1"/>
            </w14:solidFill>
          </w14:textFill>
        </w:rPr>
        <w:t>（必须提供）。</w:t>
      </w:r>
    </w:p>
    <w:p w14:paraId="5858C679">
      <w:pPr>
        <w:spacing w:line="440" w:lineRule="exact"/>
        <w:ind w:left="210" w:firstLine="420"/>
        <w:rPr>
          <w:rFonts w:ascii="宋体" w:hAnsi="宋体" w:cs="宋体"/>
          <w:b/>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000000" w:themeColor="text1"/>
          <w:szCs w:val="21"/>
          <w:highlight w:val="none"/>
          <w14:textFill>
            <w14:solidFill>
              <w14:schemeClr w14:val="tx1"/>
            </w14:solidFill>
          </w14:textFill>
        </w:rPr>
        <w:t>（必须提供）</w:t>
      </w:r>
    </w:p>
    <w:p w14:paraId="51A9E59A">
      <w:pPr>
        <w:pStyle w:val="6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竞标保证金交纳证明</w:t>
      </w:r>
      <w:r>
        <w:rPr>
          <w:rFonts w:hint="eastAsia"/>
          <w:color w:val="000000" w:themeColor="text1"/>
          <w:sz w:val="21"/>
          <w:szCs w:val="21"/>
          <w:highlight w:val="none"/>
          <w:lang w:eastAsia="zh-CN"/>
          <w14:textFill>
            <w14:solidFill>
              <w14:schemeClr w14:val="tx1"/>
            </w14:solidFill>
          </w14:textFill>
        </w:rPr>
        <w:t>扫描件</w:t>
      </w:r>
      <w:r>
        <w:rPr>
          <w:rFonts w:hint="eastAsia"/>
          <w:color w:val="000000" w:themeColor="text1"/>
          <w:sz w:val="2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（必须提供）</w:t>
      </w:r>
    </w:p>
    <w:p w14:paraId="6D535BF9">
      <w:pPr>
        <w:pStyle w:val="52"/>
        <w:spacing w:line="440" w:lineRule="exact"/>
        <w:ind w:left="0" w:leftChars="0" w:firstLine="422"/>
        <w:outlineLvl w:val="2"/>
        <w:rPr>
          <w:rFonts w:ascii="宋体" w:hAnsi="宋体" w:cs="宋体"/>
          <w:b/>
          <w:bCs/>
          <w:color w:val="000000" w:themeColor="text1"/>
          <w:szCs w:val="21"/>
          <w:highlight w:val="none"/>
          <w14:textFill>
            <w14:solidFill>
              <w14:schemeClr w14:val="tx1"/>
            </w14:solidFill>
          </w14:textFill>
        </w:rPr>
      </w:pPr>
      <w:bookmarkStart w:id="173" w:name="_Toc27875"/>
      <w:bookmarkStart w:id="174" w:name="_Toc7256"/>
      <w:r>
        <w:rPr>
          <w:rFonts w:hint="eastAsia" w:ascii="宋体" w:hAnsi="宋体" w:cs="宋体"/>
          <w:b/>
          <w:bCs/>
          <w:color w:val="000000" w:themeColor="text1"/>
          <w:szCs w:val="21"/>
          <w:highlight w:val="none"/>
          <w14:textFill>
            <w14:solidFill>
              <w14:schemeClr w14:val="tx1"/>
            </w14:solidFill>
          </w14:textFill>
        </w:rPr>
        <w:t>11.2.1.2符合性响应证明材料：</w:t>
      </w:r>
      <w:bookmarkEnd w:id="173"/>
      <w:bookmarkEnd w:id="174"/>
    </w:p>
    <w:p w14:paraId="04E2D769">
      <w:pPr>
        <w:spacing w:line="440" w:lineRule="exact"/>
        <w:ind w:firstLine="420" w:firstLineChars="200"/>
        <w:rPr>
          <w:rFonts w:ascii="宋体" w:hAnsi="宋体" w:cs="宋体"/>
          <w:color w:val="000000" w:themeColor="text1"/>
          <w:szCs w:val="21"/>
          <w:highlight w:val="none"/>
          <w14:textFill>
            <w14:solidFill>
              <w14:schemeClr w14:val="tx1"/>
            </w14:solidFill>
          </w14:textFill>
        </w:rPr>
      </w:pPr>
      <w:bookmarkStart w:id="175" w:name="_Toc16312"/>
      <w:bookmarkStart w:id="176" w:name="_Toc2809"/>
      <w:bookmarkStart w:id="177" w:name="_Toc28932"/>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）响应函（格式见附件）</w:t>
      </w:r>
      <w:r>
        <w:rPr>
          <w:rFonts w:hint="eastAsia" w:ascii="宋体" w:hAnsi="宋体" w:cs="宋体"/>
          <w:b/>
          <w:bCs/>
          <w:color w:val="000000" w:themeColor="text1"/>
          <w:szCs w:val="21"/>
          <w:highlight w:val="none"/>
          <w14:textFill>
            <w14:solidFill>
              <w14:schemeClr w14:val="tx1"/>
            </w14:solidFill>
          </w14:textFill>
        </w:rPr>
        <w:t>（必须提供）</w:t>
      </w:r>
      <w:bookmarkEnd w:id="175"/>
      <w:r>
        <w:rPr>
          <w:rFonts w:hint="eastAsia" w:ascii="宋体" w:hAnsi="宋体" w:cs="宋体"/>
          <w:color w:val="000000" w:themeColor="text1"/>
          <w:szCs w:val="21"/>
          <w:highlight w:val="none"/>
          <w14:textFill>
            <w14:solidFill>
              <w14:schemeClr w14:val="tx1"/>
            </w14:solidFill>
          </w14:textFill>
        </w:rPr>
        <w:t>；</w:t>
      </w:r>
      <w:bookmarkEnd w:id="176"/>
      <w:bookmarkEnd w:id="177"/>
    </w:p>
    <w:p w14:paraId="6E2E20CF">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工程报价汇总表</w:t>
      </w:r>
      <w:r>
        <w:rPr>
          <w:rFonts w:hint="eastAsia" w:ascii="宋体" w:hAnsi="宋体" w:cs="宋体"/>
          <w:color w:val="000000" w:themeColor="text1"/>
          <w:szCs w:val="21"/>
          <w:highlight w:val="none"/>
          <w14:textFill>
            <w14:solidFill>
              <w14:schemeClr w14:val="tx1"/>
            </w14:solidFill>
          </w14:textFill>
        </w:rPr>
        <w:t>（格式见附件）</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08EE5396">
      <w:pPr>
        <w:spacing w:line="44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val="en-US" w:eastAsia="zh-CN"/>
          <w14:textFill>
            <w14:solidFill>
              <w14:schemeClr w14:val="tx1"/>
            </w14:solidFill>
          </w14:textFill>
        </w:rPr>
        <w:t>3</w:t>
      </w:r>
      <w:r>
        <w:rPr>
          <w:rFonts w:hint="eastAsia" w:ascii="宋体" w:hAnsi="宋体" w:cs="宋体"/>
          <w:bCs/>
          <w:color w:val="000000" w:themeColor="text1"/>
          <w:kern w:val="0"/>
          <w:szCs w:val="21"/>
          <w:highlight w:val="none"/>
          <w14:textFill>
            <w14:solidFill>
              <w14:schemeClr w14:val="tx1"/>
            </w14:solidFill>
          </w14:textFill>
        </w:rPr>
        <w:t>）已标价工程量清单</w:t>
      </w:r>
      <w:r>
        <w:rPr>
          <w:rFonts w:hint="eastAsia" w:ascii="宋体" w:hAnsi="宋体" w:cs="宋体"/>
          <w:b/>
          <w:color w:val="000000" w:themeColor="text1"/>
          <w:kern w:val="0"/>
          <w:szCs w:val="21"/>
          <w:highlight w:val="none"/>
          <w14:textFill>
            <w14:solidFill>
              <w14:schemeClr w14:val="tx1"/>
            </w14:solidFill>
          </w14:textFill>
        </w:rPr>
        <w:t>（必须提供）</w:t>
      </w:r>
      <w:r>
        <w:rPr>
          <w:rFonts w:hint="eastAsia" w:ascii="宋体" w:hAnsi="宋体" w:cs="宋体"/>
          <w:bCs/>
          <w:color w:val="000000" w:themeColor="text1"/>
          <w:kern w:val="0"/>
          <w:szCs w:val="21"/>
          <w:highlight w:val="none"/>
          <w14:textFill>
            <w14:solidFill>
              <w14:schemeClr w14:val="tx1"/>
            </w14:solidFill>
          </w14:textFill>
        </w:rPr>
        <w:t>；</w:t>
      </w:r>
    </w:p>
    <w:p w14:paraId="4D9D73B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）拟投入本工程主要施工管理人员表</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330B552F">
      <w:pPr>
        <w:spacing w:line="44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并一起提供由县级以上（含县级）社会养老保险经办机构出具的供应商为项目实施人员交纳的响应文件递交截止时间前半年内任意连续二个月社保证明</w:t>
      </w:r>
      <w:r>
        <w:rPr>
          <w:rFonts w:hint="eastAsia" w:ascii="宋体" w:hAnsi="宋体" w:cs="宋体"/>
          <w:b/>
          <w:bCs/>
          <w:color w:val="000000" w:themeColor="text1"/>
          <w:szCs w:val="21"/>
          <w:highlight w:val="none"/>
          <w:lang w:eastAsia="zh-CN"/>
          <w14:textFill>
            <w14:solidFill>
              <w14:schemeClr w14:val="tx1"/>
            </w14:solidFill>
          </w14:textFill>
        </w:rPr>
        <w:t>扫描件</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除供应商为以下三种情形的：</w:t>
      </w:r>
    </w:p>
    <w:p w14:paraId="0A92075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3800B4B0">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31381A40">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③如委托代理人为免缴纳社保人员，提供免缴纳社保的证明材料</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1A230D9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担任本工程的项目经理简历表（应附相关证书、身份证</w:t>
      </w:r>
      <w:r>
        <w:rPr>
          <w:rFonts w:hint="eastAsia" w:ascii="宋体" w:hAnsi="宋体" w:cs="宋体"/>
          <w:bCs/>
          <w:color w:val="000000" w:themeColor="text1"/>
          <w:kern w:val="0"/>
          <w:szCs w:val="21"/>
          <w:highlight w:val="none"/>
          <w:lang w:eastAsia="zh-CN"/>
          <w14:textFill>
            <w14:solidFill>
              <w14:schemeClr w14:val="tx1"/>
            </w14:solidFill>
          </w14:textFill>
        </w:rPr>
        <w:t>扫描件</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6782F031">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施工组织设计方案</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75148C5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工程完工服务承诺书</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1B2FAF9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农民工工资保障金交纳与使用承诺书</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5E40CAC1">
      <w:pPr>
        <w:spacing w:line="44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val="en-US" w:eastAsia="zh-CN"/>
          <w14:textFill>
            <w14:solidFill>
              <w14:schemeClr w14:val="tx1"/>
            </w14:solidFill>
          </w14:textFill>
        </w:rPr>
        <w:t>9</w:t>
      </w:r>
      <w:r>
        <w:rPr>
          <w:rFonts w:hint="eastAsia" w:ascii="宋体" w:hAnsi="宋体" w:cs="宋体"/>
          <w:bCs/>
          <w:color w:val="000000" w:themeColor="text1"/>
          <w:kern w:val="0"/>
          <w:szCs w:val="21"/>
          <w:highlight w:val="none"/>
          <w14:textFill>
            <w14:solidFill>
              <w14:schemeClr w14:val="tx1"/>
            </w14:solidFill>
          </w14:textFill>
        </w:rPr>
        <w:t>）城乡清洁工程渣土清运承诺书</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bCs/>
          <w:color w:val="000000" w:themeColor="text1"/>
          <w:kern w:val="0"/>
          <w:szCs w:val="21"/>
          <w:highlight w:val="none"/>
          <w14:textFill>
            <w14:solidFill>
              <w14:schemeClr w14:val="tx1"/>
            </w14:solidFill>
          </w14:textFill>
        </w:rPr>
        <w:t>。</w:t>
      </w:r>
    </w:p>
    <w:p w14:paraId="25338054">
      <w:pPr>
        <w:pStyle w:val="52"/>
        <w:spacing w:line="440" w:lineRule="exact"/>
        <w:ind w:left="0" w:leftChars="0" w:firstLine="422"/>
        <w:outlineLvl w:val="2"/>
        <w:rPr>
          <w:rFonts w:ascii="宋体" w:hAnsi="宋体" w:cs="宋体"/>
          <w:b/>
          <w:bCs/>
          <w:color w:val="000000" w:themeColor="text1"/>
          <w:szCs w:val="21"/>
          <w:highlight w:val="none"/>
          <w14:textFill>
            <w14:solidFill>
              <w14:schemeClr w14:val="tx1"/>
            </w14:solidFill>
          </w14:textFill>
        </w:rPr>
      </w:pPr>
      <w:bookmarkStart w:id="178" w:name="_Toc24990"/>
      <w:bookmarkStart w:id="179" w:name="_Toc3403"/>
      <w:r>
        <w:rPr>
          <w:rFonts w:hint="eastAsia" w:ascii="宋体" w:hAnsi="宋体" w:cs="宋体"/>
          <w:b/>
          <w:bCs/>
          <w:color w:val="000000" w:themeColor="text1"/>
          <w:szCs w:val="21"/>
          <w:highlight w:val="none"/>
          <w14:textFill>
            <w14:solidFill>
              <w14:schemeClr w14:val="tx1"/>
            </w14:solidFill>
          </w14:textFill>
        </w:rPr>
        <w:t>11.2.1.3其他有效证明材料</w:t>
      </w:r>
      <w:bookmarkEnd w:id="178"/>
      <w:bookmarkEnd w:id="179"/>
    </w:p>
    <w:p w14:paraId="628E47BB">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000000" w:themeColor="text1"/>
          <w:szCs w:val="21"/>
          <w:highlight w:val="none"/>
          <w14:textFill>
            <w14:solidFill>
              <w14:schemeClr w14:val="tx1"/>
            </w14:solidFill>
          </w14:textFill>
        </w:rPr>
        <w:t>（如有，请提供）；</w:t>
      </w:r>
    </w:p>
    <w:p w14:paraId="7A37EB0E">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（2）供应商可结合本项目的评审办法视自身情况自行提交其它相关证明材料。</w:t>
      </w:r>
    </w:p>
    <w:p w14:paraId="69C7CFD9">
      <w:pPr>
        <w:spacing w:line="44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供应商</w:t>
      </w:r>
      <w:r>
        <w:rPr>
          <w:rFonts w:hint="eastAsia" w:ascii="宋体" w:hAnsi="宋体" w:cs="宋体"/>
          <w:b/>
          <w:bCs/>
          <w:color w:val="000000" w:themeColor="text1"/>
          <w:highlight w:val="none"/>
          <w:u w:val="single"/>
          <w14:textFill>
            <w14:solidFill>
              <w14:schemeClr w14:val="tx1"/>
            </w14:solidFill>
          </w14:textFill>
        </w:rPr>
        <w:t>提供的以上“11.2”中相关证明材料属于“必须提供”的文件应加盖磋商供应商CA签章，否则响应无效。</w:t>
      </w:r>
    </w:p>
    <w:p w14:paraId="7241F8F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 供应商应按竞争性磋商文件第六章“响应文件（格式）”编制响应文件。</w:t>
      </w:r>
    </w:p>
    <w:p w14:paraId="03989375">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特别说明：</w:t>
      </w:r>
    </w:p>
    <w:p w14:paraId="7C4B02BE">
      <w:pPr>
        <w:spacing w:line="44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（1）响</w:t>
      </w:r>
      <w:r>
        <w:rPr>
          <w:rFonts w:hint="eastAsia" w:ascii="宋体" w:hAnsi="宋体" w:cs="宋体"/>
          <w:b/>
          <w:color w:val="000000" w:themeColor="text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5D1727A8">
      <w:pPr>
        <w:numPr>
          <w:ilvl w:val="0"/>
          <w:numId w:val="4"/>
        </w:numPr>
        <w:spacing w:line="44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磋商文件要求法定代表人（负责人、自然人）或委托代理人签字的部分必须签字然后扫描或者拍照做成.pdf格式上传（或加盖个人CA签章），无签字的视为响应无效。</w:t>
      </w:r>
    </w:p>
    <w:p w14:paraId="42F6511F">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80" w:name="_Toc14454"/>
      <w:bookmarkStart w:id="181" w:name="_Toc2180"/>
      <w:bookmarkStart w:id="182" w:name="_Toc13660"/>
      <w:bookmarkStart w:id="183" w:name="_Toc4094"/>
      <w:r>
        <w:rPr>
          <w:rFonts w:hint="eastAsia" w:ascii="宋体" w:hAnsi="宋体" w:cs="宋体"/>
          <w:color w:val="000000" w:themeColor="text1"/>
          <w:sz w:val="21"/>
          <w:szCs w:val="21"/>
          <w:highlight w:val="none"/>
          <w14:textFill>
            <w14:solidFill>
              <w14:schemeClr w14:val="tx1"/>
            </w14:solidFill>
          </w14:textFill>
        </w:rPr>
        <w:t>12. 响应文件的语言及计量</w:t>
      </w:r>
      <w:bookmarkEnd w:id="180"/>
      <w:bookmarkEnd w:id="181"/>
      <w:bookmarkEnd w:id="182"/>
      <w:bookmarkEnd w:id="183"/>
    </w:p>
    <w:p w14:paraId="2E1A2473">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6EFBEDF9">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14:paraId="0DD972BC">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84" w:name="_Toc10838"/>
      <w:bookmarkStart w:id="185" w:name="_Toc3058"/>
      <w:bookmarkStart w:id="186" w:name="_Toc12844"/>
      <w:bookmarkStart w:id="187" w:name="_Toc8838"/>
      <w:r>
        <w:rPr>
          <w:rFonts w:hint="eastAsia" w:ascii="宋体" w:hAnsi="宋体" w:cs="宋体"/>
          <w:color w:val="000000" w:themeColor="text1"/>
          <w:sz w:val="21"/>
          <w:szCs w:val="21"/>
          <w:highlight w:val="none"/>
          <w14:textFill>
            <w14:solidFill>
              <w14:schemeClr w14:val="tx1"/>
            </w14:solidFill>
          </w14:textFill>
        </w:rPr>
        <w:t>13. 磋商报价及采购预算金额</w:t>
      </w:r>
      <w:bookmarkEnd w:id="184"/>
      <w:bookmarkEnd w:id="185"/>
      <w:r>
        <w:rPr>
          <w:rFonts w:hint="eastAsia" w:ascii="宋体" w:hAnsi="宋体" w:cs="宋体"/>
          <w:color w:val="000000" w:themeColor="text1"/>
          <w:sz w:val="21"/>
          <w:szCs w:val="21"/>
          <w:highlight w:val="none"/>
          <w14:textFill>
            <w14:solidFill>
              <w14:schemeClr w14:val="tx1"/>
            </w14:solidFill>
          </w14:textFill>
        </w:rPr>
        <w:t>、上限控制价</w:t>
      </w:r>
      <w:bookmarkEnd w:id="186"/>
      <w:bookmarkEnd w:id="187"/>
    </w:p>
    <w:p w14:paraId="0223B76F">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13.1磋商报价应按采购文件中相关附表格式填写；</w:t>
      </w:r>
      <w:r>
        <w:rPr>
          <w:rFonts w:hint="eastAsia" w:ascii="宋体" w:hAnsi="宋体" w:cs="宋体"/>
          <w:color w:val="000000" w:themeColor="text1"/>
          <w:szCs w:val="21"/>
          <w:highlight w:val="none"/>
          <w14:textFill>
            <w14:solidFill>
              <w14:schemeClr w14:val="tx1"/>
            </w14:solidFill>
          </w14:textFill>
        </w:rPr>
        <w:t>供应商应采用</w:t>
      </w:r>
      <w:r>
        <w:rPr>
          <w:rFonts w:hint="eastAsia" w:ascii="宋体" w:hAnsi="宋体" w:cs="宋体"/>
          <w:bCs/>
          <w:color w:val="000000" w:themeColor="text1"/>
          <w:szCs w:val="21"/>
          <w:highlight w:val="none"/>
          <w14:textFill>
            <w14:solidFill>
              <w14:schemeClr w14:val="tx1"/>
            </w14:solidFill>
          </w14:textFill>
        </w:rPr>
        <w:t>采购人（采购代理机构）提供的工程量清单进行报价</w:t>
      </w:r>
      <w:r>
        <w:rPr>
          <w:rFonts w:hint="eastAsia" w:ascii="宋体" w:hAnsi="宋体" w:cs="宋体"/>
          <w:color w:val="000000" w:themeColor="text1"/>
          <w:szCs w:val="21"/>
          <w:highlight w:val="none"/>
          <w14:textFill>
            <w14:solidFill>
              <w14:schemeClr w14:val="tx1"/>
            </w14:solidFill>
          </w14:textFill>
        </w:rPr>
        <w:t>，不得采用总价让利或以百分比让利等形式进行报价</w:t>
      </w:r>
      <w:r>
        <w:rPr>
          <w:rFonts w:hint="eastAsia" w:ascii="宋体" w:hAnsi="宋体" w:cs="宋体"/>
          <w:bCs/>
          <w:color w:val="000000" w:themeColor="text1"/>
          <w:szCs w:val="21"/>
          <w:highlight w:val="none"/>
          <w14:textFill>
            <w14:solidFill>
              <w14:schemeClr w14:val="tx1"/>
            </w14:solidFill>
          </w14:textFill>
        </w:rPr>
        <w:t>。</w:t>
      </w:r>
    </w:p>
    <w:p w14:paraId="34A7BA7F">
      <w:pPr>
        <w:spacing w:line="400" w:lineRule="exact"/>
        <w:ind w:firstLine="422" w:firstLine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本工程预算造价经审核，招标控制价为人民币1028096.34元</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包含安全文明施工费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33839.18 元</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规费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1194.13元</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增值税</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w:t>
      </w:r>
      <w:r>
        <w:rPr>
          <w:rFonts w:hint="eastAsia"/>
          <w:b/>
          <w:color w:val="000000" w:themeColor="text1"/>
          <w:highlight w:val="none"/>
          <w14:textFill>
            <w14:solidFill>
              <w14:schemeClr w14:val="tx1"/>
            </w14:solidFill>
          </w14:textFill>
        </w:rPr>
        <w:t>元</w:t>
      </w:r>
      <w:r>
        <w:rPr>
          <w:rFonts w:hint="eastAsia"/>
          <w:b/>
          <w:color w:val="000000" w:themeColor="text1"/>
          <w:highlight w:val="none"/>
          <w:lang w:eastAsia="zh-CN"/>
          <w14:textFill>
            <w14:solidFill>
              <w14:schemeClr w14:val="tx1"/>
            </w14:solidFill>
          </w14:textFill>
        </w:rPr>
        <w:t>，暂列金额￥48956.97 元（含税）</w:t>
      </w:r>
      <w:r>
        <w:rPr>
          <w:rFonts w:hint="eastAsia"/>
          <w:b/>
          <w:color w:val="000000" w:themeColor="text1"/>
          <w:highlight w:val="none"/>
          <w14:textFill>
            <w14:solidFill>
              <w14:schemeClr w14:val="tx1"/>
            </w14:solidFill>
          </w14:textFill>
        </w:rPr>
        <w:t>，安全生产责任保险费暂估价</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1951.97</w:t>
      </w:r>
      <w:r>
        <w:rPr>
          <w:rFonts w:hint="eastAsia"/>
          <w:b/>
          <w:color w:val="000000" w:themeColor="text1"/>
          <w:highlight w:val="none"/>
          <w:lang w:eastAsia="zh-CN"/>
          <w14:textFill>
            <w14:solidFill>
              <w14:schemeClr w14:val="tx1"/>
            </w14:solidFill>
          </w14:textFill>
        </w:rPr>
        <w:t>元，材料（工程设备）暂估价￥ 1482.40 元（含税），专业暂估价￥ / 元】</w:t>
      </w:r>
      <w:r>
        <w:rPr>
          <w:rFonts w:hint="eastAsia"/>
          <w:b/>
          <w:color w:val="000000" w:themeColor="text1"/>
          <w:highlight w:val="none"/>
          <w14:textFill>
            <w14:solidFill>
              <w14:schemeClr w14:val="tx1"/>
            </w14:solidFill>
          </w14:textFill>
        </w:rPr>
        <w:t>。</w:t>
      </w:r>
    </w:p>
    <w:p w14:paraId="37D65582">
      <w:pPr>
        <w:spacing w:line="440" w:lineRule="exact"/>
        <w:ind w:firstLine="422" w:firstLineChars="200"/>
        <w:rPr>
          <w:b/>
          <w:bCs/>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本工程上限控制价为人民币 981062.76元（包含安全文明施工费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安全生产责任保险费暂估价</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规费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增值税</w:t>
      </w:r>
      <w:r>
        <w:rPr>
          <w:rFonts w:hint="eastAsia"/>
          <w:b/>
          <w:color w:val="000000" w:themeColor="text1"/>
          <w:highlight w:val="none"/>
          <w:lang w:eastAsia="zh-CN"/>
          <w14:textFill>
            <w14:solidFill>
              <w14:schemeClr w14:val="tx1"/>
            </w14:solidFill>
          </w14:textFill>
        </w:rPr>
        <w:t>、暂列金额、材料（工程设备）暂估价、专业暂估价</w:t>
      </w:r>
      <w:r>
        <w:rPr>
          <w:rFonts w:hint="eastAsia"/>
          <w:b/>
          <w:color w:val="000000" w:themeColor="text1"/>
          <w:highlight w:val="none"/>
          <w14:textFill>
            <w14:solidFill>
              <w14:schemeClr w14:val="tx1"/>
            </w14:solidFill>
          </w14:textFill>
        </w:rPr>
        <w:t>），供应商最后磋商总报价（包含安全文明施工费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安全生产责任保险费暂估价</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规费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增值税</w:t>
      </w:r>
      <w:r>
        <w:rPr>
          <w:rFonts w:hint="eastAsia"/>
          <w:b/>
          <w:color w:val="000000" w:themeColor="text1"/>
          <w:highlight w:val="none"/>
          <w:lang w:eastAsia="zh-CN"/>
          <w14:textFill>
            <w14:solidFill>
              <w14:schemeClr w14:val="tx1"/>
            </w14:solidFill>
          </w14:textFill>
        </w:rPr>
        <w:t>、暂列金额、材料（工程设备）暂估价、专业暂估价</w:t>
      </w:r>
      <w:r>
        <w:rPr>
          <w:rFonts w:hint="eastAsia"/>
          <w:b/>
          <w:color w:val="000000" w:themeColor="text1"/>
          <w:highlight w:val="none"/>
          <w14:textFill>
            <w14:solidFill>
              <w14:schemeClr w14:val="tx1"/>
            </w14:solidFill>
          </w14:textFill>
        </w:rPr>
        <w:t>）不得超出本工程上限控制价，否则，响应文件无效</w:t>
      </w:r>
      <w:r>
        <w:rPr>
          <w:b/>
          <w:bCs/>
          <w:color w:val="000000" w:themeColor="text1"/>
          <w:highlight w:val="none"/>
          <w14:textFill>
            <w14:solidFill>
              <w14:schemeClr w14:val="tx1"/>
            </w14:solidFill>
          </w14:textFill>
        </w:rPr>
        <w:t>。</w:t>
      </w:r>
    </w:p>
    <w:p w14:paraId="6A6A2FF3">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13.2磋商供应商必须就磋商文件所有内容作完整唯一报价，否则，其磋商将被拒绝。响应文件只允许有一个报价，有选择的或有条件的报价将不予接受。</w:t>
      </w:r>
    </w:p>
    <w:p w14:paraId="5EF1D15C">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13.3磋商报价包括本项目采购范围内一切服务价款的总和；供应商综合考虑在报价中。</w:t>
      </w:r>
    </w:p>
    <w:p w14:paraId="294F0517">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13.4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31E691D2">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按上述勘误修正原则及方法调整或修正响应文件的磋商报价，供应商需签字确认。</w:t>
      </w:r>
    </w:p>
    <w:p w14:paraId="6D7A0470">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13.5未书面退出磋商的供应商在规定时间内提交最后报价，其最后报价超出采购预算金额或上限控制价导致已通过评审的响应文件无效的，在系统平台上按供应商在提交响应文件截止时间后撤回响应文件处理。</w:t>
      </w:r>
    </w:p>
    <w:p w14:paraId="05FE8FAF">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13.6最后磋商报价超出本项目采购预算总金额或上限控制价的磋商报价将被视为无效磋商。</w:t>
      </w:r>
    </w:p>
    <w:p w14:paraId="2338B290">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13.7磋商报价应包括本次采购范围内提供的服务、技术费、人工费、保险、税金、培训、版权费等全部费用，磋商供应商综合考虑在报价中。</w:t>
      </w:r>
    </w:p>
    <w:p w14:paraId="43B598A1">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税金、政策性文件规定及合同包含的所有风险、责任等各项应有费用。</w:t>
      </w:r>
    </w:p>
    <w:p w14:paraId="7BA23246">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192D4F13">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13.10磋商供应商应对磋商文件中清单所列的各项内容和要求作实质性响应。</w:t>
      </w:r>
    </w:p>
    <w:p w14:paraId="11B9A5F4">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13.11磋商供应商应采用综合单价对工程量清单进行磋商，不得采用总价让利或以百分比让利等形式进行磋商。</w:t>
      </w:r>
    </w:p>
    <w:p w14:paraId="5EE1777A">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13.12供应商应在规定时间内在政采云系统上提交最后报价，超出磋商小组设定的最后报价时限或其最后报价超出上限控制价导致已通过评审的响应文件无效的，按供应商在提交响应文件截止时间后撤回响应文件处理。</w:t>
      </w:r>
    </w:p>
    <w:p w14:paraId="553EF74B">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88" w:name="_Toc12156"/>
      <w:bookmarkStart w:id="189" w:name="_Toc26881"/>
      <w:bookmarkStart w:id="190" w:name="_Toc30554"/>
      <w:bookmarkStart w:id="191" w:name="_Toc3073"/>
      <w:r>
        <w:rPr>
          <w:rFonts w:hint="eastAsia" w:ascii="宋体" w:hAnsi="宋体" w:cs="宋体"/>
          <w:color w:val="000000" w:themeColor="text1"/>
          <w:sz w:val="21"/>
          <w:szCs w:val="21"/>
          <w:highlight w:val="none"/>
          <w14:textFill>
            <w14:solidFill>
              <w14:schemeClr w14:val="tx1"/>
            </w14:solidFill>
          </w14:textFill>
        </w:rPr>
        <w:t>14. 响应文件有效期</w:t>
      </w:r>
      <w:bookmarkEnd w:id="188"/>
      <w:bookmarkEnd w:id="189"/>
      <w:bookmarkEnd w:id="190"/>
      <w:bookmarkEnd w:id="191"/>
    </w:p>
    <w:p w14:paraId="28A35D6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 响应文件有效期：响应文件递交截止时间之日起90天，有效期不足的响应文件将被拒绝。</w:t>
      </w:r>
    </w:p>
    <w:p w14:paraId="29719FD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 出现特殊情况下，需要延长响应文件有效期的，采购代理机构书面通知供应商延长响应文件有效期。供应商同意延长的，但不能修改响应文件。供应商拒绝延长的，其响应文件无效。</w:t>
      </w:r>
    </w:p>
    <w:p w14:paraId="3853C971">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92" w:name="_Toc8794"/>
      <w:bookmarkStart w:id="193" w:name="_Toc22602"/>
      <w:bookmarkStart w:id="194" w:name="_Toc20698"/>
      <w:bookmarkStart w:id="195" w:name="_Toc16343"/>
      <w:r>
        <w:rPr>
          <w:rFonts w:hint="eastAsia" w:ascii="宋体" w:hAnsi="宋体" w:cs="宋体"/>
          <w:color w:val="000000" w:themeColor="text1"/>
          <w:sz w:val="21"/>
          <w:szCs w:val="21"/>
          <w:highlight w:val="none"/>
          <w14:textFill>
            <w14:solidFill>
              <w14:schemeClr w14:val="tx1"/>
            </w14:solidFill>
          </w14:textFill>
        </w:rPr>
        <w:t>15. 竞标保证金</w:t>
      </w:r>
      <w:bookmarkEnd w:id="192"/>
      <w:bookmarkEnd w:id="193"/>
      <w:bookmarkEnd w:id="194"/>
      <w:bookmarkEnd w:id="195"/>
    </w:p>
    <w:p w14:paraId="2497DB9E">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本项目竞标保证金按采购项目预算金额的 1 %金额：（大写）</w:t>
      </w:r>
      <w:r>
        <w:rPr>
          <w:rFonts w:hint="eastAsia" w:ascii="宋体" w:hAnsi="宋体" w:cs="宋体"/>
          <w:color w:val="000000" w:themeColor="text1"/>
          <w:szCs w:val="21"/>
          <w:highlight w:val="none"/>
          <w:lang w:eastAsia="zh-CN"/>
          <w14:textFill>
            <w14:solidFill>
              <w14:schemeClr w14:val="tx1"/>
            </w14:solidFill>
          </w14:textFill>
        </w:rPr>
        <w:t>玖仟捌佰元整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9800</w:t>
      </w:r>
      <w:r>
        <w:rPr>
          <w:rFonts w:hint="eastAsia" w:ascii="宋体" w:hAnsi="宋体" w:cs="宋体"/>
          <w:color w:val="000000" w:themeColor="text1"/>
          <w:szCs w:val="21"/>
          <w:highlight w:val="none"/>
          <w14:textFill>
            <w14:solidFill>
              <w14:schemeClr w14:val="tx1"/>
            </w14:solidFill>
          </w14:textFill>
        </w:rPr>
        <w:t>.00元）</w:t>
      </w:r>
    </w:p>
    <w:p w14:paraId="16F6C71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15.2</w:t>
      </w:r>
      <w:r>
        <w:rPr>
          <w:rFonts w:hint="eastAsia" w:ascii="宋体" w:hAnsi="宋体" w:cs="宋体"/>
          <w:color w:val="000000" w:themeColor="text1"/>
          <w:szCs w:val="21"/>
          <w:highlight w:val="none"/>
          <w14:textFill>
            <w14:solidFill>
              <w14:schemeClr w14:val="tx1"/>
            </w14:solidFill>
          </w14:textFill>
        </w:rPr>
        <w:t>缴纳截止时间：202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日09: 30(本项目提交</w:t>
      </w:r>
      <w:r>
        <w:rPr>
          <w:rFonts w:hint="eastAsia" w:ascii="宋体" w:hAnsi="宋体" w:cs="宋体"/>
          <w:color w:val="000000" w:themeColor="text1"/>
          <w:szCs w:val="21"/>
          <w:highlight w:val="none"/>
          <w:lang w:val="en-US" w:eastAsia="zh-CN"/>
          <w14:textFill>
            <w14:solidFill>
              <w14:schemeClr w14:val="tx1"/>
            </w14:solidFill>
          </w14:textFill>
        </w:rPr>
        <w:t>响应</w:t>
      </w:r>
      <w:r>
        <w:rPr>
          <w:rFonts w:hint="eastAsia" w:ascii="宋体" w:hAnsi="宋体" w:cs="宋体"/>
          <w:color w:val="000000" w:themeColor="text1"/>
          <w:szCs w:val="21"/>
          <w:highlight w:val="none"/>
          <w14:textFill>
            <w14:solidFill>
              <w14:schemeClr w14:val="tx1"/>
            </w14:solidFill>
          </w14:textFill>
        </w:rPr>
        <w:t>文件截止时间），以竞标保证金账户实际收款时间为准。</w:t>
      </w:r>
    </w:p>
    <w:p w14:paraId="68D4F2F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15.3</w:t>
      </w:r>
      <w:r>
        <w:rPr>
          <w:rFonts w:hint="eastAsia" w:ascii="宋体" w:hAnsi="宋体" w:cs="宋体"/>
          <w:color w:val="000000" w:themeColor="text1"/>
          <w:szCs w:val="21"/>
          <w:highlight w:val="none"/>
          <w14:textFill>
            <w14:solidFill>
              <w14:schemeClr w14:val="tx1"/>
            </w14:solidFill>
          </w14:textFill>
        </w:rPr>
        <w:t>缴纳方式：银行转账、电汇或网上支付、保函等方式提交。</w:t>
      </w:r>
    </w:p>
    <w:p w14:paraId="1043067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（1）采用电汇、转账形式的供应商应于谈判截止时间前将竞标保证金从供应商账户一次性足额缴纳至本项目对应的专用账号，转账时备注转账时建议备注：“项目编号+项目名称+竞标保证金”</w:t>
      </w:r>
    </w:p>
    <w:p w14:paraId="4FB9ADC2">
      <w:pPr>
        <w:spacing w:line="400" w:lineRule="exact"/>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（2）缴纳竞标保证金账户信息：</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开户名称:联云项目管理咨询有限公司桂林第一分公司；开户银行:桂林银行股份有限公司中隐路支行；银行账号:6600 0001 9576 8000 16</w:t>
      </w:r>
    </w:p>
    <w:p w14:paraId="42A8D9B7">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凡未在规定时间内足额交纳或以其它方式交纳的竞标保证金均视为无效，其响应文件一律作无效处理。</w:t>
      </w:r>
    </w:p>
    <w:p w14:paraId="4AE97E0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供应商应按上述要求交纳竞标保证金,并自行考虑到账时间，妥善安排竞标保证金交纳工作，确保按时到账。供应商应将竞标保证金交纳凭证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放入响应文件中，确保按时递交响应文件。否则，其响应文件无效。</w:t>
      </w:r>
    </w:p>
    <w:p w14:paraId="4F9DC779">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ascii="宋体" w:hAnsi="宋体" w:cs="宋体"/>
          <w:bCs/>
          <w:color w:val="000000" w:themeColor="text1"/>
          <w:szCs w:val="21"/>
          <w:highlight w:val="non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.4对未足额、按时交纳竞标保证金的，均按未交纳竞标保证金处理，并由谈判小组现场核定该响应文件无效。</w:t>
      </w:r>
    </w:p>
    <w:p w14:paraId="297EC9C0">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ascii="宋体" w:hAnsi="宋体" w:cs="宋体"/>
          <w:bCs/>
          <w:color w:val="000000" w:themeColor="text1"/>
          <w:szCs w:val="21"/>
          <w:highlight w:val="non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5竞标保证金的退还均以转账形式（无息）退回到供应商银行账户。除谈判文件规定不予退还竞标保证金的情形外，未成交供应商的竞标保证金在成交通知书发出后四个工作日内，供应商提供本单位开户银行及账号后，以转账方式退还竞标保证金。成交供应商的竞标保证金在合同签订并将壹份采购合同原件送采购代理机构存档后的四个工作日内，以转账方式退还。</w:t>
      </w:r>
    </w:p>
    <w:p w14:paraId="5FD27927">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ascii="宋体" w:hAnsi="宋体" w:cs="宋体"/>
          <w:bCs/>
          <w:color w:val="000000" w:themeColor="text1"/>
          <w:szCs w:val="21"/>
          <w:highlight w:val="non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.6供应商有下列情形之一的，竞标保证金将不予退还：</w:t>
      </w:r>
    </w:p>
    <w:p w14:paraId="64947DD1">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（1）供应商在提交响应文件截止时间后撤回响应文件的；</w:t>
      </w:r>
    </w:p>
    <w:p w14:paraId="5B4B552F">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（2）供应商在响应文件中提供虚假材料的；</w:t>
      </w:r>
    </w:p>
    <w:p w14:paraId="53BB815E">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（3）除因不可抗力或谈判文件认可的情形外，成交供应商不与采购人签订合同的；</w:t>
      </w:r>
    </w:p>
    <w:p w14:paraId="6F077BA4">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（4）供应商与采购人、其他供应商或者采购代理机构恶意串通的； </w:t>
      </w:r>
    </w:p>
    <w:p w14:paraId="716BBFC5">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（5）将成交项目转让给他人或者在响应文件中未说明且未经采购人同意，将成交项目分包给他人的；</w:t>
      </w:r>
    </w:p>
    <w:p w14:paraId="1609E417">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（6）其他严重扰乱采购程序的。</w:t>
      </w:r>
    </w:p>
    <w:p w14:paraId="48395145">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96" w:name="_Toc387"/>
      <w:bookmarkStart w:id="197" w:name="_Toc19182"/>
      <w:bookmarkStart w:id="198" w:name="_Toc30118"/>
      <w:bookmarkStart w:id="199" w:name="_Toc6403"/>
      <w:r>
        <w:rPr>
          <w:rFonts w:hint="eastAsia" w:ascii="宋体" w:hAnsi="宋体" w:cs="宋体"/>
          <w:color w:val="000000" w:themeColor="text1"/>
          <w:sz w:val="21"/>
          <w:szCs w:val="21"/>
          <w:highlight w:val="none"/>
          <w14:textFill>
            <w14:solidFill>
              <w14:schemeClr w14:val="tx1"/>
            </w14:solidFill>
          </w14:textFill>
        </w:rPr>
        <w:t>16. 竞争性磋商响应文件的</w:t>
      </w:r>
      <w:bookmarkEnd w:id="196"/>
      <w:r>
        <w:rPr>
          <w:rFonts w:hint="eastAsia" w:ascii="宋体" w:hAnsi="宋体" w:cs="宋体"/>
          <w:color w:val="000000" w:themeColor="text1"/>
          <w:sz w:val="21"/>
          <w:szCs w:val="21"/>
          <w:highlight w:val="none"/>
          <w14:textFill>
            <w14:solidFill>
              <w14:schemeClr w14:val="tx1"/>
            </w14:solidFill>
          </w14:textFill>
        </w:rPr>
        <w:t>制作</w:t>
      </w:r>
      <w:bookmarkEnd w:id="197"/>
      <w:bookmarkEnd w:id="198"/>
      <w:bookmarkEnd w:id="199"/>
    </w:p>
    <w:p w14:paraId="2A793BA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56334F4">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2C8A2734">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 磋商响应文件不得涂改，若有修改错漏处，须法定代表人（负责人、自然人）或授权委托人签字（或个人CA签章）。磋商响应文件因字迹潦草或表达不清所引起的后果由供应商负责。</w:t>
      </w:r>
    </w:p>
    <w:p w14:paraId="58AA04C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16.4磋商前准备 </w:t>
      </w:r>
    </w:p>
    <w:p w14:paraId="6D129F6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16.4.1本项目实行在线磋商，采用电子磋商响应文件。若供应商参与磋商，自行承担磋商一切费用。 </w:t>
      </w:r>
    </w:p>
    <w:p w14:paraId="0827AD7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16.4.2各供应商应在截标前应确保成为政采云平台正式注册入库供应商，并完成 CA 数字证书申领。因未注册入库、未办理 CA 数字证书等原因造成无法磋商或磋商失败等后果由供应商自行承担。 </w:t>
      </w:r>
    </w:p>
    <w:p w14:paraId="156A79E6">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16.4.3供应商将政采云电子交易客户端下载、安装完成后，可通过账号密码或 CA 登录客户端进行响应文件制作。客户端请至网站下载专区查看，如有问题</w:t>
      </w:r>
      <w:r>
        <w:rPr>
          <w:color w:val="000000" w:themeColor="text1"/>
          <w:szCs w:val="21"/>
          <w:highlight w:val="none"/>
          <w14:textFill>
            <w14:solidFill>
              <w14:schemeClr w14:val="tx1"/>
            </w14:solidFill>
          </w14:textFill>
        </w:rPr>
        <w:t>拨打政采云服务热线95763获取热线服务帮助</w:t>
      </w:r>
      <w:r>
        <w:rPr>
          <w:rFonts w:hint="eastAsia"/>
          <w:color w:val="000000" w:themeColor="text1"/>
          <w:szCs w:val="21"/>
          <w:highlight w:val="none"/>
          <w14:textFill>
            <w14:solidFill>
              <w14:schemeClr w14:val="tx1"/>
            </w14:solidFill>
          </w14:textFill>
        </w:rPr>
        <w:t>。</w:t>
      </w:r>
    </w:p>
    <w:p w14:paraId="7AAE94A9">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00" w:name="_Toc9738"/>
      <w:bookmarkStart w:id="201" w:name="_Toc8793"/>
      <w:bookmarkStart w:id="202" w:name="_Toc17768"/>
      <w:r>
        <w:rPr>
          <w:rFonts w:hint="eastAsia" w:ascii="宋体" w:hAnsi="宋体" w:cs="宋体"/>
          <w:color w:val="000000" w:themeColor="text1"/>
          <w:sz w:val="21"/>
          <w:szCs w:val="21"/>
          <w:highlight w:val="none"/>
          <w14:textFill>
            <w14:solidFill>
              <w14:schemeClr w14:val="tx1"/>
            </w14:solidFill>
          </w14:textFill>
        </w:rPr>
        <w:t>17. 响应文件的修改和撤回</w:t>
      </w:r>
      <w:bookmarkEnd w:id="200"/>
      <w:bookmarkEnd w:id="201"/>
      <w:bookmarkEnd w:id="202"/>
    </w:p>
    <w:p w14:paraId="1AA4079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69F531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 在响应文件递交截止时间后的响应文件有效期内，供应商不得撤回其响应文件。</w:t>
      </w:r>
    </w:p>
    <w:p w14:paraId="1B05FB52">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03" w:name="_Toc24690"/>
      <w:bookmarkStart w:id="204" w:name="_Toc27281"/>
      <w:bookmarkStart w:id="205" w:name="_Toc30156"/>
      <w:bookmarkStart w:id="206" w:name="_Toc5805"/>
      <w:r>
        <w:rPr>
          <w:rFonts w:hint="eastAsia" w:ascii="宋体" w:hAnsi="宋体" w:cs="宋体"/>
          <w:color w:val="000000" w:themeColor="text1"/>
          <w:sz w:val="21"/>
          <w:szCs w:val="21"/>
          <w:highlight w:val="none"/>
          <w14:textFill>
            <w14:solidFill>
              <w14:schemeClr w14:val="tx1"/>
            </w14:solidFill>
          </w14:textFill>
        </w:rPr>
        <w:t>18. 响应文件的递交和解密</w:t>
      </w:r>
      <w:bookmarkEnd w:id="203"/>
      <w:bookmarkEnd w:id="204"/>
      <w:bookmarkEnd w:id="205"/>
      <w:bookmarkEnd w:id="206"/>
    </w:p>
    <w:p w14:paraId="04E0B24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18.1响应文件递交截止时间：于</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日9时30分（北京时间）</w:t>
      </w:r>
      <w:r>
        <w:rPr>
          <w:rFonts w:hint="eastAsia" w:ascii="宋体" w:hAnsi="宋体" w:cs="宋体"/>
          <w:color w:val="000000" w:themeColor="text1"/>
          <w:szCs w:val="21"/>
          <w:highlight w:val="none"/>
          <w14:textFill>
            <w14:solidFill>
              <w14:schemeClr w14:val="tx1"/>
            </w14:solidFill>
          </w14:textFill>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w:t>
      </w:r>
    </w:p>
    <w:p w14:paraId="26DE599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18.2磋商响应文件解密时间（北京时间）：截标时间后</w:t>
      </w:r>
      <w:r>
        <w:rPr>
          <w:rFonts w:hint="eastAsia" w:ascii="宋体" w:hAnsi="宋体" w:cs="宋体"/>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分钟内（</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日9时00分至9时30分</w:t>
      </w:r>
      <w:r>
        <w:rPr>
          <w:rFonts w:hint="eastAsia" w:ascii="宋体" w:hAnsi="宋体" w:cs="宋体"/>
          <w:color w:val="000000" w:themeColor="text1"/>
          <w:szCs w:val="21"/>
          <w:highlight w:val="none"/>
          <w14:textFill>
            <w14:solidFill>
              <w14:schemeClr w14:val="tx1"/>
            </w14:solidFill>
          </w14:textFill>
        </w:rPr>
        <w:t>)磋商供应商可以登录政采云平台，用“项目采购-开标评标”功能进行解密磋商文件。</w:t>
      </w:r>
      <w:r>
        <w:rPr>
          <w:rFonts w:hint="eastAsia" w:ascii="宋体" w:hAnsi="宋体" w:cs="宋体"/>
          <w:color w:val="000000" w:themeColor="text1"/>
          <w:highlight w:val="none"/>
          <w14:textFill>
            <w14:solidFill>
              <w14:schemeClr w14:val="tx1"/>
            </w14:solidFill>
          </w14:textFill>
        </w:rPr>
        <w:t>若磋商供应商在规定时间内无法解密或解密失败，视为无效响应。</w:t>
      </w:r>
    </w:p>
    <w:p w14:paraId="4BAA2D7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 除竞争性磋商文件另有规定外，供应商所递交的响应文件不予退还。</w:t>
      </w:r>
    </w:p>
    <w:p w14:paraId="457F31F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 电子响应文件的相关说明</w:t>
      </w:r>
    </w:p>
    <w:p w14:paraId="7FBBD8D3">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71950969">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6070E704">
      <w:pPr>
        <w:spacing w:line="440" w:lineRule="exact"/>
        <w:ind w:firstLine="422" w:firstLineChars="200"/>
        <w:rPr>
          <w:rFonts w:ascii="宋体" w:hAnsi="宋体" w:cs="宋体"/>
          <w:b/>
          <w:color w:val="000000" w:themeColor="text1"/>
          <w:szCs w:val="28"/>
          <w:highlight w:val="none"/>
          <w14:textFill>
            <w14:solidFill>
              <w14:schemeClr w14:val="tx1"/>
            </w14:solidFill>
          </w14:textFill>
        </w:rPr>
      </w:pPr>
      <w:bookmarkStart w:id="207" w:name="_Toc2433"/>
    </w:p>
    <w:p w14:paraId="602A28E5">
      <w:pPr>
        <w:pStyle w:val="3"/>
        <w:tabs>
          <w:tab w:val="left" w:pos="567"/>
        </w:tabs>
        <w:spacing w:line="440" w:lineRule="exact"/>
        <w:jc w:val="center"/>
        <w:rPr>
          <w:rFonts w:ascii="宋体" w:hAnsi="宋体" w:cs="宋体"/>
          <w:bCs w:val="0"/>
          <w:color w:val="000000" w:themeColor="text1"/>
          <w:szCs w:val="28"/>
          <w:highlight w:val="none"/>
          <w14:textFill>
            <w14:solidFill>
              <w14:schemeClr w14:val="tx1"/>
            </w14:solidFill>
          </w14:textFill>
        </w:rPr>
      </w:pPr>
      <w:bookmarkStart w:id="208" w:name="_Toc27502"/>
      <w:bookmarkStart w:id="209" w:name="_Toc5807"/>
      <w:bookmarkStart w:id="210" w:name="_Toc8366"/>
      <w:bookmarkStart w:id="211" w:name="_Toc25845"/>
      <w:r>
        <w:rPr>
          <w:rFonts w:hint="eastAsia" w:ascii="宋体" w:hAnsi="宋体" w:cs="宋体"/>
          <w:bCs w:val="0"/>
          <w:color w:val="000000" w:themeColor="text1"/>
          <w:szCs w:val="28"/>
          <w:highlight w:val="none"/>
          <w14:textFill>
            <w14:solidFill>
              <w14:schemeClr w14:val="tx1"/>
            </w14:solidFill>
          </w14:textFill>
        </w:rPr>
        <w:t>四、竞争性磋商（简称磋商）与评审</w:t>
      </w:r>
      <w:bookmarkEnd w:id="207"/>
      <w:bookmarkEnd w:id="208"/>
      <w:bookmarkEnd w:id="209"/>
      <w:bookmarkEnd w:id="210"/>
      <w:bookmarkEnd w:id="211"/>
    </w:p>
    <w:p w14:paraId="3D33FD13">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12" w:name="_Toc11021"/>
      <w:bookmarkStart w:id="213" w:name="_Toc31588"/>
      <w:bookmarkStart w:id="214" w:name="_Toc9080"/>
      <w:bookmarkStart w:id="215" w:name="_Toc9093"/>
      <w:r>
        <w:rPr>
          <w:rFonts w:hint="eastAsia" w:ascii="宋体" w:hAnsi="宋体" w:cs="宋体"/>
          <w:color w:val="000000" w:themeColor="text1"/>
          <w:sz w:val="21"/>
          <w:szCs w:val="21"/>
          <w:highlight w:val="none"/>
          <w14:textFill>
            <w14:solidFill>
              <w14:schemeClr w14:val="tx1"/>
            </w14:solidFill>
          </w14:textFill>
        </w:rPr>
        <w:t>19. 磋商小组组成及磋商时间、地点、人员</w:t>
      </w:r>
      <w:bookmarkEnd w:id="212"/>
      <w:bookmarkEnd w:id="213"/>
      <w:bookmarkEnd w:id="214"/>
      <w:bookmarkEnd w:id="215"/>
    </w:p>
    <w:p w14:paraId="5193C946">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 磋商小组组成：</w:t>
      </w:r>
    </w:p>
    <w:p w14:paraId="7E55DD1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人，其中采购人代表</w:t>
      </w:r>
      <w:r>
        <w:rPr>
          <w:rFonts w:hint="eastAsia" w:ascii="宋体" w:hAnsi="宋体" w:cs="宋体"/>
          <w:color w:val="000000" w:themeColor="text1"/>
          <w:szCs w:val="21"/>
          <w:highlight w:val="none"/>
          <w:u w:val="singl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人，专家</w:t>
      </w:r>
      <w:r>
        <w:rPr>
          <w:rFonts w:hint="eastAsia" w:ascii="宋体" w:hAnsi="宋体" w:cs="宋体"/>
          <w:color w:val="000000" w:themeColor="text1"/>
          <w:szCs w:val="21"/>
          <w:highlight w:val="none"/>
          <w:u w:val="singl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人。专家确定方式：评审前从政府采购云平台专家库中通过电脑随机抽取。</w:t>
      </w:r>
    </w:p>
    <w:p w14:paraId="4B1CA12E">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 磋商时间、地点、人员：</w:t>
      </w:r>
    </w:p>
    <w:p w14:paraId="44FFC605">
      <w:pPr>
        <w:spacing w:line="440" w:lineRule="exact"/>
        <w:ind w:firstLine="420" w:firstLineChars="200"/>
        <w:rPr>
          <w:rFonts w:ascii="宋体" w:hAnsi="宋体" w:cs="宋体"/>
          <w:color w:val="000000" w:themeColor="text1"/>
          <w:szCs w:val="21"/>
          <w:highlight w:val="none"/>
          <w14:textFill>
            <w14:solidFill>
              <w14:schemeClr w14:val="tx1"/>
            </w14:solidFill>
          </w14:textFill>
        </w:rPr>
      </w:pPr>
      <w:bookmarkStart w:id="216" w:name="_Toc9878"/>
      <w:r>
        <w:rPr>
          <w:rFonts w:hint="eastAsia" w:ascii="宋体" w:hAnsi="宋体" w:cs="宋体"/>
          <w:color w:val="000000" w:themeColor="text1"/>
          <w:szCs w:val="21"/>
          <w:highlight w:val="none"/>
          <w14:textFill>
            <w14:solidFill>
              <w14:schemeClr w14:val="tx1"/>
            </w14:solidFill>
          </w14:textFill>
        </w:rPr>
        <w:t>19.2.1磋商时间：响应文件递交截止时间后。</w:t>
      </w:r>
      <w:bookmarkEnd w:id="216"/>
    </w:p>
    <w:p w14:paraId="67D6D3A9">
      <w:pPr>
        <w:spacing w:line="440" w:lineRule="exact"/>
        <w:ind w:firstLine="420" w:firstLineChars="200"/>
        <w:rPr>
          <w:rFonts w:ascii="宋体" w:hAnsi="宋体" w:cs="宋体"/>
          <w:color w:val="000000" w:themeColor="text1"/>
          <w:szCs w:val="21"/>
          <w:highlight w:val="none"/>
          <w14:textFill>
            <w14:solidFill>
              <w14:schemeClr w14:val="tx1"/>
            </w14:solidFill>
          </w14:textFill>
        </w:rPr>
      </w:pPr>
      <w:bookmarkStart w:id="217" w:name="_Toc29268"/>
      <w:r>
        <w:rPr>
          <w:rFonts w:hint="eastAsia" w:ascii="宋体" w:hAnsi="宋体" w:cs="宋体"/>
          <w:color w:val="000000" w:themeColor="text1"/>
          <w:szCs w:val="21"/>
          <w:highlight w:val="none"/>
          <w14:textFill>
            <w14:solidFill>
              <w14:schemeClr w14:val="tx1"/>
            </w14:solidFill>
          </w14:textFill>
        </w:rPr>
        <w:t>19.2.2磋商地点：</w:t>
      </w:r>
      <w:bookmarkEnd w:id="217"/>
      <w:r>
        <w:rPr>
          <w:rFonts w:hint="eastAsia" w:ascii="宋体" w:hAnsi="宋体" w:cs="宋体"/>
          <w:color w:val="000000" w:themeColor="text1"/>
          <w:szCs w:val="21"/>
          <w:highlight w:val="none"/>
          <w14:textFill>
            <w14:solidFill>
              <w14:schemeClr w14:val="tx1"/>
            </w14:solidFill>
          </w14:textFill>
        </w:rPr>
        <w:t>本项目需要磋商供应商代表在截标当天截标后，按磋商小组要求及时登陆政采云平台等候在线磋商。</w:t>
      </w:r>
    </w:p>
    <w:p w14:paraId="3A0D84C0">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bookmarkStart w:id="218" w:name="_Toc21307"/>
      <w:r>
        <w:rPr>
          <w:rFonts w:hint="eastAsia" w:ascii="宋体" w:hAnsi="宋体" w:cs="宋体"/>
          <w:color w:val="000000" w:themeColor="text1"/>
          <w:szCs w:val="21"/>
          <w:highlight w:val="none"/>
          <w14:textFill>
            <w14:solidFill>
              <w14:schemeClr w14:val="tx1"/>
            </w14:solidFill>
          </w14:textFill>
        </w:rPr>
        <w:t>19</w:t>
      </w:r>
      <w:r>
        <w:rPr>
          <w:rFonts w:hint="eastAsia" w:ascii="宋体" w:hAnsi="宋体" w:cs="宋体"/>
          <w:bCs/>
          <w:color w:val="000000" w:themeColor="text1"/>
          <w:szCs w:val="21"/>
          <w:highlight w:val="none"/>
          <w14:textFill>
            <w14:solidFill>
              <w14:schemeClr w14:val="tx1"/>
            </w14:solidFill>
          </w14:textFill>
        </w:rPr>
        <w:t>.2.3磋商参加人员：供应商法定代表人、负责人、自然人或相应的委托代理人持</w:t>
      </w:r>
      <w:r>
        <w:rPr>
          <w:rFonts w:hint="eastAsia" w:ascii="宋体" w:hAnsi="宋体" w:cs="宋体"/>
          <w:bCs/>
          <w:color w:val="000000" w:themeColor="text1"/>
          <w:szCs w:val="21"/>
          <w:highlight w:val="none"/>
          <w:u w:val="single"/>
          <w14:textFill>
            <w14:solidFill>
              <w14:schemeClr w14:val="tx1"/>
            </w14:solidFill>
          </w14:textFill>
        </w:rPr>
        <w:t>有效身份证原件</w:t>
      </w:r>
      <w:r>
        <w:rPr>
          <w:rFonts w:hint="eastAsia" w:ascii="宋体" w:hAnsi="宋体" w:cs="宋体"/>
          <w:bCs/>
          <w:color w:val="000000" w:themeColor="text1"/>
          <w:szCs w:val="21"/>
          <w:highlight w:val="none"/>
          <w14:textFill>
            <w14:solidFill>
              <w14:schemeClr w14:val="tx1"/>
            </w14:solidFill>
          </w14:textFill>
        </w:rPr>
        <w:t>和供应商</w:t>
      </w:r>
      <w:r>
        <w:rPr>
          <w:rFonts w:hint="eastAsia" w:ascii="宋体" w:hAnsi="宋体" w:cs="宋体"/>
          <w:bCs/>
          <w:color w:val="000000" w:themeColor="text1"/>
          <w:szCs w:val="21"/>
          <w:highlight w:val="none"/>
          <w:u w:val="single"/>
          <w14:textFill>
            <w14:solidFill>
              <w14:schemeClr w14:val="tx1"/>
            </w14:solidFill>
          </w14:textFill>
        </w:rPr>
        <w:t>政采云平台CA数字证书</w:t>
      </w:r>
      <w:r>
        <w:rPr>
          <w:rFonts w:hint="eastAsia" w:ascii="宋体" w:hAnsi="宋体" w:cs="宋体"/>
          <w:bCs/>
          <w:color w:val="000000" w:themeColor="text1"/>
          <w:szCs w:val="21"/>
          <w:highlight w:val="none"/>
          <w14:textFill>
            <w14:solidFill>
              <w14:schemeClr w14:val="tx1"/>
            </w14:solidFill>
          </w14:textFill>
        </w:rPr>
        <w:t>参加磋商。请供应商按时等候磋商。</w:t>
      </w:r>
      <w:bookmarkEnd w:id="218"/>
    </w:p>
    <w:p w14:paraId="3AB664D0">
      <w:pPr>
        <w:spacing w:line="440" w:lineRule="exact"/>
        <w:ind w:firstLine="420" w:firstLineChars="200"/>
        <w:rPr>
          <w:rFonts w:ascii="宋体" w:hAnsi="宋体" w:cs="宋体"/>
          <w:bCs/>
          <w:color w:val="000000" w:themeColor="text1"/>
          <w:szCs w:val="21"/>
          <w:highlight w:val="none"/>
          <w14:textFill>
            <w14:solidFill>
              <w14:schemeClr w14:val="tx1"/>
            </w14:solidFill>
          </w14:textFill>
        </w:rPr>
      </w:pPr>
      <w:bookmarkStart w:id="219" w:name="_Toc6288"/>
      <w:r>
        <w:rPr>
          <w:rFonts w:hint="eastAsia" w:ascii="宋体" w:hAnsi="宋体" w:cs="宋体"/>
          <w:bCs/>
          <w:color w:val="000000" w:themeColor="text1"/>
          <w:szCs w:val="21"/>
          <w:highlight w:val="none"/>
          <w14:textFill>
            <w14:solidFill>
              <w14:schemeClr w14:val="tx1"/>
            </w14:solidFill>
          </w14:textFill>
        </w:rPr>
        <w:t>19.2.4响应文件递交截止时间后，由磋商小组在评标室内线上开启响应文件。</w:t>
      </w:r>
      <w:bookmarkEnd w:id="219"/>
    </w:p>
    <w:p w14:paraId="66C5FA83">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20" w:name="_Toc25258"/>
      <w:bookmarkStart w:id="221" w:name="_Toc21088"/>
      <w:bookmarkStart w:id="222" w:name="_Toc30573"/>
      <w:bookmarkStart w:id="223" w:name="_Toc23695"/>
      <w:r>
        <w:rPr>
          <w:rFonts w:hint="eastAsia" w:ascii="宋体" w:hAnsi="宋体" w:cs="宋体"/>
          <w:color w:val="000000" w:themeColor="text1"/>
          <w:sz w:val="21"/>
          <w:szCs w:val="21"/>
          <w:highlight w:val="none"/>
          <w14:textFill>
            <w14:solidFill>
              <w14:schemeClr w14:val="tx1"/>
            </w14:solidFill>
          </w14:textFill>
        </w:rPr>
        <w:t>20. 评审原则</w:t>
      </w:r>
      <w:bookmarkEnd w:id="220"/>
      <w:bookmarkEnd w:id="221"/>
      <w:bookmarkEnd w:id="222"/>
      <w:bookmarkEnd w:id="223"/>
    </w:p>
    <w:p w14:paraId="43C69BAF">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 磋商小组必须坚持公平、公正、科学和择优的原则。</w:t>
      </w:r>
    </w:p>
    <w:p w14:paraId="36316139">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 评审办法：综合评分法，具体详见第四章评审办法。</w:t>
      </w:r>
    </w:p>
    <w:p w14:paraId="7093C41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 磋商小组应按磋商文件进行评审，不得擅自更改评审办法。</w:t>
      </w:r>
    </w:p>
    <w:p w14:paraId="1B8E491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14:paraId="0F4159F0">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14:paraId="43FA32F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20.6 响应文件最后报价出现前后不一致的，除竞争性磋商文件另有规定外，按照下列规定修正：</w:t>
      </w:r>
    </w:p>
    <w:p w14:paraId="3F4C62A6">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响应文件中磋商报价表内容与响应文件中相应内容不一致的，以最后磋商报价表为准；</w:t>
      </w:r>
    </w:p>
    <w:p w14:paraId="3741F61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大写金额和小写金额不一致的，以大写金额为准；</w:t>
      </w:r>
    </w:p>
    <w:p w14:paraId="0766384F">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单价金额小数点或者百分比有明显错位的，以报价表的总价为准，并修改单价；</w:t>
      </w:r>
    </w:p>
    <w:p w14:paraId="333365F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总价金额与按单价汇总金额不一致的，以单价金额计算结果为准。</w:t>
      </w:r>
    </w:p>
    <w:p w14:paraId="0D0BE8BC">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974728B">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24" w:name="_Toc21012"/>
      <w:bookmarkStart w:id="225" w:name="_Toc17285"/>
      <w:bookmarkStart w:id="226" w:name="_Toc27193"/>
      <w:bookmarkStart w:id="227" w:name="_Toc16501"/>
      <w:r>
        <w:rPr>
          <w:rFonts w:hint="eastAsia" w:ascii="宋体" w:hAnsi="宋体" w:cs="宋体"/>
          <w:color w:val="000000" w:themeColor="text1"/>
          <w:sz w:val="21"/>
          <w:szCs w:val="21"/>
          <w:highlight w:val="none"/>
          <w14:textFill>
            <w14:solidFill>
              <w14:schemeClr w14:val="tx1"/>
            </w14:solidFill>
          </w14:textFill>
        </w:rPr>
        <w:t>21. 评审程序及磋商要求</w:t>
      </w:r>
      <w:bookmarkEnd w:id="224"/>
      <w:bookmarkEnd w:id="225"/>
      <w:bookmarkEnd w:id="226"/>
      <w:bookmarkEnd w:id="227"/>
    </w:p>
    <w:p w14:paraId="0BBE28E9">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21.1磋商小组成员的通讯工具或相关电子设备统一保管后到达评标室，采购代理机构核实磋商小组成员身份，告知回避要求，宣布评审工作纪律和程序，推选磋商小组组长。</w:t>
      </w:r>
    </w:p>
    <w:p w14:paraId="72FF9AE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214A919E">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 审查，以确定是否对磋商文件的实质性要求做出响应。 </w:t>
      </w:r>
    </w:p>
    <w:p w14:paraId="7568E1B6">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2E70AD05">
      <w:pPr>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21.4.1 查询渠道：《国家企业信用信息公示系统》（网址：www.gsxt.gov.cn/index.html）</w:t>
      </w:r>
    </w:p>
    <w:p w14:paraId="30C2D48F">
      <w:pPr>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21.4.2 审查流程：</w:t>
      </w:r>
    </w:p>
    <w:p w14:paraId="6EE78256">
      <w:pPr>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（1）进入《国家企业信用信息公示系统》（网址：www.gsxt.gov.cn/index.html），输入企业名称，进入企业信息主页面；</w:t>
      </w:r>
    </w:p>
    <w:p w14:paraId="31A95B6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（2）查看主页“股东及出资信息”栏，或年报中的“股东及出资信息”栏信息；</w:t>
      </w:r>
    </w:p>
    <w:p w14:paraId="49A5F86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（3）将各供应商的股东及出资信息进行比对，得出审查结论；</w:t>
      </w:r>
    </w:p>
    <w:p w14:paraId="58A3E56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（4）将相关资料作为评审资料打印存档。</w:t>
      </w:r>
    </w:p>
    <w:p w14:paraId="436FD299">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21.5 磋商小组如发现供应商提供的证明文件不齐全或不符合规定格式的，应一次性告知供应商，供应商应在规定的时间内线上补正或更正。</w:t>
      </w:r>
    </w:p>
    <w:p w14:paraId="4725089E">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w:t>
      </w:r>
      <w:r>
        <w:rPr>
          <w:rFonts w:hint="eastAsia" w:ascii="宋体" w:hAnsi="宋体" w:cs="宋体"/>
          <w:color w:val="000000" w:themeColor="text1"/>
          <w:highlight w:val="none"/>
          <w14:textFill>
            <w14:solidFill>
              <w14:schemeClr w14:val="tx1"/>
            </w14:solidFill>
          </w14:textFill>
        </w:rPr>
        <w:t>个人CA签章)</w:t>
      </w:r>
      <w:r>
        <w:rPr>
          <w:rFonts w:hint="eastAsia" w:ascii="宋体" w:hAnsi="宋体" w:cs="宋体"/>
          <w:color w:val="000000" w:themeColor="text1"/>
          <w:szCs w:val="21"/>
          <w:highlight w:val="none"/>
          <w14:textFill>
            <w14:solidFill>
              <w14:schemeClr w14:val="tx1"/>
            </w14:solidFill>
          </w14:textFill>
        </w:rPr>
        <w:t>或者加盖供应商公章(CA签章)。</w:t>
      </w:r>
    </w:p>
    <w:p w14:paraId="2AEDFCA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根据磋商文件规定的程序、评定成交的标准等事项与实质性响应竞争性磋商文件要求的供应商进行磋商。 </w:t>
      </w:r>
    </w:p>
    <w:p w14:paraId="64A12F0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未实质性响应磋商文件的响应文件按无效处理，磋商小组应当告知有关供应商。 </w:t>
      </w:r>
    </w:p>
    <w:p w14:paraId="0D4371B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磋商小组所有成员应当按已确定的磋商顺序集中与单一供应商分别进行磋商，并给予所有实质性响应竞争性磋商文件要求的供应商平等的磋商机会。 </w:t>
      </w:r>
    </w:p>
    <w:p w14:paraId="62108340">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磋商中，磋商小组不得透露与磋商有关的其他供应商的技术资料、价格和其他信息。 </w:t>
      </w:r>
    </w:p>
    <w:p w14:paraId="486B62E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磋商小组对磋商过程和重要磋商内容进行记录，磋商双方在记录上签字确认。 </w:t>
      </w:r>
    </w:p>
    <w:p w14:paraId="62A69056">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4B19810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655D66C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对磋商文件作出的实质性变动是磋商文件的有效组成部分，磋商小组应当及时通过政采云平台同时通知所有参加磋商的供应商。 </w:t>
      </w:r>
    </w:p>
    <w:p w14:paraId="2BDD95D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7A872FC3">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21.9 第二轮磋商</w:t>
      </w:r>
    </w:p>
    <w:p w14:paraId="111C9F4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磋商小组集中就重新提交的响应文件或磋商小组提出的磋商意见与单一响应供应商分别进行磋商。磋商小组对磋商过程和重要磋商内容进行记录，磋商双方在记录上签字确认（CA签章确认）。</w:t>
      </w:r>
    </w:p>
    <w:p w14:paraId="7C5508F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磋商后，供应商根据磋商小组统一整理的书面磋商记录要求做出书面承诺，并由其法定代表人或授权代表签字或者加盖公章（CA签章）后按时线上提交。</w:t>
      </w:r>
    </w:p>
    <w:p w14:paraId="6563E9C7">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649735E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21.10 在采购过程中符合竞争要求的供应商或者报价未超过上限控制价的供应商不足 3 家的，采购人或者采购代理机构应当终止竞争性磋商采购活动。 </w:t>
      </w:r>
    </w:p>
    <w:p w14:paraId="4804468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21.11 最后报价 </w:t>
      </w:r>
    </w:p>
    <w:p w14:paraId="615F1710">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21.11.1 磋商文件能够详细列明采购标的的质量要求的，磋商结束后，磋商小组应当要求所有继续参加磋商的供应商在规定时间内线上提交最后报价，提交最后报价的供应商不得少于 3 家。 </w:t>
      </w:r>
    </w:p>
    <w:p w14:paraId="13DFFF79">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14:paraId="33D91DCF">
      <w:pPr>
        <w:spacing w:line="44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21.11.3最后报价（应答文件）是供应商响应文件的有效组成部分：</w:t>
      </w:r>
      <w:r>
        <w:rPr>
          <w:rFonts w:hint="eastAsia" w:ascii="宋体" w:hAnsi="宋体" w:cs="宋体"/>
          <w:b/>
          <w:bCs/>
          <w:color w:val="000000" w:themeColor="text1"/>
          <w:szCs w:val="21"/>
          <w:highlight w:val="none"/>
          <w14:textFill>
            <w14:solidFill>
              <w14:schemeClr w14:val="tx1"/>
            </w14:solidFill>
          </w14:textFill>
        </w:rPr>
        <w:t>供应商做最终报价时，如供应商维持磋商报价不变，以原磋商报价作为供应商最后报价并在规定时间内在政采云系统中提交最后报价;如供商需要改变原送商报价时，供应商应采用综合单价进行工程量清单报价，不得采用总价让利或以百分比让利等形式进行报价，磋商报价格式必须符合《建设工程工程量清单计价规范》(GB50500-2013)，供应商应预先准备好调整后的完整报价清单计价表作为应答文件的，部分并在规定时间内在政采云系统中提交最后报价，改变原报价且未按竞争性磋商文件要求提供调整后的报价清单计价表，其报价不予认可。必须由供应商加盖公章(CA签章)。</w:t>
      </w:r>
    </w:p>
    <w:p w14:paraId="439EA454">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21.11.4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5B268E6">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21.12 已提交响应文件的供应商，在提交最后报价之前，可以根据磋商情况书面退出磋商。 </w:t>
      </w:r>
    </w:p>
    <w:p w14:paraId="3299C3F9">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未书面退出磋商的供应商在规定时间内线上提交最后报价，其最后报价超出上限控制价导致已通过评审的响应文件无效的，按供应商在提交响应文件截止时间后撤回响应文件处理。 </w:t>
      </w:r>
    </w:p>
    <w:p w14:paraId="7A52613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21.13 评审报告 </w:t>
      </w:r>
    </w:p>
    <w:p w14:paraId="3CDF9BB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14:paraId="6D2D52A4">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6C8DC339">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21.15 采购代理机构发现磋商小组有明显的违规倾向或歧视现象，或不按评审办法进行，或其他不正常行为的，应当及时制止。如制止无效，应及时向政府采购监督管理机构报告。</w:t>
      </w:r>
    </w:p>
    <w:p w14:paraId="2E5D321C">
      <w:pPr>
        <w:spacing w:line="440" w:lineRule="exact"/>
        <w:ind w:firstLine="42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cs="宋体"/>
          <w:b/>
          <w:bCs/>
          <w:color w:val="000000" w:themeColor="text1"/>
          <w:szCs w:val="21"/>
          <w:highlight w:val="none"/>
          <w14:textFill>
            <w14:solidFill>
              <w14:schemeClr w14:val="tx1"/>
            </w14:solidFill>
          </w14:textFill>
        </w:rPr>
        <w:t>综合评分法。</w:t>
      </w:r>
    </w:p>
    <w:p w14:paraId="013EC57D">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28" w:name="_Toc32470"/>
      <w:bookmarkStart w:id="229" w:name="_Toc12420"/>
      <w:bookmarkStart w:id="230" w:name="_Toc18722"/>
      <w:bookmarkStart w:id="231" w:name="_Toc24617"/>
      <w:r>
        <w:rPr>
          <w:rFonts w:hint="eastAsia" w:ascii="宋体" w:hAnsi="宋体" w:cs="宋体"/>
          <w:color w:val="000000" w:themeColor="text1"/>
          <w:sz w:val="21"/>
          <w:szCs w:val="21"/>
          <w:highlight w:val="none"/>
          <w14:textFill>
            <w14:solidFill>
              <w14:schemeClr w14:val="tx1"/>
            </w14:solidFill>
          </w14:textFill>
        </w:rPr>
        <w:t>22. 确定成交供应商</w:t>
      </w:r>
      <w:bookmarkEnd w:id="228"/>
      <w:bookmarkEnd w:id="229"/>
      <w:bookmarkEnd w:id="230"/>
      <w:bookmarkEnd w:id="231"/>
    </w:p>
    <w:p w14:paraId="5D23B82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401954AE">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22.2采购单位应当确定磋商小组推荐排名第一的成交候选人为成交供应商。</w:t>
      </w:r>
    </w:p>
    <w:p w14:paraId="61FFFCC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0FBC607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14:paraId="5E1145E8">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32" w:name="_Toc14882"/>
      <w:bookmarkStart w:id="233" w:name="_Toc21715"/>
      <w:bookmarkStart w:id="234" w:name="_Toc15332"/>
      <w:bookmarkStart w:id="235" w:name="_Toc30090"/>
      <w:r>
        <w:rPr>
          <w:rFonts w:hint="eastAsia" w:ascii="宋体" w:hAnsi="宋体" w:cs="宋体"/>
          <w:color w:val="000000" w:themeColor="text1"/>
          <w:sz w:val="21"/>
          <w:szCs w:val="21"/>
          <w:highlight w:val="none"/>
          <w14:textFill>
            <w14:solidFill>
              <w14:schemeClr w14:val="tx1"/>
            </w14:solidFill>
          </w14:textFill>
        </w:rPr>
        <w:t>23. 属于下列情况之一者，响应文件无效</w:t>
      </w:r>
      <w:bookmarkEnd w:id="232"/>
      <w:bookmarkEnd w:id="233"/>
      <w:bookmarkEnd w:id="234"/>
      <w:bookmarkEnd w:id="235"/>
    </w:p>
    <w:p w14:paraId="2BE2DCEF">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（1）未按磋商文件规定完整线上提交响应文件或未按规定要求线上签字、签章的；</w:t>
      </w:r>
    </w:p>
    <w:p w14:paraId="7BF9659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（2）不具备磋商文件规定的资格要求的；</w:t>
      </w:r>
    </w:p>
    <w:p w14:paraId="79E14CA4">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47FAA75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（4）响应文件未按磋商文件的内容和要求编制，或提供虚假材料的；</w:t>
      </w:r>
    </w:p>
    <w:p w14:paraId="4330F4E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（5）响应文件有效期、质量要求、工期要求不能满足采购文件要求的；</w:t>
      </w:r>
    </w:p>
    <w:p w14:paraId="49442AB4">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（6）供应商未就工程量清单中的所有内容作完整唯一报价的；</w:t>
      </w:r>
    </w:p>
    <w:p w14:paraId="36E5E6BE">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（7）未在磋商小组规定的时间内提交响应文件(包括最后报价)的；</w:t>
      </w:r>
    </w:p>
    <w:p w14:paraId="2C55797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（8）超越了按照法律法规规定必须获得行政许可或者行政审批的经营范围的；</w:t>
      </w:r>
    </w:p>
    <w:p w14:paraId="2AEAAB0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（9）未满足磋商文件实质性要求的或者响应文件有采购人不能接受的附加条件的；</w:t>
      </w:r>
    </w:p>
    <w:p w14:paraId="6AEC2C92">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（10）响应文件实质性要求未做变动，供应商最后报价高于第一次报价的或报价超出上限控制价的；</w:t>
      </w:r>
    </w:p>
    <w:p w14:paraId="715FAC3F">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（11）不符合法律、法规和磋商文件规定的其他实质性要求和条件的。</w:t>
      </w:r>
    </w:p>
    <w:p w14:paraId="372DDB13">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供应商有下列情形之一的视为供应商相互串通磋商，响应文件将被视为无效</w:t>
      </w:r>
    </w:p>
    <w:p w14:paraId="59E30D3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14:paraId="5B664DD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（2）不同供应商委托同一单位或者个人办理磋商事宜；</w:t>
      </w:r>
    </w:p>
    <w:p w14:paraId="3D699056">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026A809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（4）不同供应商的响应文件异常一致或竞标报价呈规律性差异；</w:t>
      </w:r>
    </w:p>
    <w:p w14:paraId="0A1F7F9E">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（5）不同供应商的响应文件相互混编。</w:t>
      </w:r>
    </w:p>
    <w:p w14:paraId="5E91E3FD">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36" w:name="_Toc5714"/>
      <w:bookmarkStart w:id="237" w:name="_Toc7715"/>
      <w:bookmarkStart w:id="238" w:name="_Toc27786"/>
      <w:bookmarkStart w:id="239" w:name="_Toc5083"/>
      <w:r>
        <w:rPr>
          <w:rFonts w:hint="eastAsia" w:ascii="宋体" w:hAnsi="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236"/>
      <w:bookmarkEnd w:id="237"/>
      <w:bookmarkEnd w:id="238"/>
      <w:bookmarkEnd w:id="239"/>
    </w:p>
    <w:p w14:paraId="3E36DDC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（1）因情况变化，不再符合规定的竞争性磋商采购方式适用情形的；</w:t>
      </w:r>
    </w:p>
    <w:p w14:paraId="1D25C09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（2）出现影响采购公正的违法、违规行为的； </w:t>
      </w:r>
    </w:p>
    <w:p w14:paraId="16E84505">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（3）在采购过程中符合竞争要求的供应商或者报价未超过上限控制价的供应商不足 3 家的。</w:t>
      </w:r>
      <w:r>
        <w:rPr>
          <w:rFonts w:hint="eastAsia" w:ascii="宋体" w:hAnsi="宋体" w:cs="宋体"/>
          <w:b/>
          <w:bCs/>
          <w:color w:val="000000" w:themeColor="text1"/>
          <w:szCs w:val="21"/>
          <w:highlight w:val="none"/>
          <w14:textFill>
            <w14:solidFill>
              <w14:schemeClr w14:val="tx1"/>
            </w14:solidFill>
          </w14:textFill>
        </w:rPr>
        <w:t xml:space="preserve">（除财库〔2014〕214 号《政府采购竞争性磋商采购方式管理暂行办法》第二十一条第三款规定的情形外） </w:t>
      </w:r>
    </w:p>
    <w:p w14:paraId="4DAD77CC">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40" w:name="_Toc19105"/>
      <w:bookmarkStart w:id="241" w:name="_Toc22405"/>
      <w:bookmarkStart w:id="242" w:name="_Toc19910"/>
      <w:bookmarkStart w:id="243" w:name="_Toc10682"/>
      <w:r>
        <w:rPr>
          <w:rFonts w:hint="eastAsia" w:ascii="宋体" w:hAnsi="宋体" w:cs="宋体"/>
          <w:color w:val="000000" w:themeColor="text1"/>
          <w:sz w:val="21"/>
          <w:szCs w:val="21"/>
          <w:highlight w:val="none"/>
          <w14:textFill>
            <w14:solidFill>
              <w14:schemeClr w14:val="tx1"/>
            </w14:solidFill>
          </w14:textFill>
        </w:rPr>
        <w:t>25. 磋商过程的监控</w:t>
      </w:r>
      <w:bookmarkEnd w:id="240"/>
      <w:bookmarkEnd w:id="241"/>
      <w:bookmarkEnd w:id="242"/>
      <w:bookmarkEnd w:id="243"/>
    </w:p>
    <w:p w14:paraId="2B2EB22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14:paraId="70666159">
      <w:pPr>
        <w:pStyle w:val="4"/>
        <w:widowControl w:val="0"/>
        <w:numPr>
          <w:ilvl w:val="0"/>
          <w:numId w:val="5"/>
        </w:numPr>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44" w:name="_Toc14787"/>
      <w:bookmarkStart w:id="245" w:name="_Toc865"/>
      <w:bookmarkStart w:id="246" w:name="_Toc26291"/>
      <w:bookmarkStart w:id="247" w:name="_Toc12572"/>
      <w:r>
        <w:rPr>
          <w:rFonts w:hint="eastAsia" w:ascii="宋体" w:hAnsi="宋体" w:cs="宋体"/>
          <w:color w:val="000000" w:themeColor="text1"/>
          <w:sz w:val="21"/>
          <w:szCs w:val="21"/>
          <w:highlight w:val="none"/>
          <w14:textFill>
            <w14:solidFill>
              <w14:schemeClr w14:val="tx1"/>
            </w14:solidFill>
          </w14:textFill>
        </w:rPr>
        <w:t>信用查询</w:t>
      </w:r>
      <w:bookmarkEnd w:id="244"/>
      <w:bookmarkEnd w:id="245"/>
      <w:bookmarkEnd w:id="246"/>
      <w:bookmarkEnd w:id="247"/>
    </w:p>
    <w:p w14:paraId="1674CA55">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根据《关于做好政府采购有关信用主体标识码登记及在政府采购活动中查询使用信用记录有关问题的通知》桂财采〔2016〕37号的通知，采购代理机构对成交人的成交资格进行信用查询：</w:t>
      </w:r>
    </w:p>
    <w:p w14:paraId="083843D6">
      <w:pPr>
        <w:spacing w:line="44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（1）查询渠道：“信用中国”网站(www.creditchina.gov.cn)、中国政府采购网(www.ccgp.gov.cn)；</w:t>
      </w:r>
    </w:p>
    <w:p w14:paraId="350ECF40">
      <w:pPr>
        <w:spacing w:line="44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（2）查询时间：成交通知书发出前；</w:t>
      </w:r>
    </w:p>
    <w:p w14:paraId="6352AA18">
      <w:pPr>
        <w:spacing w:line="44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（3）信用信息查询记录和证据留存方式：在查询网站中直接打印查询记录，打印材料作为采购活动资料保存。</w:t>
      </w:r>
    </w:p>
    <w:p w14:paraId="419CE531">
      <w:pPr>
        <w:spacing w:line="44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信用信息使用规则：对在“信用中国”网站(www.creditchina.gov.cn)、中国政府采购网(www.ccgp.gov.cn)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11DAD7FF">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48" w:name="_Toc7989"/>
      <w:bookmarkStart w:id="249" w:name="_Toc25468"/>
      <w:bookmarkStart w:id="250" w:name="_Toc9438"/>
      <w:bookmarkStart w:id="251" w:name="_Toc11685"/>
      <w:r>
        <w:rPr>
          <w:rFonts w:hint="eastAsia" w:ascii="宋体" w:hAnsi="宋体" w:cs="宋体"/>
          <w:color w:val="000000" w:themeColor="text1"/>
          <w:sz w:val="21"/>
          <w:szCs w:val="21"/>
          <w:highlight w:val="none"/>
          <w14:textFill>
            <w14:solidFill>
              <w14:schemeClr w14:val="tx1"/>
            </w14:solidFill>
          </w14:textFill>
        </w:rPr>
        <w:t>27. 成交结果公告及成交通知书</w:t>
      </w:r>
      <w:bookmarkEnd w:id="248"/>
      <w:bookmarkEnd w:id="249"/>
      <w:bookmarkEnd w:id="250"/>
      <w:bookmarkEnd w:id="251"/>
    </w:p>
    <w:p w14:paraId="5DA7BEDE">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57F7DC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 在发布成交公告的同时，采购代理机构向成交供应商发出成交通知书。成交供应商自接到通知之日起七个工作日内，办理成交通知书领取手续。</w:t>
      </w:r>
    </w:p>
    <w:p w14:paraId="01C4F6F1">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27.3 采购代理机构无义务向未成交的供应商解释未成交原因和退还响应文件。</w:t>
      </w:r>
    </w:p>
    <w:p w14:paraId="14F0804F">
      <w:pPr>
        <w:spacing w:line="440" w:lineRule="exact"/>
        <w:ind w:firstLine="422" w:firstLineChars="200"/>
        <w:rPr>
          <w:rFonts w:ascii="宋体" w:hAnsi="宋体" w:cs="宋体"/>
          <w:b/>
          <w:color w:val="000000" w:themeColor="text1"/>
          <w:szCs w:val="28"/>
          <w:highlight w:val="none"/>
          <w14:textFill>
            <w14:solidFill>
              <w14:schemeClr w14:val="tx1"/>
            </w14:solidFill>
          </w14:textFill>
        </w:rPr>
      </w:pPr>
      <w:bookmarkStart w:id="252" w:name="_Toc25593"/>
    </w:p>
    <w:p w14:paraId="57372DB9">
      <w:pPr>
        <w:pStyle w:val="3"/>
        <w:tabs>
          <w:tab w:val="left" w:pos="567"/>
        </w:tabs>
        <w:spacing w:line="440" w:lineRule="exact"/>
        <w:jc w:val="center"/>
        <w:rPr>
          <w:rFonts w:ascii="宋体" w:hAnsi="宋体" w:cs="宋体"/>
          <w:bCs w:val="0"/>
          <w:color w:val="000000" w:themeColor="text1"/>
          <w:szCs w:val="28"/>
          <w:highlight w:val="none"/>
          <w14:textFill>
            <w14:solidFill>
              <w14:schemeClr w14:val="tx1"/>
            </w14:solidFill>
          </w14:textFill>
        </w:rPr>
      </w:pPr>
      <w:bookmarkStart w:id="253" w:name="_Toc6429"/>
      <w:bookmarkStart w:id="254" w:name="_Toc14132"/>
      <w:bookmarkStart w:id="255" w:name="_Toc24102"/>
      <w:bookmarkStart w:id="256" w:name="_Toc30439"/>
      <w:r>
        <w:rPr>
          <w:rFonts w:hint="eastAsia" w:ascii="宋体" w:hAnsi="宋体" w:cs="宋体"/>
          <w:bCs w:val="0"/>
          <w:color w:val="000000" w:themeColor="text1"/>
          <w:szCs w:val="28"/>
          <w:highlight w:val="none"/>
          <w14:textFill>
            <w14:solidFill>
              <w14:schemeClr w14:val="tx1"/>
            </w14:solidFill>
          </w14:textFill>
        </w:rPr>
        <w:t>五、签订合同</w:t>
      </w:r>
      <w:bookmarkEnd w:id="252"/>
      <w:bookmarkEnd w:id="253"/>
      <w:bookmarkEnd w:id="254"/>
      <w:bookmarkEnd w:id="255"/>
      <w:bookmarkEnd w:id="256"/>
    </w:p>
    <w:p w14:paraId="3872545D">
      <w:pPr>
        <w:pStyle w:val="4"/>
        <w:widowControl w:val="0"/>
        <w:spacing w:before="0" w:after="0" w:line="440" w:lineRule="exact"/>
        <w:ind w:firstLine="422" w:firstLineChars="200"/>
        <w:rPr>
          <w:rFonts w:ascii="宋体" w:hAnsi="宋体" w:cs="宋体"/>
          <w:color w:val="000000" w:themeColor="text1"/>
          <w:highlight w:val="none"/>
          <w14:textFill>
            <w14:solidFill>
              <w14:schemeClr w14:val="tx1"/>
            </w14:solidFill>
          </w14:textFill>
        </w:rPr>
      </w:pPr>
      <w:bookmarkStart w:id="257" w:name="_Toc14779"/>
      <w:bookmarkStart w:id="258" w:name="_Toc4019"/>
      <w:bookmarkStart w:id="259" w:name="_Toc26520"/>
      <w:bookmarkStart w:id="260" w:name="_Toc1032"/>
      <w:r>
        <w:rPr>
          <w:rFonts w:hint="eastAsia" w:ascii="宋体" w:hAnsi="宋体" w:cs="宋体"/>
          <w:color w:val="000000" w:themeColor="text1"/>
          <w:sz w:val="21"/>
          <w:szCs w:val="21"/>
          <w:highlight w:val="none"/>
          <w14:textFill>
            <w14:solidFill>
              <w14:schemeClr w14:val="tx1"/>
            </w14:solidFill>
          </w14:textFill>
        </w:rPr>
        <w:t>28. 履约保证金</w:t>
      </w:r>
      <w:bookmarkEnd w:id="257"/>
      <w:bookmarkEnd w:id="258"/>
      <w:bookmarkEnd w:id="259"/>
      <w:bookmarkEnd w:id="260"/>
    </w:p>
    <w:p w14:paraId="01ED8062">
      <w:pPr>
        <w:spacing w:line="400" w:lineRule="exact"/>
        <w:ind w:firstLine="420" w:firstLineChars="200"/>
        <w:rPr>
          <w:color w:val="000000" w:themeColor="text1"/>
          <w:szCs w:val="21"/>
          <w:highlight w:val="none"/>
          <w14:textFill>
            <w14:solidFill>
              <w14:schemeClr w14:val="tx1"/>
            </w14:solidFill>
          </w14:textFill>
        </w:rPr>
      </w:pPr>
      <w:bookmarkStart w:id="261" w:name="_Toc4956"/>
      <w:bookmarkStart w:id="262" w:name="_Toc22004"/>
      <w:r>
        <w:rPr>
          <w:color w:val="000000" w:themeColor="text1"/>
          <w:highlight w:val="none"/>
          <w14:textFill>
            <w14:solidFill>
              <w14:schemeClr w14:val="tx1"/>
            </w14:solidFill>
          </w14:textFill>
        </w:rPr>
        <w:t>28.1</w:t>
      </w:r>
      <w:r>
        <w:rPr>
          <w:color w:val="000000" w:themeColor="text1"/>
          <w:szCs w:val="21"/>
          <w:highlight w:val="none"/>
          <w14:textFill>
            <w14:solidFill>
              <w14:schemeClr w14:val="tx1"/>
            </w14:solidFill>
          </w14:textFill>
        </w:rPr>
        <w:t>履约保证金金额：</w:t>
      </w:r>
      <w:r>
        <w:rPr>
          <w:rFonts w:hint="eastAsia"/>
          <w:color w:val="000000" w:themeColor="text1"/>
          <w:szCs w:val="21"/>
          <w:highlight w:val="none"/>
          <w14:textFill>
            <w14:solidFill>
              <w14:schemeClr w14:val="tx1"/>
            </w14:solidFill>
          </w14:textFill>
        </w:rPr>
        <w:t>在合同签订之前，成交供应商按成交金额的5%（如成交供应商为中小微企业的，按成交金额的2%））向采购人交纳履约保证金。</w:t>
      </w:r>
    </w:p>
    <w:p w14:paraId="2201FCAA">
      <w:pPr>
        <w:snapToGrid w:val="0"/>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履约保证金提交方式：以电汇、转账、汇票等非现金形式提交。由成交供应商在签订合同前按规定的金额直接缴入采购人账户。否则，不予办理签订合同。</w:t>
      </w:r>
    </w:p>
    <w:p w14:paraId="21311AE9">
      <w:pPr>
        <w:snapToGrid w:val="0"/>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退付方式、时间及条件：履约保证金待履行完合同约定的权利义务事项后且不存在争议的，由成交供应商向履约保证金收取单位提供《广西壮族自治区政府采购项目合同验收书》及《政府采购项目履约保证金退付意见书》，履约保证金收取单位在收到合格材料后5个工作日内办理退还手续（不计利息）。</w:t>
      </w:r>
    </w:p>
    <w:p w14:paraId="6533AF37">
      <w:pPr>
        <w:snapToGrid w:val="0"/>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履约保证金指定缴纳账户：</w:t>
      </w:r>
    </w:p>
    <w:p w14:paraId="3C313609">
      <w:pPr>
        <w:snapToGrid w:val="0"/>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开户名称：广西师范大学</w:t>
      </w:r>
    </w:p>
    <w:p w14:paraId="751D7E10">
      <w:pPr>
        <w:snapToGrid w:val="0"/>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开户银行：中国工商银行股份有限公司桂林市高新科技支行</w:t>
      </w:r>
    </w:p>
    <w:p w14:paraId="0C0C6387">
      <w:pPr>
        <w:snapToGrid w:val="0"/>
        <w:spacing w:line="440" w:lineRule="exact"/>
        <w:ind w:firstLine="420" w:firstLineChars="200"/>
        <w:rPr>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银行账号：2103215109264004618</w:t>
      </w:r>
    </w:p>
    <w:p w14:paraId="55D22388">
      <w:pPr>
        <w:snapToGrid w:val="0"/>
        <w:spacing w:line="440" w:lineRule="exact"/>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备注：</w:t>
      </w:r>
    </w:p>
    <w:p w14:paraId="47D24F02">
      <w:pPr>
        <w:snapToGrid w:val="0"/>
        <w:spacing w:line="440" w:lineRule="exact"/>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1）根据《广西壮族自治区财政厅关于进一步发挥政府采购政策功能促进企业发展的通知》（桂财采〔2022〕30号）规定，鼓励采购人在与成交供应商签订政府采购合同时，可根据供应商的资信等情况减少或免于收取履约保证金，有必要收取履约保证金的，收取的履约保证金不得超过政府采购合同金额的5%，对中小企业收取的履约保证金数额不得超过政府采购合同金额的2%。</w:t>
      </w:r>
    </w:p>
    <w:p w14:paraId="7A5B208B">
      <w:pPr>
        <w:snapToGrid w:val="0"/>
        <w:spacing w:line="440" w:lineRule="exact"/>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（2）履约保证金不足额缴纳的，或者金融、担保机构出具的保函额度不足的或者保函有效期低于合同履行期限（即签订采购合同之日起至履行完合同约定的权利及义务之日止）的，不予签订合同。</w:t>
      </w:r>
    </w:p>
    <w:p w14:paraId="58458631">
      <w:pPr>
        <w:snapToGrid w:val="0"/>
        <w:spacing w:line="440" w:lineRule="exact"/>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（3）采用金融、担保机构出具的保函的，必须为无条件保函，否则不予签订合同。</w:t>
      </w:r>
    </w:p>
    <w:p w14:paraId="78124975">
      <w:pPr>
        <w:snapToGrid w:val="0"/>
        <w:spacing w:line="440" w:lineRule="exact"/>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（4）供应商为联合体的，由联合体任意一方按规定提交的履约保证金，视为有效履约保证金。</w:t>
      </w:r>
    </w:p>
    <w:p w14:paraId="7AAF5A17">
      <w:pPr>
        <w:spacing w:line="440" w:lineRule="exact"/>
        <w:ind w:firstLine="422" w:firstLineChars="200"/>
        <w:rPr>
          <w:color w:val="000000" w:themeColor="text1"/>
          <w:highlight w:val="none"/>
          <w14:textFill>
            <w14:solidFill>
              <w14:schemeClr w14:val="tx1"/>
            </w14:solidFill>
          </w14:textFill>
        </w:rPr>
      </w:pPr>
      <w:r>
        <w:rPr>
          <w:b/>
          <w:bCs/>
          <w:color w:val="000000" w:themeColor="text1"/>
          <w:szCs w:val="21"/>
          <w:highlight w:val="none"/>
          <w14:textFill>
            <w14:solidFill>
              <w14:schemeClr w14:val="tx1"/>
            </w14:solidFill>
          </w14:textFill>
        </w:rPr>
        <w:t>（5）签订合同后，如中标供应商不按双方签订的合同规定履约，则不退还其全部履约保证金，履约保证金不足以赔偿损失的，按实际损失赔偿。</w:t>
      </w:r>
    </w:p>
    <w:p w14:paraId="6F9ED982">
      <w:pPr>
        <w:snapToGrid w:val="0"/>
        <w:spacing w:line="440" w:lineRule="exact"/>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28.2如果成交供应商没能按上述第28.1款规定执行，取消该成交资格并没收其竞标保证金，并有权授予第二成交候选供应商为成交供应商资格（依次类推）或重新组织采购。</w:t>
      </w:r>
    </w:p>
    <w:p w14:paraId="13EE8AB4">
      <w:pPr>
        <w:snapToGrid w:val="0"/>
        <w:spacing w:line="44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28.3</w:t>
      </w:r>
      <w:r>
        <w:rPr>
          <w:color w:val="000000" w:themeColor="text1"/>
          <w:szCs w:val="21"/>
          <w:highlight w:val="none"/>
          <w14:textFill>
            <w14:solidFill>
              <w14:schemeClr w14:val="tx1"/>
            </w14:solidFill>
          </w14:textFill>
        </w:rPr>
        <w:t>工程安装验收合格后，成交供应商将《验收报告单》送交采购人，并凭《验收报告单》和履约保证金收据原件（由采购人开据）办理履约保证金退款手续，采购人在十五个工作日内将履约保证金（无息）退还给成交供应商。如成交供应商不按双方签订的合同规定履约，则没收其全部履约保证金，履约保证金不足以赔偿损失的，按实际损失赔偿。</w:t>
      </w:r>
    </w:p>
    <w:p w14:paraId="465C447A">
      <w:pPr>
        <w:spacing w:line="44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28.4在履约保证金到期退还前，若成交供应商的开户名称、开户银行、账号有变动的，以书面形式通知</w:t>
      </w:r>
      <w:r>
        <w:rPr>
          <w:color w:val="000000" w:themeColor="text1"/>
          <w:szCs w:val="21"/>
          <w:highlight w:val="none"/>
          <w14:textFill>
            <w14:solidFill>
              <w14:schemeClr w14:val="tx1"/>
            </w14:solidFill>
          </w14:textFill>
        </w:rPr>
        <w:t>采购人</w:t>
      </w:r>
      <w:r>
        <w:rPr>
          <w:color w:val="000000" w:themeColor="text1"/>
          <w:highlight w:val="none"/>
          <w14:textFill>
            <w14:solidFill>
              <w14:schemeClr w14:val="tx1"/>
            </w14:solidFill>
          </w14:textFill>
        </w:rPr>
        <w:t>，否则由此产生的后果由成交供应商自负。</w:t>
      </w:r>
    </w:p>
    <w:p w14:paraId="3D3C224D">
      <w:pPr>
        <w:pStyle w:val="4"/>
        <w:widowControl w:val="0"/>
        <w:spacing w:before="0" w:after="0" w:line="440" w:lineRule="exact"/>
        <w:ind w:firstLine="422" w:firstLineChars="200"/>
        <w:rPr>
          <w:color w:val="000000" w:themeColor="text1"/>
          <w:sz w:val="21"/>
          <w:szCs w:val="21"/>
          <w:highlight w:val="none"/>
          <w14:textFill>
            <w14:solidFill>
              <w14:schemeClr w14:val="tx1"/>
            </w14:solidFill>
          </w14:textFill>
        </w:rPr>
      </w:pPr>
      <w:bookmarkStart w:id="263" w:name="_Toc15345"/>
      <w:bookmarkStart w:id="264" w:name="_Toc17381"/>
      <w:r>
        <w:rPr>
          <w:color w:val="000000" w:themeColor="text1"/>
          <w:sz w:val="21"/>
          <w:szCs w:val="21"/>
          <w:highlight w:val="none"/>
          <w14:textFill>
            <w14:solidFill>
              <w14:schemeClr w14:val="tx1"/>
            </w14:solidFill>
          </w14:textFill>
        </w:rPr>
        <w:t>29. 签订合同</w:t>
      </w:r>
      <w:bookmarkEnd w:id="261"/>
      <w:bookmarkEnd w:id="262"/>
      <w:bookmarkEnd w:id="263"/>
      <w:bookmarkEnd w:id="264"/>
    </w:p>
    <w:p w14:paraId="19839CD1">
      <w:pPr>
        <w:spacing w:line="440" w:lineRule="exact"/>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29.1 签订合同时间：成交通知书发出之日起二十五日内签订合同。成交供应商领取成交通知书后，应按规定与采购人签订合同。</w:t>
      </w:r>
    </w:p>
    <w:p w14:paraId="3AF225F3">
      <w:pPr>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5418259">
      <w:pPr>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（1）成交后不与采购人签订合同的（不可抗力除外）；</w:t>
      </w:r>
    </w:p>
    <w:p w14:paraId="4A4B1B50">
      <w:pPr>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（2）将成交项目转让给他人，或者在响应文件中未说明，且未经采购人同意，将成交项目分包给他人的；</w:t>
      </w:r>
    </w:p>
    <w:p w14:paraId="42A8E8C2">
      <w:pPr>
        <w:spacing w:line="4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（3）拒绝履行合同义务的。</w:t>
      </w:r>
    </w:p>
    <w:p w14:paraId="3F4CD8B4">
      <w:pPr>
        <w:spacing w:line="440" w:lineRule="exact"/>
        <w:ind w:firstLine="420" w:firstLineChars="200"/>
        <w:rPr>
          <w:rFonts w:ascii="宋体" w:hAnsi="宋体" w:cs="宋体"/>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29.3 合同备案存档：</w:t>
      </w:r>
      <w:r>
        <w:rPr>
          <w:color w:val="000000" w:themeColor="text1"/>
          <w:highlight w:val="none"/>
          <w14:textFill>
            <w14:solidFill>
              <w14:schemeClr w14:val="tx1"/>
            </w14:solidFill>
          </w14:textFill>
        </w:rPr>
        <w:t>政府采购合同双方自签订之日起一个工作日内将合同原件一份交采购代理机构，采购代理机构将政府采购合同在省级以上人民政府财政部门指定媒体上公告。</w:t>
      </w:r>
    </w:p>
    <w:p w14:paraId="25488BBF">
      <w:pPr>
        <w:pStyle w:val="3"/>
        <w:tabs>
          <w:tab w:val="left" w:pos="567"/>
        </w:tabs>
        <w:spacing w:line="440" w:lineRule="exact"/>
        <w:jc w:val="center"/>
        <w:rPr>
          <w:rFonts w:ascii="宋体" w:hAnsi="宋体" w:cs="宋体"/>
          <w:bCs w:val="0"/>
          <w:color w:val="000000" w:themeColor="text1"/>
          <w:szCs w:val="28"/>
          <w:highlight w:val="none"/>
          <w14:textFill>
            <w14:solidFill>
              <w14:schemeClr w14:val="tx1"/>
            </w14:solidFill>
          </w14:textFill>
        </w:rPr>
      </w:pPr>
      <w:bookmarkStart w:id="265" w:name="_Toc17898"/>
      <w:bookmarkStart w:id="266" w:name="_Toc11467"/>
      <w:bookmarkStart w:id="267" w:name="_Toc16348"/>
      <w:bookmarkStart w:id="268" w:name="_Toc4211"/>
      <w:bookmarkStart w:id="269" w:name="_Toc25126"/>
      <w:r>
        <w:rPr>
          <w:rFonts w:hint="eastAsia" w:ascii="宋体" w:hAnsi="宋体" w:cs="宋体"/>
          <w:bCs w:val="0"/>
          <w:color w:val="000000" w:themeColor="text1"/>
          <w:szCs w:val="28"/>
          <w:highlight w:val="none"/>
          <w14:textFill>
            <w14:solidFill>
              <w14:schemeClr w14:val="tx1"/>
            </w14:solidFill>
          </w14:textFill>
        </w:rPr>
        <w:t>六、其他事项</w:t>
      </w:r>
      <w:bookmarkEnd w:id="265"/>
      <w:bookmarkEnd w:id="266"/>
      <w:bookmarkEnd w:id="267"/>
      <w:bookmarkEnd w:id="268"/>
      <w:bookmarkEnd w:id="269"/>
    </w:p>
    <w:p w14:paraId="5F03F6CD">
      <w:pPr>
        <w:pStyle w:val="4"/>
        <w:widowControl w:val="0"/>
        <w:spacing w:before="0" w:after="0" w:line="44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270" w:name="_Toc28647"/>
      <w:bookmarkStart w:id="271" w:name="_Toc29572"/>
      <w:bookmarkStart w:id="272" w:name="_Toc22506"/>
      <w:bookmarkStart w:id="273" w:name="_Toc29461"/>
      <w:r>
        <w:rPr>
          <w:rFonts w:hint="eastAsia" w:ascii="宋体" w:hAnsi="宋体" w:cs="宋体"/>
          <w:color w:val="000000" w:themeColor="text1"/>
          <w:sz w:val="21"/>
          <w:szCs w:val="21"/>
          <w:highlight w:val="none"/>
          <w14:textFill>
            <w14:solidFill>
              <w14:schemeClr w14:val="tx1"/>
            </w14:solidFill>
          </w14:textFill>
        </w:rPr>
        <w:t>30. 采购代理服务费</w:t>
      </w:r>
      <w:bookmarkEnd w:id="270"/>
      <w:bookmarkEnd w:id="271"/>
      <w:bookmarkEnd w:id="272"/>
      <w:bookmarkEnd w:id="273"/>
    </w:p>
    <w:p w14:paraId="332D6A27">
      <w:pPr>
        <w:spacing w:line="440" w:lineRule="exact"/>
        <w:ind w:firstLine="420" w:firstLineChars="200"/>
        <w:rPr>
          <w:color w:val="000000" w:themeColor="text1"/>
          <w:highlight w:val="none"/>
          <w14:textFill>
            <w14:solidFill>
              <w14:schemeClr w14:val="tx1"/>
            </w14:solidFill>
          </w14:textFill>
        </w:rPr>
      </w:pPr>
      <w:bookmarkStart w:id="274" w:name="_Toc12374"/>
      <w:r>
        <w:rPr>
          <w:rFonts w:hint="eastAsia"/>
          <w:color w:val="000000" w:themeColor="text1"/>
          <w:highlight w:val="none"/>
          <w14:textFill>
            <w14:solidFill>
              <w14:schemeClr w14:val="tx1"/>
            </w14:solidFill>
          </w14:textFill>
        </w:rPr>
        <w:t>30.1.采购代理服务费支付方式：</w:t>
      </w:r>
    </w:p>
    <w:p w14:paraId="3C3C2507">
      <w:pPr>
        <w:spacing w:line="44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w:t>
      </w:r>
      <w:r>
        <w:rPr>
          <w:rFonts w:hint="eastAsia"/>
          <w:color w:val="000000" w:themeColor="text1"/>
          <w:highlight w:val="none"/>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代理服务费由</w:t>
      </w:r>
      <w:r>
        <w:rPr>
          <w:rFonts w:hint="eastAsia" w:ascii="宋体" w:hAnsi="宋体" w:cs="宋体"/>
          <w:color w:val="000000" w:themeColor="text1"/>
          <w:kern w:val="0"/>
          <w:szCs w:val="21"/>
          <w:highlight w:val="none"/>
          <w:u w:val="single"/>
          <w14:textFill>
            <w14:solidFill>
              <w14:schemeClr w14:val="tx1"/>
            </w14:solidFill>
          </w14:textFill>
        </w:rPr>
        <w:t>成交供应商</w:t>
      </w:r>
      <w:r>
        <w:rPr>
          <w:rFonts w:hint="eastAsia" w:ascii="宋体" w:hAnsi="宋体" w:cs="宋体"/>
          <w:color w:val="000000" w:themeColor="text1"/>
          <w:kern w:val="0"/>
          <w:szCs w:val="21"/>
          <w:highlight w:val="none"/>
          <w14:textFill>
            <w14:solidFill>
              <w14:schemeClr w14:val="tx1"/>
            </w14:solidFill>
          </w14:textFill>
        </w:rPr>
        <w:t>在签订合同前，</w:t>
      </w:r>
      <w:r>
        <w:rPr>
          <w:rFonts w:hint="eastAsia" w:ascii="宋体" w:hAnsi="宋体" w:cs="宋体"/>
          <w:color w:val="000000" w:themeColor="text1"/>
          <w:highlight w:val="none"/>
          <w14:textFill>
            <w14:solidFill>
              <w14:schemeClr w14:val="tx1"/>
            </w14:solidFill>
          </w14:textFill>
        </w:rPr>
        <w:t>以银行转账、电汇等方式</w:t>
      </w:r>
      <w:r>
        <w:rPr>
          <w:rFonts w:hint="eastAsia" w:ascii="宋体" w:hAnsi="宋体" w:cs="宋体"/>
          <w:color w:val="000000" w:themeColor="text1"/>
          <w:kern w:val="0"/>
          <w:szCs w:val="21"/>
          <w:highlight w:val="none"/>
          <w14:textFill>
            <w14:solidFill>
              <w14:schemeClr w14:val="tx1"/>
            </w14:solidFill>
          </w14:textFill>
        </w:rPr>
        <w:t>一次性向采购代理机构支付。</w:t>
      </w:r>
    </w:p>
    <w:p w14:paraId="7E6F1354">
      <w:pPr>
        <w:spacing w:line="44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30.2</w:t>
      </w:r>
      <w:r>
        <w:rPr>
          <w:rFonts w:hint="eastAsia"/>
          <w:color w:val="000000" w:themeColor="text1"/>
          <w:highlight w:val="none"/>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代理服务费收取标准：</w:t>
      </w:r>
    </w:p>
    <w:p w14:paraId="141F0B55">
      <w:pPr>
        <w:spacing w:line="44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以项目成交总金额为计费额，按</w:t>
      </w:r>
      <w:r>
        <w:rPr>
          <w:rFonts w:hint="eastAsia" w:ascii="宋体" w:hAnsi="宋体" w:cs="宋体"/>
          <w:color w:val="000000" w:themeColor="text1"/>
          <w:highlight w:val="none"/>
          <w14:textFill>
            <w14:solidFill>
              <w14:schemeClr w14:val="tx1"/>
            </w14:solidFill>
          </w14:textFill>
        </w:rPr>
        <w:t>本须知正文第30.3条规定的收费计算标准工程类</w:t>
      </w:r>
      <w:r>
        <w:rPr>
          <w:rFonts w:hint="eastAsia" w:ascii="宋体" w:hAnsi="宋体" w:cs="宋体"/>
          <w:color w:val="000000" w:themeColor="text1"/>
          <w:kern w:val="0"/>
          <w:szCs w:val="21"/>
          <w:highlight w:val="none"/>
          <w14:textFill>
            <w14:solidFill>
              <w14:schemeClr w14:val="tx1"/>
            </w14:solidFill>
          </w14:textFill>
        </w:rPr>
        <w:t>采用差额定率累进法计算出收费基准价格，采购代理机构收费以收费基准价格下浮</w:t>
      </w:r>
      <w:r>
        <w:rPr>
          <w:rFonts w:hint="eastAsia" w:ascii="宋体" w:hAnsi="宋体" w:cs="宋体"/>
          <w:color w:val="000000" w:themeColor="text1"/>
          <w:kern w:val="0"/>
          <w:szCs w:val="21"/>
          <w:highlight w:val="none"/>
          <w:u w:val="single"/>
          <w:lang w:val="en-US" w:eastAsia="zh-CN"/>
          <w14:textFill>
            <w14:solidFill>
              <w14:schemeClr w14:val="tx1"/>
            </w14:solidFill>
          </w14:textFill>
        </w:rPr>
        <w:t>70</w:t>
      </w:r>
      <w:r>
        <w:rPr>
          <w:rFonts w:hint="eastAsia" w:ascii="宋体" w:hAnsi="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收取。</w:t>
      </w:r>
    </w:p>
    <w:p w14:paraId="11B6FE96">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30.3采购代理服务费收费计算标准：</w:t>
      </w:r>
    </w:p>
    <w:tbl>
      <w:tblPr>
        <w:tblStyle w:val="53"/>
        <w:tblW w:w="8472"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1659"/>
        <w:gridCol w:w="1532"/>
        <w:gridCol w:w="1546"/>
      </w:tblGrid>
      <w:tr w14:paraId="1817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Borders>
              <w:tl2br w:val="single" w:color="auto" w:sz="4" w:space="0"/>
            </w:tcBorders>
            <w:shd w:val="clear" w:color="auto" w:fill="8DB3E2" w:themeFill="text2" w:themeFillTint="66"/>
          </w:tcPr>
          <w:p w14:paraId="6A64D114">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                       费率</w:t>
            </w:r>
          </w:p>
          <w:p w14:paraId="71FF54D3">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金额</w:t>
            </w:r>
          </w:p>
        </w:tc>
        <w:tc>
          <w:tcPr>
            <w:tcW w:w="1659" w:type="dxa"/>
            <w:shd w:val="clear" w:color="auto" w:fill="8DB3E2" w:themeFill="text2" w:themeFillTint="66"/>
            <w:vAlign w:val="center"/>
          </w:tcPr>
          <w:p w14:paraId="7B53DAA5">
            <w:pPr>
              <w:spacing w:line="360" w:lineRule="auto"/>
              <w:ind w:firstLine="105" w:firstLineChars="5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货物类</w:t>
            </w:r>
          </w:p>
        </w:tc>
        <w:tc>
          <w:tcPr>
            <w:tcW w:w="1532" w:type="dxa"/>
            <w:shd w:val="clear" w:color="auto" w:fill="8DB3E2" w:themeFill="text2" w:themeFillTint="66"/>
            <w:vAlign w:val="center"/>
          </w:tcPr>
          <w:p w14:paraId="3121A7B4">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服务类</w:t>
            </w:r>
          </w:p>
        </w:tc>
        <w:tc>
          <w:tcPr>
            <w:tcW w:w="1546" w:type="dxa"/>
            <w:shd w:val="clear" w:color="auto" w:fill="8DB3E2" w:themeFill="text2" w:themeFillTint="66"/>
            <w:vAlign w:val="center"/>
          </w:tcPr>
          <w:p w14:paraId="03467BDC">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工程类</w:t>
            </w:r>
          </w:p>
        </w:tc>
      </w:tr>
      <w:tr w14:paraId="470B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5BE5750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tcPr>
          <w:p w14:paraId="33A590D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32" w:type="dxa"/>
          </w:tcPr>
          <w:p w14:paraId="34B0A39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46" w:type="dxa"/>
          </w:tcPr>
          <w:p w14:paraId="7AFD112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r>
      <w:tr w14:paraId="7167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38CDC11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659" w:type="dxa"/>
          </w:tcPr>
          <w:p w14:paraId="2CA695D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532" w:type="dxa"/>
          </w:tcPr>
          <w:p w14:paraId="5590E8B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46" w:type="dxa"/>
          </w:tcPr>
          <w:p w14:paraId="75AF241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0.7%</w:t>
            </w:r>
          </w:p>
        </w:tc>
      </w:tr>
      <w:tr w14:paraId="3A83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6B7AABD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659" w:type="dxa"/>
          </w:tcPr>
          <w:p w14:paraId="34846E7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32" w:type="dxa"/>
          </w:tcPr>
          <w:p w14:paraId="3063CEB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546" w:type="dxa"/>
          </w:tcPr>
          <w:p w14:paraId="18E1841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14:paraId="25F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393540D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659" w:type="dxa"/>
          </w:tcPr>
          <w:p w14:paraId="070D637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w:t>
            </w:r>
          </w:p>
        </w:tc>
        <w:tc>
          <w:tcPr>
            <w:tcW w:w="1532" w:type="dxa"/>
          </w:tcPr>
          <w:p w14:paraId="1AE8A9E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546" w:type="dxa"/>
          </w:tcPr>
          <w:p w14:paraId="12F1C62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0.35%</w:t>
            </w:r>
          </w:p>
        </w:tc>
      </w:tr>
      <w:tr w14:paraId="452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7D67816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659" w:type="dxa"/>
          </w:tcPr>
          <w:p w14:paraId="63CD27D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532" w:type="dxa"/>
          </w:tcPr>
          <w:p w14:paraId="54F58BF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546" w:type="dxa"/>
          </w:tcPr>
          <w:p w14:paraId="23886BC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14:paraId="2DCD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1133E80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659" w:type="dxa"/>
          </w:tcPr>
          <w:p w14:paraId="0A6DF35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532" w:type="dxa"/>
          </w:tcPr>
          <w:p w14:paraId="048077E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546" w:type="dxa"/>
          </w:tcPr>
          <w:p w14:paraId="1894361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r>
      <w:tr w14:paraId="03AC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6DAD918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659" w:type="dxa"/>
          </w:tcPr>
          <w:p w14:paraId="0B51999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532" w:type="dxa"/>
          </w:tcPr>
          <w:p w14:paraId="6455899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546" w:type="dxa"/>
          </w:tcPr>
          <w:p w14:paraId="435ACB4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14:paraId="27C3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1188137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659" w:type="dxa"/>
          </w:tcPr>
          <w:p w14:paraId="261B8B2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32" w:type="dxa"/>
          </w:tcPr>
          <w:p w14:paraId="431DE12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46" w:type="dxa"/>
          </w:tcPr>
          <w:p w14:paraId="49260D9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14:paraId="65C1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599D93F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659" w:type="dxa"/>
          </w:tcPr>
          <w:p w14:paraId="0A0E93E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532" w:type="dxa"/>
          </w:tcPr>
          <w:p w14:paraId="0977FDA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546" w:type="dxa"/>
          </w:tcPr>
          <w:p w14:paraId="295F2D8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14:paraId="2479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tcPr>
          <w:p w14:paraId="32513EA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659" w:type="dxa"/>
          </w:tcPr>
          <w:p w14:paraId="05D22FD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532" w:type="dxa"/>
          </w:tcPr>
          <w:p w14:paraId="02882DC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546" w:type="dxa"/>
          </w:tcPr>
          <w:p w14:paraId="48C24C5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14:paraId="62CA1375">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w:t>
      </w:r>
    </w:p>
    <w:p w14:paraId="77D2E051">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（1）按本表费率计算的收费为采购代理的收费基准价格；</w:t>
      </w:r>
    </w:p>
    <w:p w14:paraId="496FD976">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（2）采购代理收费按差额定率累进法计算。</w:t>
      </w:r>
    </w:p>
    <w:p w14:paraId="669DD066">
      <w:pPr>
        <w:spacing w:line="400" w:lineRule="exact"/>
        <w:ind w:firstLine="42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30.4采购代理服务费缴纳账户：</w:t>
      </w:r>
    </w:p>
    <w:p w14:paraId="08578973">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pPr>
      <w:bookmarkStart w:id="275" w:name="_Toc9779"/>
      <w:bookmarkStart w:id="276" w:name="_Toc132"/>
      <w:bookmarkStart w:id="277" w:name="_Toc18733"/>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开户名称:联云项目管理咨询有限公司桂林第一分公司；</w:t>
      </w:r>
    </w:p>
    <w:p w14:paraId="22ED9ECD">
      <w:pPr>
        <w:spacing w:line="400" w:lineRule="exact"/>
        <w:ind w:firstLine="420" w:firstLineChars="200"/>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开户银行:桂林银行股份有限公司中隐路支行；</w:t>
      </w:r>
    </w:p>
    <w:p w14:paraId="399A5020">
      <w:pPr>
        <w:spacing w:line="440" w:lineRule="exact"/>
        <w:ind w:firstLine="420" w:firstLineChars="200"/>
        <w:outlineLvl w:val="2"/>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银行账号:6600 0001 9576 8000 16</w:t>
      </w:r>
    </w:p>
    <w:p w14:paraId="3B361F76">
      <w:pPr>
        <w:spacing w:line="440" w:lineRule="exact"/>
        <w:ind w:firstLine="422" w:firstLineChars="200"/>
        <w:outlineLvl w:val="2"/>
        <w:rPr>
          <w:rFonts w:ascii="宋体" w:hAnsi="宋体" w:cs="宋体"/>
          <w:color w:val="000000" w:themeColor="text1"/>
          <w:szCs w:val="21"/>
          <w:highlight w:val="none"/>
          <w14:textFill>
            <w14:solidFill>
              <w14:schemeClr w14:val="tx1"/>
            </w14:solidFill>
          </w14:textFill>
        </w:rPr>
      </w:pPr>
      <w:r>
        <w:rPr>
          <w:rStyle w:val="100"/>
          <w:rFonts w:hint="eastAsia" w:ascii="宋体" w:hAnsi="宋体" w:cs="宋体"/>
          <w:color w:val="000000" w:themeColor="text1"/>
          <w:sz w:val="21"/>
          <w:szCs w:val="21"/>
          <w:highlight w:val="none"/>
          <w14:textFill>
            <w14:solidFill>
              <w14:schemeClr w14:val="tx1"/>
            </w14:solidFill>
          </w14:textFill>
        </w:rPr>
        <w:t xml:space="preserve">31. </w:t>
      </w:r>
      <w:bookmarkEnd w:id="274"/>
      <w:bookmarkEnd w:id="275"/>
      <w:r>
        <w:rPr>
          <w:rStyle w:val="100"/>
          <w:rFonts w:hint="eastAsia" w:ascii="宋体" w:hAnsi="宋体" w:cs="宋体"/>
          <w:color w:val="000000" w:themeColor="text1"/>
          <w:sz w:val="21"/>
          <w:szCs w:val="21"/>
          <w:highlight w:val="none"/>
          <w14:textFill>
            <w14:solidFill>
              <w14:schemeClr w14:val="tx1"/>
            </w14:solidFill>
          </w14:textFill>
        </w:rPr>
        <w:t>编制依据</w:t>
      </w:r>
      <w:r>
        <w:rPr>
          <w:rFonts w:hint="eastAsia" w:ascii="宋体" w:hAnsi="宋体" w:cs="宋体"/>
          <w:color w:val="000000" w:themeColor="text1"/>
          <w:szCs w:val="21"/>
          <w:highlight w:val="none"/>
          <w14:textFill>
            <w14:solidFill>
              <w14:schemeClr w14:val="tx1"/>
            </w14:solidFill>
          </w14:textFill>
        </w:rPr>
        <w:t>：</w:t>
      </w:r>
      <w:bookmarkEnd w:id="276"/>
      <w:bookmarkEnd w:id="277"/>
    </w:p>
    <w:p w14:paraId="3C4C524E">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w:t>
      </w:r>
    </w:p>
    <w:p w14:paraId="704C0BC5">
      <w:pPr>
        <w:spacing w:line="440" w:lineRule="exact"/>
        <w:ind w:firstLine="422" w:firstLineChars="200"/>
        <w:outlineLvl w:val="2"/>
        <w:rPr>
          <w:rFonts w:ascii="宋体" w:hAnsi="宋体"/>
          <w:color w:val="000000" w:themeColor="text1"/>
          <w:highlight w:val="none"/>
          <w14:textFill>
            <w14:solidFill>
              <w14:schemeClr w14:val="tx1"/>
            </w14:solidFill>
          </w14:textFill>
        </w:rPr>
      </w:pPr>
      <w:bookmarkStart w:id="278" w:name="_Toc32738"/>
      <w:bookmarkStart w:id="279" w:name="_Toc24551"/>
      <w:bookmarkStart w:id="280" w:name="_Toc9327"/>
      <w:r>
        <w:rPr>
          <w:rStyle w:val="100"/>
          <w:rFonts w:hint="eastAsia" w:ascii="宋体" w:hAnsi="宋体" w:cs="宋体"/>
          <w:color w:val="000000" w:themeColor="text1"/>
          <w:sz w:val="21"/>
          <w:szCs w:val="21"/>
          <w:highlight w:val="none"/>
          <w14:textFill>
            <w14:solidFill>
              <w14:schemeClr w14:val="tx1"/>
            </w14:solidFill>
          </w14:textFill>
        </w:rPr>
        <w:t>32. 监督管理机构</w:t>
      </w:r>
      <w:bookmarkEnd w:id="278"/>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广西壮族自治区财政厅</w:t>
      </w:r>
      <w:bookmarkEnd w:id="279"/>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联系电话：0771-5331544</w:t>
      </w:r>
      <w:bookmarkEnd w:id="280"/>
    </w:p>
    <w:p w14:paraId="7726C5F4">
      <w:pPr>
        <w:spacing w:line="440" w:lineRule="exact"/>
        <w:ind w:firstLine="422" w:firstLineChars="200"/>
        <w:outlineLvl w:val="2"/>
        <w:rPr>
          <w:rStyle w:val="100"/>
          <w:rFonts w:ascii="宋体" w:hAnsi="宋体" w:cs="宋体"/>
          <w:color w:val="000000" w:themeColor="text1"/>
          <w:sz w:val="21"/>
          <w:szCs w:val="21"/>
          <w:highlight w:val="none"/>
          <w14:textFill>
            <w14:solidFill>
              <w14:schemeClr w14:val="tx1"/>
            </w14:solidFill>
          </w14:textFill>
        </w:rPr>
      </w:pPr>
      <w:bookmarkStart w:id="281" w:name="_Toc29597"/>
      <w:bookmarkStart w:id="282" w:name="_Toc22460"/>
      <w:r>
        <w:rPr>
          <w:rStyle w:val="100"/>
          <w:rFonts w:hint="eastAsia" w:ascii="宋体" w:hAnsi="宋体" w:cs="宋体"/>
          <w:color w:val="000000" w:themeColor="text1"/>
          <w:sz w:val="21"/>
          <w:szCs w:val="21"/>
          <w:highlight w:val="none"/>
          <w14:textFill>
            <w14:solidFill>
              <w14:schemeClr w14:val="tx1"/>
            </w14:solidFill>
          </w14:textFill>
        </w:rPr>
        <w:t>33. 广西线上“政采贷”政策告知函</w:t>
      </w:r>
      <w:bookmarkEnd w:id="281"/>
      <w:bookmarkEnd w:id="282"/>
    </w:p>
    <w:p w14:paraId="1EB6F5B8">
      <w:pPr>
        <w:widowControl/>
        <w:jc w:val="left"/>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br w:type="page"/>
      </w:r>
    </w:p>
    <w:p w14:paraId="2EB46A2A">
      <w:pPr>
        <w:spacing w:line="580" w:lineRule="exact"/>
        <w:jc w:val="center"/>
        <w:rPr>
          <w:rFonts w:ascii="宋体" w:hAnsi="宋体" w:cs="宋体"/>
          <w:color w:val="000000" w:themeColor="text1"/>
          <w:sz w:val="32"/>
          <w:szCs w:val="32"/>
          <w:highlight w:val="none"/>
          <w14:textFill>
            <w14:solidFill>
              <w14:schemeClr w14:val="tx1"/>
            </w14:solidFill>
          </w14:textFill>
        </w:rPr>
      </w:pPr>
    </w:p>
    <w:p w14:paraId="5591F039">
      <w:pPr>
        <w:spacing w:line="58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广西线上“政采贷”政策告知函</w:t>
      </w:r>
    </w:p>
    <w:p w14:paraId="32015BE5">
      <w:pPr>
        <w:spacing w:line="580" w:lineRule="exact"/>
        <w:ind w:firstLine="420" w:firstLineChars="200"/>
        <w:rPr>
          <w:rFonts w:ascii="宋体" w:hAnsi="宋体" w:cs="宋体"/>
          <w:color w:val="000000" w:themeColor="text1"/>
          <w:szCs w:val="32"/>
          <w:highlight w:val="none"/>
          <w14:textFill>
            <w14:solidFill>
              <w14:schemeClr w14:val="tx1"/>
            </w14:solidFill>
          </w14:textFill>
        </w:rPr>
      </w:pPr>
    </w:p>
    <w:p w14:paraId="1AE37689">
      <w:pPr>
        <w:spacing w:line="5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各供应商：</w:t>
      </w:r>
    </w:p>
    <w:p w14:paraId="128B47F6">
      <w:pPr>
        <w:spacing w:line="5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欢迎贵公司参与广西政府采购活动！</w:t>
      </w:r>
    </w:p>
    <w:p w14:paraId="54D882AD">
      <w:pPr>
        <w:spacing w:line="5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E0D92B4">
      <w:pPr>
        <w:spacing w:line="580" w:lineRule="exact"/>
        <w:ind w:firstLine="420" w:firstLineChars="200"/>
        <w:rPr>
          <w:b/>
          <w:color w:val="000000" w:themeColor="text1"/>
          <w:kern w:val="0"/>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相关金融产品和银行业金融机构联系方式，可在中征应收账款融资服务平台查询（网址：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"https://www.crcrfsp.com/"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1"/>
          <w:highlight w:val="none"/>
          <w:u w:val="single"/>
          <w14:textFill>
            <w14:solidFill>
              <w14:schemeClr w14:val="tx1"/>
            </w14:solidFill>
          </w14:textFill>
        </w:rPr>
        <w:t>https://www.crcrfsp.com/</w:t>
      </w:r>
      <w:r>
        <w:rPr>
          <w:rFonts w:hint="eastAsia" w:ascii="宋体" w:hAnsi="宋体" w:cs="宋体"/>
          <w:color w:val="000000" w:themeColor="text1"/>
          <w:szCs w:val="21"/>
          <w:highlight w:val="none"/>
          <w:u w:val="singl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，客服电话：400-009-0001）。</w:t>
      </w:r>
    </w:p>
    <w:p w14:paraId="2583C60B">
      <w:pPr>
        <w:snapToGrid w:val="0"/>
        <w:outlineLvl w:val="1"/>
        <w:rPr>
          <w:rFonts w:hAnsi="宋体"/>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br w:type="page"/>
      </w:r>
      <w:bookmarkStart w:id="283" w:name="_Toc10896"/>
      <w:bookmarkStart w:id="284" w:name="_Toc16710"/>
      <w:r>
        <w:rPr>
          <w:rFonts w:hint="eastAsia"/>
          <w:b/>
          <w:color w:val="000000" w:themeColor="text1"/>
          <w:kern w:val="0"/>
          <w:sz w:val="24"/>
          <w:highlight w:val="none"/>
          <w14:textFill>
            <w14:solidFill>
              <w14:schemeClr w14:val="tx1"/>
            </w14:solidFill>
          </w14:textFill>
        </w:rPr>
        <w:t>附件：</w:t>
      </w:r>
      <w:bookmarkEnd w:id="283"/>
      <w:bookmarkEnd w:id="284"/>
    </w:p>
    <w:p w14:paraId="7F0AA33C">
      <w:pPr>
        <w:spacing w:line="460" w:lineRule="exact"/>
        <w:jc w:val="center"/>
        <w:rPr>
          <w:rFonts w:eastAsia="隶书"/>
          <w:color w:val="000000" w:themeColor="text1"/>
          <w:kern w:val="0"/>
          <w:sz w:val="44"/>
          <w:highlight w:val="none"/>
          <w14:textFill>
            <w14:solidFill>
              <w14:schemeClr w14:val="tx1"/>
            </w14:solidFill>
          </w14:textFill>
        </w:rPr>
      </w:pPr>
      <w:r>
        <w:rPr>
          <w:rFonts w:hint="eastAsia" w:eastAsia="隶书"/>
          <w:color w:val="000000" w:themeColor="text1"/>
          <w:kern w:val="0"/>
          <w:sz w:val="44"/>
          <w:highlight w:val="none"/>
          <w14:textFill>
            <w14:solidFill>
              <w14:schemeClr w14:val="tx1"/>
            </w14:solidFill>
          </w14:textFill>
        </w:rPr>
        <w:t>质疑函（格式）</w:t>
      </w:r>
    </w:p>
    <w:p w14:paraId="151DE2D6">
      <w:pPr>
        <w:snapToGrid w:val="0"/>
        <w:spacing w:line="360" w:lineRule="exact"/>
        <w:ind w:firstLine="422" w:firstLineChars="200"/>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一、质疑供应商基本信息：</w:t>
      </w:r>
    </w:p>
    <w:p w14:paraId="08F82295">
      <w:pPr>
        <w:snapToGrid w:val="0"/>
        <w:spacing w:line="36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质疑供应商：</w:t>
      </w:r>
    </w:p>
    <w:p w14:paraId="6698F8CF">
      <w:pPr>
        <w:snapToGrid w:val="0"/>
        <w:spacing w:line="36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地址：邮编：</w:t>
      </w:r>
    </w:p>
    <w:p w14:paraId="56794DCA">
      <w:pPr>
        <w:snapToGrid w:val="0"/>
        <w:spacing w:line="36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联系人：联系电话：</w:t>
      </w:r>
    </w:p>
    <w:p w14:paraId="6A014A0F">
      <w:pPr>
        <w:snapToGrid w:val="0"/>
        <w:spacing w:line="36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授权代表：</w:t>
      </w:r>
    </w:p>
    <w:p w14:paraId="083733D0">
      <w:pPr>
        <w:snapToGrid w:val="0"/>
        <w:spacing w:line="36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联系电话：</w:t>
      </w:r>
    </w:p>
    <w:p w14:paraId="072D1557">
      <w:pPr>
        <w:snapToGrid w:val="0"/>
        <w:spacing w:line="36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地址：邮编：</w:t>
      </w:r>
    </w:p>
    <w:p w14:paraId="0CBDFBBC">
      <w:pPr>
        <w:snapToGrid w:val="0"/>
        <w:spacing w:line="360" w:lineRule="exact"/>
        <w:ind w:firstLine="422" w:firstLineChars="200"/>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二、质疑项目基本情况：</w:t>
      </w:r>
    </w:p>
    <w:p w14:paraId="2B805BDC">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项目的名称：</w:t>
      </w:r>
    </w:p>
    <w:p w14:paraId="4575BC71">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项目的编号：</w:t>
      </w:r>
    </w:p>
    <w:p w14:paraId="13C1D0B8">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采购人名称：</w:t>
      </w:r>
    </w:p>
    <w:p w14:paraId="24A38E7D">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质疑事项：</w:t>
      </w:r>
    </w:p>
    <w:p w14:paraId="797C6BEC">
      <w:pPr>
        <w:spacing w:line="360" w:lineRule="exact"/>
        <w:ind w:left="25" w:leftChars="12" w:firstLine="441" w:firstLineChars="14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采购文件   采购文件获取日期：</w:t>
      </w:r>
    </w:p>
    <w:p w14:paraId="70668FE3">
      <w:pPr>
        <w:spacing w:line="360" w:lineRule="exact"/>
        <w:ind w:left="25" w:leftChars="12" w:firstLine="441" w:firstLineChars="14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采购过程   </w:t>
      </w:r>
    </w:p>
    <w:p w14:paraId="03CE31FB">
      <w:pPr>
        <w:spacing w:line="360" w:lineRule="exact"/>
        <w:ind w:left="25" w:leftChars="12" w:firstLine="441" w:firstLineChars="147"/>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 xml:space="preserve">成交结果   </w:t>
      </w:r>
    </w:p>
    <w:p w14:paraId="27BE2F9F">
      <w:pPr>
        <w:spacing w:line="360" w:lineRule="exact"/>
        <w:ind w:left="25" w:leftChars="12" w:firstLine="413" w:firstLineChars="196"/>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三、质疑事项具体内容</w:t>
      </w:r>
    </w:p>
    <w:p w14:paraId="56AC7E03">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质疑事项1：</w:t>
      </w:r>
    </w:p>
    <w:p w14:paraId="767EBDB5">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事实依据：</w:t>
      </w:r>
    </w:p>
    <w:p w14:paraId="0A87194F">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法律依据：</w:t>
      </w:r>
    </w:p>
    <w:p w14:paraId="73C45126">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质疑事项2</w:t>
      </w:r>
    </w:p>
    <w:p w14:paraId="3060926A">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p w14:paraId="4E4E9BF3">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四、与质疑事项相关的质疑请求：</w:t>
      </w:r>
    </w:p>
    <w:p w14:paraId="68BF534C">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请求：</w:t>
      </w:r>
    </w:p>
    <w:p w14:paraId="6590DFD3">
      <w:pPr>
        <w:spacing w:line="360" w:lineRule="exact"/>
        <w:ind w:left="25" w:leftChars="12" w:firstLine="308" w:firstLineChars="147"/>
        <w:rPr>
          <w:rFonts w:ascii="宋体" w:hAnsi="宋体" w:cs="宋体"/>
          <w:color w:val="000000" w:themeColor="text1"/>
          <w:kern w:val="0"/>
          <w:szCs w:val="21"/>
          <w:highlight w:val="none"/>
          <w14:textFill>
            <w14:solidFill>
              <w14:schemeClr w14:val="tx1"/>
            </w14:solidFill>
          </w14:textFill>
        </w:rPr>
      </w:pPr>
    </w:p>
    <w:p w14:paraId="20EBABB9">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签字（签章）：                                       公章：</w:t>
      </w:r>
    </w:p>
    <w:p w14:paraId="6266744A">
      <w:pPr>
        <w:spacing w:line="360" w:lineRule="exact"/>
        <w:ind w:left="25" w:leftChars="12" w:firstLine="308" w:firstLineChars="147"/>
        <w:rPr>
          <w:rFonts w:ascii="宋体" w:hAnsi="宋体" w:cs="宋体"/>
          <w:color w:val="000000" w:themeColor="text1"/>
          <w:kern w:val="0"/>
          <w:szCs w:val="21"/>
          <w:highlight w:val="none"/>
          <w14:textFill>
            <w14:solidFill>
              <w14:schemeClr w14:val="tx1"/>
            </w14:solidFill>
          </w14:textFill>
        </w:rPr>
      </w:pPr>
    </w:p>
    <w:p w14:paraId="26F2C672">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日期：</w:t>
      </w:r>
    </w:p>
    <w:p w14:paraId="182EB468">
      <w:pPr>
        <w:snapToGrid w:val="0"/>
        <w:spacing w:line="340" w:lineRule="exact"/>
        <w:rPr>
          <w:rFonts w:ascii="宋体" w:hAnsi="宋体" w:cs="宋体"/>
          <w:b/>
          <w:color w:val="000000" w:themeColor="text1"/>
          <w:kern w:val="0"/>
          <w:szCs w:val="21"/>
          <w:highlight w:val="none"/>
          <w14:textFill>
            <w14:solidFill>
              <w14:schemeClr w14:val="tx1"/>
            </w14:solidFill>
          </w14:textFill>
        </w:rPr>
      </w:pPr>
    </w:p>
    <w:p w14:paraId="2F73FAC8">
      <w:pPr>
        <w:snapToGrid w:val="0"/>
        <w:spacing w:line="340" w:lineRule="exac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说明：</w:t>
      </w:r>
    </w:p>
    <w:p w14:paraId="32C70DB3">
      <w:pPr>
        <w:spacing w:line="340" w:lineRule="exact"/>
        <w:ind w:left="25" w:leftChars="12" w:firstLine="310" w:firstLineChars="147"/>
        <w:rPr>
          <w:rFonts w:ascii="宋体" w:hAnsi="宋体" w:cs="宋体"/>
          <w:b/>
          <w:bCs/>
          <w:color w:val="000000" w:themeColor="text1"/>
          <w:kern w:val="0"/>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1.供应商提出质疑时，应提交质疑函和必要的证明材料</w:t>
      </w:r>
      <w:r>
        <w:rPr>
          <w:rFonts w:hint="eastAsia" w:ascii="宋体" w:hAnsi="宋体" w:cs="宋体"/>
          <w:b/>
          <w:bCs/>
          <w:color w:val="000000" w:themeColor="text1"/>
          <w:kern w:val="0"/>
          <w:highlight w:val="none"/>
          <w14:textFill>
            <w14:solidFill>
              <w14:schemeClr w14:val="tx1"/>
            </w14:solidFill>
          </w14:textFill>
        </w:rPr>
        <w:t>。</w:t>
      </w:r>
    </w:p>
    <w:p w14:paraId="15EECF8D">
      <w:pPr>
        <w:spacing w:line="340" w:lineRule="exact"/>
        <w:ind w:left="25" w:leftChars="12" w:firstLine="310" w:firstLineChars="147"/>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2899B83">
      <w:pPr>
        <w:spacing w:line="340" w:lineRule="exact"/>
        <w:ind w:left="25" w:leftChars="12" w:firstLine="310" w:firstLineChars="147"/>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3.质疑函的质疑事项应具体、明确，并有必要的事实依据和法律依据。</w:t>
      </w:r>
    </w:p>
    <w:p w14:paraId="7293EAAD">
      <w:pPr>
        <w:spacing w:line="340" w:lineRule="exact"/>
        <w:ind w:left="25" w:leftChars="12" w:firstLine="310" w:firstLineChars="147"/>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4.质疑函的质疑请求应与质疑事项相关。</w:t>
      </w:r>
    </w:p>
    <w:p w14:paraId="0C6D2749">
      <w:pPr>
        <w:spacing w:line="340" w:lineRule="exact"/>
        <w:ind w:left="25" w:leftChars="12" w:firstLine="310" w:firstLineChars="14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6.质疑供应商为法人或者其他组织的，质疑函应由法定代表人、主要负责人，或者其授权代表签字或者盖章，并加盖公章。</w:t>
      </w:r>
    </w:p>
    <w:p w14:paraId="10EEA1D5">
      <w:pPr>
        <w:spacing w:line="460" w:lineRule="exact"/>
        <w:jc w:val="center"/>
        <w:rPr>
          <w:rFonts w:eastAsia="隶书"/>
          <w:color w:val="000000" w:themeColor="text1"/>
          <w:kern w:val="0"/>
          <w:sz w:val="44"/>
          <w:highlight w:val="none"/>
          <w14:textFill>
            <w14:solidFill>
              <w14:schemeClr w14:val="tx1"/>
            </w14:solidFill>
          </w14:textFill>
        </w:rPr>
      </w:pPr>
    </w:p>
    <w:p w14:paraId="55EAF161">
      <w:pPr>
        <w:spacing w:line="460" w:lineRule="exact"/>
        <w:jc w:val="center"/>
        <w:rPr>
          <w:rFonts w:eastAsia="隶书"/>
          <w:color w:val="000000" w:themeColor="text1"/>
          <w:kern w:val="0"/>
          <w:sz w:val="44"/>
          <w:highlight w:val="none"/>
          <w14:textFill>
            <w14:solidFill>
              <w14:schemeClr w14:val="tx1"/>
            </w14:solidFill>
          </w14:textFill>
        </w:rPr>
      </w:pPr>
      <w:r>
        <w:rPr>
          <w:rFonts w:hint="eastAsia" w:eastAsia="隶书"/>
          <w:color w:val="000000" w:themeColor="text1"/>
          <w:kern w:val="0"/>
          <w:sz w:val="44"/>
          <w:highlight w:val="none"/>
          <w14:textFill>
            <w14:solidFill>
              <w14:schemeClr w14:val="tx1"/>
            </w14:solidFill>
          </w14:textFill>
        </w:rPr>
        <w:t>投诉书（格式）</w:t>
      </w:r>
    </w:p>
    <w:p w14:paraId="18030E85">
      <w:pPr>
        <w:snapToGrid w:val="0"/>
        <w:spacing w:line="400" w:lineRule="exact"/>
        <w:ind w:firstLine="422" w:firstLineChars="200"/>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一、投诉相关主体基本情况：</w:t>
      </w:r>
    </w:p>
    <w:p w14:paraId="59CE49D6">
      <w:pPr>
        <w:snapToGrid w:val="0"/>
        <w:spacing w:line="40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供应商：</w:t>
      </w:r>
    </w:p>
    <w:p w14:paraId="43D5D255">
      <w:pPr>
        <w:snapToGrid w:val="0"/>
        <w:spacing w:line="40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地址：邮编：</w:t>
      </w:r>
    </w:p>
    <w:p w14:paraId="683A31DD">
      <w:pPr>
        <w:snapToGrid w:val="0"/>
        <w:spacing w:line="40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法定代表人/主要负责人：</w:t>
      </w:r>
    </w:p>
    <w:p w14:paraId="03185A12">
      <w:pPr>
        <w:snapToGrid w:val="0"/>
        <w:spacing w:line="40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联系电话：</w:t>
      </w:r>
    </w:p>
    <w:p w14:paraId="05239CC2">
      <w:pPr>
        <w:snapToGrid w:val="0"/>
        <w:spacing w:line="40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授权代表：联系电话：</w:t>
      </w:r>
    </w:p>
    <w:p w14:paraId="37AF30F4">
      <w:pPr>
        <w:snapToGrid w:val="0"/>
        <w:spacing w:line="40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地址：邮编：</w:t>
      </w:r>
    </w:p>
    <w:p w14:paraId="77B4D964">
      <w:pPr>
        <w:snapToGrid w:val="0"/>
        <w:spacing w:line="40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被投诉人1：</w:t>
      </w:r>
    </w:p>
    <w:p w14:paraId="2ABFCC22">
      <w:pPr>
        <w:snapToGrid w:val="0"/>
        <w:spacing w:line="40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地址：邮编：</w:t>
      </w:r>
    </w:p>
    <w:p w14:paraId="0AB9963D">
      <w:pPr>
        <w:snapToGrid w:val="0"/>
        <w:spacing w:line="40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联系人：联系电话：</w:t>
      </w:r>
    </w:p>
    <w:p w14:paraId="5228C47B">
      <w:pPr>
        <w:snapToGrid w:val="0"/>
        <w:spacing w:line="40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被投诉人2：</w:t>
      </w:r>
    </w:p>
    <w:p w14:paraId="29A3BFCD">
      <w:pPr>
        <w:snapToGrid w:val="0"/>
        <w:spacing w:line="40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w:t>
      </w:r>
    </w:p>
    <w:p w14:paraId="4EA5523D">
      <w:pPr>
        <w:snapToGrid w:val="0"/>
        <w:spacing w:line="40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相关供应商：</w:t>
      </w:r>
    </w:p>
    <w:p w14:paraId="6D4C7090">
      <w:pPr>
        <w:snapToGrid w:val="0"/>
        <w:spacing w:line="40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地址：邮编：</w:t>
      </w:r>
    </w:p>
    <w:p w14:paraId="3EDE1B73">
      <w:pPr>
        <w:snapToGrid w:val="0"/>
        <w:spacing w:line="400" w:lineRule="exact"/>
        <w:ind w:firstLine="420" w:firstLineChars="200"/>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联系人：联系电话：</w:t>
      </w:r>
    </w:p>
    <w:p w14:paraId="6EB650E1">
      <w:pPr>
        <w:snapToGrid w:val="0"/>
        <w:spacing w:line="400" w:lineRule="exact"/>
        <w:ind w:firstLine="422" w:firstLineChars="200"/>
        <w:rPr>
          <w:rFonts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二、投诉项目基本情况：</w:t>
      </w:r>
    </w:p>
    <w:p w14:paraId="2340953C">
      <w:pPr>
        <w:spacing w:line="40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项目的名称：</w:t>
      </w:r>
    </w:p>
    <w:p w14:paraId="24AF45CD">
      <w:pPr>
        <w:spacing w:line="40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项目的编号：</w:t>
      </w:r>
    </w:p>
    <w:p w14:paraId="6A1EC48D">
      <w:pPr>
        <w:spacing w:line="400" w:lineRule="exact"/>
        <w:ind w:left="25" w:leftChars="12" w:firstLine="413" w:firstLineChars="197"/>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采购人名称：</w:t>
      </w:r>
    </w:p>
    <w:p w14:paraId="377B8DC1">
      <w:pPr>
        <w:spacing w:line="400" w:lineRule="exact"/>
        <w:ind w:left="25" w:leftChars="12" w:firstLine="413" w:firstLineChars="197"/>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代理机构名称：</w:t>
      </w:r>
    </w:p>
    <w:p w14:paraId="58A60335">
      <w:pPr>
        <w:spacing w:line="400" w:lineRule="exact"/>
        <w:ind w:left="25" w:leftChars="12" w:firstLine="413" w:firstLineChars="197"/>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采购文件公告：</w:t>
      </w:r>
      <w:r>
        <w:rPr>
          <w:rFonts w:hint="eastAsia" w:ascii="宋体" w:hAnsi="宋体" w:cs="宋体"/>
          <w:bCs/>
          <w:color w:val="000000" w:themeColor="text1"/>
          <w:kern w:val="0"/>
          <w:highlight w:val="none"/>
          <w:u w:val="single"/>
          <w14:textFill>
            <w14:solidFill>
              <w14:schemeClr w14:val="tx1"/>
            </w14:solidFill>
          </w14:textFill>
        </w:rPr>
        <w:t>是/否</w:t>
      </w:r>
      <w:r>
        <w:rPr>
          <w:rFonts w:hint="eastAsia" w:ascii="宋体" w:hAnsi="宋体" w:cs="宋体"/>
          <w:bCs/>
          <w:color w:val="000000" w:themeColor="text1"/>
          <w:kern w:val="0"/>
          <w:highlight w:val="none"/>
          <w14:textFill>
            <w14:solidFill>
              <w14:schemeClr w14:val="tx1"/>
            </w14:solidFill>
          </w14:textFill>
        </w:rPr>
        <w:t>公告期限：</w:t>
      </w:r>
    </w:p>
    <w:p w14:paraId="5D6D3D88">
      <w:pPr>
        <w:spacing w:line="400" w:lineRule="exact"/>
        <w:ind w:left="25" w:leftChars="12" w:firstLine="413" w:firstLineChars="197"/>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采购结果公告：</w:t>
      </w:r>
      <w:r>
        <w:rPr>
          <w:rFonts w:hint="eastAsia" w:ascii="宋体" w:hAnsi="宋体" w:cs="宋体"/>
          <w:bCs/>
          <w:color w:val="000000" w:themeColor="text1"/>
          <w:kern w:val="0"/>
          <w:highlight w:val="none"/>
          <w:u w:val="single"/>
          <w14:textFill>
            <w14:solidFill>
              <w14:schemeClr w14:val="tx1"/>
            </w14:solidFill>
          </w14:textFill>
        </w:rPr>
        <w:t>是/否</w:t>
      </w:r>
      <w:r>
        <w:rPr>
          <w:rFonts w:hint="eastAsia" w:ascii="宋体" w:hAnsi="宋体" w:cs="宋体"/>
          <w:bCs/>
          <w:color w:val="000000" w:themeColor="text1"/>
          <w:kern w:val="0"/>
          <w:highlight w:val="none"/>
          <w14:textFill>
            <w14:solidFill>
              <w14:schemeClr w14:val="tx1"/>
            </w14:solidFill>
          </w14:textFill>
        </w:rPr>
        <w:t>公告期限：</w:t>
      </w:r>
    </w:p>
    <w:p w14:paraId="069684D5">
      <w:pPr>
        <w:spacing w:line="400" w:lineRule="exact"/>
        <w:ind w:left="25" w:leftChars="12" w:firstLine="413" w:firstLineChars="196"/>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三、质疑基本情况</w:t>
      </w:r>
    </w:p>
    <w:p w14:paraId="7864E552">
      <w:pPr>
        <w:spacing w:line="40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投诉人于年月日，向提出质疑，质疑事项为：</w:t>
      </w:r>
    </w:p>
    <w:p w14:paraId="02D6F321">
      <w:pPr>
        <w:spacing w:line="400" w:lineRule="exact"/>
        <w:rPr>
          <w:rFonts w:ascii="宋体" w:hAnsi="宋体" w:cs="宋体"/>
          <w:bCs/>
          <w:color w:val="000000" w:themeColor="text1"/>
          <w:kern w:val="0"/>
          <w:highlight w:val="none"/>
          <w:u w:val="single"/>
          <w14:textFill>
            <w14:solidFill>
              <w14:schemeClr w14:val="tx1"/>
            </w14:solidFill>
          </w14:textFill>
        </w:rPr>
      </w:pPr>
    </w:p>
    <w:p w14:paraId="46FB4347">
      <w:pPr>
        <w:spacing w:line="40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highlight w:val="none"/>
          <w:u w:val="single"/>
          <w14:textFill>
            <w14:solidFill>
              <w14:schemeClr w14:val="tx1"/>
            </w14:solidFill>
          </w14:textFill>
        </w:rPr>
        <w:t>采购人/代理机构</w:t>
      </w:r>
      <w:r>
        <w:rPr>
          <w:rFonts w:hint="eastAsia" w:ascii="宋体" w:hAnsi="宋体" w:cs="宋体"/>
          <w:bCs/>
          <w:color w:val="000000" w:themeColor="text1"/>
          <w:kern w:val="0"/>
          <w:highlight w:val="none"/>
          <w14:textFill>
            <w14:solidFill>
              <w14:schemeClr w14:val="tx1"/>
            </w14:solidFill>
          </w14:textFill>
        </w:rPr>
        <w:t>于</w:t>
      </w:r>
      <w:r>
        <w:rPr>
          <w:rFonts w:hint="eastAsia" w:ascii="宋体" w:hAnsi="宋体" w:cs="宋体"/>
          <w:color w:val="000000" w:themeColor="text1"/>
          <w:kern w:val="0"/>
          <w:szCs w:val="21"/>
          <w:highlight w:val="none"/>
          <w14:textFill>
            <w14:solidFill>
              <w14:schemeClr w14:val="tx1"/>
            </w14:solidFill>
          </w14:textFill>
        </w:rPr>
        <w:t>年月日，</w:t>
      </w:r>
      <w:r>
        <w:rPr>
          <w:rFonts w:hint="eastAsia" w:ascii="宋体" w:hAnsi="宋体" w:cs="宋体"/>
          <w:bCs/>
          <w:color w:val="000000" w:themeColor="text1"/>
          <w:kern w:val="0"/>
          <w:highlight w:val="none"/>
          <w14:textFill>
            <w14:solidFill>
              <w14:schemeClr w14:val="tx1"/>
            </w14:solidFill>
          </w14:textFill>
        </w:rPr>
        <w:t>就质疑事项作出了答复/没有在法定期限内作出答复。</w:t>
      </w:r>
    </w:p>
    <w:p w14:paraId="1BCEFF18">
      <w:pPr>
        <w:spacing w:line="400" w:lineRule="exact"/>
        <w:ind w:left="25" w:leftChars="12" w:firstLine="413" w:firstLineChars="196"/>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四、投诉事项具体内容</w:t>
      </w:r>
    </w:p>
    <w:p w14:paraId="0C7A4C32">
      <w:pPr>
        <w:spacing w:line="400" w:lineRule="exact"/>
        <w:ind w:left="25" w:leftChars="12" w:firstLine="413" w:firstLineChars="197"/>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投诉事项1：</w:t>
      </w:r>
    </w:p>
    <w:p w14:paraId="38573283">
      <w:pPr>
        <w:spacing w:line="40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事实依据：</w:t>
      </w:r>
    </w:p>
    <w:p w14:paraId="2DBDD89F">
      <w:pPr>
        <w:spacing w:line="40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p>
    <w:p w14:paraId="7B31A6FD">
      <w:pPr>
        <w:spacing w:line="400" w:lineRule="exact"/>
        <w:ind w:firstLine="420" w:firstLineChars="200"/>
        <w:rPr>
          <w:rFonts w:ascii="宋体" w:hAnsi="宋体" w:cs="宋体"/>
          <w:bCs/>
          <w:color w:val="000000" w:themeColor="text1"/>
          <w:kern w:val="0"/>
          <w:highlight w:val="none"/>
          <w:u w:val="singl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法律依据：</w:t>
      </w:r>
    </w:p>
    <w:p w14:paraId="08488761">
      <w:pPr>
        <w:spacing w:line="400" w:lineRule="exact"/>
        <w:ind w:left="25" w:leftChars="12" w:firstLine="308" w:firstLineChars="147"/>
        <w:rPr>
          <w:rFonts w:ascii="宋体" w:hAnsi="宋体" w:cs="宋体"/>
          <w:bCs/>
          <w:color w:val="000000" w:themeColor="text1"/>
          <w:kern w:val="0"/>
          <w:highlight w:val="none"/>
          <w:u w:val="single"/>
          <w14:textFill>
            <w14:solidFill>
              <w14:schemeClr w14:val="tx1"/>
            </w14:solidFill>
          </w14:textFill>
        </w:rPr>
      </w:pPr>
    </w:p>
    <w:p w14:paraId="451692C0">
      <w:pPr>
        <w:spacing w:line="400" w:lineRule="exact"/>
        <w:ind w:left="25" w:leftChars="12" w:firstLine="413" w:firstLineChars="197"/>
        <w:rPr>
          <w:rFonts w:ascii="宋体" w:hAnsi="宋体" w:cs="宋体"/>
          <w:bCs/>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投诉事项2  </w:t>
      </w:r>
    </w:p>
    <w:p w14:paraId="3F063C9C">
      <w:pPr>
        <w:spacing w:line="400" w:lineRule="exact"/>
        <w:ind w:left="25" w:leftChars="12" w:firstLine="413" w:firstLineChars="197"/>
        <w:rPr>
          <w:rFonts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w:t>
      </w:r>
    </w:p>
    <w:p w14:paraId="5A40AAE8">
      <w:pPr>
        <w:spacing w:line="400" w:lineRule="exact"/>
        <w:ind w:left="25" w:leftChars="12" w:firstLine="413" w:firstLineChars="196"/>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五、与投诉事项相关的投诉请求：</w:t>
      </w:r>
    </w:p>
    <w:p w14:paraId="4C0F1461">
      <w:pPr>
        <w:spacing w:line="40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请求：</w:t>
      </w:r>
    </w:p>
    <w:p w14:paraId="1579ED84">
      <w:pPr>
        <w:spacing w:line="400" w:lineRule="exact"/>
        <w:ind w:left="25" w:leftChars="12" w:firstLine="308" w:firstLineChars="147"/>
        <w:rPr>
          <w:rFonts w:ascii="宋体" w:hAnsi="宋体" w:cs="宋体"/>
          <w:color w:val="000000" w:themeColor="text1"/>
          <w:kern w:val="0"/>
          <w:szCs w:val="21"/>
          <w:highlight w:val="none"/>
          <w14:textFill>
            <w14:solidFill>
              <w14:schemeClr w14:val="tx1"/>
            </w14:solidFill>
          </w14:textFill>
        </w:rPr>
      </w:pPr>
    </w:p>
    <w:p w14:paraId="2A356FA8">
      <w:pPr>
        <w:spacing w:line="40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签字（签章）：                                       公章：</w:t>
      </w:r>
    </w:p>
    <w:p w14:paraId="5044088A">
      <w:pPr>
        <w:spacing w:line="400" w:lineRule="exact"/>
        <w:ind w:left="25" w:leftChars="12" w:firstLine="308" w:firstLineChars="147"/>
        <w:rPr>
          <w:rFonts w:ascii="宋体" w:hAnsi="宋体" w:cs="宋体"/>
          <w:color w:val="000000" w:themeColor="text1"/>
          <w:kern w:val="0"/>
          <w:szCs w:val="21"/>
          <w:highlight w:val="none"/>
          <w14:textFill>
            <w14:solidFill>
              <w14:schemeClr w14:val="tx1"/>
            </w14:solidFill>
          </w14:textFill>
        </w:rPr>
      </w:pPr>
    </w:p>
    <w:p w14:paraId="4EEF8E20">
      <w:pPr>
        <w:spacing w:line="40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日期：</w:t>
      </w:r>
    </w:p>
    <w:p w14:paraId="161587A8">
      <w:pPr>
        <w:spacing w:line="360" w:lineRule="exact"/>
        <w:ind w:left="25" w:leftChars="12" w:firstLine="413" w:firstLineChars="197"/>
        <w:rPr>
          <w:rFonts w:ascii="宋体" w:hAnsi="宋体" w:cs="宋体"/>
          <w:color w:val="000000" w:themeColor="text1"/>
          <w:kern w:val="0"/>
          <w:szCs w:val="21"/>
          <w:highlight w:val="none"/>
          <w14:textFill>
            <w14:solidFill>
              <w14:schemeClr w14:val="tx1"/>
            </w14:solidFill>
          </w14:textFill>
        </w:rPr>
      </w:pPr>
    </w:p>
    <w:p w14:paraId="23FF9EAC">
      <w:pPr>
        <w:snapToGrid w:val="0"/>
        <w:spacing w:line="340" w:lineRule="exact"/>
        <w:rPr>
          <w:rFonts w:ascii="宋体" w:hAnsi="宋体" w:cs="宋体"/>
          <w:b/>
          <w:color w:val="000000" w:themeColor="text1"/>
          <w:kern w:val="0"/>
          <w:szCs w:val="21"/>
          <w:highlight w:val="none"/>
          <w14:textFill>
            <w14:solidFill>
              <w14:schemeClr w14:val="tx1"/>
            </w14:solidFill>
          </w14:textFill>
        </w:rPr>
      </w:pPr>
    </w:p>
    <w:p w14:paraId="4AD9AC21">
      <w:pPr>
        <w:snapToGrid w:val="0"/>
        <w:spacing w:line="340" w:lineRule="exac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说明：</w:t>
      </w:r>
    </w:p>
    <w:p w14:paraId="67B071B1">
      <w:pPr>
        <w:spacing w:line="340" w:lineRule="exact"/>
        <w:ind w:left="25" w:leftChars="12" w:firstLine="310" w:firstLineChars="147"/>
        <w:rPr>
          <w:rFonts w:ascii="宋体" w:hAnsi="宋体" w:cs="宋体"/>
          <w:b/>
          <w:bCs/>
          <w:color w:val="000000" w:themeColor="text1"/>
          <w:kern w:val="0"/>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cs="宋体"/>
          <w:b/>
          <w:bCs/>
          <w:color w:val="000000" w:themeColor="text1"/>
          <w:kern w:val="0"/>
          <w:highlight w:val="none"/>
          <w14:textFill>
            <w14:solidFill>
              <w14:schemeClr w14:val="tx1"/>
            </w14:solidFill>
          </w14:textFill>
        </w:rPr>
        <w:t>。</w:t>
      </w:r>
    </w:p>
    <w:p w14:paraId="72A8F512">
      <w:pPr>
        <w:spacing w:line="340" w:lineRule="exact"/>
        <w:ind w:left="25" w:leftChars="12" w:firstLine="310" w:firstLineChars="147"/>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FB9CBB">
      <w:pPr>
        <w:spacing w:line="340" w:lineRule="exact"/>
        <w:ind w:left="25" w:leftChars="12" w:firstLine="310" w:firstLineChars="147"/>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3.投诉书应简要列明质疑事项，质疑函、质疑答复等作为附件材料提供。</w:t>
      </w:r>
    </w:p>
    <w:p w14:paraId="61D12C8D">
      <w:pPr>
        <w:spacing w:line="340" w:lineRule="exact"/>
        <w:ind w:left="25" w:leftChars="12" w:firstLine="310" w:firstLineChars="147"/>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4.投诉书的投诉事项应具体、明确，并有必要的事实依据和法律依据。</w:t>
      </w:r>
    </w:p>
    <w:p w14:paraId="2504BB52">
      <w:pPr>
        <w:spacing w:line="340" w:lineRule="exact"/>
        <w:ind w:left="25" w:leftChars="12" w:firstLine="310" w:firstLineChars="147"/>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5.投诉书的投诉请求应与投诉事项相关。</w:t>
      </w:r>
    </w:p>
    <w:p w14:paraId="0D34DDB7">
      <w:pPr>
        <w:spacing w:line="340" w:lineRule="exact"/>
        <w:ind w:left="25" w:leftChars="12" w:firstLine="310" w:firstLineChars="14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投诉人为法人或者其他组织的，投诉书应由法定代表人、主要负责人，或者其授权代表签字或者盖章，并加盖公章。</w:t>
      </w:r>
    </w:p>
    <w:p w14:paraId="7DE42D5D">
      <w:pPr>
        <w:spacing w:line="340" w:lineRule="exact"/>
        <w:ind w:left="25" w:leftChars="12" w:firstLine="310" w:firstLineChars="147"/>
        <w:rPr>
          <w:rFonts w:hAnsi="宋体"/>
          <w:b/>
          <w:color w:val="000000" w:themeColor="text1"/>
          <w:kern w:val="0"/>
          <w:szCs w:val="21"/>
          <w:highlight w:val="none"/>
          <w14:textFill>
            <w14:solidFill>
              <w14:schemeClr w14:val="tx1"/>
            </w14:solidFill>
          </w14:textFill>
        </w:rPr>
      </w:pPr>
    </w:p>
    <w:p w14:paraId="33182288">
      <w:pPr>
        <w:rPr>
          <w:color w:val="000000" w:themeColor="text1"/>
          <w:highlight w:val="none"/>
          <w14:textFill>
            <w14:solidFill>
              <w14:schemeClr w14:val="tx1"/>
            </w14:solidFill>
          </w14:textFill>
        </w:rPr>
      </w:pPr>
    </w:p>
    <w:p w14:paraId="0A218227">
      <w:pPr>
        <w:rPr>
          <w:color w:val="000000" w:themeColor="text1"/>
          <w:highlight w:val="none"/>
          <w14:textFill>
            <w14:solidFill>
              <w14:schemeClr w14:val="tx1"/>
            </w14:solidFill>
          </w14:textFill>
        </w:rPr>
      </w:pPr>
    </w:p>
    <w:p w14:paraId="186A0C84">
      <w:pPr>
        <w:rPr>
          <w:color w:val="000000" w:themeColor="text1"/>
          <w:highlight w:val="none"/>
          <w14:textFill>
            <w14:solidFill>
              <w14:schemeClr w14:val="tx1"/>
            </w14:solidFill>
          </w14:textFill>
        </w:rPr>
      </w:pPr>
    </w:p>
    <w:p w14:paraId="05F5C337">
      <w:pPr>
        <w:rPr>
          <w:color w:val="000000" w:themeColor="text1"/>
          <w:highlight w:val="none"/>
          <w14:textFill>
            <w14:solidFill>
              <w14:schemeClr w14:val="tx1"/>
            </w14:solidFill>
          </w14:textFill>
        </w:rPr>
      </w:pPr>
    </w:p>
    <w:p w14:paraId="1040A031">
      <w:pPr>
        <w:rPr>
          <w:color w:val="000000" w:themeColor="text1"/>
          <w:highlight w:val="none"/>
          <w14:textFill>
            <w14:solidFill>
              <w14:schemeClr w14:val="tx1"/>
            </w14:solidFill>
          </w14:textFill>
        </w:rPr>
      </w:pPr>
    </w:p>
    <w:p w14:paraId="233E97CF">
      <w:pPr>
        <w:rPr>
          <w:color w:val="000000" w:themeColor="text1"/>
          <w:highlight w:val="none"/>
          <w14:textFill>
            <w14:solidFill>
              <w14:schemeClr w14:val="tx1"/>
            </w14:solidFill>
          </w14:textFill>
        </w:rPr>
      </w:pPr>
    </w:p>
    <w:p w14:paraId="2208F7F2">
      <w:pPr>
        <w:jc w:val="center"/>
        <w:outlineLvl w:val="0"/>
        <w:rPr>
          <w:rFonts w:ascii="华文中宋" w:hAnsi="华文中宋" w:eastAsia="华文中宋" w:cs="华文中宋"/>
          <w:b/>
          <w:bCs/>
          <w:color w:val="000000" w:themeColor="text1"/>
          <w:sz w:val="32"/>
          <w:szCs w:val="32"/>
          <w:highlight w:val="none"/>
          <w14:textFill>
            <w14:solidFill>
              <w14:schemeClr w14:val="tx1"/>
            </w14:solidFill>
          </w14:textFill>
        </w:rPr>
      </w:pPr>
      <w:bookmarkStart w:id="285" w:name="_Toc6272"/>
      <w:bookmarkStart w:id="286" w:name="_Toc28939"/>
      <w:bookmarkStart w:id="287" w:name="_Toc2989"/>
      <w:r>
        <w:rPr>
          <w:rFonts w:hint="eastAsia"/>
          <w:color w:val="000000" w:themeColor="text1"/>
          <w:sz w:val="32"/>
          <w:szCs w:val="32"/>
          <w:highlight w:val="none"/>
          <w14:textFill>
            <w14:solidFill>
              <w14:schemeClr w14:val="tx1"/>
            </w14:solidFill>
          </w14:textFill>
        </w:rPr>
        <w:br w:type="page"/>
      </w:r>
      <w:bookmarkStart w:id="288" w:name="_Toc16966"/>
      <w:r>
        <w:rPr>
          <w:rFonts w:hint="eastAsia" w:ascii="华文中宋" w:hAnsi="华文中宋" w:eastAsia="华文中宋" w:cs="华文中宋"/>
          <w:b/>
          <w:bCs/>
          <w:color w:val="000000" w:themeColor="text1"/>
          <w:sz w:val="32"/>
          <w:szCs w:val="32"/>
          <w:highlight w:val="none"/>
          <w14:textFill>
            <w14:solidFill>
              <w14:schemeClr w14:val="tx1"/>
            </w14:solidFill>
          </w14:textFill>
        </w:rPr>
        <w:t>第三章  工程量清单</w:t>
      </w:r>
      <w:bookmarkEnd w:id="285"/>
      <w:bookmarkEnd w:id="286"/>
      <w:bookmarkEnd w:id="288"/>
    </w:p>
    <w:p w14:paraId="4C65EA2D">
      <w:pPr>
        <w:pStyle w:val="27"/>
        <w:spacing w:line="360" w:lineRule="auto"/>
        <w:outlineLvl w:val="1"/>
        <w:rPr>
          <w:rFonts w:hAnsi="宋体" w:cs="宋体"/>
          <w:color w:val="000000" w:themeColor="text1"/>
          <w:kern w:val="21"/>
          <w:highlight w:val="none"/>
          <w14:textFill>
            <w14:solidFill>
              <w14:schemeClr w14:val="tx1"/>
            </w14:solidFill>
          </w14:textFill>
        </w:rPr>
      </w:pPr>
      <w:bookmarkStart w:id="289" w:name="_Toc160609998"/>
      <w:bookmarkStart w:id="290" w:name="_Toc164138057"/>
      <w:bookmarkStart w:id="291" w:name="_Toc194308407"/>
      <w:bookmarkStart w:id="292" w:name="_Toc7172"/>
      <w:bookmarkStart w:id="293" w:name="_Toc28320"/>
      <w:r>
        <w:rPr>
          <w:rFonts w:hint="eastAsia" w:hAnsi="宋体" w:cs="宋体"/>
          <w:b/>
          <w:color w:val="000000" w:themeColor="text1"/>
          <w:sz w:val="24"/>
          <w:szCs w:val="24"/>
          <w:highlight w:val="none"/>
          <w14:textFill>
            <w14:solidFill>
              <w14:schemeClr w14:val="tx1"/>
            </w14:solidFill>
          </w14:textFill>
        </w:rPr>
        <w:t>一、工程量清单说明</w:t>
      </w:r>
      <w:bookmarkEnd w:id="289"/>
      <w:bookmarkEnd w:id="290"/>
      <w:r>
        <w:rPr>
          <w:rFonts w:hint="eastAsia" w:hAnsi="宋体" w:cs="宋体"/>
          <w:color w:val="000000" w:themeColor="text1"/>
          <w:kern w:val="21"/>
          <w:sz w:val="32"/>
          <w:szCs w:val="32"/>
          <w:highlight w:val="none"/>
          <w14:textFill>
            <w14:solidFill>
              <w14:schemeClr w14:val="tx1"/>
            </w14:solidFill>
          </w14:textFill>
        </w:rPr>
        <w:t>：</w:t>
      </w:r>
      <w:bookmarkEnd w:id="291"/>
      <w:bookmarkEnd w:id="292"/>
      <w:bookmarkEnd w:id="293"/>
      <w:r>
        <w:rPr>
          <w:rFonts w:hint="eastAsia" w:hAnsi="宋体" w:cs="宋体"/>
          <w:color w:val="000000" w:themeColor="text1"/>
          <w:kern w:val="21"/>
          <w:highlight w:val="none"/>
          <w14:textFill>
            <w14:solidFill>
              <w14:schemeClr w14:val="tx1"/>
            </w14:solidFill>
          </w14:textFill>
        </w:rPr>
        <w:t xml:space="preserve"> </w:t>
      </w:r>
    </w:p>
    <w:p w14:paraId="502848E4">
      <w:pPr>
        <w:tabs>
          <w:tab w:val="left" w:pos="210"/>
        </w:tabs>
        <w:spacing w:line="360" w:lineRule="auto"/>
        <w:ind w:left="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1、工程概况：</w:t>
      </w:r>
    </w:p>
    <w:p w14:paraId="6EC27790">
      <w:pPr>
        <w:tabs>
          <w:tab w:val="left" w:pos="210"/>
        </w:tabs>
        <w:spacing w:line="360" w:lineRule="auto"/>
        <w:ind w:left="420"/>
        <w:rPr>
          <w:rFonts w:hint="eastAsia" w:eastAsia="宋体"/>
          <w:b/>
          <w:bCs/>
          <w:color w:val="000000" w:themeColor="text1"/>
          <w:sz w:val="32"/>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r>
        <w:rPr>
          <w:rFonts w:hint="eastAsia" w:ascii="宋体" w:hAnsi="宋体" w:cs="宋体"/>
          <w:color w:val="000000" w:themeColor="text1"/>
          <w:szCs w:val="21"/>
          <w:highlight w:val="none"/>
          <w:lang w:eastAsia="zh-CN"/>
          <w14:textFill>
            <w14:solidFill>
              <w14:schemeClr w14:val="tx1"/>
            </w14:solidFill>
          </w14:textFill>
        </w:rPr>
        <w:t>广西师范大学王城校区继续教育学院搬迁维修改造工程</w:t>
      </w:r>
    </w:p>
    <w:p w14:paraId="32889588">
      <w:pPr>
        <w:tabs>
          <w:tab w:val="left" w:pos="210"/>
        </w:tabs>
        <w:spacing w:line="360" w:lineRule="auto"/>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工程地点：桂林市</w:t>
      </w:r>
    </w:p>
    <w:p w14:paraId="2F5F5968">
      <w:pPr>
        <w:tabs>
          <w:tab w:val="left" w:pos="210"/>
        </w:tabs>
        <w:spacing w:line="360" w:lineRule="auto"/>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w:t>
      </w:r>
      <w:r>
        <w:rPr>
          <w:rFonts w:hint="eastAsia" w:ascii="宋体" w:hAnsi="宋体"/>
          <w:bCs/>
          <w:color w:val="000000" w:themeColor="text1"/>
          <w:szCs w:val="21"/>
          <w:highlight w:val="none"/>
          <w14:textFill>
            <w14:solidFill>
              <w14:schemeClr w14:val="tx1"/>
            </w14:solidFill>
          </w14:textFill>
        </w:rPr>
        <w:t>范围</w:t>
      </w:r>
      <w:r>
        <w:rPr>
          <w:rFonts w:hint="eastAsia"/>
          <w:color w:val="000000" w:themeColor="text1"/>
          <w:highlight w:val="none"/>
          <w14:textFill>
            <w14:solidFill>
              <w14:schemeClr w14:val="tx1"/>
            </w14:solidFill>
          </w14:textFill>
        </w:rPr>
        <w:t>：</w:t>
      </w:r>
      <w:r>
        <w:rPr>
          <w:rFonts w:hint="eastAsia" w:ascii="宋体" w:cs="宋体"/>
          <w:color w:val="000000" w:themeColor="text1"/>
          <w:szCs w:val="21"/>
          <w:highlight w:val="none"/>
          <w:lang w:bidi="ar-SA"/>
          <w14:textFill>
            <w14:solidFill>
              <w14:schemeClr w14:val="tx1"/>
            </w14:solidFill>
          </w14:textFill>
        </w:rPr>
        <w:t>施工图纸范围内的工程，具体情况详见施工图纸及工程量清单</w:t>
      </w:r>
      <w:r>
        <w:rPr>
          <w:rFonts w:hint="eastAsia"/>
          <w:color w:val="000000" w:themeColor="text1"/>
          <w:highlight w:val="none"/>
          <w14:textFill>
            <w14:solidFill>
              <w14:schemeClr w14:val="tx1"/>
            </w14:solidFill>
          </w14:textFill>
        </w:rPr>
        <w:t>。</w:t>
      </w:r>
    </w:p>
    <w:p w14:paraId="03EFC774">
      <w:pPr>
        <w:tabs>
          <w:tab w:val="left" w:pos="210"/>
        </w:tabs>
        <w:spacing w:line="360" w:lineRule="auto"/>
        <w:ind w:left="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资金来源：自筹资金</w:t>
      </w:r>
    </w:p>
    <w:p w14:paraId="4111E334">
      <w:pPr>
        <w:tabs>
          <w:tab w:val="left" w:pos="210"/>
        </w:tabs>
        <w:spacing w:line="360" w:lineRule="auto"/>
        <w:ind w:left="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2、编制依据：</w:t>
      </w:r>
    </w:p>
    <w:p w14:paraId="1498676C">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施工图范围内建设内容；</w:t>
      </w:r>
    </w:p>
    <w:p w14:paraId="11825484">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建设工程工程量计算规范》（GB50854~50862-2013)、《建设工程工程量计算规范广西壮族自治区实施细则（修订本）》（GB50854~50862-2013）；</w:t>
      </w:r>
    </w:p>
    <w:p w14:paraId="02ABD611">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FF"/>
          <w:szCs w:val="21"/>
          <w:highlight w:val="none"/>
        </w:rPr>
        <w:t>2024年《广西壮族自治区建筑装饰装修工程消耗量定额》及配套费用定额；</w:t>
      </w:r>
      <w:r>
        <w:rPr>
          <w:rFonts w:hint="eastAsia" w:ascii="宋体" w:hAnsi="宋体" w:cs="宋体"/>
          <w:color w:val="000000" w:themeColor="text1"/>
          <w:szCs w:val="21"/>
          <w:highlight w:val="none"/>
          <w14:textFill>
            <w14:solidFill>
              <w14:schemeClr w14:val="tx1"/>
            </w14:solidFill>
          </w14:textFill>
        </w:rPr>
        <w:t xml:space="preserve"> </w:t>
      </w:r>
    </w:p>
    <w:p w14:paraId="2A09F163">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FF"/>
          <w:szCs w:val="21"/>
          <w:highlight w:val="none"/>
        </w:rPr>
        <w:t>2023年《广西壮族自治区安装工程消耗量定额》及配套费用定额；</w:t>
      </w:r>
      <w:r>
        <w:rPr>
          <w:rFonts w:hint="eastAsia" w:ascii="宋体" w:hAnsi="宋体" w:cs="宋体"/>
          <w:color w:val="000000" w:themeColor="text1"/>
          <w:szCs w:val="21"/>
          <w:highlight w:val="none"/>
          <w14:textFill>
            <w14:solidFill>
              <w14:schemeClr w14:val="tx1"/>
            </w14:solidFill>
          </w14:textFill>
        </w:rPr>
        <w:t xml:space="preserve"> </w:t>
      </w:r>
    </w:p>
    <w:p w14:paraId="7AED0F39">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2022年《广西壮族自治区市政工程消耗量定额》及配套的费用定额；</w:t>
      </w:r>
    </w:p>
    <w:p w14:paraId="55DAC567">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FF"/>
          <w:szCs w:val="21"/>
          <w:highlight w:val="none"/>
        </w:rPr>
        <w:t>2024年版《广西壮族自治区建筑工程拆除消耗量定额》及配套的费用定额；</w:t>
      </w:r>
    </w:p>
    <w:p w14:paraId="1745AC8C">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2013年版《广西壮族自治区安装拆除工程消耗量定额》及配套的费用定额；</w:t>
      </w:r>
    </w:p>
    <w:p w14:paraId="3CF0379F">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桂建标【2019】10号广西壮族自治区住房城乡建设厅《关于调整建设工程计价增值税税率的通知》；</w:t>
      </w:r>
    </w:p>
    <w:p w14:paraId="1BDAF209">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桂建标【2023】7号广西壮族自治区住房和城乡建设厅文件《关于调整建设工程定额人工费及有关费率的通知》；</w:t>
      </w:r>
    </w:p>
    <w:p w14:paraId="4D0EBED4">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广西壮族自治区住房和城乡建设厅《关于印发广西壮族自治区房屋建筑和市政基础设施工程安全生产责任保险计价规定的通知》（桂建发[2023]6号；</w:t>
      </w:r>
    </w:p>
    <w:p w14:paraId="20D1D7F2">
      <w:pPr>
        <w:numPr>
          <w:ilvl w:val="0"/>
          <w:numId w:val="6"/>
        </w:numPr>
        <w:tabs>
          <w:tab w:val="left" w:pos="21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材料价格有信息价的按202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年第</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期发布的《桂林市建设工程造价信息》公布的信息价计取，无信息价时按同期的桂林市信息价或市场询价；</w:t>
      </w:r>
    </w:p>
    <w:p w14:paraId="0D20ADDF">
      <w:pPr>
        <w:tabs>
          <w:tab w:val="left" w:pos="210"/>
        </w:tabs>
        <w:spacing w:line="360" w:lineRule="auto"/>
        <w:jc w:val="left"/>
        <w:outlineLvl w:val="1"/>
        <w:rPr>
          <w:rFonts w:ascii="宋体" w:hAnsi="宋体" w:cs="宋体"/>
          <w:b/>
          <w:color w:val="000000" w:themeColor="text1"/>
          <w:sz w:val="24"/>
          <w:highlight w:val="none"/>
          <w14:textFill>
            <w14:solidFill>
              <w14:schemeClr w14:val="tx1"/>
            </w14:solidFill>
          </w14:textFill>
        </w:rPr>
      </w:pPr>
      <w:bookmarkStart w:id="294" w:name="_Toc25330"/>
      <w:bookmarkStart w:id="295" w:name="_Toc23096"/>
      <w:r>
        <w:rPr>
          <w:rFonts w:hint="eastAsia" w:ascii="宋体" w:hAnsi="宋体" w:cs="宋体"/>
          <w:color w:val="000000" w:themeColor="text1"/>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注意事项及要求：</w:t>
      </w:r>
      <w:bookmarkEnd w:id="294"/>
      <w:bookmarkEnd w:id="295"/>
    </w:p>
    <w:p w14:paraId="0A6C4C93">
      <w:pPr>
        <w:tabs>
          <w:tab w:val="left" w:pos="210"/>
        </w:tabs>
        <w:spacing w:line="360" w:lineRule="auto"/>
        <w:ind w:left="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1、严格按国家标准及本项目工程量清单、图纸要求施工；</w:t>
      </w:r>
    </w:p>
    <w:p w14:paraId="5D879FCC">
      <w:pPr>
        <w:pStyle w:val="27"/>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要求工期：</w:t>
      </w:r>
      <w:r>
        <w:rPr>
          <w:rFonts w:hint="eastAsia"/>
          <w:color w:val="000000" w:themeColor="text1"/>
          <w:szCs w:val="21"/>
          <w:highlight w:val="none"/>
          <w:lang w:val="en-US" w:eastAsia="zh-CN"/>
          <w14:textFill>
            <w14:solidFill>
              <w14:schemeClr w14:val="tx1"/>
            </w14:solidFill>
          </w14:textFill>
        </w:rPr>
        <w:t>40个日历内</w:t>
      </w:r>
      <w:r>
        <w:rPr>
          <w:rFonts w:hint="eastAsia"/>
          <w:color w:val="000000" w:themeColor="text1"/>
          <w:szCs w:val="21"/>
          <w:highlight w:val="none"/>
          <w14:textFill>
            <w14:solidFill>
              <w14:schemeClr w14:val="tx1"/>
            </w14:solidFill>
          </w14:textFill>
        </w:rPr>
        <w:t>完工并搞完卫生退场。</w:t>
      </w:r>
    </w:p>
    <w:p w14:paraId="3CC29925">
      <w:pPr>
        <w:tabs>
          <w:tab w:val="left" w:pos="210"/>
        </w:tabs>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质量标准：达到国家施工验收规范合格标准。</w:t>
      </w:r>
    </w:p>
    <w:p w14:paraId="1CF394AB">
      <w:pPr>
        <w:tabs>
          <w:tab w:val="left" w:pos="21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供应商承诺工程竣工后，供应商应按照采购人的要求免费对开工的工程场地进行清理及清洁。</w:t>
      </w:r>
    </w:p>
    <w:p w14:paraId="7BA5291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4、工程量不明确的，供应商在现场考察时详细测量，竞标时必须详细列明所报工作范围，并在施工方案中保证工程完整、全面。</w:t>
      </w:r>
    </w:p>
    <w:p w14:paraId="2BF89B5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5、采购预算和上限控制价</w:t>
      </w:r>
    </w:p>
    <w:p w14:paraId="01AAF1AD">
      <w:pPr>
        <w:spacing w:line="400" w:lineRule="exact"/>
        <w:ind w:firstLine="422" w:firstLine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本工程预算造价经审核，招标控制价为人民币1028096.34元</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包含安全文明施工费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33839.18 元</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规费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1194.13元</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增值税</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w:t>
      </w:r>
      <w:r>
        <w:rPr>
          <w:rFonts w:hint="eastAsia"/>
          <w:b/>
          <w:color w:val="000000" w:themeColor="text1"/>
          <w:highlight w:val="none"/>
          <w14:textFill>
            <w14:solidFill>
              <w14:schemeClr w14:val="tx1"/>
            </w14:solidFill>
          </w14:textFill>
        </w:rPr>
        <w:t>元</w:t>
      </w:r>
      <w:r>
        <w:rPr>
          <w:rFonts w:hint="eastAsia"/>
          <w:b/>
          <w:color w:val="000000" w:themeColor="text1"/>
          <w:highlight w:val="none"/>
          <w:lang w:eastAsia="zh-CN"/>
          <w14:textFill>
            <w14:solidFill>
              <w14:schemeClr w14:val="tx1"/>
            </w14:solidFill>
          </w14:textFill>
        </w:rPr>
        <w:t>，暂列金额￥48956.97 元（含税）</w:t>
      </w:r>
      <w:r>
        <w:rPr>
          <w:rFonts w:hint="eastAsia"/>
          <w:b/>
          <w:color w:val="000000" w:themeColor="text1"/>
          <w:highlight w:val="none"/>
          <w14:textFill>
            <w14:solidFill>
              <w14:schemeClr w14:val="tx1"/>
            </w14:solidFill>
          </w14:textFill>
        </w:rPr>
        <w:t>，安全生产责任保险费暂估价</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1951.97</w:t>
      </w:r>
      <w:r>
        <w:rPr>
          <w:rFonts w:hint="eastAsia"/>
          <w:b/>
          <w:color w:val="000000" w:themeColor="text1"/>
          <w:highlight w:val="none"/>
          <w:lang w:eastAsia="zh-CN"/>
          <w14:textFill>
            <w14:solidFill>
              <w14:schemeClr w14:val="tx1"/>
            </w14:solidFill>
          </w14:textFill>
        </w:rPr>
        <w:t>元，材料（工程设备）暂估价￥ 1482.40 元（含税），专业暂估价￥ / 元】</w:t>
      </w:r>
      <w:r>
        <w:rPr>
          <w:rFonts w:hint="eastAsia"/>
          <w:b/>
          <w:color w:val="000000" w:themeColor="text1"/>
          <w:highlight w:val="none"/>
          <w14:textFill>
            <w14:solidFill>
              <w14:schemeClr w14:val="tx1"/>
            </w14:solidFill>
          </w14:textFill>
        </w:rPr>
        <w:t>。</w:t>
      </w:r>
    </w:p>
    <w:p w14:paraId="1647C6C0">
      <w:pPr>
        <w:spacing w:line="440" w:lineRule="exact"/>
        <w:ind w:firstLine="422" w:firstLineChars="200"/>
        <w:rPr>
          <w:b/>
          <w:bCs/>
          <w:color w:val="000000" w:themeColor="text1"/>
          <w:kern w:val="0"/>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本工程上限控制价为人民币 981062.76元（包含安全文明施工费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安全生产责任保险费暂估价</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规费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增值税</w:t>
      </w:r>
      <w:r>
        <w:rPr>
          <w:rFonts w:hint="eastAsia"/>
          <w:b/>
          <w:color w:val="000000" w:themeColor="text1"/>
          <w:highlight w:val="none"/>
          <w:lang w:eastAsia="zh-CN"/>
          <w14:textFill>
            <w14:solidFill>
              <w14:schemeClr w14:val="tx1"/>
            </w14:solidFill>
          </w14:textFill>
        </w:rPr>
        <w:t>、暂列金额、材料（工程设备）暂估价、专业暂估价</w:t>
      </w:r>
      <w:r>
        <w:rPr>
          <w:rFonts w:hint="eastAsia"/>
          <w:b/>
          <w:color w:val="000000" w:themeColor="text1"/>
          <w:highlight w:val="none"/>
          <w14:textFill>
            <w14:solidFill>
              <w14:schemeClr w14:val="tx1"/>
            </w14:solidFill>
          </w14:textFill>
        </w:rPr>
        <w:t>），供应商最后磋商总报价（包含安全文明施工费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安全生产责任保险费暂估价</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规费</w:t>
      </w:r>
      <w:r>
        <w:rPr>
          <w:rFonts w:hint="eastAsia"/>
          <w:b/>
          <w:color w:val="000000" w:themeColor="text1"/>
          <w:highlight w:val="none"/>
          <w:lang w:eastAsia="zh-CN"/>
          <w14:textFill>
            <w14:solidFill>
              <w14:schemeClr w14:val="tx1"/>
            </w14:solidFill>
          </w14:textFill>
        </w:rPr>
        <w:t>、</w:t>
      </w:r>
      <w:r>
        <w:rPr>
          <w:rFonts w:hint="eastAsia"/>
          <w:b/>
          <w:color w:val="000000" w:themeColor="text1"/>
          <w:highlight w:val="none"/>
          <w14:textFill>
            <w14:solidFill>
              <w14:schemeClr w14:val="tx1"/>
            </w14:solidFill>
          </w14:textFill>
        </w:rPr>
        <w:t>增值税</w:t>
      </w:r>
      <w:r>
        <w:rPr>
          <w:rFonts w:hint="eastAsia"/>
          <w:b/>
          <w:color w:val="000000" w:themeColor="text1"/>
          <w:highlight w:val="none"/>
          <w:lang w:eastAsia="zh-CN"/>
          <w14:textFill>
            <w14:solidFill>
              <w14:schemeClr w14:val="tx1"/>
            </w14:solidFill>
          </w14:textFill>
        </w:rPr>
        <w:t>、暂列金额、材料（工程设备）暂估价、专业暂估价</w:t>
      </w:r>
      <w:r>
        <w:rPr>
          <w:rFonts w:hint="eastAsia"/>
          <w:b/>
          <w:color w:val="000000" w:themeColor="text1"/>
          <w:highlight w:val="none"/>
          <w14:textFill>
            <w14:solidFill>
              <w14:schemeClr w14:val="tx1"/>
            </w14:solidFill>
          </w14:textFill>
        </w:rPr>
        <w:t>）不得超出本工程上限控制价，否则，响应文件无效</w:t>
      </w:r>
      <w:r>
        <w:rPr>
          <w:b/>
          <w:bCs/>
          <w:color w:val="000000" w:themeColor="text1"/>
          <w:highlight w:val="none"/>
          <w14:textFill>
            <w14:solidFill>
              <w14:schemeClr w14:val="tx1"/>
            </w14:solidFill>
          </w14:textFill>
        </w:rPr>
        <w:t>。</w:t>
      </w:r>
    </w:p>
    <w:p w14:paraId="3506D885">
      <w:pPr>
        <w:spacing w:line="440" w:lineRule="exact"/>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注：供应商的第二次磋商报价不得高于该供应商第一次磋商报价，否则做无效标处理。如供应商维持磋商报价不变，以原磋商报价作为供应商最后报价</w:t>
      </w:r>
      <w:r>
        <w:rPr>
          <w:rFonts w:hint="eastAsia" w:ascii="宋体" w:hAnsi="宋体" w:cs="宋体"/>
          <w:b/>
          <w:bCs/>
          <w:color w:val="000000" w:themeColor="text1"/>
          <w:szCs w:val="21"/>
          <w:highlight w:val="none"/>
          <w14:textFill>
            <w14:solidFill>
              <w14:schemeClr w14:val="tx1"/>
            </w14:solidFill>
          </w14:textFill>
        </w:rPr>
        <w:t>；如供应商需要改变原磋商报价时，</w:t>
      </w:r>
      <w:r>
        <w:rPr>
          <w:rFonts w:hint="eastAsia" w:ascii="宋体" w:hAnsi="宋体" w:cs="宋体"/>
          <w:b/>
          <w:color w:val="000000" w:themeColor="text1"/>
          <w:szCs w:val="21"/>
          <w:highlight w:val="none"/>
          <w14:textFill>
            <w14:solidFill>
              <w14:schemeClr w14:val="tx1"/>
            </w14:solidFill>
          </w14:textFill>
        </w:rPr>
        <w:t xml:space="preserve">供应商应预先准备好调整后的已标价的工程量清单。 </w:t>
      </w:r>
      <w:r>
        <w:rPr>
          <w:rFonts w:hint="eastAsia" w:hAnsi="宋体" w:cs="宋体"/>
          <w:b/>
          <w:color w:val="000000" w:themeColor="text1"/>
          <w:spacing w:val="-4"/>
          <w:szCs w:val="21"/>
          <w:highlight w:val="none"/>
          <w14:textFill>
            <w14:solidFill>
              <w14:schemeClr w14:val="tx1"/>
            </w14:solidFill>
          </w14:textFill>
        </w:rPr>
        <w:t>如供应商在最终报价时，超过规定时间未做出最后报价的，视供应商维持原磋商报价不变</w:t>
      </w:r>
      <w:r>
        <w:rPr>
          <w:rFonts w:hint="eastAsia" w:hAnsi="宋体" w:cs="宋体"/>
          <w:b/>
          <w:color w:val="000000" w:themeColor="text1"/>
          <w:szCs w:val="21"/>
          <w:highlight w:val="none"/>
          <w14:textFill>
            <w14:solidFill>
              <w14:schemeClr w14:val="tx1"/>
            </w14:solidFill>
          </w14:textFill>
        </w:rPr>
        <w:t>。</w:t>
      </w:r>
    </w:p>
    <w:p w14:paraId="4A5BDBBD">
      <w:pPr>
        <w:adjustRightInd w:val="0"/>
        <w:spacing w:line="360" w:lineRule="auto"/>
        <w:outlineLvl w:val="1"/>
        <w:rPr>
          <w:rFonts w:ascii="宋体" w:hAnsi="宋体" w:cs="宋体"/>
          <w:color w:val="000000" w:themeColor="text1"/>
          <w:kern w:val="0"/>
          <w:sz w:val="24"/>
          <w:highlight w:val="none"/>
          <w14:textFill>
            <w14:solidFill>
              <w14:schemeClr w14:val="tx1"/>
            </w14:solidFill>
          </w14:textFill>
        </w:rPr>
      </w:pPr>
      <w:bookmarkStart w:id="296" w:name="_Toc29479"/>
      <w:bookmarkStart w:id="297" w:name="_Toc17296"/>
      <w:r>
        <w:rPr>
          <w:rFonts w:hint="eastAsia" w:ascii="宋体" w:hAnsi="宋体" w:cs="宋体"/>
          <w:b/>
          <w:color w:val="000000" w:themeColor="text1"/>
          <w:sz w:val="24"/>
          <w:highlight w:val="none"/>
          <w14:textFill>
            <w14:solidFill>
              <w14:schemeClr w14:val="tx1"/>
            </w14:solidFill>
          </w14:textFill>
        </w:rPr>
        <w:t>三、工程量清单（另册），是本竞争性磋商文件的一个重要组成部分</w:t>
      </w:r>
      <w:bookmarkEnd w:id="296"/>
      <w:bookmarkEnd w:id="297"/>
    </w:p>
    <w:p w14:paraId="2A8ADD9F">
      <w:pPr>
        <w:rPr>
          <w:color w:val="000000" w:themeColor="text1"/>
          <w:highlight w:val="none"/>
          <w14:textFill>
            <w14:solidFill>
              <w14:schemeClr w14:val="tx1"/>
            </w14:solidFill>
          </w14:textFill>
        </w:rPr>
      </w:pPr>
    </w:p>
    <w:p w14:paraId="55BE6071">
      <w:pPr>
        <w:jc w:val="center"/>
        <w:outlineLvl w:val="0"/>
        <w:rPr>
          <w:rFonts w:ascii="华文中宋" w:hAnsi="华文中宋" w:eastAsia="华文中宋" w:cs="华文中宋"/>
          <w:b/>
          <w:bCs/>
          <w:color w:val="000000" w:themeColor="text1"/>
          <w:sz w:val="32"/>
          <w:szCs w:val="32"/>
          <w:highlight w:val="none"/>
          <w14:textFill>
            <w14:solidFill>
              <w14:schemeClr w14:val="tx1"/>
            </w14:solidFill>
          </w14:textFill>
        </w:rPr>
      </w:pPr>
      <w:bookmarkStart w:id="298" w:name="_Toc26783"/>
      <w:bookmarkStart w:id="299" w:name="_Toc10833"/>
      <w:r>
        <w:rPr>
          <w:rFonts w:hint="eastAsia" w:ascii="华文中宋" w:hAnsi="华文中宋" w:eastAsia="华文中宋" w:cs="华文中宋"/>
          <w:b/>
          <w:bCs/>
          <w:color w:val="000000" w:themeColor="text1"/>
          <w:sz w:val="32"/>
          <w:szCs w:val="32"/>
          <w:highlight w:val="none"/>
          <w14:textFill>
            <w14:solidFill>
              <w14:schemeClr w14:val="tx1"/>
            </w14:solidFill>
          </w14:textFill>
        </w:rPr>
        <w:br w:type="page"/>
      </w:r>
      <w:bookmarkEnd w:id="287"/>
      <w:bookmarkEnd w:id="298"/>
      <w:bookmarkEnd w:id="299"/>
      <w:bookmarkStart w:id="300" w:name="_Toc11242"/>
      <w:r>
        <w:rPr>
          <w:rFonts w:hint="eastAsia" w:ascii="华文中宋" w:hAnsi="华文中宋" w:eastAsia="华文中宋" w:cs="华文中宋"/>
          <w:b/>
          <w:bCs/>
          <w:color w:val="000000" w:themeColor="text1"/>
          <w:sz w:val="32"/>
          <w:szCs w:val="32"/>
          <w:highlight w:val="none"/>
          <w14:textFill>
            <w14:solidFill>
              <w14:schemeClr w14:val="tx1"/>
            </w14:solidFill>
          </w14:textFill>
        </w:rPr>
        <w:t>第四章  评审办法</w:t>
      </w:r>
      <w:bookmarkEnd w:id="300"/>
    </w:p>
    <w:p w14:paraId="15C0649C">
      <w:pPr>
        <w:pStyle w:val="27"/>
        <w:spacing w:line="440" w:lineRule="exact"/>
        <w:ind w:firstLine="413" w:firstLineChars="196"/>
        <w:outlineLvl w:val="1"/>
        <w:rPr>
          <w:rFonts w:hAnsi="宋体" w:cs="宋体"/>
          <w:b/>
          <w:bCs/>
          <w:color w:val="000000" w:themeColor="text1"/>
          <w:highlight w:val="none"/>
          <w14:textFill>
            <w14:solidFill>
              <w14:schemeClr w14:val="tx1"/>
            </w14:solidFill>
          </w14:textFill>
        </w:rPr>
      </w:pPr>
      <w:bookmarkStart w:id="301" w:name="_Toc3700"/>
      <w:bookmarkStart w:id="302" w:name="_Toc19312"/>
      <w:r>
        <w:rPr>
          <w:rFonts w:hint="eastAsia" w:hAnsi="宋体" w:cs="宋体"/>
          <w:b/>
          <w:bCs/>
          <w:color w:val="000000" w:themeColor="text1"/>
          <w:highlight w:val="none"/>
          <w14:textFill>
            <w14:solidFill>
              <w14:schemeClr w14:val="tx1"/>
            </w14:solidFill>
          </w14:textFill>
        </w:rPr>
        <w:t>一、评审依据及方式</w:t>
      </w:r>
      <w:bookmarkEnd w:id="301"/>
      <w:bookmarkEnd w:id="302"/>
    </w:p>
    <w:p w14:paraId="25B97E9F">
      <w:pPr>
        <w:pStyle w:val="27"/>
        <w:spacing w:line="44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1.评审依据：磋商小组以竞争性磋商文件和响应文件为评审依据，对磋商供应商的响应文件按百分制打分。</w:t>
      </w:r>
    </w:p>
    <w:p w14:paraId="4809B40F">
      <w:pPr>
        <w:pStyle w:val="27"/>
        <w:spacing w:line="44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2.评审方式：以封闭方式进行评审。</w:t>
      </w:r>
    </w:p>
    <w:p w14:paraId="1D68BB0D">
      <w:pPr>
        <w:pStyle w:val="27"/>
        <w:spacing w:line="440" w:lineRule="exact"/>
        <w:ind w:left="210" w:leftChars="100" w:firstLine="210" w:firstLineChars="1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3.根据财库〔2012〕69号文规定，采购人和采购代理机构，磋商小组成员要严格遵守政府采购相关法律制度，依法履行各自职责，公正、客观、审慎地组织和参与评审工作。</w:t>
      </w:r>
    </w:p>
    <w:p w14:paraId="639F648F">
      <w:pPr>
        <w:pStyle w:val="27"/>
        <w:spacing w:line="440" w:lineRule="exact"/>
        <w:ind w:firstLine="422" w:firstLineChars="200"/>
        <w:outlineLvl w:val="1"/>
        <w:rPr>
          <w:rFonts w:hAnsi="宋体" w:cs="宋体"/>
          <w:b/>
          <w:bCs/>
          <w:color w:val="000000" w:themeColor="text1"/>
          <w:highlight w:val="none"/>
          <w14:textFill>
            <w14:solidFill>
              <w14:schemeClr w14:val="tx1"/>
            </w14:solidFill>
          </w14:textFill>
        </w:rPr>
      </w:pPr>
      <w:bookmarkStart w:id="303" w:name="_Toc29329"/>
      <w:bookmarkStart w:id="304" w:name="_Toc15762"/>
      <w:r>
        <w:rPr>
          <w:rFonts w:hint="eastAsia" w:hAnsi="宋体" w:cs="宋体"/>
          <w:b/>
          <w:bCs/>
          <w:color w:val="000000" w:themeColor="text1"/>
          <w:highlight w:val="none"/>
          <w14:textFill>
            <w14:solidFill>
              <w14:schemeClr w14:val="tx1"/>
            </w14:solidFill>
          </w14:textFill>
        </w:rPr>
        <w:t>二、评审办法</w:t>
      </w:r>
      <w:bookmarkEnd w:id="303"/>
      <w:bookmarkEnd w:id="304"/>
    </w:p>
    <w:p w14:paraId="59FF5978">
      <w:pPr>
        <w:pStyle w:val="27"/>
        <w:spacing w:line="440" w:lineRule="exact"/>
        <w:ind w:firstLine="420" w:firstLineChars="20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（一）本次评标采用综合评分法。磋商小组会首先对磋商供应商提交的响应文件进行资格性审查和符合性审查，只有通过了资格性审查和符合性审查才能进入详评。</w:t>
      </w:r>
    </w:p>
    <w:p w14:paraId="61918F57">
      <w:pPr>
        <w:pStyle w:val="27"/>
        <w:spacing w:line="440" w:lineRule="exact"/>
        <w:ind w:firstLine="420" w:firstLineChars="200"/>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（二）计分办法（百分制，分值保留两位小数）</w:t>
      </w:r>
    </w:p>
    <w:p w14:paraId="793BA1E7">
      <w:pPr>
        <w:spacing w:line="440" w:lineRule="exact"/>
        <w:ind w:firstLine="211" w:firstLineChars="100"/>
        <w:jc w:val="left"/>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1、价格分…………………………………………………………………………满分</w:t>
      </w:r>
      <w:r>
        <w:rPr>
          <w:rFonts w:hint="eastAsia"/>
          <w:b/>
          <w:color w:val="000000" w:themeColor="text1"/>
          <w:highlight w:val="none"/>
          <w:lang w:val="en-US" w:eastAsia="zh-CN"/>
          <w14:textFill>
            <w14:solidFill>
              <w14:schemeClr w14:val="tx1"/>
            </w14:solidFill>
          </w14:textFill>
        </w:rPr>
        <w:t>20</w:t>
      </w:r>
      <w:r>
        <w:rPr>
          <w:b/>
          <w:color w:val="000000" w:themeColor="text1"/>
          <w:highlight w:val="none"/>
          <w14:textFill>
            <w14:solidFill>
              <w14:schemeClr w14:val="tx1"/>
            </w14:solidFill>
          </w14:textFill>
        </w:rPr>
        <w:t>分</w:t>
      </w:r>
    </w:p>
    <w:p w14:paraId="711F4CA1">
      <w:pPr>
        <w:spacing w:line="400" w:lineRule="exact"/>
        <w:ind w:firstLine="420" w:firstLineChars="200"/>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（1）以进入</w:t>
      </w:r>
      <w:r>
        <w:rPr>
          <w:rFonts w:hint="eastAsia"/>
          <w:bCs/>
          <w:color w:val="000000" w:themeColor="text1"/>
          <w:highlight w:val="none"/>
          <w14:textFill>
            <w14:solidFill>
              <w14:schemeClr w14:val="tx1"/>
            </w14:solidFill>
          </w14:textFill>
        </w:rPr>
        <w:t>详评</w:t>
      </w:r>
      <w:r>
        <w:rPr>
          <w:bCs/>
          <w:color w:val="000000" w:themeColor="text1"/>
          <w:highlight w:val="none"/>
          <w14:textFill>
            <w14:solidFill>
              <w14:schemeClr w14:val="tx1"/>
            </w14:solidFill>
          </w14:textFill>
        </w:rPr>
        <w:t>的最低的</w:t>
      </w:r>
      <w:r>
        <w:rPr>
          <w:rFonts w:hint="eastAsia"/>
          <w:bCs/>
          <w:color w:val="000000" w:themeColor="text1"/>
          <w:highlight w:val="none"/>
          <w14:textFill>
            <w14:solidFill>
              <w14:schemeClr w14:val="tx1"/>
            </w14:solidFill>
          </w14:textFill>
        </w:rPr>
        <w:t>评审报</w:t>
      </w:r>
      <w:r>
        <w:rPr>
          <w:bCs/>
          <w:color w:val="000000" w:themeColor="text1"/>
          <w:highlight w:val="none"/>
          <w14:textFill>
            <w14:solidFill>
              <w14:schemeClr w14:val="tx1"/>
            </w14:solidFill>
          </w14:textFill>
        </w:rPr>
        <w:t>价为</w:t>
      </w:r>
      <w:r>
        <w:rPr>
          <w:rFonts w:hint="eastAsia"/>
          <w:bCs/>
          <w:color w:val="000000" w:themeColor="text1"/>
          <w:highlight w:val="none"/>
          <w:lang w:val="en-US" w:eastAsia="zh-CN"/>
          <w14:textFill>
            <w14:solidFill>
              <w14:schemeClr w14:val="tx1"/>
            </w14:solidFill>
          </w14:textFill>
        </w:rPr>
        <w:t>20</w:t>
      </w:r>
      <w:r>
        <w:rPr>
          <w:bCs/>
          <w:color w:val="000000" w:themeColor="text1"/>
          <w:highlight w:val="none"/>
          <w14:textFill>
            <w14:solidFill>
              <w14:schemeClr w14:val="tx1"/>
            </w14:solidFill>
          </w14:textFill>
        </w:rPr>
        <w:t>分。</w:t>
      </w:r>
    </w:p>
    <w:p w14:paraId="54D6A714">
      <w:pPr>
        <w:spacing w:line="400" w:lineRule="exact"/>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）以进入综合评分环节的最低的最后磋商报价为基准价，基准价报价得分为</w:t>
      </w:r>
      <w:r>
        <w:rPr>
          <w:rFonts w:hint="eastAsia"/>
          <w:bCs/>
          <w:color w:val="000000" w:themeColor="text1"/>
          <w:highlight w:val="none"/>
          <w:lang w:val="en-US" w:eastAsia="zh-CN"/>
          <w14:textFill>
            <w14:solidFill>
              <w14:schemeClr w14:val="tx1"/>
            </w14:solidFill>
          </w14:textFill>
        </w:rPr>
        <w:t>20</w:t>
      </w:r>
      <w:r>
        <w:rPr>
          <w:rFonts w:hint="eastAsia"/>
          <w:bCs/>
          <w:color w:val="000000" w:themeColor="text1"/>
          <w:highlight w:val="none"/>
          <w14:textFill>
            <w14:solidFill>
              <w14:schemeClr w14:val="tx1"/>
            </w14:solidFill>
          </w14:textFill>
        </w:rPr>
        <w:t>分。</w:t>
      </w:r>
    </w:p>
    <w:p w14:paraId="2267E299">
      <w:pPr>
        <w:spacing w:line="400" w:lineRule="exact"/>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3</w:t>
      </w:r>
      <w:r>
        <w:rPr>
          <w:rFonts w:hint="eastAsia"/>
          <w:bCs/>
          <w:color w:val="000000" w:themeColor="text1"/>
          <w:highlight w:val="none"/>
          <w14:textFill>
            <w14:solidFill>
              <w14:schemeClr w14:val="tx1"/>
            </w14:solidFill>
          </w14:textFill>
        </w:rPr>
        <w:t xml:space="preserve">）某供应商价格分 = 供应商最低工程磋商评审报价（金额）/某供应商工程磋商评审报价（金额）× </w:t>
      </w:r>
      <w:r>
        <w:rPr>
          <w:rFonts w:hint="eastAsia"/>
          <w:bCs/>
          <w:color w:val="000000" w:themeColor="text1"/>
          <w:highlight w:val="none"/>
          <w:lang w:val="en-US" w:eastAsia="zh-CN"/>
          <w14:textFill>
            <w14:solidFill>
              <w14:schemeClr w14:val="tx1"/>
            </w14:solidFill>
          </w14:textFill>
        </w:rPr>
        <w:t>20</w:t>
      </w:r>
      <w:r>
        <w:rPr>
          <w:rFonts w:hint="eastAsia"/>
          <w:bCs/>
          <w:color w:val="000000" w:themeColor="text1"/>
          <w:highlight w:val="none"/>
          <w14:textFill>
            <w14:solidFill>
              <w14:schemeClr w14:val="tx1"/>
            </w14:solidFill>
          </w14:textFill>
        </w:rPr>
        <w:t>分。</w:t>
      </w:r>
    </w:p>
    <w:p w14:paraId="3CFF17F1">
      <w:pPr>
        <w:spacing w:line="440" w:lineRule="exact"/>
        <w:ind w:firstLine="211" w:firstLineChars="10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2、技术分……………………………</w:t>
      </w:r>
      <w:r>
        <w:rPr>
          <w:b/>
          <w:bCs/>
          <w:color w:val="000000" w:themeColor="text1"/>
          <w:szCs w:val="21"/>
          <w:highlight w:val="none"/>
          <w14:textFill>
            <w14:solidFill>
              <w14:schemeClr w14:val="tx1"/>
            </w14:solidFill>
          </w14:textFill>
        </w:rPr>
        <w:t>…………………………</w:t>
      </w:r>
      <w:r>
        <w:rPr>
          <w:b/>
          <w:color w:val="000000" w:themeColor="text1"/>
          <w:highlight w:val="none"/>
          <w14:textFill>
            <w14:solidFill>
              <w14:schemeClr w14:val="tx1"/>
            </w14:solidFill>
          </w14:textFill>
        </w:rPr>
        <w:t>……………………满分</w:t>
      </w:r>
      <w:r>
        <w:rPr>
          <w:rFonts w:hint="eastAsia"/>
          <w:b/>
          <w:color w:val="000000" w:themeColor="text1"/>
          <w:highlight w:val="none"/>
          <w:lang w:val="en-US" w:eastAsia="zh-CN"/>
          <w14:textFill>
            <w14:solidFill>
              <w14:schemeClr w14:val="tx1"/>
            </w14:solidFill>
          </w14:textFill>
        </w:rPr>
        <w:t>70</w:t>
      </w:r>
      <w:r>
        <w:rPr>
          <w:b/>
          <w:color w:val="000000" w:themeColor="text1"/>
          <w:highlight w:val="none"/>
          <w14:textFill>
            <w14:solidFill>
              <w14:schemeClr w14:val="tx1"/>
            </w14:solidFill>
          </w14:textFill>
        </w:rPr>
        <w:t>分</w:t>
      </w:r>
    </w:p>
    <w:p w14:paraId="0F4932F8">
      <w:pPr>
        <w:spacing w:line="440" w:lineRule="exact"/>
        <w:ind w:firstLine="535" w:firstLineChars="255"/>
        <w:rPr>
          <w:bCs/>
          <w:color w:val="000000" w:themeColor="text1"/>
          <w:kern w:val="0"/>
          <w:szCs w:val="2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由磋商小组针对供应商提供的施工组织设计方案进行独立评分：</w:t>
      </w:r>
    </w:p>
    <w:p w14:paraId="53D579FF">
      <w:pPr>
        <w:spacing w:line="440" w:lineRule="exact"/>
        <w:ind w:firstLine="538" w:firstLineChars="255"/>
        <w:rPr>
          <w:b/>
          <w:color w:val="000000" w:themeColor="text1"/>
          <w:szCs w:val="21"/>
          <w:highlight w:val="none"/>
          <w14:textFill>
            <w14:solidFill>
              <w14:schemeClr w14:val="tx1"/>
            </w14:solidFill>
          </w14:textFill>
        </w:rPr>
      </w:pPr>
      <w:r>
        <w:rPr>
          <w:b/>
          <w:color w:val="000000" w:themeColor="text1"/>
          <w:szCs w:val="22"/>
          <w:highlight w:val="none"/>
          <w14:textFill>
            <w14:solidFill>
              <w14:schemeClr w14:val="tx1"/>
            </w14:solidFill>
          </w14:textFill>
        </w:rPr>
        <w:t>（1）</w:t>
      </w:r>
      <w:r>
        <w:rPr>
          <w:b/>
          <w:color w:val="000000" w:themeColor="text1"/>
          <w:szCs w:val="21"/>
          <w:highlight w:val="none"/>
          <w14:textFill>
            <w14:solidFill>
              <w14:schemeClr w14:val="tx1"/>
            </w14:solidFill>
          </w14:textFill>
        </w:rPr>
        <w:t>总体概述</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7</w:t>
      </w:r>
      <w:r>
        <w:rPr>
          <w:b/>
          <w:color w:val="000000" w:themeColor="text1"/>
          <w:szCs w:val="21"/>
          <w:highlight w:val="none"/>
          <w14:textFill>
            <w14:solidFill>
              <w14:schemeClr w14:val="tx1"/>
            </w14:solidFill>
          </w14:textFill>
        </w:rPr>
        <w:t>分</w:t>
      </w:r>
    </w:p>
    <w:p w14:paraId="03986A24">
      <w:pPr>
        <w:spacing w:line="440" w:lineRule="exact"/>
        <w:ind w:firstLine="535" w:firstLineChars="255"/>
        <w:rPr>
          <w:bCs/>
          <w:color w:val="000000" w:themeColor="text1"/>
          <w:kern w:val="0"/>
          <w:szCs w:val="21"/>
          <w:highlight w:val="none"/>
          <w14:textFill>
            <w14:solidFill>
              <w14:schemeClr w14:val="tx1"/>
            </w14:solidFill>
          </w14:textFill>
        </w:rPr>
      </w:pPr>
      <w:r>
        <w:rPr>
          <w:bCs/>
          <w:color w:val="000000" w:themeColor="text1"/>
          <w:kern w:val="0"/>
          <w:szCs w:val="21"/>
          <w:highlight w:val="none"/>
          <w14:textFill>
            <w14:solidFill>
              <w14:schemeClr w14:val="tx1"/>
            </w14:solidFill>
          </w14:textFill>
        </w:rPr>
        <w:t>优（</w:t>
      </w:r>
      <w:r>
        <w:rPr>
          <w:rFonts w:hint="eastAsia"/>
          <w:bCs/>
          <w:color w:val="000000" w:themeColor="text1"/>
          <w:kern w:val="0"/>
          <w:szCs w:val="21"/>
          <w:highlight w:val="none"/>
          <w:lang w:val="en-US" w:eastAsia="zh-CN"/>
          <w14:textFill>
            <w14:solidFill>
              <w14:schemeClr w14:val="tx1"/>
            </w14:solidFill>
          </w14:textFill>
        </w:rPr>
        <w:t>7</w:t>
      </w:r>
      <w:r>
        <w:rPr>
          <w:bCs/>
          <w:color w:val="000000" w:themeColor="text1"/>
          <w:kern w:val="0"/>
          <w:szCs w:val="21"/>
          <w:highlight w:val="none"/>
          <w14:textFill>
            <w14:solidFill>
              <w14:schemeClr w14:val="tx1"/>
            </w14:solidFill>
          </w14:textFill>
        </w:rPr>
        <w:t>分）：对项目总体有深刻认识，表达清晰、完整、严谨，措施先进、具体、有效、成熟；施工段划分清晰，符合规范要求；</w:t>
      </w:r>
    </w:p>
    <w:p w14:paraId="33EC8C3A">
      <w:pPr>
        <w:spacing w:line="440" w:lineRule="exact"/>
        <w:ind w:firstLine="535" w:firstLineChars="255"/>
        <w:rPr>
          <w:bCs/>
          <w:color w:val="000000" w:themeColor="text1"/>
          <w:kern w:val="0"/>
          <w:szCs w:val="21"/>
          <w:highlight w:val="none"/>
          <w14:textFill>
            <w14:solidFill>
              <w14:schemeClr w14:val="tx1"/>
            </w14:solidFill>
          </w14:textFill>
        </w:rPr>
      </w:pPr>
      <w:r>
        <w:rPr>
          <w:bCs/>
          <w:color w:val="000000" w:themeColor="text1"/>
          <w:kern w:val="0"/>
          <w:szCs w:val="21"/>
          <w:highlight w:val="none"/>
          <w14:textFill>
            <w14:solidFill>
              <w14:schemeClr w14:val="tx1"/>
            </w14:solidFill>
          </w14:textFill>
        </w:rPr>
        <w:t>良（</w:t>
      </w:r>
      <w:r>
        <w:rPr>
          <w:rFonts w:hint="eastAsia"/>
          <w:bCs/>
          <w:color w:val="000000" w:themeColor="text1"/>
          <w:kern w:val="0"/>
          <w:szCs w:val="21"/>
          <w:highlight w:val="none"/>
          <w:lang w:val="en-US" w:eastAsia="zh-CN"/>
          <w14:textFill>
            <w14:solidFill>
              <w14:schemeClr w14:val="tx1"/>
            </w14:solidFill>
          </w14:textFill>
        </w:rPr>
        <w:t>5</w:t>
      </w:r>
      <w:r>
        <w:rPr>
          <w:bCs/>
          <w:color w:val="000000" w:themeColor="text1"/>
          <w:kern w:val="0"/>
          <w:szCs w:val="21"/>
          <w:highlight w:val="none"/>
          <w14:textFill>
            <w14:solidFill>
              <w14:schemeClr w14:val="tx1"/>
            </w14:solidFill>
          </w14:textFill>
        </w:rPr>
        <w:t>分）：对项目总体有一定认识，表达清晰、完整，措施具体有效；施工段划分清晰</w:t>
      </w:r>
      <w:r>
        <w:rPr>
          <w:rFonts w:hint="eastAsia"/>
          <w:bCs/>
          <w:color w:val="000000" w:themeColor="text1"/>
          <w:kern w:val="0"/>
          <w:szCs w:val="21"/>
          <w:highlight w:val="none"/>
          <w14:textFill>
            <w14:solidFill>
              <w14:schemeClr w14:val="tx1"/>
            </w14:solidFill>
          </w14:textFill>
        </w:rPr>
        <w:t>准确</w:t>
      </w:r>
      <w:r>
        <w:rPr>
          <w:bCs/>
          <w:color w:val="000000" w:themeColor="text1"/>
          <w:kern w:val="0"/>
          <w:szCs w:val="21"/>
          <w:highlight w:val="none"/>
          <w14:textFill>
            <w14:solidFill>
              <w14:schemeClr w14:val="tx1"/>
            </w14:solidFill>
          </w14:textFill>
        </w:rPr>
        <w:t>，符合规范要求；</w:t>
      </w:r>
    </w:p>
    <w:p w14:paraId="4B911F44">
      <w:pPr>
        <w:spacing w:line="440" w:lineRule="exact"/>
        <w:ind w:firstLine="535" w:firstLineChars="255"/>
        <w:rPr>
          <w:bCs/>
          <w:color w:val="000000" w:themeColor="text1"/>
          <w:kern w:val="0"/>
          <w:szCs w:val="21"/>
          <w:highlight w:val="none"/>
          <w14:textFill>
            <w14:solidFill>
              <w14:schemeClr w14:val="tx1"/>
            </w14:solidFill>
          </w14:textFill>
        </w:rPr>
      </w:pPr>
      <w:r>
        <w:rPr>
          <w:bCs/>
          <w:color w:val="000000" w:themeColor="text1"/>
          <w:kern w:val="0"/>
          <w:szCs w:val="21"/>
          <w:highlight w:val="none"/>
          <w14:textFill>
            <w14:solidFill>
              <w14:schemeClr w14:val="tx1"/>
            </w14:solidFill>
          </w14:textFill>
        </w:rPr>
        <w:t>中（</w:t>
      </w:r>
      <w:r>
        <w:rPr>
          <w:rFonts w:hint="eastAsia"/>
          <w:bCs/>
          <w:color w:val="000000" w:themeColor="text1"/>
          <w:kern w:val="0"/>
          <w:szCs w:val="21"/>
          <w:highlight w:val="none"/>
          <w:lang w:val="en-US" w:eastAsia="zh-CN"/>
          <w14:textFill>
            <w14:solidFill>
              <w14:schemeClr w14:val="tx1"/>
            </w14:solidFill>
          </w14:textFill>
        </w:rPr>
        <w:t>3</w:t>
      </w:r>
      <w:r>
        <w:rPr>
          <w:bCs/>
          <w:color w:val="000000" w:themeColor="text1"/>
          <w:kern w:val="0"/>
          <w:szCs w:val="21"/>
          <w:highlight w:val="none"/>
          <w14:textFill>
            <w14:solidFill>
              <w14:schemeClr w14:val="tx1"/>
            </w14:solidFill>
          </w14:textFill>
        </w:rPr>
        <w:t>分）：对项目总体有认识，有一定的措施但部分不具体；施工段划分较</w:t>
      </w:r>
      <w:r>
        <w:rPr>
          <w:rFonts w:hint="eastAsia"/>
          <w:bCs/>
          <w:color w:val="000000" w:themeColor="text1"/>
          <w:kern w:val="0"/>
          <w:szCs w:val="21"/>
          <w:highlight w:val="none"/>
          <w14:textFill>
            <w14:solidFill>
              <w14:schemeClr w14:val="tx1"/>
            </w14:solidFill>
          </w14:textFill>
        </w:rPr>
        <w:t>清晰</w:t>
      </w:r>
      <w:r>
        <w:rPr>
          <w:bCs/>
          <w:color w:val="000000" w:themeColor="text1"/>
          <w:kern w:val="0"/>
          <w:szCs w:val="21"/>
          <w:highlight w:val="none"/>
          <w14:textFill>
            <w14:solidFill>
              <w14:schemeClr w14:val="tx1"/>
            </w14:solidFill>
          </w14:textFill>
        </w:rPr>
        <w:t>，符合规范要求；</w:t>
      </w:r>
    </w:p>
    <w:p w14:paraId="6D08923F">
      <w:pPr>
        <w:spacing w:line="440" w:lineRule="exact"/>
        <w:ind w:firstLine="535" w:firstLineChars="255"/>
        <w:rPr>
          <w:bCs/>
          <w:color w:val="000000" w:themeColor="text1"/>
          <w:kern w:val="0"/>
          <w:szCs w:val="21"/>
          <w:highlight w:val="none"/>
          <w14:textFill>
            <w14:solidFill>
              <w14:schemeClr w14:val="tx1"/>
            </w14:solidFill>
          </w14:textFill>
        </w:rPr>
      </w:pPr>
      <w:r>
        <w:rPr>
          <w:bCs/>
          <w:color w:val="000000" w:themeColor="text1"/>
          <w:kern w:val="0"/>
          <w:szCs w:val="21"/>
          <w:highlight w:val="none"/>
          <w14:textFill>
            <w14:solidFill>
              <w14:schemeClr w14:val="tx1"/>
            </w14:solidFill>
          </w14:textFill>
        </w:rPr>
        <w:t>差（</w:t>
      </w:r>
      <w:r>
        <w:rPr>
          <w:rFonts w:hint="eastAsia"/>
          <w:bCs/>
          <w:color w:val="000000" w:themeColor="text1"/>
          <w:kern w:val="0"/>
          <w:szCs w:val="21"/>
          <w:highlight w:val="none"/>
          <w:lang w:val="en-US" w:eastAsia="zh-CN"/>
          <w14:textFill>
            <w14:solidFill>
              <w14:schemeClr w14:val="tx1"/>
            </w14:solidFill>
          </w14:textFill>
        </w:rPr>
        <w:t>1</w:t>
      </w:r>
      <w:r>
        <w:rPr>
          <w:bCs/>
          <w:color w:val="000000" w:themeColor="text1"/>
          <w:kern w:val="0"/>
          <w:szCs w:val="21"/>
          <w:highlight w:val="none"/>
          <w14:textFill>
            <w14:solidFill>
              <w14:schemeClr w14:val="tx1"/>
            </w14:solidFill>
          </w14:textFill>
        </w:rPr>
        <w:t>分）：对项目认识不足，表达不清晰，措施不具体；施工段划分不</w:t>
      </w:r>
      <w:r>
        <w:rPr>
          <w:rFonts w:hint="eastAsia"/>
          <w:bCs/>
          <w:color w:val="000000" w:themeColor="text1"/>
          <w:kern w:val="0"/>
          <w:szCs w:val="21"/>
          <w:highlight w:val="none"/>
          <w14:textFill>
            <w14:solidFill>
              <w14:schemeClr w14:val="tx1"/>
            </w14:solidFill>
          </w14:textFill>
        </w:rPr>
        <w:t>符合规范要求</w:t>
      </w:r>
      <w:r>
        <w:rPr>
          <w:bCs/>
          <w:color w:val="000000" w:themeColor="text1"/>
          <w:kern w:val="0"/>
          <w:szCs w:val="21"/>
          <w:highlight w:val="none"/>
          <w14:textFill>
            <w14:solidFill>
              <w14:schemeClr w14:val="tx1"/>
            </w14:solidFill>
          </w14:textFill>
        </w:rPr>
        <w:t>。</w:t>
      </w:r>
    </w:p>
    <w:p w14:paraId="0629969A">
      <w:pPr>
        <w:spacing w:line="440" w:lineRule="exact"/>
        <w:ind w:firstLine="538" w:firstLineChars="255"/>
        <w:rPr>
          <w:b/>
          <w:color w:val="000000" w:themeColor="text1"/>
          <w:szCs w:val="22"/>
          <w:highlight w:val="none"/>
          <w14:textFill>
            <w14:solidFill>
              <w14:schemeClr w14:val="tx1"/>
            </w14:solidFill>
          </w14:textFill>
        </w:rPr>
      </w:pPr>
      <w:r>
        <w:rPr>
          <w:b/>
          <w:color w:val="000000" w:themeColor="text1"/>
          <w:szCs w:val="22"/>
          <w:highlight w:val="none"/>
          <w14:textFill>
            <w14:solidFill>
              <w14:schemeClr w14:val="tx1"/>
            </w14:solidFill>
          </w14:textFill>
        </w:rPr>
        <w:t>（2）主要施工方法…………………</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11</w:t>
      </w:r>
      <w:r>
        <w:rPr>
          <w:b/>
          <w:color w:val="000000" w:themeColor="text1"/>
          <w:szCs w:val="21"/>
          <w:highlight w:val="none"/>
          <w14:textFill>
            <w14:solidFill>
              <w14:schemeClr w14:val="tx1"/>
            </w14:solidFill>
          </w14:textFill>
        </w:rPr>
        <w:t>分</w:t>
      </w:r>
    </w:p>
    <w:p w14:paraId="2DD50586">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优（</w:t>
      </w:r>
      <w:r>
        <w:rPr>
          <w:rFonts w:hint="eastAsia"/>
          <w:color w:val="000000" w:themeColor="text1"/>
          <w:kern w:val="0"/>
          <w:szCs w:val="21"/>
          <w:highlight w:val="none"/>
          <w:lang w:val="en-US" w:eastAsia="zh-CN"/>
          <w14:textFill>
            <w14:solidFill>
              <w14:schemeClr w14:val="tx1"/>
            </w14:solidFill>
          </w14:textFill>
        </w:rPr>
        <w:t>11</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）：各主要分部施工方法符合项目实际，有详尽的施工技术方案，工艺先进、方法科学</w:t>
      </w:r>
      <w:r>
        <w:rPr>
          <w:rFonts w:hint="eastAsia"/>
          <w:bCs/>
          <w:color w:val="000000" w:themeColor="text1"/>
          <w:szCs w:val="21"/>
          <w:highlight w:val="none"/>
          <w14:textFill>
            <w14:solidFill>
              <w14:schemeClr w14:val="tx1"/>
            </w14:solidFill>
          </w14:textFill>
        </w:rPr>
        <w:t>全面准确</w:t>
      </w:r>
      <w:r>
        <w:rPr>
          <w:bCs/>
          <w:color w:val="000000" w:themeColor="text1"/>
          <w:szCs w:val="21"/>
          <w:highlight w:val="none"/>
          <w14:textFill>
            <w14:solidFill>
              <w14:schemeClr w14:val="tx1"/>
            </w14:solidFill>
          </w14:textFill>
        </w:rPr>
        <w:t>，能指导具体施工并确保安全；</w:t>
      </w:r>
    </w:p>
    <w:p w14:paraId="55A062E3">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良（</w:t>
      </w:r>
      <w:r>
        <w:rPr>
          <w:rFonts w:hint="eastAsia"/>
          <w:color w:val="000000" w:themeColor="text1"/>
          <w:kern w:val="0"/>
          <w:szCs w:val="21"/>
          <w:highlight w:val="none"/>
          <w:lang w:val="en-US" w:eastAsia="zh-CN"/>
          <w14:textFill>
            <w14:solidFill>
              <w14:schemeClr w14:val="tx1"/>
            </w14:solidFill>
          </w14:textFill>
        </w:rPr>
        <w:t>8</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）：各主要分部施工方法符合项目实际，有较详尽的施工技术方案，工艺好、方法科学</w:t>
      </w:r>
      <w:r>
        <w:rPr>
          <w:rFonts w:hint="eastAsia"/>
          <w:bCs/>
          <w:color w:val="000000" w:themeColor="text1"/>
          <w:szCs w:val="21"/>
          <w:highlight w:val="none"/>
          <w14:textFill>
            <w14:solidFill>
              <w14:schemeClr w14:val="tx1"/>
            </w14:solidFill>
          </w14:textFill>
        </w:rPr>
        <w:t>准确</w:t>
      </w:r>
      <w:r>
        <w:rPr>
          <w:bCs/>
          <w:color w:val="000000" w:themeColor="text1"/>
          <w:szCs w:val="21"/>
          <w:highlight w:val="none"/>
          <w14:textFill>
            <w14:solidFill>
              <w14:schemeClr w14:val="tx1"/>
            </w14:solidFill>
          </w14:textFill>
        </w:rPr>
        <w:t>，能指导具体施工并确保安全；</w:t>
      </w:r>
    </w:p>
    <w:p w14:paraId="2F4E9868">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中（</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）：各主要分部施工方法能满足项目需求，有施工技术方案，能指导具体施工并确保安全；</w:t>
      </w:r>
    </w:p>
    <w:p w14:paraId="2774BEFA">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差（</w:t>
      </w:r>
      <w:r>
        <w:rPr>
          <w:rFonts w:hint="eastAsia"/>
          <w:bCs/>
          <w:color w:val="000000" w:themeColor="text1"/>
          <w:szCs w:val="21"/>
          <w:highlight w:val="none"/>
          <w:lang w:val="en-US" w:eastAsia="zh-CN"/>
          <w14:textFill>
            <w14:solidFill>
              <w14:schemeClr w14:val="tx1"/>
            </w14:solidFill>
          </w14:textFill>
        </w:rPr>
        <w:t>2</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）：各主要分部施工方法不能满足项目需求，没有施工技术方案，不能指导具体施工并确保安全。</w:t>
      </w:r>
    </w:p>
    <w:p w14:paraId="6F56F14C">
      <w:pPr>
        <w:spacing w:line="440" w:lineRule="exact"/>
        <w:ind w:firstLine="538" w:firstLineChars="255"/>
        <w:rPr>
          <w:b/>
          <w:color w:val="000000" w:themeColor="text1"/>
          <w:szCs w:val="22"/>
          <w:highlight w:val="none"/>
          <w14:textFill>
            <w14:solidFill>
              <w14:schemeClr w14:val="tx1"/>
            </w14:solidFill>
          </w14:textFill>
        </w:rPr>
      </w:pPr>
      <w:r>
        <w:rPr>
          <w:b/>
          <w:color w:val="000000" w:themeColor="text1"/>
          <w:szCs w:val="21"/>
          <w:highlight w:val="none"/>
          <w14:textFill>
            <w14:solidFill>
              <w14:schemeClr w14:val="tx1"/>
            </w14:solidFill>
          </w14:textFill>
        </w:rPr>
        <w:t>（3）施工进度计划和各阶段进度的保证措施</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7</w:t>
      </w:r>
      <w:r>
        <w:rPr>
          <w:b/>
          <w:color w:val="000000" w:themeColor="text1"/>
          <w:szCs w:val="21"/>
          <w:highlight w:val="none"/>
          <w14:textFill>
            <w14:solidFill>
              <w14:schemeClr w14:val="tx1"/>
            </w14:solidFill>
          </w14:textFill>
        </w:rPr>
        <w:t>分</w:t>
      </w:r>
    </w:p>
    <w:p w14:paraId="1545C5AB">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优</w:t>
      </w:r>
      <w:r>
        <w:rPr>
          <w:bCs/>
          <w:color w:val="000000" w:themeColor="text1"/>
          <w:kern w:val="0"/>
          <w:szCs w:val="21"/>
          <w:highlight w:val="none"/>
          <w14:textFill>
            <w14:solidFill>
              <w14:schemeClr w14:val="tx1"/>
            </w14:solidFill>
          </w14:textFill>
        </w:rPr>
        <w:t>（</w:t>
      </w:r>
      <w:r>
        <w:rPr>
          <w:rFonts w:hint="eastAsia"/>
          <w:bCs/>
          <w:color w:val="000000" w:themeColor="text1"/>
          <w:kern w:val="0"/>
          <w:szCs w:val="21"/>
          <w:highlight w:val="none"/>
          <w:lang w:val="en-US" w:eastAsia="zh-CN"/>
          <w14:textFill>
            <w14:solidFill>
              <w14:schemeClr w14:val="tx1"/>
            </w14:solidFill>
          </w14:textFill>
        </w:rPr>
        <w:t>7</w:t>
      </w:r>
      <w:r>
        <w:rPr>
          <w:bCs/>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：关键线路清晰、准确、完整，计划编制</w:t>
      </w:r>
      <w:r>
        <w:rPr>
          <w:rFonts w:hint="eastAsia"/>
          <w:bCs/>
          <w:color w:val="000000" w:themeColor="text1"/>
          <w:szCs w:val="21"/>
          <w:highlight w:val="none"/>
          <w14:textFill>
            <w14:solidFill>
              <w14:schemeClr w14:val="tx1"/>
            </w14:solidFill>
          </w14:textFill>
        </w:rPr>
        <w:t>准确、完善</w:t>
      </w:r>
      <w:r>
        <w:rPr>
          <w:bCs/>
          <w:color w:val="000000" w:themeColor="text1"/>
          <w:szCs w:val="21"/>
          <w:highlight w:val="none"/>
          <w14:textFill>
            <w14:solidFill>
              <w14:schemeClr w14:val="tx1"/>
            </w14:solidFill>
          </w14:textFill>
        </w:rPr>
        <w:t>，关键节点的控制措施有力、</w:t>
      </w:r>
      <w:r>
        <w:rPr>
          <w:rFonts w:hint="eastAsia"/>
          <w:bCs/>
          <w:color w:val="000000" w:themeColor="text1"/>
          <w:szCs w:val="21"/>
          <w:highlight w:val="none"/>
          <w14:textFill>
            <w14:solidFill>
              <w14:schemeClr w14:val="tx1"/>
            </w14:solidFill>
          </w14:textFill>
        </w:rPr>
        <w:t>到位</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有效的安排各项工作</w:t>
      </w:r>
      <w:r>
        <w:rPr>
          <w:bCs/>
          <w:color w:val="000000" w:themeColor="text1"/>
          <w:szCs w:val="21"/>
          <w:highlight w:val="none"/>
          <w14:textFill>
            <w14:solidFill>
              <w14:schemeClr w14:val="tx1"/>
            </w14:solidFill>
          </w14:textFill>
        </w:rPr>
        <w:t>；</w:t>
      </w:r>
    </w:p>
    <w:p w14:paraId="50F43A01">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良</w:t>
      </w:r>
      <w:r>
        <w:rPr>
          <w:bCs/>
          <w:color w:val="000000" w:themeColor="text1"/>
          <w:kern w:val="0"/>
          <w:szCs w:val="21"/>
          <w:highlight w:val="none"/>
          <w14:textFill>
            <w14:solidFill>
              <w14:schemeClr w14:val="tx1"/>
            </w14:solidFill>
          </w14:textFill>
        </w:rPr>
        <w:t>（</w:t>
      </w:r>
      <w:r>
        <w:rPr>
          <w:rFonts w:hint="eastAsia"/>
          <w:bCs/>
          <w:color w:val="000000" w:themeColor="text1"/>
          <w:kern w:val="0"/>
          <w:szCs w:val="21"/>
          <w:highlight w:val="none"/>
          <w:lang w:val="en-US" w:eastAsia="zh-CN"/>
          <w14:textFill>
            <w14:solidFill>
              <w14:schemeClr w14:val="tx1"/>
            </w14:solidFill>
          </w14:textFill>
        </w:rPr>
        <w:t>5</w:t>
      </w:r>
      <w:r>
        <w:rPr>
          <w:bCs/>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：关键线路清晰、准确、完整，计划编制</w:t>
      </w:r>
      <w:r>
        <w:rPr>
          <w:rFonts w:hint="eastAsia"/>
          <w:bCs/>
          <w:color w:val="000000" w:themeColor="text1"/>
          <w:szCs w:val="21"/>
          <w:highlight w:val="none"/>
          <w14:textFill>
            <w14:solidFill>
              <w14:schemeClr w14:val="tx1"/>
            </w14:solidFill>
          </w14:textFill>
        </w:rPr>
        <w:t>准确</w:t>
      </w:r>
      <w:r>
        <w:rPr>
          <w:bCs/>
          <w:color w:val="000000" w:themeColor="text1"/>
          <w:szCs w:val="21"/>
          <w:highlight w:val="none"/>
          <w14:textFill>
            <w14:solidFill>
              <w14:schemeClr w14:val="tx1"/>
            </w14:solidFill>
          </w14:textFill>
        </w:rPr>
        <w:t>，关键节点的控制措施</w:t>
      </w:r>
      <w:r>
        <w:rPr>
          <w:rFonts w:hint="eastAsia"/>
          <w:bCs/>
          <w:color w:val="000000" w:themeColor="text1"/>
          <w:szCs w:val="21"/>
          <w:highlight w:val="none"/>
          <w14:textFill>
            <w14:solidFill>
              <w14:schemeClr w14:val="tx1"/>
            </w14:solidFill>
          </w14:textFill>
        </w:rPr>
        <w:t>到位</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有效</w:t>
      </w:r>
      <w:r>
        <w:rPr>
          <w:bCs/>
          <w:color w:val="000000" w:themeColor="text1"/>
          <w:szCs w:val="21"/>
          <w:highlight w:val="none"/>
          <w14:textFill>
            <w14:solidFill>
              <w14:schemeClr w14:val="tx1"/>
            </w14:solidFill>
          </w14:textFill>
        </w:rPr>
        <w:t>；</w:t>
      </w:r>
    </w:p>
    <w:p w14:paraId="0A5539ED">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中</w:t>
      </w:r>
      <w:r>
        <w:rPr>
          <w:bCs/>
          <w:color w:val="000000" w:themeColor="text1"/>
          <w:kern w:val="0"/>
          <w:szCs w:val="21"/>
          <w:highlight w:val="none"/>
          <w14:textFill>
            <w14:solidFill>
              <w14:schemeClr w14:val="tx1"/>
            </w14:solidFill>
          </w14:textFill>
        </w:rPr>
        <w:t>（</w:t>
      </w:r>
      <w:r>
        <w:rPr>
          <w:rFonts w:hint="eastAsia"/>
          <w:bCs/>
          <w:color w:val="000000" w:themeColor="text1"/>
          <w:kern w:val="0"/>
          <w:szCs w:val="21"/>
          <w:highlight w:val="none"/>
          <w:lang w:val="en-US" w:eastAsia="zh-CN"/>
          <w14:textFill>
            <w14:solidFill>
              <w14:schemeClr w14:val="tx1"/>
            </w14:solidFill>
          </w14:textFill>
        </w:rPr>
        <w:t>3</w:t>
      </w:r>
      <w:r>
        <w:rPr>
          <w:bCs/>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：关键线路基本准确，计划编制</w:t>
      </w:r>
      <w:r>
        <w:rPr>
          <w:rFonts w:hint="eastAsia"/>
          <w:bCs/>
          <w:color w:val="000000" w:themeColor="text1"/>
          <w:szCs w:val="21"/>
          <w:highlight w:val="none"/>
          <w14:textFill>
            <w14:solidFill>
              <w14:schemeClr w14:val="tx1"/>
            </w14:solidFill>
          </w14:textFill>
        </w:rPr>
        <w:t>完好</w:t>
      </w:r>
      <w:r>
        <w:rPr>
          <w:bCs/>
          <w:color w:val="000000" w:themeColor="text1"/>
          <w:szCs w:val="21"/>
          <w:highlight w:val="none"/>
          <w14:textFill>
            <w14:solidFill>
              <w14:schemeClr w14:val="tx1"/>
            </w14:solidFill>
          </w14:textFill>
        </w:rPr>
        <w:t>，关键节点的控制措施</w:t>
      </w:r>
      <w:r>
        <w:rPr>
          <w:rFonts w:hint="eastAsia"/>
          <w:bCs/>
          <w:color w:val="000000" w:themeColor="text1"/>
          <w:szCs w:val="21"/>
          <w:highlight w:val="none"/>
          <w14:textFill>
            <w14:solidFill>
              <w14:schemeClr w14:val="tx1"/>
            </w14:solidFill>
          </w14:textFill>
        </w:rPr>
        <w:t>满足进度要求</w:t>
      </w:r>
      <w:r>
        <w:rPr>
          <w:bCs/>
          <w:color w:val="000000" w:themeColor="text1"/>
          <w:szCs w:val="21"/>
          <w:highlight w:val="none"/>
          <w14:textFill>
            <w14:solidFill>
              <w14:schemeClr w14:val="tx1"/>
            </w14:solidFill>
          </w14:textFill>
        </w:rPr>
        <w:t>；</w:t>
      </w:r>
    </w:p>
    <w:p w14:paraId="3A7E3874">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差（</w:t>
      </w:r>
      <w:r>
        <w:rPr>
          <w:rFonts w:hint="eastAsia"/>
          <w:bCs/>
          <w:color w:val="000000" w:themeColor="text1"/>
          <w:szCs w:val="21"/>
          <w:highlight w:val="none"/>
          <w:lang w:val="en-US" w:eastAsia="zh-CN"/>
          <w14:textFill>
            <w14:solidFill>
              <w14:schemeClr w14:val="tx1"/>
            </w14:solidFill>
          </w14:textFill>
        </w:rPr>
        <w:t>1</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）：关键线路不准确，计划编制不</w:t>
      </w:r>
      <w:r>
        <w:rPr>
          <w:rFonts w:hint="eastAsia"/>
          <w:bCs/>
          <w:color w:val="000000" w:themeColor="text1"/>
          <w:szCs w:val="21"/>
          <w:highlight w:val="none"/>
          <w14:textFill>
            <w14:solidFill>
              <w14:schemeClr w14:val="tx1"/>
            </w14:solidFill>
          </w14:textFill>
        </w:rPr>
        <w:t>科学</w:t>
      </w:r>
      <w:r>
        <w:rPr>
          <w:bCs/>
          <w:color w:val="000000" w:themeColor="text1"/>
          <w:szCs w:val="21"/>
          <w:highlight w:val="none"/>
          <w14:textFill>
            <w14:solidFill>
              <w14:schemeClr w14:val="tx1"/>
            </w14:solidFill>
          </w14:textFill>
        </w:rPr>
        <w:t>，关键节点的控制不</w:t>
      </w:r>
      <w:r>
        <w:rPr>
          <w:rFonts w:hint="eastAsia"/>
          <w:bCs/>
          <w:color w:val="000000" w:themeColor="text1"/>
          <w:szCs w:val="21"/>
          <w:highlight w:val="none"/>
          <w14:textFill>
            <w14:solidFill>
              <w14:schemeClr w14:val="tx1"/>
            </w14:solidFill>
          </w14:textFill>
        </w:rPr>
        <w:t>到位</w:t>
      </w:r>
      <w:r>
        <w:rPr>
          <w:bCs/>
          <w:color w:val="000000" w:themeColor="text1"/>
          <w:szCs w:val="21"/>
          <w:highlight w:val="none"/>
          <w14:textFill>
            <w14:solidFill>
              <w14:schemeClr w14:val="tx1"/>
            </w14:solidFill>
          </w14:textFill>
        </w:rPr>
        <w:t>。</w:t>
      </w:r>
    </w:p>
    <w:p w14:paraId="5AC9A464">
      <w:pPr>
        <w:spacing w:line="440" w:lineRule="exact"/>
        <w:ind w:firstLine="538" w:firstLineChars="255"/>
        <w:rPr>
          <w:b/>
          <w:color w:val="000000" w:themeColor="text1"/>
          <w:szCs w:val="22"/>
          <w:highlight w:val="none"/>
          <w14:textFill>
            <w14:solidFill>
              <w14:schemeClr w14:val="tx1"/>
            </w14:solidFill>
          </w14:textFill>
        </w:rPr>
      </w:pPr>
      <w:r>
        <w:rPr>
          <w:b/>
          <w:color w:val="000000" w:themeColor="text1"/>
          <w:szCs w:val="21"/>
          <w:highlight w:val="none"/>
          <w14:textFill>
            <w14:solidFill>
              <w14:schemeClr w14:val="tx1"/>
            </w14:solidFill>
          </w14:textFill>
        </w:rPr>
        <w:t>（4）</w:t>
      </w:r>
      <w:r>
        <w:rPr>
          <w:b/>
          <w:color w:val="000000" w:themeColor="text1"/>
          <w:szCs w:val="22"/>
          <w:highlight w:val="none"/>
          <w14:textFill>
            <w14:solidFill>
              <w14:schemeClr w14:val="tx1"/>
            </w14:solidFill>
          </w14:textFill>
        </w:rPr>
        <w:t>劳动力</w:t>
      </w:r>
      <w:r>
        <w:rPr>
          <w:b/>
          <w:color w:val="000000" w:themeColor="text1"/>
          <w:szCs w:val="21"/>
          <w:highlight w:val="none"/>
          <w14:textFill>
            <w14:solidFill>
              <w14:schemeClr w14:val="tx1"/>
            </w14:solidFill>
          </w14:textFill>
        </w:rPr>
        <w:t>和材料投入计划及其保证措施</w:t>
      </w:r>
      <w:r>
        <w:rPr>
          <w:b/>
          <w:color w:val="000000" w:themeColor="text1"/>
          <w:szCs w:val="22"/>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7</w:t>
      </w:r>
      <w:r>
        <w:rPr>
          <w:b/>
          <w:color w:val="000000" w:themeColor="text1"/>
          <w:szCs w:val="21"/>
          <w:highlight w:val="none"/>
          <w14:textFill>
            <w14:solidFill>
              <w14:schemeClr w14:val="tx1"/>
            </w14:solidFill>
          </w14:textFill>
        </w:rPr>
        <w:t>分</w:t>
      </w:r>
    </w:p>
    <w:p w14:paraId="5BBAF136">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优（</w:t>
      </w:r>
      <w:r>
        <w:rPr>
          <w:rFonts w:hint="eastAsia"/>
          <w:color w:val="000000" w:themeColor="text1"/>
          <w:kern w:val="0"/>
          <w:szCs w:val="21"/>
          <w:highlight w:val="none"/>
          <w:lang w:val="en-US" w:eastAsia="zh-CN"/>
          <w14:textFill>
            <w14:solidFill>
              <w14:schemeClr w14:val="tx1"/>
            </w14:solidFill>
          </w14:textFill>
        </w:rPr>
        <w:t>7</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）：投入计划与进度计划呼应，</w:t>
      </w:r>
      <w:r>
        <w:rPr>
          <w:rFonts w:hint="eastAsia"/>
          <w:bCs/>
          <w:color w:val="000000" w:themeColor="text1"/>
          <w:szCs w:val="21"/>
          <w:highlight w:val="none"/>
          <w14:textFill>
            <w14:solidFill>
              <w14:schemeClr w14:val="tx1"/>
            </w14:solidFill>
          </w14:textFill>
        </w:rPr>
        <w:t>完全</w:t>
      </w:r>
      <w:r>
        <w:rPr>
          <w:bCs/>
          <w:color w:val="000000" w:themeColor="text1"/>
          <w:szCs w:val="21"/>
          <w:highlight w:val="none"/>
          <w14:textFill>
            <w14:solidFill>
              <w14:schemeClr w14:val="tx1"/>
            </w14:solidFill>
          </w14:textFill>
        </w:rPr>
        <w:t>满足施工需要，调配投入计划</w:t>
      </w:r>
      <w:r>
        <w:rPr>
          <w:rFonts w:hint="eastAsia"/>
          <w:bCs/>
          <w:color w:val="000000" w:themeColor="text1"/>
          <w:szCs w:val="21"/>
          <w:highlight w:val="none"/>
          <w14:textFill>
            <w14:solidFill>
              <w14:schemeClr w14:val="tx1"/>
            </w14:solidFill>
          </w14:textFill>
        </w:rPr>
        <w:t>完善</w:t>
      </w:r>
      <w:r>
        <w:rPr>
          <w:bCs/>
          <w:color w:val="000000" w:themeColor="text1"/>
          <w:szCs w:val="21"/>
          <w:highlight w:val="none"/>
          <w14:textFill>
            <w14:solidFill>
              <w14:schemeClr w14:val="tx1"/>
            </w14:solidFill>
          </w14:textFill>
        </w:rPr>
        <w:t>、准确</w:t>
      </w:r>
      <w:r>
        <w:rPr>
          <w:rFonts w:hint="eastAsia"/>
          <w:bCs/>
          <w:color w:val="000000" w:themeColor="text1"/>
          <w:szCs w:val="21"/>
          <w:highlight w:val="none"/>
          <w14:textFill>
            <w14:solidFill>
              <w14:schemeClr w14:val="tx1"/>
            </w14:solidFill>
          </w14:textFill>
        </w:rPr>
        <w:t>、到位</w:t>
      </w:r>
      <w:r>
        <w:rPr>
          <w:bCs/>
          <w:color w:val="000000" w:themeColor="text1"/>
          <w:szCs w:val="21"/>
          <w:highlight w:val="none"/>
          <w14:textFill>
            <w14:solidFill>
              <w14:schemeClr w14:val="tx1"/>
            </w14:solidFill>
          </w14:textFill>
        </w:rPr>
        <w:t>；</w:t>
      </w:r>
    </w:p>
    <w:p w14:paraId="10FFEC0B">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良（</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）：投入计划与进度计划呼应，基本满足施工需要，调配投入计划</w:t>
      </w:r>
      <w:r>
        <w:rPr>
          <w:rFonts w:hint="eastAsia"/>
          <w:bCs/>
          <w:color w:val="000000" w:themeColor="text1"/>
          <w:szCs w:val="21"/>
          <w:highlight w:val="none"/>
          <w14:textFill>
            <w14:solidFill>
              <w14:schemeClr w14:val="tx1"/>
            </w14:solidFill>
          </w14:textFill>
        </w:rPr>
        <w:t>完好</w:t>
      </w:r>
      <w:r>
        <w:rPr>
          <w:bCs/>
          <w:color w:val="000000" w:themeColor="text1"/>
          <w:szCs w:val="21"/>
          <w:highlight w:val="none"/>
          <w14:textFill>
            <w14:solidFill>
              <w14:schemeClr w14:val="tx1"/>
            </w14:solidFill>
          </w14:textFill>
        </w:rPr>
        <w:t>、准确；</w:t>
      </w:r>
    </w:p>
    <w:p w14:paraId="2E2F5CC3">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中（</w:t>
      </w:r>
      <w:r>
        <w:rPr>
          <w:rFonts w:hint="eastAsia"/>
          <w:color w:val="000000" w:themeColor="text1"/>
          <w:kern w:val="0"/>
          <w:szCs w:val="21"/>
          <w:highlight w:val="none"/>
          <w:lang w:val="en-US" w:eastAsia="zh-CN"/>
          <w14:textFill>
            <w14:solidFill>
              <w14:schemeClr w14:val="tx1"/>
            </w14:solidFill>
          </w14:textFill>
        </w:rPr>
        <w:t>3</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）：投入计划与进度计划呼应，基本满足施工需要，调配投入计划</w:t>
      </w:r>
      <w:r>
        <w:rPr>
          <w:rFonts w:hint="eastAsia"/>
          <w:bCs/>
          <w:color w:val="000000" w:themeColor="text1"/>
          <w:szCs w:val="21"/>
          <w:highlight w:val="none"/>
          <w14:textFill>
            <w14:solidFill>
              <w14:schemeClr w14:val="tx1"/>
            </w14:solidFill>
          </w14:textFill>
        </w:rPr>
        <w:t>满足基本要求</w:t>
      </w:r>
      <w:r>
        <w:rPr>
          <w:bCs/>
          <w:color w:val="000000" w:themeColor="text1"/>
          <w:szCs w:val="21"/>
          <w:highlight w:val="none"/>
          <w14:textFill>
            <w14:solidFill>
              <w14:schemeClr w14:val="tx1"/>
            </w14:solidFill>
          </w14:textFill>
        </w:rPr>
        <w:t>；</w:t>
      </w:r>
    </w:p>
    <w:p w14:paraId="3496B946">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差（</w:t>
      </w:r>
      <w:r>
        <w:rPr>
          <w:rFonts w:hint="eastAsia"/>
          <w:bCs/>
          <w:color w:val="000000" w:themeColor="text1"/>
          <w:szCs w:val="21"/>
          <w:highlight w:val="none"/>
          <w:lang w:val="en-US" w:eastAsia="zh-CN"/>
          <w14:textFill>
            <w14:solidFill>
              <w14:schemeClr w14:val="tx1"/>
            </w14:solidFill>
          </w14:textFill>
        </w:rPr>
        <w:t>1</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）：投入计划与进度计划不呼应，不能满足施工需要。</w:t>
      </w:r>
    </w:p>
    <w:p w14:paraId="5F73BB02">
      <w:pPr>
        <w:spacing w:line="440" w:lineRule="exact"/>
        <w:ind w:firstLine="538" w:firstLineChars="255"/>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（5）</w:t>
      </w:r>
      <w:r>
        <w:rPr>
          <w:b/>
          <w:color w:val="000000" w:themeColor="text1"/>
          <w:szCs w:val="22"/>
          <w:highlight w:val="none"/>
          <w14:textFill>
            <w14:solidFill>
              <w14:schemeClr w14:val="tx1"/>
            </w14:solidFill>
          </w14:textFill>
        </w:rPr>
        <w:t>施工</w:t>
      </w:r>
      <w:r>
        <w:rPr>
          <w:b/>
          <w:color w:val="000000" w:themeColor="text1"/>
          <w:szCs w:val="21"/>
          <w:highlight w:val="none"/>
          <w14:textFill>
            <w14:solidFill>
              <w14:schemeClr w14:val="tx1"/>
            </w14:solidFill>
          </w14:textFill>
        </w:rPr>
        <w:t>平面布置和临时设施布置</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7</w:t>
      </w:r>
      <w:r>
        <w:rPr>
          <w:b/>
          <w:color w:val="000000" w:themeColor="text1"/>
          <w:szCs w:val="21"/>
          <w:highlight w:val="none"/>
          <w14:textFill>
            <w14:solidFill>
              <w14:schemeClr w14:val="tx1"/>
            </w14:solidFill>
          </w14:textFill>
        </w:rPr>
        <w:t>分</w:t>
      </w:r>
    </w:p>
    <w:p w14:paraId="480CA6DB">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优（</w:t>
      </w:r>
      <w:r>
        <w:rPr>
          <w:rFonts w:hint="eastAsia"/>
          <w:color w:val="000000" w:themeColor="text1"/>
          <w:kern w:val="0"/>
          <w:szCs w:val="21"/>
          <w:highlight w:val="none"/>
          <w:lang w:val="en-US" w:eastAsia="zh-CN"/>
          <w14:textFill>
            <w14:solidFill>
              <w14:schemeClr w14:val="tx1"/>
            </w14:solidFill>
          </w14:textFill>
        </w:rPr>
        <w:t>7</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）：总体布置有针对性、</w:t>
      </w:r>
      <w:r>
        <w:rPr>
          <w:rFonts w:hint="eastAsia"/>
          <w:bCs/>
          <w:color w:val="000000" w:themeColor="text1"/>
          <w:szCs w:val="21"/>
          <w:highlight w:val="none"/>
          <w14:textFill>
            <w14:solidFill>
              <w14:schemeClr w14:val="tx1"/>
            </w14:solidFill>
          </w14:textFill>
        </w:rPr>
        <w:t>符合实际，</w:t>
      </w:r>
      <w:r>
        <w:rPr>
          <w:bCs/>
          <w:color w:val="000000" w:themeColor="text1"/>
          <w:szCs w:val="21"/>
          <w:highlight w:val="none"/>
          <w14:textFill>
            <w14:solidFill>
              <w14:schemeClr w14:val="tx1"/>
            </w14:solidFill>
          </w14:textFill>
        </w:rPr>
        <w:t>满足施工需要，符合安全、文明生产要求；</w:t>
      </w:r>
    </w:p>
    <w:p w14:paraId="6F1EE8A8">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良（</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）：总体布置</w:t>
      </w:r>
      <w:r>
        <w:rPr>
          <w:rFonts w:hint="eastAsia"/>
          <w:bCs/>
          <w:color w:val="000000" w:themeColor="text1"/>
          <w:szCs w:val="21"/>
          <w:highlight w:val="none"/>
          <w14:textFill>
            <w14:solidFill>
              <w14:schemeClr w14:val="tx1"/>
            </w14:solidFill>
          </w14:textFill>
        </w:rPr>
        <w:t>符合实际</w:t>
      </w:r>
      <w:r>
        <w:rPr>
          <w:bCs/>
          <w:color w:val="000000" w:themeColor="text1"/>
          <w:szCs w:val="21"/>
          <w:highlight w:val="none"/>
          <w14:textFill>
            <w14:solidFill>
              <w14:schemeClr w14:val="tx1"/>
            </w14:solidFill>
          </w14:textFill>
        </w:rPr>
        <w:t>，能满足施工需要，基本符合安全、文明生产要求；</w:t>
      </w:r>
    </w:p>
    <w:p w14:paraId="7BEBE79B">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中（</w:t>
      </w:r>
      <w:r>
        <w:rPr>
          <w:rFonts w:hint="eastAsia"/>
          <w:color w:val="000000" w:themeColor="text1"/>
          <w:kern w:val="0"/>
          <w:szCs w:val="21"/>
          <w:highlight w:val="none"/>
          <w:lang w:val="en-US" w:eastAsia="zh-CN"/>
          <w14:textFill>
            <w14:solidFill>
              <w14:schemeClr w14:val="tx1"/>
            </w14:solidFill>
          </w14:textFill>
        </w:rPr>
        <w:t>3</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）：总体布置基本</w:t>
      </w:r>
      <w:r>
        <w:rPr>
          <w:rFonts w:hint="eastAsia"/>
          <w:bCs/>
          <w:color w:val="000000" w:themeColor="text1"/>
          <w:szCs w:val="21"/>
          <w:highlight w:val="none"/>
          <w14:textFill>
            <w14:solidFill>
              <w14:schemeClr w14:val="tx1"/>
            </w14:solidFill>
          </w14:textFill>
        </w:rPr>
        <w:t>合格</w:t>
      </w:r>
      <w:r>
        <w:rPr>
          <w:bCs/>
          <w:color w:val="000000" w:themeColor="text1"/>
          <w:szCs w:val="21"/>
          <w:highlight w:val="none"/>
          <w14:textFill>
            <w14:solidFill>
              <w14:schemeClr w14:val="tx1"/>
            </w14:solidFill>
          </w14:textFill>
        </w:rPr>
        <w:t>，基本满足施工需要；</w:t>
      </w:r>
    </w:p>
    <w:p w14:paraId="09749424">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差（</w:t>
      </w:r>
      <w:r>
        <w:rPr>
          <w:rFonts w:hint="eastAsia"/>
          <w:bCs/>
          <w:color w:val="000000" w:themeColor="text1"/>
          <w:szCs w:val="21"/>
          <w:highlight w:val="none"/>
          <w:lang w:val="en-US" w:eastAsia="zh-CN"/>
          <w14:textFill>
            <w14:solidFill>
              <w14:schemeClr w14:val="tx1"/>
            </w14:solidFill>
          </w14:textFill>
        </w:rPr>
        <w:t>1</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）：总体布置不</w:t>
      </w:r>
      <w:r>
        <w:rPr>
          <w:rFonts w:hint="eastAsia"/>
          <w:bCs/>
          <w:color w:val="000000" w:themeColor="text1"/>
          <w:szCs w:val="21"/>
          <w:highlight w:val="none"/>
          <w14:textFill>
            <w14:solidFill>
              <w14:schemeClr w14:val="tx1"/>
            </w14:solidFill>
          </w14:textFill>
        </w:rPr>
        <w:t>符合实际</w:t>
      </w:r>
      <w:r>
        <w:rPr>
          <w:bCs/>
          <w:color w:val="000000" w:themeColor="text1"/>
          <w:szCs w:val="21"/>
          <w:highlight w:val="none"/>
          <w14:textFill>
            <w14:solidFill>
              <w14:schemeClr w14:val="tx1"/>
            </w14:solidFill>
          </w14:textFill>
        </w:rPr>
        <w:t>，不符合安全、文明生产要求。</w:t>
      </w:r>
    </w:p>
    <w:p w14:paraId="6F9D5933">
      <w:pPr>
        <w:spacing w:line="440" w:lineRule="exact"/>
        <w:ind w:firstLine="538" w:firstLineChars="255"/>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（6）关键</w:t>
      </w:r>
      <w:r>
        <w:rPr>
          <w:b/>
          <w:color w:val="000000" w:themeColor="text1"/>
          <w:szCs w:val="22"/>
          <w:highlight w:val="none"/>
          <w14:textFill>
            <w14:solidFill>
              <w14:schemeClr w14:val="tx1"/>
            </w14:solidFill>
          </w14:textFill>
        </w:rPr>
        <w:t>施工</w:t>
      </w:r>
      <w:r>
        <w:rPr>
          <w:b/>
          <w:color w:val="000000" w:themeColor="text1"/>
          <w:szCs w:val="21"/>
          <w:highlight w:val="none"/>
          <w14:textFill>
            <w14:solidFill>
              <w14:schemeClr w14:val="tx1"/>
            </w14:solidFill>
          </w14:textFill>
        </w:rPr>
        <w:t>技术、工艺及工程实施的重点、难点和解决方案</w:t>
      </w:r>
      <w:r>
        <w:rPr>
          <w:b/>
          <w:color w:val="000000" w:themeColor="text1"/>
          <w:szCs w:val="22"/>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10</w:t>
      </w:r>
      <w:r>
        <w:rPr>
          <w:b/>
          <w:color w:val="000000" w:themeColor="text1"/>
          <w:szCs w:val="21"/>
          <w:highlight w:val="none"/>
          <w14:textFill>
            <w14:solidFill>
              <w14:schemeClr w14:val="tx1"/>
            </w14:solidFill>
          </w14:textFill>
        </w:rPr>
        <w:t>分</w:t>
      </w:r>
    </w:p>
    <w:p w14:paraId="3B4020D7">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优（</w:t>
      </w:r>
      <w:r>
        <w:rPr>
          <w:rFonts w:hint="eastAsia"/>
          <w:color w:val="000000" w:themeColor="text1"/>
          <w:kern w:val="0"/>
          <w:szCs w:val="21"/>
          <w:highlight w:val="none"/>
          <w:lang w:val="en-US" w:eastAsia="zh-CN"/>
          <w14:textFill>
            <w14:solidFill>
              <w14:schemeClr w14:val="tx1"/>
            </w14:solidFill>
          </w14:textFill>
        </w:rPr>
        <w:t>10</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）：对项目关键技术、工艺有深入的表达，对重点、难点有先进</w:t>
      </w:r>
      <w:r>
        <w:rPr>
          <w:rFonts w:hint="eastAsia"/>
          <w:bCs/>
          <w:color w:val="000000" w:themeColor="text1"/>
          <w:szCs w:val="21"/>
          <w:highlight w:val="none"/>
          <w14:textFill>
            <w14:solidFill>
              <w14:schemeClr w14:val="tx1"/>
            </w14:solidFill>
          </w14:textFill>
        </w:rPr>
        <w:t>，准确</w:t>
      </w:r>
      <w:r>
        <w:rPr>
          <w:bCs/>
          <w:color w:val="000000" w:themeColor="text1"/>
          <w:szCs w:val="21"/>
          <w:highlight w:val="none"/>
          <w14:textFill>
            <w14:solidFill>
              <w14:schemeClr w14:val="tx1"/>
            </w14:solidFill>
          </w14:textFill>
        </w:rPr>
        <w:t>的施工措施并有</w:t>
      </w:r>
      <w:r>
        <w:rPr>
          <w:rFonts w:hint="eastAsia"/>
          <w:bCs/>
          <w:color w:val="000000" w:themeColor="text1"/>
          <w:szCs w:val="21"/>
          <w:highlight w:val="none"/>
          <w14:textFill>
            <w14:solidFill>
              <w14:schemeClr w14:val="tx1"/>
            </w14:solidFill>
          </w14:textFill>
        </w:rPr>
        <w:t>有力、有效</w:t>
      </w:r>
      <w:r>
        <w:rPr>
          <w:bCs/>
          <w:color w:val="000000" w:themeColor="text1"/>
          <w:szCs w:val="21"/>
          <w:highlight w:val="none"/>
          <w14:textFill>
            <w14:solidFill>
              <w14:schemeClr w14:val="tx1"/>
            </w14:solidFill>
          </w14:textFill>
        </w:rPr>
        <w:t>的安全措施，解决方案完整、经济、安全、</w:t>
      </w:r>
      <w:r>
        <w:rPr>
          <w:rFonts w:hint="eastAsia"/>
          <w:bCs/>
          <w:color w:val="000000" w:themeColor="text1"/>
          <w:szCs w:val="21"/>
          <w:highlight w:val="none"/>
          <w14:textFill>
            <w14:solidFill>
              <w14:schemeClr w14:val="tx1"/>
            </w14:solidFill>
          </w14:textFill>
        </w:rPr>
        <w:t>有效</w:t>
      </w:r>
      <w:r>
        <w:rPr>
          <w:bCs/>
          <w:color w:val="000000" w:themeColor="text1"/>
          <w:szCs w:val="21"/>
          <w:highlight w:val="none"/>
          <w14:textFill>
            <w14:solidFill>
              <w14:schemeClr w14:val="tx1"/>
            </w14:solidFill>
          </w14:textFill>
        </w:rPr>
        <w:t>，措施</w:t>
      </w:r>
      <w:r>
        <w:rPr>
          <w:rFonts w:hint="eastAsia"/>
          <w:bCs/>
          <w:color w:val="000000" w:themeColor="text1"/>
          <w:szCs w:val="21"/>
          <w:highlight w:val="none"/>
          <w14:textFill>
            <w14:solidFill>
              <w14:schemeClr w14:val="tx1"/>
            </w14:solidFill>
          </w14:textFill>
        </w:rPr>
        <w:t>有力</w:t>
      </w:r>
      <w:r>
        <w:rPr>
          <w:bCs/>
          <w:color w:val="000000" w:themeColor="text1"/>
          <w:szCs w:val="21"/>
          <w:highlight w:val="none"/>
          <w14:textFill>
            <w14:solidFill>
              <w14:schemeClr w14:val="tx1"/>
            </w14:solidFill>
          </w14:textFill>
        </w:rPr>
        <w:t>。</w:t>
      </w:r>
    </w:p>
    <w:p w14:paraId="051F153A">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良（</w:t>
      </w:r>
      <w:r>
        <w:rPr>
          <w:rFonts w:hint="eastAsia"/>
          <w:color w:val="000000" w:themeColor="text1"/>
          <w:kern w:val="0"/>
          <w:szCs w:val="21"/>
          <w:highlight w:val="none"/>
          <w:lang w:val="en-US" w:eastAsia="zh-CN"/>
          <w14:textFill>
            <w14:solidFill>
              <w14:schemeClr w14:val="tx1"/>
            </w14:solidFill>
          </w14:textFill>
        </w:rPr>
        <w:t>7</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）：对项目关键技术、工艺有深入的表达，对重点、难点有</w:t>
      </w:r>
      <w:r>
        <w:rPr>
          <w:rFonts w:hint="eastAsia"/>
          <w:bCs/>
          <w:color w:val="000000" w:themeColor="text1"/>
          <w:szCs w:val="21"/>
          <w:highlight w:val="none"/>
          <w14:textFill>
            <w14:solidFill>
              <w14:schemeClr w14:val="tx1"/>
            </w14:solidFill>
          </w14:textFill>
        </w:rPr>
        <w:t>准确</w:t>
      </w:r>
      <w:r>
        <w:rPr>
          <w:bCs/>
          <w:color w:val="000000" w:themeColor="text1"/>
          <w:szCs w:val="21"/>
          <w:highlight w:val="none"/>
          <w14:textFill>
            <w14:solidFill>
              <w14:schemeClr w14:val="tx1"/>
            </w14:solidFill>
          </w14:textFill>
        </w:rPr>
        <w:t>的建议，解决方案经济、安全、</w:t>
      </w:r>
      <w:r>
        <w:rPr>
          <w:rFonts w:hint="eastAsia"/>
          <w:bCs/>
          <w:color w:val="000000" w:themeColor="text1"/>
          <w:szCs w:val="21"/>
          <w:highlight w:val="none"/>
          <w14:textFill>
            <w14:solidFill>
              <w14:schemeClr w14:val="tx1"/>
            </w14:solidFill>
          </w14:textFill>
        </w:rPr>
        <w:t>完善</w:t>
      </w:r>
      <w:r>
        <w:rPr>
          <w:bCs/>
          <w:color w:val="000000" w:themeColor="text1"/>
          <w:szCs w:val="21"/>
          <w:highlight w:val="none"/>
          <w14:textFill>
            <w14:solidFill>
              <w14:schemeClr w14:val="tx1"/>
            </w14:solidFill>
          </w14:textFill>
        </w:rPr>
        <w:t>。</w:t>
      </w:r>
    </w:p>
    <w:p w14:paraId="15FE4E18">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中（</w:t>
      </w:r>
      <w:r>
        <w:rPr>
          <w:rFonts w:hint="eastAsia"/>
          <w:color w:val="000000" w:themeColor="text1"/>
          <w:kern w:val="0"/>
          <w:szCs w:val="21"/>
          <w:highlight w:val="none"/>
          <w:lang w:val="en-US" w:eastAsia="zh-CN"/>
          <w14:textFill>
            <w14:solidFill>
              <w14:schemeClr w14:val="tx1"/>
            </w14:solidFill>
          </w14:textFill>
        </w:rPr>
        <w:t>4</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）：对项目关键技术有一定了解，对重点、难点有建议，解决方案</w:t>
      </w:r>
      <w:r>
        <w:rPr>
          <w:rFonts w:hint="eastAsia"/>
          <w:bCs/>
          <w:color w:val="000000" w:themeColor="text1"/>
          <w:szCs w:val="21"/>
          <w:highlight w:val="none"/>
          <w14:textFill>
            <w14:solidFill>
              <w14:schemeClr w14:val="tx1"/>
            </w14:solidFill>
          </w14:textFill>
        </w:rPr>
        <w:t>满足项目基本要求</w:t>
      </w:r>
      <w:r>
        <w:rPr>
          <w:bCs/>
          <w:color w:val="000000" w:themeColor="text1"/>
          <w:szCs w:val="21"/>
          <w:highlight w:val="none"/>
          <w14:textFill>
            <w14:solidFill>
              <w14:schemeClr w14:val="tx1"/>
            </w14:solidFill>
          </w14:textFill>
        </w:rPr>
        <w:t>。</w:t>
      </w:r>
    </w:p>
    <w:p w14:paraId="0CEAAE70">
      <w:pPr>
        <w:spacing w:line="440" w:lineRule="exact"/>
        <w:ind w:firstLine="535" w:firstLineChars="255"/>
        <w:rPr>
          <w:bCs/>
          <w:color w:val="000000" w:themeColor="text1"/>
          <w:kern w:val="0"/>
          <w:szCs w:val="21"/>
          <w:highlight w:val="none"/>
          <w14:textFill>
            <w14:solidFill>
              <w14:schemeClr w14:val="tx1"/>
            </w14:solidFill>
          </w14:textFill>
        </w:rPr>
      </w:pPr>
      <w:r>
        <w:rPr>
          <w:bCs/>
          <w:color w:val="000000" w:themeColor="text1"/>
          <w:szCs w:val="21"/>
          <w:highlight w:val="none"/>
          <w14:textFill>
            <w14:solidFill>
              <w14:schemeClr w14:val="tx1"/>
            </w14:solidFill>
          </w14:textFill>
        </w:rPr>
        <w:t>差（</w:t>
      </w:r>
      <w:r>
        <w:rPr>
          <w:rFonts w:hint="eastAsia"/>
          <w:bCs/>
          <w:color w:val="000000" w:themeColor="text1"/>
          <w:szCs w:val="21"/>
          <w:highlight w:val="none"/>
          <w:lang w:val="en-US" w:eastAsia="zh-CN"/>
          <w14:textFill>
            <w14:solidFill>
              <w14:schemeClr w14:val="tx1"/>
            </w14:solidFill>
          </w14:textFill>
        </w:rPr>
        <w:t>1</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）：对项目关键技术有表述，对重点、难点有建议，解决方案</w:t>
      </w:r>
      <w:r>
        <w:rPr>
          <w:rFonts w:hint="eastAsia"/>
          <w:bCs/>
          <w:color w:val="000000" w:themeColor="text1"/>
          <w:szCs w:val="21"/>
          <w:highlight w:val="none"/>
          <w14:textFill>
            <w14:solidFill>
              <w14:schemeClr w14:val="tx1"/>
            </w14:solidFill>
          </w14:textFill>
        </w:rPr>
        <w:t>不准确</w:t>
      </w:r>
      <w:r>
        <w:rPr>
          <w:bCs/>
          <w:color w:val="000000" w:themeColor="text1"/>
          <w:szCs w:val="21"/>
          <w:highlight w:val="none"/>
          <w14:textFill>
            <w14:solidFill>
              <w14:schemeClr w14:val="tx1"/>
            </w14:solidFill>
          </w14:textFill>
        </w:rPr>
        <w:t>。</w:t>
      </w:r>
    </w:p>
    <w:p w14:paraId="07DF574C">
      <w:pPr>
        <w:spacing w:line="440" w:lineRule="exact"/>
        <w:ind w:firstLine="538" w:firstLineChars="255"/>
        <w:rPr>
          <w:b/>
          <w:color w:val="000000" w:themeColor="text1"/>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（7）安全文明施工措施</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7</w:t>
      </w:r>
      <w:r>
        <w:rPr>
          <w:b/>
          <w:color w:val="000000" w:themeColor="text1"/>
          <w:szCs w:val="21"/>
          <w:highlight w:val="none"/>
          <w14:textFill>
            <w14:solidFill>
              <w14:schemeClr w14:val="tx1"/>
            </w14:solidFill>
          </w14:textFill>
        </w:rPr>
        <w:t>分</w:t>
      </w:r>
    </w:p>
    <w:p w14:paraId="129AF43B">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优（</w:t>
      </w:r>
      <w:r>
        <w:rPr>
          <w:rFonts w:hint="eastAsia"/>
          <w:color w:val="000000" w:themeColor="text1"/>
          <w:kern w:val="0"/>
          <w:szCs w:val="21"/>
          <w:highlight w:val="none"/>
          <w:lang w:val="en-US" w:eastAsia="zh-CN"/>
          <w14:textFill>
            <w14:solidFill>
              <w14:schemeClr w14:val="tx1"/>
            </w14:solidFill>
          </w14:textFill>
        </w:rPr>
        <w:t>7</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）：针对项目实际情况，有先进、具体、完整</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的实施措施，采用规范正确、清晰。</w:t>
      </w:r>
    </w:p>
    <w:p w14:paraId="65345AE3">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良（</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）：针对项目实际情况，有</w:t>
      </w:r>
      <w:r>
        <w:rPr>
          <w:rFonts w:hint="eastAsia"/>
          <w:bCs/>
          <w:color w:val="000000" w:themeColor="text1"/>
          <w:szCs w:val="21"/>
          <w:highlight w:val="none"/>
          <w14:textFill>
            <w14:solidFill>
              <w14:schemeClr w14:val="tx1"/>
            </w14:solidFill>
          </w14:textFill>
        </w:rPr>
        <w:t>科学</w:t>
      </w:r>
      <w:r>
        <w:rPr>
          <w:bCs/>
          <w:color w:val="000000" w:themeColor="text1"/>
          <w:szCs w:val="21"/>
          <w:highlight w:val="none"/>
          <w14:textFill>
            <w14:solidFill>
              <w14:schemeClr w14:val="tx1"/>
            </w14:solidFill>
          </w14:textFill>
        </w:rPr>
        <w:t>的措施且具体、完整，采用规范正确。</w:t>
      </w:r>
    </w:p>
    <w:p w14:paraId="76801843">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中（</w:t>
      </w:r>
      <w:r>
        <w:rPr>
          <w:rFonts w:hint="eastAsia"/>
          <w:color w:val="000000" w:themeColor="text1"/>
          <w:kern w:val="0"/>
          <w:szCs w:val="21"/>
          <w:highlight w:val="none"/>
          <w:lang w:val="en-US" w:eastAsia="zh-CN"/>
          <w14:textFill>
            <w14:solidFill>
              <w14:schemeClr w14:val="tx1"/>
            </w14:solidFill>
          </w14:textFill>
        </w:rPr>
        <w:t>3</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）：有基本的措施，采用规范正确。</w:t>
      </w:r>
    </w:p>
    <w:p w14:paraId="7330E40B">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差（</w:t>
      </w:r>
      <w:r>
        <w:rPr>
          <w:rFonts w:hint="eastAsia"/>
          <w:bCs/>
          <w:color w:val="000000" w:themeColor="text1"/>
          <w:szCs w:val="21"/>
          <w:highlight w:val="none"/>
          <w:lang w:val="en-US" w:eastAsia="zh-CN"/>
          <w14:textFill>
            <w14:solidFill>
              <w14:schemeClr w14:val="tx1"/>
            </w14:solidFill>
          </w14:textFill>
        </w:rPr>
        <w:t>1</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）：安全文明措施不</w:t>
      </w:r>
      <w:r>
        <w:rPr>
          <w:rFonts w:hint="eastAsia"/>
          <w:bCs/>
          <w:color w:val="000000" w:themeColor="text1"/>
          <w:szCs w:val="21"/>
          <w:highlight w:val="none"/>
          <w14:textFill>
            <w14:solidFill>
              <w14:schemeClr w14:val="tx1"/>
            </w14:solidFill>
          </w14:textFill>
        </w:rPr>
        <w:t>规范</w:t>
      </w:r>
      <w:r>
        <w:rPr>
          <w:bCs/>
          <w:color w:val="000000" w:themeColor="text1"/>
          <w:szCs w:val="21"/>
          <w:highlight w:val="none"/>
          <w14:textFill>
            <w14:solidFill>
              <w14:schemeClr w14:val="tx1"/>
            </w14:solidFill>
          </w14:textFill>
        </w:rPr>
        <w:t>，采用规范不正确。</w:t>
      </w:r>
    </w:p>
    <w:p w14:paraId="06554A85">
      <w:pPr>
        <w:spacing w:line="440" w:lineRule="exact"/>
        <w:ind w:firstLine="538" w:firstLineChars="255"/>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w:t>
      </w:r>
      <w:r>
        <w:rPr>
          <w:b/>
          <w:color w:val="000000" w:themeColor="text1"/>
          <w:szCs w:val="22"/>
          <w:highlight w:val="none"/>
          <w14:textFill>
            <w14:solidFill>
              <w14:schemeClr w14:val="tx1"/>
            </w14:solidFill>
          </w14:textFill>
        </w:rPr>
        <w:t>质量</w:t>
      </w:r>
      <w:r>
        <w:rPr>
          <w:b/>
          <w:color w:val="000000" w:themeColor="text1"/>
          <w:szCs w:val="21"/>
          <w:highlight w:val="none"/>
          <w14:textFill>
            <w14:solidFill>
              <w14:schemeClr w14:val="tx1"/>
            </w14:solidFill>
          </w14:textFill>
        </w:rPr>
        <w:t>保证与承诺</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7</w:t>
      </w:r>
      <w:r>
        <w:rPr>
          <w:b/>
          <w:color w:val="000000" w:themeColor="text1"/>
          <w:szCs w:val="21"/>
          <w:highlight w:val="none"/>
          <w14:textFill>
            <w14:solidFill>
              <w14:schemeClr w14:val="tx1"/>
            </w14:solidFill>
          </w14:textFill>
        </w:rPr>
        <w:t>分</w:t>
      </w:r>
    </w:p>
    <w:p w14:paraId="647F07AB">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优（</w:t>
      </w:r>
      <w:r>
        <w:rPr>
          <w:rFonts w:hint="eastAsia"/>
          <w:color w:val="000000" w:themeColor="text1"/>
          <w:kern w:val="0"/>
          <w:szCs w:val="21"/>
          <w:highlight w:val="none"/>
          <w:lang w:val="en-US" w:eastAsia="zh-CN"/>
          <w14:textFill>
            <w14:solidFill>
              <w14:schemeClr w14:val="tx1"/>
            </w14:solidFill>
          </w14:textFill>
        </w:rPr>
        <w:t>7</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）：针对项目实际提出先进、</w:t>
      </w:r>
      <w:r>
        <w:rPr>
          <w:rFonts w:hint="eastAsia"/>
          <w:bCs/>
          <w:color w:val="000000" w:themeColor="text1"/>
          <w:szCs w:val="21"/>
          <w:highlight w:val="none"/>
          <w14:textFill>
            <w14:solidFill>
              <w14:schemeClr w14:val="tx1"/>
            </w14:solidFill>
          </w14:textFill>
        </w:rPr>
        <w:t>科学</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健全、</w:t>
      </w:r>
      <w:r>
        <w:rPr>
          <w:bCs/>
          <w:color w:val="000000" w:themeColor="text1"/>
          <w:szCs w:val="21"/>
          <w:highlight w:val="none"/>
          <w14:textFill>
            <w14:solidFill>
              <w14:schemeClr w14:val="tx1"/>
            </w14:solidFill>
          </w14:textFill>
        </w:rPr>
        <w:t>具体的保证措施，</w:t>
      </w:r>
      <w:r>
        <w:rPr>
          <w:rFonts w:hint="eastAsia"/>
          <w:bCs/>
          <w:color w:val="000000" w:themeColor="text1"/>
          <w:szCs w:val="21"/>
          <w:highlight w:val="none"/>
          <w14:textFill>
            <w14:solidFill>
              <w14:schemeClr w14:val="tx1"/>
            </w14:solidFill>
          </w14:textFill>
        </w:rPr>
        <w:t>承诺达到质量</w:t>
      </w:r>
      <w:r>
        <w:rPr>
          <w:bCs/>
          <w:color w:val="000000" w:themeColor="text1"/>
          <w:szCs w:val="21"/>
          <w:highlight w:val="none"/>
          <w14:textFill>
            <w14:solidFill>
              <w14:schemeClr w14:val="tx1"/>
            </w14:solidFill>
          </w14:textFill>
        </w:rPr>
        <w:t>要求及施工验收规范</w:t>
      </w:r>
      <w:r>
        <w:rPr>
          <w:rFonts w:hint="eastAsia"/>
          <w:bCs/>
          <w:color w:val="000000" w:themeColor="text1"/>
          <w:szCs w:val="21"/>
          <w:highlight w:val="none"/>
          <w14:textFill>
            <w14:solidFill>
              <w14:schemeClr w14:val="tx1"/>
            </w14:solidFill>
          </w14:textFill>
        </w:rPr>
        <w:t>标准</w:t>
      </w:r>
      <w:r>
        <w:rPr>
          <w:bCs/>
          <w:color w:val="000000" w:themeColor="text1"/>
          <w:szCs w:val="21"/>
          <w:highlight w:val="none"/>
          <w14:textFill>
            <w14:solidFill>
              <w14:schemeClr w14:val="tx1"/>
            </w14:solidFill>
          </w14:textFill>
        </w:rPr>
        <w:t>。</w:t>
      </w:r>
    </w:p>
    <w:p w14:paraId="6EE1DA11">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良（</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）：针对项目实际提出具体的保证措施，</w:t>
      </w:r>
      <w:r>
        <w:rPr>
          <w:rFonts w:hint="eastAsia"/>
          <w:bCs/>
          <w:color w:val="000000" w:themeColor="text1"/>
          <w:szCs w:val="21"/>
          <w:highlight w:val="none"/>
          <w14:textFill>
            <w14:solidFill>
              <w14:schemeClr w14:val="tx1"/>
            </w14:solidFill>
          </w14:textFill>
        </w:rPr>
        <w:t>承诺达到</w:t>
      </w:r>
      <w:r>
        <w:rPr>
          <w:bCs/>
          <w:color w:val="000000" w:themeColor="text1"/>
          <w:szCs w:val="21"/>
          <w:highlight w:val="none"/>
          <w14:textFill>
            <w14:solidFill>
              <w14:schemeClr w14:val="tx1"/>
            </w14:solidFill>
          </w14:textFill>
        </w:rPr>
        <w:t>满足质量要求</w:t>
      </w:r>
      <w:r>
        <w:rPr>
          <w:rFonts w:hint="eastAsia"/>
          <w:bCs/>
          <w:color w:val="000000" w:themeColor="text1"/>
          <w:szCs w:val="21"/>
          <w:highlight w:val="none"/>
          <w14:textFill>
            <w14:solidFill>
              <w14:schemeClr w14:val="tx1"/>
            </w14:solidFill>
          </w14:textFill>
        </w:rPr>
        <w:t>及验收标准</w:t>
      </w:r>
      <w:r>
        <w:rPr>
          <w:bCs/>
          <w:color w:val="000000" w:themeColor="text1"/>
          <w:szCs w:val="21"/>
          <w:highlight w:val="none"/>
          <w14:textFill>
            <w14:solidFill>
              <w14:schemeClr w14:val="tx1"/>
            </w14:solidFill>
          </w14:textFill>
        </w:rPr>
        <w:t>。</w:t>
      </w:r>
    </w:p>
    <w:p w14:paraId="04ACA604">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中（</w:t>
      </w:r>
      <w:r>
        <w:rPr>
          <w:rFonts w:hint="eastAsia"/>
          <w:color w:val="000000" w:themeColor="text1"/>
          <w:kern w:val="0"/>
          <w:szCs w:val="21"/>
          <w:highlight w:val="none"/>
          <w:lang w:val="en-US" w:eastAsia="zh-CN"/>
          <w14:textFill>
            <w14:solidFill>
              <w14:schemeClr w14:val="tx1"/>
            </w14:solidFill>
          </w14:textFill>
        </w:rPr>
        <w:t>3</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）：针对项目实际提出具体的保证措施，</w:t>
      </w:r>
      <w:r>
        <w:rPr>
          <w:rFonts w:hint="eastAsia"/>
          <w:bCs/>
          <w:color w:val="000000" w:themeColor="text1"/>
          <w:szCs w:val="21"/>
          <w:highlight w:val="none"/>
          <w14:textFill>
            <w14:solidFill>
              <w14:schemeClr w14:val="tx1"/>
            </w14:solidFill>
          </w14:textFill>
        </w:rPr>
        <w:t>但有缺漏，承诺达到</w:t>
      </w:r>
      <w:r>
        <w:rPr>
          <w:bCs/>
          <w:color w:val="000000" w:themeColor="text1"/>
          <w:szCs w:val="21"/>
          <w:highlight w:val="none"/>
          <w14:textFill>
            <w14:solidFill>
              <w14:schemeClr w14:val="tx1"/>
            </w14:solidFill>
          </w14:textFill>
        </w:rPr>
        <w:t>满足</w:t>
      </w:r>
      <w:r>
        <w:rPr>
          <w:rFonts w:hint="eastAsia"/>
          <w:bCs/>
          <w:color w:val="000000" w:themeColor="text1"/>
          <w:szCs w:val="21"/>
          <w:highlight w:val="none"/>
          <w14:textFill>
            <w14:solidFill>
              <w14:schemeClr w14:val="tx1"/>
            </w14:solidFill>
          </w14:textFill>
        </w:rPr>
        <w:t>达到验收</w:t>
      </w:r>
      <w:r>
        <w:rPr>
          <w:bCs/>
          <w:color w:val="000000" w:themeColor="text1"/>
          <w:szCs w:val="21"/>
          <w:highlight w:val="none"/>
          <w14:textFill>
            <w14:solidFill>
              <w14:schemeClr w14:val="tx1"/>
            </w14:solidFill>
          </w14:textFill>
        </w:rPr>
        <w:t>的质量</w:t>
      </w:r>
      <w:r>
        <w:rPr>
          <w:rFonts w:hint="eastAsia"/>
          <w:bCs/>
          <w:color w:val="000000" w:themeColor="text1"/>
          <w:szCs w:val="21"/>
          <w:highlight w:val="none"/>
          <w14:textFill>
            <w14:solidFill>
              <w14:schemeClr w14:val="tx1"/>
            </w14:solidFill>
          </w14:textFill>
        </w:rPr>
        <w:t>标准</w:t>
      </w:r>
      <w:r>
        <w:rPr>
          <w:bCs/>
          <w:color w:val="000000" w:themeColor="text1"/>
          <w:szCs w:val="21"/>
          <w:highlight w:val="none"/>
          <w14:textFill>
            <w14:solidFill>
              <w14:schemeClr w14:val="tx1"/>
            </w14:solidFill>
          </w14:textFill>
        </w:rPr>
        <w:t>。</w:t>
      </w:r>
    </w:p>
    <w:p w14:paraId="607AF35B">
      <w:pPr>
        <w:spacing w:line="440" w:lineRule="exact"/>
        <w:ind w:firstLine="535" w:firstLineChars="255"/>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差（</w:t>
      </w:r>
      <w:r>
        <w:rPr>
          <w:rFonts w:hint="eastAsia"/>
          <w:bCs/>
          <w:color w:val="000000" w:themeColor="text1"/>
          <w:szCs w:val="21"/>
          <w:highlight w:val="none"/>
          <w:lang w:val="en-US" w:eastAsia="zh-CN"/>
          <w14:textFill>
            <w14:solidFill>
              <w14:schemeClr w14:val="tx1"/>
            </w14:solidFill>
          </w14:textFill>
        </w:rPr>
        <w:t>1</w:t>
      </w:r>
      <w:r>
        <w:rPr>
          <w:color w:val="000000" w:themeColor="text1"/>
          <w:kern w:val="0"/>
          <w:szCs w:val="21"/>
          <w:highlight w:val="none"/>
          <w14:textFill>
            <w14:solidFill>
              <w14:schemeClr w14:val="tx1"/>
            </w14:solidFill>
          </w14:textFill>
        </w:rPr>
        <w:t>分</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 xml:space="preserve"> </w:t>
      </w:r>
      <w:r>
        <w:rPr>
          <w:bCs/>
          <w:color w:val="000000" w:themeColor="text1"/>
          <w:szCs w:val="21"/>
          <w:highlight w:val="none"/>
          <w14:textFill>
            <w14:solidFill>
              <w14:schemeClr w14:val="tx1"/>
            </w14:solidFill>
          </w14:textFill>
        </w:rPr>
        <w:t>针对项目实际提出的保证措施，有</w:t>
      </w:r>
      <w:r>
        <w:rPr>
          <w:rFonts w:hint="eastAsia"/>
          <w:bCs/>
          <w:color w:val="000000" w:themeColor="text1"/>
          <w:szCs w:val="21"/>
          <w:highlight w:val="none"/>
          <w14:textFill>
            <w14:solidFill>
              <w14:schemeClr w14:val="tx1"/>
            </w14:solidFill>
          </w14:textFill>
        </w:rPr>
        <w:t>重大</w:t>
      </w:r>
      <w:r>
        <w:rPr>
          <w:bCs/>
          <w:color w:val="000000" w:themeColor="text1"/>
          <w:szCs w:val="21"/>
          <w:highlight w:val="none"/>
          <w14:textFill>
            <w14:solidFill>
              <w14:schemeClr w14:val="tx1"/>
            </w14:solidFill>
          </w14:textFill>
        </w:rPr>
        <w:t>缺漏，</w:t>
      </w:r>
      <w:r>
        <w:rPr>
          <w:rFonts w:hint="eastAsia"/>
          <w:bCs/>
          <w:color w:val="000000" w:themeColor="text1"/>
          <w:szCs w:val="21"/>
          <w:highlight w:val="none"/>
          <w14:textFill>
            <w14:solidFill>
              <w14:schemeClr w14:val="tx1"/>
            </w14:solidFill>
          </w14:textFill>
        </w:rPr>
        <w:t>未承诺</w:t>
      </w:r>
      <w:r>
        <w:rPr>
          <w:bCs/>
          <w:color w:val="000000" w:themeColor="text1"/>
          <w:szCs w:val="21"/>
          <w:highlight w:val="none"/>
          <w14:textFill>
            <w14:solidFill>
              <w14:schemeClr w14:val="tx1"/>
            </w14:solidFill>
          </w14:textFill>
        </w:rPr>
        <w:t>达到验收的质量标准。</w:t>
      </w:r>
    </w:p>
    <w:p w14:paraId="389F1D6C">
      <w:pPr>
        <w:spacing w:line="440" w:lineRule="exact"/>
        <w:ind w:firstLine="538" w:firstLineChars="255"/>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（9）新技术应用与承诺</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b/>
          <w:color w:val="000000" w:themeColor="text1"/>
          <w:szCs w:val="21"/>
          <w:highlight w:val="none"/>
          <w14:textFill>
            <w14:solidFill>
              <w14:schemeClr w14:val="tx1"/>
            </w14:solidFill>
          </w14:textFill>
        </w:rPr>
        <w:t>…</w:t>
      </w:r>
      <w:r>
        <w:rPr>
          <w:b/>
          <w:color w:val="000000" w:themeColor="text1"/>
          <w:szCs w:val="22"/>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7</w:t>
      </w:r>
      <w:r>
        <w:rPr>
          <w:b/>
          <w:color w:val="000000" w:themeColor="text1"/>
          <w:szCs w:val="21"/>
          <w:highlight w:val="none"/>
          <w14:textFill>
            <w14:solidFill>
              <w14:schemeClr w14:val="tx1"/>
            </w14:solidFill>
          </w14:textFill>
        </w:rPr>
        <w:t>分</w:t>
      </w:r>
    </w:p>
    <w:p w14:paraId="4929B799">
      <w:pPr>
        <w:spacing w:line="440" w:lineRule="exact"/>
        <w:ind w:firstLine="535" w:firstLineChars="255"/>
        <w:rPr>
          <w:color w:val="000000" w:themeColor="text1"/>
          <w:szCs w:val="22"/>
          <w:highlight w:val="none"/>
          <w14:textFill>
            <w14:solidFill>
              <w14:schemeClr w14:val="tx1"/>
            </w14:solidFill>
          </w14:textFill>
        </w:rPr>
      </w:pPr>
      <w:r>
        <w:rPr>
          <w:color w:val="000000" w:themeColor="text1"/>
          <w:szCs w:val="22"/>
          <w:highlight w:val="none"/>
          <w14:textFill>
            <w14:solidFill>
              <w14:schemeClr w14:val="tx1"/>
            </w14:solidFill>
          </w14:textFill>
        </w:rPr>
        <w:t>优（</w:t>
      </w:r>
      <w:r>
        <w:rPr>
          <w:rFonts w:hint="eastAsia"/>
          <w:color w:val="000000" w:themeColor="text1"/>
          <w:kern w:val="0"/>
          <w:szCs w:val="21"/>
          <w:highlight w:val="none"/>
          <w:lang w:val="en-US" w:eastAsia="zh-CN"/>
          <w14:textFill>
            <w14:solidFill>
              <w14:schemeClr w14:val="tx1"/>
            </w14:solidFill>
          </w14:textFill>
        </w:rPr>
        <w:t>7</w:t>
      </w:r>
      <w:r>
        <w:rPr>
          <w:color w:val="000000" w:themeColor="text1"/>
          <w:kern w:val="0"/>
          <w:szCs w:val="21"/>
          <w:highlight w:val="none"/>
          <w14:textFill>
            <w14:solidFill>
              <w14:schemeClr w14:val="tx1"/>
            </w14:solidFill>
          </w14:textFill>
        </w:rPr>
        <w:t>分</w:t>
      </w:r>
      <w:r>
        <w:rPr>
          <w:color w:val="000000" w:themeColor="text1"/>
          <w:szCs w:val="22"/>
          <w:highlight w:val="none"/>
          <w14:textFill>
            <w14:solidFill>
              <w14:schemeClr w14:val="tx1"/>
            </w14:solidFill>
          </w14:textFill>
        </w:rPr>
        <w:t>）：针对项目实际，提出采用新技术的具体措施。新技术的验证材料可靠，对节约投资和工期的保证措施</w:t>
      </w:r>
      <w:r>
        <w:rPr>
          <w:rFonts w:hint="eastAsia"/>
          <w:color w:val="000000" w:themeColor="text1"/>
          <w:szCs w:val="22"/>
          <w:highlight w:val="none"/>
          <w14:textFill>
            <w14:solidFill>
              <w14:schemeClr w14:val="tx1"/>
            </w14:solidFill>
          </w14:textFill>
        </w:rPr>
        <w:t>有效</w:t>
      </w:r>
      <w:r>
        <w:rPr>
          <w:color w:val="000000" w:themeColor="text1"/>
          <w:szCs w:val="22"/>
          <w:highlight w:val="none"/>
          <w14:textFill>
            <w14:solidFill>
              <w14:schemeClr w14:val="tx1"/>
            </w14:solidFill>
          </w14:textFill>
        </w:rPr>
        <w:t>、具体、严谨。对采用新技术可能产生的风险预见充分，对新技术的实施有安全生产的可靠方案。</w:t>
      </w:r>
    </w:p>
    <w:p w14:paraId="498F618E">
      <w:pPr>
        <w:spacing w:line="440" w:lineRule="exact"/>
        <w:ind w:firstLine="535" w:firstLineChars="255"/>
        <w:rPr>
          <w:color w:val="000000" w:themeColor="text1"/>
          <w:szCs w:val="22"/>
          <w:highlight w:val="none"/>
          <w14:textFill>
            <w14:solidFill>
              <w14:schemeClr w14:val="tx1"/>
            </w14:solidFill>
          </w14:textFill>
        </w:rPr>
      </w:pPr>
      <w:r>
        <w:rPr>
          <w:color w:val="000000" w:themeColor="text1"/>
          <w:szCs w:val="22"/>
          <w:highlight w:val="none"/>
          <w14:textFill>
            <w14:solidFill>
              <w14:schemeClr w14:val="tx1"/>
            </w14:solidFill>
          </w14:textFill>
        </w:rPr>
        <w:t>良（</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分</w:t>
      </w:r>
      <w:r>
        <w:rPr>
          <w:color w:val="000000" w:themeColor="text1"/>
          <w:szCs w:val="22"/>
          <w:highlight w:val="none"/>
          <w14:textFill>
            <w14:solidFill>
              <w14:schemeClr w14:val="tx1"/>
            </w14:solidFill>
          </w14:textFill>
        </w:rPr>
        <w:t>）：针对项目实际，提出采用新技术的具体措施。新技术的验证材料可靠，对节约投资和工期有保证措施。对采用新技术可能产生的风险有一定的预见。</w:t>
      </w:r>
    </w:p>
    <w:p w14:paraId="414134BE">
      <w:pPr>
        <w:spacing w:line="440" w:lineRule="exact"/>
        <w:ind w:firstLine="535" w:firstLineChars="255"/>
        <w:rPr>
          <w:color w:val="000000" w:themeColor="text1"/>
          <w:szCs w:val="21"/>
          <w:highlight w:val="none"/>
          <w14:textFill>
            <w14:solidFill>
              <w14:schemeClr w14:val="tx1"/>
            </w14:solidFill>
          </w14:textFill>
        </w:rPr>
      </w:pPr>
      <w:r>
        <w:rPr>
          <w:color w:val="000000" w:themeColor="text1"/>
          <w:szCs w:val="22"/>
          <w:highlight w:val="none"/>
          <w14:textFill>
            <w14:solidFill>
              <w14:schemeClr w14:val="tx1"/>
            </w14:solidFill>
          </w14:textFill>
        </w:rPr>
        <w:t>中（</w:t>
      </w:r>
      <w:r>
        <w:rPr>
          <w:rFonts w:hint="eastAsia"/>
          <w:color w:val="000000" w:themeColor="text1"/>
          <w:kern w:val="0"/>
          <w:szCs w:val="21"/>
          <w:highlight w:val="none"/>
          <w:lang w:val="en-US" w:eastAsia="zh-CN"/>
          <w14:textFill>
            <w14:solidFill>
              <w14:schemeClr w14:val="tx1"/>
            </w14:solidFill>
          </w14:textFill>
        </w:rPr>
        <w:t>3</w:t>
      </w:r>
      <w:r>
        <w:rPr>
          <w:color w:val="000000" w:themeColor="text1"/>
          <w:kern w:val="0"/>
          <w:szCs w:val="21"/>
          <w:highlight w:val="none"/>
          <w14:textFill>
            <w14:solidFill>
              <w14:schemeClr w14:val="tx1"/>
            </w14:solidFill>
          </w14:textFill>
        </w:rPr>
        <w:t>分</w:t>
      </w:r>
      <w:r>
        <w:rPr>
          <w:color w:val="000000" w:themeColor="text1"/>
          <w:szCs w:val="22"/>
          <w:highlight w:val="none"/>
          <w14:textFill>
            <w14:solidFill>
              <w14:schemeClr w14:val="tx1"/>
            </w14:solidFill>
          </w14:textFill>
        </w:rPr>
        <w:t>）：有新技术措施，但验证材料不充分，对节约投资和工期可能有一定收益，对</w:t>
      </w:r>
      <w:r>
        <w:rPr>
          <w:color w:val="000000" w:themeColor="text1"/>
          <w:szCs w:val="21"/>
          <w:highlight w:val="none"/>
          <w14:textFill>
            <w14:solidFill>
              <w14:schemeClr w14:val="tx1"/>
            </w14:solidFill>
          </w14:textFill>
        </w:rPr>
        <w:t>采用新技术可能产生的风险预见不足。</w:t>
      </w:r>
    </w:p>
    <w:p w14:paraId="0144F15B">
      <w:pPr>
        <w:spacing w:line="440" w:lineRule="exact"/>
        <w:ind w:firstLine="535" w:firstLineChars="255"/>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差（</w:t>
      </w:r>
      <w:r>
        <w:rPr>
          <w:rFonts w:hint="eastAsia"/>
          <w:color w:val="000000" w:themeColor="text1"/>
          <w:szCs w:val="21"/>
          <w:highlight w:val="none"/>
          <w:lang w:val="en-US" w:eastAsia="zh-CN"/>
          <w14:textFill>
            <w14:solidFill>
              <w14:schemeClr w14:val="tx1"/>
            </w14:solidFill>
          </w14:textFill>
        </w:rPr>
        <w:t>1</w:t>
      </w:r>
      <w:r>
        <w:rPr>
          <w:color w:val="000000" w:themeColor="text1"/>
          <w:kern w:val="0"/>
          <w:szCs w:val="21"/>
          <w:highlight w:val="none"/>
          <w14:textFill>
            <w14:solidFill>
              <w14:schemeClr w14:val="tx1"/>
            </w14:solidFill>
          </w14:textFill>
        </w:rPr>
        <w:t>分</w:t>
      </w:r>
      <w:r>
        <w:rPr>
          <w:color w:val="000000" w:themeColor="text1"/>
          <w:szCs w:val="21"/>
          <w:highlight w:val="none"/>
          <w14:textFill>
            <w14:solidFill>
              <w14:schemeClr w14:val="tx1"/>
            </w14:solidFill>
          </w14:textFill>
        </w:rPr>
        <w:t>）：采用的新技术针对性不强或验证材料不可靠，对节约投资和工期没有具体收益。</w:t>
      </w:r>
    </w:p>
    <w:p w14:paraId="5EDD3DDB">
      <w:pPr>
        <w:spacing w:line="440" w:lineRule="exact"/>
        <w:ind w:firstLine="538" w:firstLineChars="255"/>
        <w:rPr>
          <w:b/>
          <w:bCs/>
          <w:color w:val="000000" w:themeColor="text1"/>
          <w:kern w:val="0"/>
          <w:szCs w:val="21"/>
          <w:highlight w:val="none"/>
          <w14:textFill>
            <w14:solidFill>
              <w14:schemeClr w14:val="tx1"/>
            </w14:solidFill>
          </w14:textFill>
        </w:rPr>
      </w:pPr>
      <w:bookmarkStart w:id="305" w:name="_Toc27705"/>
      <w:bookmarkStart w:id="306" w:name="_Toc23170"/>
      <w:bookmarkStart w:id="307" w:name="_Toc4007"/>
      <w:r>
        <w:rPr>
          <w:b/>
          <w:color w:val="000000" w:themeColor="text1"/>
          <w:kern w:val="0"/>
          <w:szCs w:val="21"/>
          <w:highlight w:val="none"/>
          <w14:textFill>
            <w14:solidFill>
              <w14:schemeClr w14:val="tx1"/>
            </w14:solidFill>
          </w14:textFill>
        </w:rPr>
        <w:t>注：</w:t>
      </w:r>
      <w:r>
        <w:rPr>
          <w:b/>
          <w:color w:val="000000" w:themeColor="text1"/>
          <w:highlight w:val="none"/>
          <w14:textFill>
            <w14:solidFill>
              <w14:schemeClr w14:val="tx1"/>
            </w14:solidFill>
          </w14:textFill>
        </w:rPr>
        <w:t>供应商</w:t>
      </w:r>
      <w:r>
        <w:rPr>
          <w:b/>
          <w:color w:val="000000" w:themeColor="text1"/>
          <w:kern w:val="0"/>
          <w:szCs w:val="21"/>
          <w:highlight w:val="none"/>
          <w14:textFill>
            <w14:solidFill>
              <w14:schemeClr w14:val="tx1"/>
            </w14:solidFill>
          </w14:textFill>
        </w:rPr>
        <w:t>未提供上述“施工组织</w:t>
      </w:r>
      <w:r>
        <w:rPr>
          <w:rFonts w:hint="eastAsia"/>
          <w:b/>
          <w:color w:val="000000" w:themeColor="text1"/>
          <w:kern w:val="0"/>
          <w:szCs w:val="21"/>
          <w:highlight w:val="none"/>
          <w14:textFill>
            <w14:solidFill>
              <w14:schemeClr w14:val="tx1"/>
            </w14:solidFill>
          </w14:textFill>
        </w:rPr>
        <w:t>设计</w:t>
      </w:r>
      <w:r>
        <w:rPr>
          <w:b/>
          <w:color w:val="000000" w:themeColor="text1"/>
          <w:kern w:val="0"/>
          <w:szCs w:val="21"/>
          <w:highlight w:val="none"/>
          <w14:textFill>
            <w14:solidFill>
              <w14:schemeClr w14:val="tx1"/>
            </w14:solidFill>
          </w14:textFill>
        </w:rPr>
        <w:t>方案”相应内容的，相应项不得分。</w:t>
      </w:r>
      <w:bookmarkEnd w:id="305"/>
      <w:bookmarkEnd w:id="306"/>
      <w:bookmarkEnd w:id="307"/>
    </w:p>
    <w:p w14:paraId="52147781">
      <w:pPr>
        <w:tabs>
          <w:tab w:val="left" w:pos="1305"/>
        </w:tabs>
        <w:spacing w:line="440" w:lineRule="exact"/>
        <w:ind w:firstLine="211" w:firstLineChars="1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3、项目管理机构</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4</w:t>
      </w:r>
      <w:r>
        <w:rPr>
          <w:b/>
          <w:bCs/>
          <w:color w:val="000000" w:themeColor="text1"/>
          <w:szCs w:val="21"/>
          <w:highlight w:val="none"/>
          <w14:textFill>
            <w14:solidFill>
              <w14:schemeClr w14:val="tx1"/>
            </w14:solidFill>
          </w14:textFill>
        </w:rPr>
        <w:t>分</w:t>
      </w:r>
    </w:p>
    <w:p w14:paraId="72C9A704">
      <w:pPr>
        <w:spacing w:line="440" w:lineRule="exact"/>
        <w:ind w:firstLine="535" w:firstLineChars="25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（1）技术负责人具有工程类中级及以上职称的得3分。</w:t>
      </w:r>
    </w:p>
    <w:p w14:paraId="18B7A452">
      <w:pPr>
        <w:spacing w:line="440" w:lineRule="exact"/>
        <w:ind w:firstLine="535" w:firstLineChars="25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（2）除项目经理、技术负责人外，拟投入管理人员具有</w:t>
      </w:r>
      <w:r>
        <w:rPr>
          <w:rFonts w:hint="eastAsia"/>
          <w:color w:val="000000" w:themeColor="text1"/>
          <w:highlight w:val="none"/>
          <w:lang w:eastAsia="zh-CN"/>
          <w14:textFill>
            <w14:solidFill>
              <w14:schemeClr w14:val="tx1"/>
            </w14:solidFill>
          </w14:textFill>
        </w:rPr>
        <w:t>工</w:t>
      </w:r>
      <w:r>
        <w:rPr>
          <w:rFonts w:hint="eastAsia"/>
          <w:color w:val="000000" w:themeColor="text1"/>
          <w:highlight w:val="none"/>
          <w14:textFill>
            <w14:solidFill>
              <w14:schemeClr w14:val="tx1"/>
            </w14:solidFill>
          </w14:textFill>
        </w:rPr>
        <w:t>程师职称得1分，具有初级工程师职称得0.5分，满分1分。（只记最高一个职称得分，本项满分</w:t>
      </w:r>
      <w:r>
        <w:rPr>
          <w:rFonts w:hint="eastAsia"/>
          <w:b w:val="0"/>
          <w:bCs w:val="0"/>
          <w:color w:val="000000" w:themeColor="text1"/>
          <w:highlight w:val="none"/>
          <w14:textFill>
            <w14:solidFill>
              <w14:schemeClr w14:val="tx1"/>
            </w14:solidFill>
          </w14:textFill>
        </w:rPr>
        <w:t>1分）</w:t>
      </w:r>
    </w:p>
    <w:p w14:paraId="675801B8">
      <w:pPr>
        <w:tabs>
          <w:tab w:val="left" w:pos="1305"/>
        </w:tabs>
        <w:spacing w:line="440" w:lineRule="exact"/>
        <w:ind w:left="210"/>
        <w:rPr>
          <w:b/>
          <w:bCs/>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4、</w:t>
      </w:r>
      <w:r>
        <w:rPr>
          <w:b/>
          <w:bCs/>
          <w:color w:val="000000" w:themeColor="text1"/>
          <w:highlight w:val="none"/>
          <w14:textFill>
            <w14:solidFill>
              <w14:schemeClr w14:val="tx1"/>
            </w14:solidFill>
          </w14:textFill>
        </w:rPr>
        <w:t>业绩分………………</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6</w:t>
      </w:r>
      <w:r>
        <w:rPr>
          <w:b/>
          <w:bCs/>
          <w:color w:val="000000" w:themeColor="text1"/>
          <w:szCs w:val="21"/>
          <w:highlight w:val="none"/>
          <w14:textFill>
            <w14:solidFill>
              <w14:schemeClr w14:val="tx1"/>
            </w14:solidFill>
          </w14:textFill>
        </w:rPr>
        <w:t>分</w:t>
      </w:r>
    </w:p>
    <w:p w14:paraId="5A23E6DE">
      <w:pPr>
        <w:spacing w:line="440" w:lineRule="exact"/>
        <w:ind w:firstLine="535" w:firstLineChars="25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w:t>
      </w: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年1月1日</w:t>
      </w:r>
      <w:r>
        <w:rPr>
          <w:color w:val="000000" w:themeColor="text1"/>
          <w:highlight w:val="none"/>
          <w14:textFill>
            <w14:solidFill>
              <w14:schemeClr w14:val="tx1"/>
            </w14:solidFill>
          </w14:textFill>
        </w:rPr>
        <w:t>以来完成的类似项目业绩，每提供一个得</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分，满分</w:t>
      </w:r>
      <w:r>
        <w:rPr>
          <w:rFonts w:hint="eastAsia"/>
          <w:b w:val="0"/>
          <w:bCs w:val="0"/>
          <w:color w:val="000000" w:themeColor="text1"/>
          <w:highlight w:val="none"/>
          <w14:textFill>
            <w14:solidFill>
              <w14:schemeClr w14:val="tx1"/>
            </w14:solidFill>
          </w14:textFill>
        </w:rPr>
        <w:t>6</w:t>
      </w:r>
      <w:r>
        <w:rPr>
          <w:b w:val="0"/>
          <w:bCs w:val="0"/>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。以中标、成交通知书或签订的合同为准。</w:t>
      </w:r>
    </w:p>
    <w:p w14:paraId="1220F74B">
      <w:pPr>
        <w:tabs>
          <w:tab w:val="left" w:pos="1305"/>
        </w:tabs>
        <w:spacing w:line="440" w:lineRule="exact"/>
        <w:ind w:firstLine="211" w:firstLineChars="1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5</w:t>
      </w:r>
      <w:r>
        <w:rPr>
          <w:b/>
          <w:color w:val="000000" w:themeColor="text1"/>
          <w:szCs w:val="21"/>
          <w:highlight w:val="none"/>
          <w14:textFill>
            <w14:solidFill>
              <w14:schemeClr w14:val="tx1"/>
            </w14:solidFill>
          </w14:textFill>
        </w:rPr>
        <w:t>、综合得分＝1+2+3+4</w:t>
      </w:r>
    </w:p>
    <w:p w14:paraId="31A7EF68">
      <w:pPr>
        <w:tabs>
          <w:tab w:val="left" w:pos="1305"/>
        </w:tabs>
        <w:spacing w:line="440" w:lineRule="exact"/>
        <w:ind w:firstLine="211" w:firstLineChars="100"/>
        <w:outlineLvl w:val="1"/>
        <w:rPr>
          <w:rFonts w:ascii="宋体" w:hAnsi="宋体" w:cs="宋体"/>
          <w:b/>
          <w:color w:val="000000" w:themeColor="text1"/>
          <w:szCs w:val="21"/>
          <w:highlight w:val="none"/>
          <w14:textFill>
            <w14:solidFill>
              <w14:schemeClr w14:val="tx1"/>
            </w14:solidFill>
          </w14:textFill>
        </w:rPr>
      </w:pPr>
      <w:bookmarkStart w:id="308" w:name="_Toc19546"/>
      <w:bookmarkStart w:id="309" w:name="_Toc9661"/>
      <w:r>
        <w:rPr>
          <w:rFonts w:hint="eastAsia" w:ascii="宋体" w:hAnsi="宋体" w:cs="宋体"/>
          <w:b/>
          <w:color w:val="000000" w:themeColor="text1"/>
          <w:szCs w:val="21"/>
          <w:highlight w:val="none"/>
          <w14:textFill>
            <w14:solidFill>
              <w14:schemeClr w14:val="tx1"/>
            </w14:solidFill>
          </w14:textFill>
        </w:rPr>
        <w:t>三、推荐成交候选人原则</w:t>
      </w:r>
      <w:bookmarkEnd w:id="308"/>
      <w:bookmarkEnd w:id="309"/>
    </w:p>
    <w:p w14:paraId="57E40965">
      <w:pPr>
        <w:tabs>
          <w:tab w:val="left" w:pos="1305"/>
        </w:tabs>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项目管理机构分、业绩分由高到低顺序排列并推荐成交候选供应商。</w:t>
      </w:r>
    </w:p>
    <w:p w14:paraId="48B2573C">
      <w:pPr>
        <w:tabs>
          <w:tab w:val="left" w:pos="1305"/>
        </w:tabs>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（2）采购人应当确定磋商小组推荐排名第一的成交候选供应商为成交供应商。</w:t>
      </w:r>
    </w:p>
    <w:p w14:paraId="4E18244C">
      <w:pPr>
        <w:tabs>
          <w:tab w:val="left" w:pos="1305"/>
        </w:tabs>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（3）排名第一的成交候选供应商放弃成交、因不可抗力提出不能履行合同，采购人可以按照评审报告推荐的成交候选供应商名单排序，确定下一候选供应商为成交供应商，也可以重新开展政府采购活动。</w:t>
      </w:r>
    </w:p>
    <w:p w14:paraId="759E5816">
      <w:pPr>
        <w:tabs>
          <w:tab w:val="left" w:pos="1305"/>
        </w:tabs>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31BC8286">
      <w:pPr>
        <w:tabs>
          <w:tab w:val="left" w:pos="1305"/>
        </w:tabs>
        <w:spacing w:line="440" w:lineRule="exact"/>
        <w:ind w:firstLine="420" w:firstLineChars="200"/>
        <w:rPr>
          <w:rFonts w:ascii="宋体" w:hAnsi="宋体" w:cs="宋体"/>
          <w:color w:val="000000" w:themeColor="text1"/>
          <w:szCs w:val="21"/>
          <w:highlight w:val="none"/>
          <w14:textFill>
            <w14:solidFill>
              <w14:schemeClr w14:val="tx1"/>
            </w14:solidFill>
          </w14:textFill>
        </w:rPr>
      </w:pPr>
    </w:p>
    <w:p w14:paraId="4D3167E1">
      <w:pPr>
        <w:widowControl/>
        <w:jc w:val="left"/>
        <w:rPr>
          <w:color w:val="000000" w:themeColor="text1"/>
          <w:kern w:val="0"/>
          <w:sz w:val="24"/>
          <w:szCs w:val="20"/>
          <w:highlight w:val="none"/>
          <w14:textFill>
            <w14:solidFill>
              <w14:schemeClr w14:val="tx1"/>
            </w14:solidFill>
          </w14:textFill>
        </w:rPr>
      </w:pPr>
      <w:r>
        <w:rPr>
          <w:color w:val="000000" w:themeColor="text1"/>
          <w:highlight w:val="none"/>
          <w14:textFill>
            <w14:solidFill>
              <w14:schemeClr w14:val="tx1"/>
            </w14:solidFill>
          </w14:textFill>
        </w:rPr>
        <w:br w:type="page"/>
      </w:r>
    </w:p>
    <w:p w14:paraId="5CF46CCC">
      <w:pPr>
        <w:pStyle w:val="23"/>
        <w:rPr>
          <w:color w:val="000000" w:themeColor="text1"/>
          <w:highlight w:val="none"/>
          <w14:textFill>
            <w14:solidFill>
              <w14:schemeClr w14:val="tx1"/>
            </w14:solidFill>
          </w14:textFill>
        </w:rPr>
      </w:pPr>
    </w:p>
    <w:p w14:paraId="12F65A8E">
      <w:pPr>
        <w:spacing w:line="280" w:lineRule="exact"/>
        <w:outlineLvl w:val="1"/>
        <w:rPr>
          <w:rFonts w:ascii="宋体" w:hAnsi="宋体" w:cs="宋体"/>
          <w:b/>
          <w:bCs/>
          <w:color w:val="000000" w:themeColor="text1"/>
          <w:sz w:val="24"/>
          <w:highlight w:val="none"/>
          <w14:textFill>
            <w14:solidFill>
              <w14:schemeClr w14:val="tx1"/>
            </w14:solidFill>
          </w14:textFill>
        </w:rPr>
      </w:pPr>
      <w:bookmarkStart w:id="310" w:name="_Toc24437"/>
      <w:bookmarkStart w:id="311" w:name="_Toc23442"/>
      <w:r>
        <w:rPr>
          <w:rFonts w:hint="eastAsia" w:ascii="宋体" w:hAnsi="宋体" w:cs="宋体"/>
          <w:b/>
          <w:bCs/>
          <w:color w:val="000000" w:themeColor="text1"/>
          <w:sz w:val="24"/>
          <w:highlight w:val="none"/>
          <w14:textFill>
            <w14:solidFill>
              <w14:schemeClr w14:val="tx1"/>
            </w14:solidFill>
          </w14:textFill>
        </w:rPr>
        <w:t>附表</w:t>
      </w:r>
      <w:bookmarkEnd w:id="310"/>
      <w:bookmarkEnd w:id="311"/>
    </w:p>
    <w:p w14:paraId="0A11C9BC">
      <w:pPr>
        <w:widowControl/>
        <w:spacing w:before="156" w:beforeLines="50" w:after="156" w:afterLines="50" w:line="280" w:lineRule="exact"/>
        <w:jc w:val="center"/>
        <w:rPr>
          <w:rFonts w:ascii="宋体" w:hAnsi="宋体" w:cs="宋体"/>
          <w:b/>
          <w:bCs/>
          <w:color w:val="000000" w:themeColor="text1"/>
          <w:kern w:val="0"/>
          <w:sz w:val="30"/>
          <w:szCs w:val="30"/>
          <w:highlight w:val="none"/>
          <w14:textFill>
            <w14:solidFill>
              <w14:schemeClr w14:val="tx1"/>
            </w14:solidFill>
          </w14:textFill>
        </w:rPr>
      </w:pPr>
      <w:bookmarkStart w:id="312" w:name="_Toc28361_WPSOffice_Level2"/>
      <w:r>
        <w:rPr>
          <w:rFonts w:hint="eastAsia" w:ascii="宋体" w:hAnsi="宋体" w:cs="宋体"/>
          <w:b/>
          <w:bCs/>
          <w:color w:val="000000" w:themeColor="text1"/>
          <w:kern w:val="0"/>
          <w:sz w:val="30"/>
          <w:szCs w:val="30"/>
          <w:highlight w:val="none"/>
          <w14:textFill>
            <w14:solidFill>
              <w14:schemeClr w14:val="tx1"/>
            </w14:solidFill>
          </w14:textFill>
        </w:rPr>
        <w:t>统计上大中小微型企业划分标准</w:t>
      </w:r>
      <w:bookmarkEnd w:id="312"/>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F11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0D32404D">
            <w:pPr>
              <w:widowControl/>
              <w:spacing w:line="280" w:lineRule="exact"/>
              <w:jc w:val="center"/>
              <w:rPr>
                <w:rFonts w:ascii="宋体" w:hAnsi="宋体" w:cs="宋体"/>
                <w:b/>
                <w:bCs/>
                <w:color w:val="000000" w:themeColor="text1"/>
                <w:kern w:val="0"/>
                <w:sz w:val="18"/>
                <w:szCs w:val="21"/>
                <w:highlight w:val="none"/>
                <w14:textFill>
                  <w14:solidFill>
                    <w14:schemeClr w14:val="tx1"/>
                  </w14:solidFill>
                </w14:textFill>
              </w:rPr>
            </w:pPr>
            <w:r>
              <w:rPr>
                <w:rFonts w:hint="eastAsia" w:ascii="宋体" w:hAnsi="宋体" w:cs="宋体"/>
                <w:b/>
                <w:bCs/>
                <w:color w:val="000000" w:themeColor="text1"/>
                <w:kern w:val="0"/>
                <w:sz w:val="18"/>
                <w:szCs w:val="21"/>
                <w:highlight w:val="none"/>
                <w14:textFill>
                  <w14:solidFill>
                    <w14:schemeClr w14:val="tx1"/>
                  </w14:solidFill>
                </w14:textFill>
              </w:rPr>
              <w:t>行业名称</w:t>
            </w:r>
          </w:p>
        </w:tc>
        <w:tc>
          <w:tcPr>
            <w:tcW w:w="1369" w:type="dxa"/>
            <w:shd w:val="clear" w:color="auto" w:fill="8DB3E2"/>
            <w:vAlign w:val="center"/>
          </w:tcPr>
          <w:p w14:paraId="6B401FD9">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指标名称</w:t>
            </w:r>
          </w:p>
        </w:tc>
        <w:tc>
          <w:tcPr>
            <w:tcW w:w="709" w:type="dxa"/>
            <w:shd w:val="clear" w:color="auto" w:fill="8DB3E2"/>
            <w:vAlign w:val="center"/>
          </w:tcPr>
          <w:p w14:paraId="236F7F51">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计量</w:t>
            </w:r>
          </w:p>
          <w:p w14:paraId="70720B61">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1125" w:type="dxa"/>
            <w:shd w:val="clear" w:color="auto" w:fill="8DB3E2"/>
            <w:vAlign w:val="center"/>
          </w:tcPr>
          <w:p w14:paraId="0F0C1A29">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大型</w:t>
            </w:r>
          </w:p>
        </w:tc>
        <w:tc>
          <w:tcPr>
            <w:tcW w:w="1701" w:type="dxa"/>
            <w:shd w:val="clear" w:color="auto" w:fill="8DB3E2"/>
            <w:vAlign w:val="center"/>
          </w:tcPr>
          <w:p w14:paraId="662513F7">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中型</w:t>
            </w:r>
          </w:p>
        </w:tc>
        <w:tc>
          <w:tcPr>
            <w:tcW w:w="1426" w:type="dxa"/>
            <w:shd w:val="clear" w:color="auto" w:fill="8DB3E2"/>
            <w:vAlign w:val="center"/>
          </w:tcPr>
          <w:p w14:paraId="4CA78E9A">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小型</w:t>
            </w:r>
          </w:p>
        </w:tc>
        <w:tc>
          <w:tcPr>
            <w:tcW w:w="992" w:type="dxa"/>
            <w:shd w:val="clear" w:color="auto" w:fill="8DB3E2"/>
            <w:vAlign w:val="center"/>
          </w:tcPr>
          <w:p w14:paraId="7065F99E">
            <w:pPr>
              <w:widowControl/>
              <w:spacing w:line="280" w:lineRule="exact"/>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微型</w:t>
            </w:r>
          </w:p>
        </w:tc>
      </w:tr>
      <w:tr w14:paraId="4731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1079F2F">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农、林、牧、渔业</w:t>
            </w:r>
          </w:p>
        </w:tc>
        <w:tc>
          <w:tcPr>
            <w:tcW w:w="1369" w:type="dxa"/>
            <w:vAlign w:val="center"/>
          </w:tcPr>
          <w:p w14:paraId="16474C0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50CB427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3055F46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w:t>
            </w:r>
          </w:p>
        </w:tc>
        <w:tc>
          <w:tcPr>
            <w:tcW w:w="1701" w:type="dxa"/>
            <w:vAlign w:val="center"/>
          </w:tcPr>
          <w:p w14:paraId="322EC53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426" w:type="dxa"/>
            <w:vAlign w:val="center"/>
          </w:tcPr>
          <w:p w14:paraId="4DC5ECF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50≤Y＜500</w:t>
            </w:r>
          </w:p>
        </w:tc>
        <w:tc>
          <w:tcPr>
            <w:tcW w:w="992" w:type="dxa"/>
            <w:vAlign w:val="center"/>
          </w:tcPr>
          <w:p w14:paraId="4E81F89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13C3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7BAA5A5">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工业 *</w:t>
            </w:r>
          </w:p>
        </w:tc>
        <w:tc>
          <w:tcPr>
            <w:tcW w:w="1369" w:type="dxa"/>
            <w:vAlign w:val="center"/>
          </w:tcPr>
          <w:p w14:paraId="3447960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009357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07AEADE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01" w:type="dxa"/>
            <w:vAlign w:val="center"/>
          </w:tcPr>
          <w:p w14:paraId="6F24035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426" w:type="dxa"/>
            <w:vAlign w:val="center"/>
          </w:tcPr>
          <w:p w14:paraId="515E888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992" w:type="dxa"/>
            <w:vAlign w:val="center"/>
          </w:tcPr>
          <w:p w14:paraId="6D96E7B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2882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122E57B">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6B83DF3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7172BD4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15F8949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Y≥40000</w:t>
            </w:r>
          </w:p>
        </w:tc>
        <w:tc>
          <w:tcPr>
            <w:tcW w:w="1701" w:type="dxa"/>
            <w:vAlign w:val="center"/>
          </w:tcPr>
          <w:p w14:paraId="49B36E9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2000≤Y＜40000</w:t>
            </w:r>
          </w:p>
        </w:tc>
        <w:tc>
          <w:tcPr>
            <w:tcW w:w="1426" w:type="dxa"/>
            <w:vAlign w:val="center"/>
          </w:tcPr>
          <w:p w14:paraId="40DA312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300≤Y＜2000</w:t>
            </w:r>
          </w:p>
        </w:tc>
        <w:tc>
          <w:tcPr>
            <w:tcW w:w="992" w:type="dxa"/>
            <w:vAlign w:val="center"/>
          </w:tcPr>
          <w:p w14:paraId="364E009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r>
      <w:tr w14:paraId="0DF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8000A3">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建筑业</w:t>
            </w:r>
          </w:p>
        </w:tc>
        <w:tc>
          <w:tcPr>
            <w:tcW w:w="1369" w:type="dxa"/>
            <w:vAlign w:val="center"/>
          </w:tcPr>
          <w:p w14:paraId="111AD8E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23CBA62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6AE7E06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Y≥80000</w:t>
            </w:r>
          </w:p>
        </w:tc>
        <w:tc>
          <w:tcPr>
            <w:tcW w:w="1701" w:type="dxa"/>
            <w:vAlign w:val="center"/>
          </w:tcPr>
          <w:p w14:paraId="7976D7F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6000≤Y＜80000</w:t>
            </w:r>
          </w:p>
        </w:tc>
        <w:tc>
          <w:tcPr>
            <w:tcW w:w="1426" w:type="dxa"/>
            <w:vAlign w:val="center"/>
          </w:tcPr>
          <w:p w14:paraId="1FF1C01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300≤Y＜6000</w:t>
            </w:r>
          </w:p>
        </w:tc>
        <w:tc>
          <w:tcPr>
            <w:tcW w:w="992" w:type="dxa"/>
            <w:vAlign w:val="center"/>
          </w:tcPr>
          <w:p w14:paraId="156BE8C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r>
      <w:tr w14:paraId="431C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C2FC10">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1D1D50D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19076EF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5CE837E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Z≥80000</w:t>
            </w:r>
          </w:p>
        </w:tc>
        <w:tc>
          <w:tcPr>
            <w:tcW w:w="1701" w:type="dxa"/>
            <w:vAlign w:val="center"/>
          </w:tcPr>
          <w:p w14:paraId="32E05A9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5000≤Z＜80000</w:t>
            </w:r>
          </w:p>
        </w:tc>
        <w:tc>
          <w:tcPr>
            <w:tcW w:w="1426" w:type="dxa"/>
            <w:vAlign w:val="center"/>
          </w:tcPr>
          <w:p w14:paraId="4C7D9DA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300≤Z＜5000</w:t>
            </w:r>
          </w:p>
        </w:tc>
        <w:tc>
          <w:tcPr>
            <w:tcW w:w="992" w:type="dxa"/>
            <w:vAlign w:val="center"/>
          </w:tcPr>
          <w:p w14:paraId="7C89751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Z＜300</w:t>
            </w:r>
          </w:p>
        </w:tc>
      </w:tr>
      <w:tr w14:paraId="78F0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9728A51">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批发业</w:t>
            </w:r>
          </w:p>
        </w:tc>
        <w:tc>
          <w:tcPr>
            <w:tcW w:w="1369" w:type="dxa"/>
            <w:vAlign w:val="center"/>
          </w:tcPr>
          <w:p w14:paraId="096CB87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639A9D1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7140FC5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w:t>
            </w:r>
          </w:p>
        </w:tc>
        <w:tc>
          <w:tcPr>
            <w:tcW w:w="1701" w:type="dxa"/>
            <w:vAlign w:val="center"/>
          </w:tcPr>
          <w:p w14:paraId="03CE39C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20≤X＜200</w:t>
            </w:r>
          </w:p>
        </w:tc>
        <w:tc>
          <w:tcPr>
            <w:tcW w:w="1426" w:type="dxa"/>
            <w:vAlign w:val="center"/>
          </w:tcPr>
          <w:p w14:paraId="55AB799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5≤X＜20</w:t>
            </w:r>
          </w:p>
        </w:tc>
        <w:tc>
          <w:tcPr>
            <w:tcW w:w="992" w:type="dxa"/>
            <w:vAlign w:val="center"/>
          </w:tcPr>
          <w:p w14:paraId="3F3EC9C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X＜5</w:t>
            </w:r>
          </w:p>
        </w:tc>
      </w:tr>
      <w:tr w14:paraId="5E7A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AB4816">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5B466CC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67FA4A0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7DAFA4E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Y≥40000</w:t>
            </w:r>
          </w:p>
        </w:tc>
        <w:tc>
          <w:tcPr>
            <w:tcW w:w="1701" w:type="dxa"/>
            <w:vAlign w:val="center"/>
          </w:tcPr>
          <w:p w14:paraId="08D93DD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5000≤Y＜40000</w:t>
            </w:r>
          </w:p>
        </w:tc>
        <w:tc>
          <w:tcPr>
            <w:tcW w:w="1426" w:type="dxa"/>
            <w:vAlign w:val="center"/>
          </w:tcPr>
          <w:p w14:paraId="50B69BE9">
            <w:pPr>
              <w:widowControl/>
              <w:spacing w:line="280" w:lineRule="exact"/>
              <w:ind w:left="-1" w:leftChars="-1" w:hanging="1"/>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992" w:type="dxa"/>
            <w:vAlign w:val="center"/>
          </w:tcPr>
          <w:p w14:paraId="1DB49FC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w:t>
            </w:r>
          </w:p>
        </w:tc>
      </w:tr>
      <w:tr w14:paraId="3924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E98CE53">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零售业</w:t>
            </w:r>
          </w:p>
        </w:tc>
        <w:tc>
          <w:tcPr>
            <w:tcW w:w="1369" w:type="dxa"/>
            <w:vAlign w:val="center"/>
          </w:tcPr>
          <w:p w14:paraId="6390F18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5D028A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5FE47A4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vAlign w:val="center"/>
          </w:tcPr>
          <w:p w14:paraId="3ED6573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50≤X＜300</w:t>
            </w:r>
          </w:p>
        </w:tc>
        <w:tc>
          <w:tcPr>
            <w:tcW w:w="1426" w:type="dxa"/>
            <w:vAlign w:val="center"/>
          </w:tcPr>
          <w:p w14:paraId="01365F94">
            <w:pPr>
              <w:widowControl/>
              <w:spacing w:line="280" w:lineRule="exact"/>
              <w:ind w:left="-1" w:leftChars="-1" w:hanging="1"/>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10≤X＜50 </w:t>
            </w:r>
          </w:p>
        </w:tc>
        <w:tc>
          <w:tcPr>
            <w:tcW w:w="992" w:type="dxa"/>
            <w:vAlign w:val="center"/>
          </w:tcPr>
          <w:p w14:paraId="353EE94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6861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581523">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7A5DCB5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77AA1F7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57B6864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w:t>
            </w:r>
          </w:p>
        </w:tc>
        <w:tc>
          <w:tcPr>
            <w:tcW w:w="1701" w:type="dxa"/>
            <w:vAlign w:val="center"/>
          </w:tcPr>
          <w:p w14:paraId="0EFC5AD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500≤Y＜20000</w:t>
            </w:r>
          </w:p>
        </w:tc>
        <w:tc>
          <w:tcPr>
            <w:tcW w:w="1426" w:type="dxa"/>
            <w:vAlign w:val="center"/>
          </w:tcPr>
          <w:p w14:paraId="37E09DF3">
            <w:pPr>
              <w:widowControl/>
              <w:spacing w:line="280" w:lineRule="exact"/>
              <w:ind w:left="-1" w:leftChars="-1" w:hanging="1"/>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100≤Y＜500</w:t>
            </w:r>
          </w:p>
        </w:tc>
        <w:tc>
          <w:tcPr>
            <w:tcW w:w="992" w:type="dxa"/>
            <w:vAlign w:val="center"/>
          </w:tcPr>
          <w:p w14:paraId="5BC83BB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42F6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EA1D1C0">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交通运输业 *</w:t>
            </w:r>
          </w:p>
        </w:tc>
        <w:tc>
          <w:tcPr>
            <w:tcW w:w="1369" w:type="dxa"/>
            <w:vAlign w:val="center"/>
          </w:tcPr>
          <w:p w14:paraId="7CF1E66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5D572A2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5721492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01" w:type="dxa"/>
            <w:vAlign w:val="center"/>
          </w:tcPr>
          <w:p w14:paraId="16FDFBF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426" w:type="dxa"/>
            <w:vAlign w:val="center"/>
          </w:tcPr>
          <w:p w14:paraId="15446B7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992" w:type="dxa"/>
            <w:vAlign w:val="center"/>
          </w:tcPr>
          <w:p w14:paraId="2F3F17B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6338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BC3219">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7E5526D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65F3D70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56C2BD2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01" w:type="dxa"/>
            <w:vAlign w:val="center"/>
          </w:tcPr>
          <w:p w14:paraId="49999CB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3000≤Y＜30000</w:t>
            </w:r>
          </w:p>
        </w:tc>
        <w:tc>
          <w:tcPr>
            <w:tcW w:w="1426" w:type="dxa"/>
            <w:vAlign w:val="center"/>
          </w:tcPr>
          <w:p w14:paraId="7FB9931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200≤Y＜3000</w:t>
            </w:r>
          </w:p>
        </w:tc>
        <w:tc>
          <w:tcPr>
            <w:tcW w:w="992" w:type="dxa"/>
            <w:vAlign w:val="center"/>
          </w:tcPr>
          <w:p w14:paraId="5E598AE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w:t>
            </w:r>
          </w:p>
        </w:tc>
      </w:tr>
      <w:tr w14:paraId="535D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DE0B19D">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仓储业*</w:t>
            </w:r>
          </w:p>
        </w:tc>
        <w:tc>
          <w:tcPr>
            <w:tcW w:w="1369" w:type="dxa"/>
            <w:vAlign w:val="center"/>
          </w:tcPr>
          <w:p w14:paraId="5346806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1E4DEE4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70F8761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w:t>
            </w:r>
          </w:p>
        </w:tc>
        <w:tc>
          <w:tcPr>
            <w:tcW w:w="1701" w:type="dxa"/>
            <w:vAlign w:val="center"/>
          </w:tcPr>
          <w:p w14:paraId="331324F9">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w:t>
            </w:r>
          </w:p>
        </w:tc>
        <w:tc>
          <w:tcPr>
            <w:tcW w:w="1426" w:type="dxa"/>
            <w:vAlign w:val="center"/>
          </w:tcPr>
          <w:p w14:paraId="4D3CFFA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20≤X＜100</w:t>
            </w:r>
          </w:p>
        </w:tc>
        <w:tc>
          <w:tcPr>
            <w:tcW w:w="992" w:type="dxa"/>
            <w:vAlign w:val="center"/>
          </w:tcPr>
          <w:p w14:paraId="0015CCA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068B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D3641A">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7E94CB7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6D0D011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6412A25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01" w:type="dxa"/>
            <w:vAlign w:val="center"/>
          </w:tcPr>
          <w:p w14:paraId="0C728E7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1000≤Y＜30000</w:t>
            </w:r>
          </w:p>
        </w:tc>
        <w:tc>
          <w:tcPr>
            <w:tcW w:w="1426" w:type="dxa"/>
            <w:vAlign w:val="center"/>
          </w:tcPr>
          <w:p w14:paraId="41327D8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992" w:type="dxa"/>
            <w:vAlign w:val="center"/>
          </w:tcPr>
          <w:p w14:paraId="17DB3FE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1CCD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20581B6">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邮政业</w:t>
            </w:r>
          </w:p>
        </w:tc>
        <w:tc>
          <w:tcPr>
            <w:tcW w:w="1369" w:type="dxa"/>
            <w:vAlign w:val="center"/>
          </w:tcPr>
          <w:p w14:paraId="1710961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1133C30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22504A3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01" w:type="dxa"/>
            <w:vAlign w:val="center"/>
          </w:tcPr>
          <w:p w14:paraId="04C4C5E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426" w:type="dxa"/>
            <w:vAlign w:val="center"/>
          </w:tcPr>
          <w:p w14:paraId="221CB6E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992" w:type="dxa"/>
            <w:vAlign w:val="center"/>
          </w:tcPr>
          <w:p w14:paraId="47CB280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r>
      <w:tr w14:paraId="70CF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3D5BA4">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7A85E26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9CFB0C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1CB8A35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Y≥30000</w:t>
            </w:r>
          </w:p>
        </w:tc>
        <w:tc>
          <w:tcPr>
            <w:tcW w:w="1701" w:type="dxa"/>
            <w:vAlign w:val="center"/>
          </w:tcPr>
          <w:p w14:paraId="795B6B2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2000≤Y＜30000</w:t>
            </w:r>
          </w:p>
        </w:tc>
        <w:tc>
          <w:tcPr>
            <w:tcW w:w="1426" w:type="dxa"/>
            <w:vAlign w:val="center"/>
          </w:tcPr>
          <w:p w14:paraId="004BEF1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992" w:type="dxa"/>
            <w:vAlign w:val="center"/>
          </w:tcPr>
          <w:p w14:paraId="5042D84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685B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9E955B">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住宿业</w:t>
            </w:r>
          </w:p>
        </w:tc>
        <w:tc>
          <w:tcPr>
            <w:tcW w:w="1369" w:type="dxa"/>
            <w:vAlign w:val="center"/>
          </w:tcPr>
          <w:p w14:paraId="4FCA2F3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0376FB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72D80A4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vAlign w:val="center"/>
          </w:tcPr>
          <w:p w14:paraId="4491F618">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426" w:type="dxa"/>
            <w:vAlign w:val="center"/>
          </w:tcPr>
          <w:p w14:paraId="2DCD469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vAlign w:val="center"/>
          </w:tcPr>
          <w:p w14:paraId="2E62F1F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602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CC2891B">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511663E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716B720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1A91F1D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01" w:type="dxa"/>
            <w:vAlign w:val="center"/>
          </w:tcPr>
          <w:p w14:paraId="7A5418E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426" w:type="dxa"/>
            <w:vAlign w:val="center"/>
          </w:tcPr>
          <w:p w14:paraId="20C00D8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992" w:type="dxa"/>
            <w:vAlign w:val="center"/>
          </w:tcPr>
          <w:p w14:paraId="39B5394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02FB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66456C8">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餐饮业</w:t>
            </w:r>
          </w:p>
        </w:tc>
        <w:tc>
          <w:tcPr>
            <w:tcW w:w="1369" w:type="dxa"/>
            <w:vAlign w:val="center"/>
          </w:tcPr>
          <w:p w14:paraId="68E3162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1F51EE2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72CCFC0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vAlign w:val="center"/>
          </w:tcPr>
          <w:p w14:paraId="0B24D411">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1C76353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vAlign w:val="center"/>
          </w:tcPr>
          <w:p w14:paraId="427EA70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6319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3CB8C10">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63A472A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58EE69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60274E3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01" w:type="dxa"/>
            <w:vAlign w:val="center"/>
          </w:tcPr>
          <w:p w14:paraId="48601E2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426" w:type="dxa"/>
            <w:vAlign w:val="center"/>
          </w:tcPr>
          <w:p w14:paraId="22913D1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992" w:type="dxa"/>
            <w:vAlign w:val="center"/>
          </w:tcPr>
          <w:p w14:paraId="3254BA7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14DC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F52AEA">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信息传输业 *</w:t>
            </w:r>
          </w:p>
        </w:tc>
        <w:tc>
          <w:tcPr>
            <w:tcW w:w="1369" w:type="dxa"/>
            <w:vAlign w:val="center"/>
          </w:tcPr>
          <w:p w14:paraId="257FE18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610F138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1A5FC9D1">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X≥2000</w:t>
            </w:r>
          </w:p>
        </w:tc>
        <w:tc>
          <w:tcPr>
            <w:tcW w:w="1701" w:type="dxa"/>
            <w:vAlign w:val="center"/>
          </w:tcPr>
          <w:p w14:paraId="7045EB6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100≤X＜2000</w:t>
            </w:r>
          </w:p>
        </w:tc>
        <w:tc>
          <w:tcPr>
            <w:tcW w:w="1426" w:type="dxa"/>
            <w:vAlign w:val="center"/>
          </w:tcPr>
          <w:p w14:paraId="6C851CF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vAlign w:val="center"/>
          </w:tcPr>
          <w:p w14:paraId="2D9AC58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6978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585CBC">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7DBC3A2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56763D3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40186FA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Y≥100000</w:t>
            </w:r>
          </w:p>
        </w:tc>
        <w:tc>
          <w:tcPr>
            <w:tcW w:w="1701" w:type="dxa"/>
            <w:vAlign w:val="center"/>
          </w:tcPr>
          <w:p w14:paraId="08A0A08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1000≤Y＜100000</w:t>
            </w:r>
          </w:p>
        </w:tc>
        <w:tc>
          <w:tcPr>
            <w:tcW w:w="1426" w:type="dxa"/>
            <w:vAlign w:val="center"/>
          </w:tcPr>
          <w:p w14:paraId="5822BA8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992" w:type="dxa"/>
            <w:vAlign w:val="center"/>
          </w:tcPr>
          <w:p w14:paraId="1AB9F11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7B02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11FD9CA">
            <w:pPr>
              <w:widowControl/>
              <w:spacing w:line="280" w:lineRule="exact"/>
              <w:jc w:val="left"/>
              <w:rPr>
                <w:rFonts w:ascii="宋体" w:hAnsi="宋体" w:cs="宋体"/>
                <w:color w:val="000000" w:themeColor="text1"/>
                <w:spacing w:val="-12"/>
                <w:kern w:val="0"/>
                <w:sz w:val="18"/>
                <w:szCs w:val="18"/>
                <w:highlight w:val="none"/>
                <w14:textFill>
                  <w14:solidFill>
                    <w14:schemeClr w14:val="tx1"/>
                  </w14:solidFill>
                </w14:textFill>
              </w:rPr>
            </w:pPr>
            <w:r>
              <w:rPr>
                <w:rFonts w:hint="eastAsia" w:ascii="宋体" w:hAnsi="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cs="宋体"/>
                <w:color w:val="000000" w:themeColor="text1"/>
                <w:kern w:val="0"/>
                <w:sz w:val="18"/>
                <w:szCs w:val="18"/>
                <w:highlight w:val="none"/>
                <w14:textFill>
                  <w14:solidFill>
                    <w14:schemeClr w14:val="tx1"/>
                  </w14:solidFill>
                </w14:textFill>
              </w:rPr>
              <w:t>务业</w:t>
            </w:r>
          </w:p>
        </w:tc>
        <w:tc>
          <w:tcPr>
            <w:tcW w:w="1369" w:type="dxa"/>
            <w:vAlign w:val="center"/>
          </w:tcPr>
          <w:p w14:paraId="75A7341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32A62B9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342A9B1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vAlign w:val="center"/>
          </w:tcPr>
          <w:p w14:paraId="4D839A73">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6D778C6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vAlign w:val="center"/>
          </w:tcPr>
          <w:p w14:paraId="555112F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3224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CFB7EB6">
            <w:pPr>
              <w:widowControl/>
              <w:spacing w:line="280" w:lineRule="exact"/>
              <w:jc w:val="left"/>
              <w:rPr>
                <w:rFonts w:ascii="宋体" w:hAnsi="宋体" w:cs="宋体"/>
                <w:color w:val="000000" w:themeColor="text1"/>
                <w:spacing w:val="-12"/>
                <w:kern w:val="0"/>
                <w:sz w:val="18"/>
                <w:szCs w:val="18"/>
                <w:highlight w:val="none"/>
                <w14:textFill>
                  <w14:solidFill>
                    <w14:schemeClr w14:val="tx1"/>
                  </w14:solidFill>
                </w14:textFill>
              </w:rPr>
            </w:pPr>
          </w:p>
        </w:tc>
        <w:tc>
          <w:tcPr>
            <w:tcW w:w="1369" w:type="dxa"/>
            <w:vAlign w:val="center"/>
          </w:tcPr>
          <w:p w14:paraId="58AD1F0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18CBBD2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3077AF48">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Y≥10000</w:t>
            </w:r>
          </w:p>
        </w:tc>
        <w:tc>
          <w:tcPr>
            <w:tcW w:w="1701" w:type="dxa"/>
            <w:vAlign w:val="center"/>
          </w:tcPr>
          <w:p w14:paraId="2213B3D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w:t>
            </w:r>
          </w:p>
        </w:tc>
        <w:tc>
          <w:tcPr>
            <w:tcW w:w="1426" w:type="dxa"/>
            <w:vAlign w:val="center"/>
          </w:tcPr>
          <w:p w14:paraId="4C95E10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50≤Y＜1000</w:t>
            </w:r>
          </w:p>
        </w:tc>
        <w:tc>
          <w:tcPr>
            <w:tcW w:w="992" w:type="dxa"/>
            <w:vAlign w:val="center"/>
          </w:tcPr>
          <w:p w14:paraId="01A0EFD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r>
      <w:tr w14:paraId="27C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8333260">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房地产开发经营</w:t>
            </w:r>
          </w:p>
        </w:tc>
        <w:tc>
          <w:tcPr>
            <w:tcW w:w="1369" w:type="dxa"/>
            <w:vAlign w:val="center"/>
          </w:tcPr>
          <w:p w14:paraId="6955ADC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60EF103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7325864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Y≥200000</w:t>
            </w:r>
          </w:p>
        </w:tc>
        <w:tc>
          <w:tcPr>
            <w:tcW w:w="1701" w:type="dxa"/>
            <w:vAlign w:val="center"/>
          </w:tcPr>
          <w:p w14:paraId="5F79D6BD">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1000≤Y＜200000</w:t>
            </w:r>
          </w:p>
        </w:tc>
        <w:tc>
          <w:tcPr>
            <w:tcW w:w="1426" w:type="dxa"/>
            <w:vAlign w:val="center"/>
          </w:tcPr>
          <w:p w14:paraId="56FFCB8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992" w:type="dxa"/>
            <w:vAlign w:val="center"/>
          </w:tcPr>
          <w:p w14:paraId="44B8777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r>
      <w:tr w14:paraId="396A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8EB46AA">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6E6FD72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21F3015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44AE599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Z≥10000</w:t>
            </w:r>
          </w:p>
        </w:tc>
        <w:tc>
          <w:tcPr>
            <w:tcW w:w="1701" w:type="dxa"/>
            <w:vAlign w:val="center"/>
          </w:tcPr>
          <w:p w14:paraId="5548E50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5000≤Z＜10000</w:t>
            </w:r>
          </w:p>
        </w:tc>
        <w:tc>
          <w:tcPr>
            <w:tcW w:w="1426" w:type="dxa"/>
            <w:vAlign w:val="center"/>
          </w:tcPr>
          <w:p w14:paraId="1A2C12E9">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2000≤Z＜5000</w:t>
            </w:r>
          </w:p>
        </w:tc>
        <w:tc>
          <w:tcPr>
            <w:tcW w:w="992" w:type="dxa"/>
            <w:vAlign w:val="center"/>
          </w:tcPr>
          <w:p w14:paraId="541F07B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Z＜2000</w:t>
            </w:r>
          </w:p>
        </w:tc>
      </w:tr>
      <w:tr w14:paraId="012D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FD3F14A">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物业管理</w:t>
            </w:r>
          </w:p>
        </w:tc>
        <w:tc>
          <w:tcPr>
            <w:tcW w:w="1369" w:type="dxa"/>
            <w:vAlign w:val="center"/>
          </w:tcPr>
          <w:p w14:paraId="1F3392F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BE0059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6BF6ED3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X≥1000</w:t>
            </w:r>
          </w:p>
        </w:tc>
        <w:tc>
          <w:tcPr>
            <w:tcW w:w="1701" w:type="dxa"/>
            <w:vAlign w:val="center"/>
          </w:tcPr>
          <w:p w14:paraId="1BBAD4D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426" w:type="dxa"/>
            <w:vAlign w:val="center"/>
          </w:tcPr>
          <w:p w14:paraId="7882EE6B">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992" w:type="dxa"/>
            <w:vAlign w:val="center"/>
          </w:tcPr>
          <w:p w14:paraId="49C2BD1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w:t>
            </w:r>
          </w:p>
        </w:tc>
      </w:tr>
      <w:tr w14:paraId="104D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A12D3DC">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50FA377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6220B68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166A5D6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Y≥5000</w:t>
            </w:r>
          </w:p>
        </w:tc>
        <w:tc>
          <w:tcPr>
            <w:tcW w:w="1701" w:type="dxa"/>
            <w:vAlign w:val="center"/>
          </w:tcPr>
          <w:p w14:paraId="349CED01">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426" w:type="dxa"/>
            <w:vAlign w:val="center"/>
          </w:tcPr>
          <w:p w14:paraId="6685C4C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500≤Y＜1000</w:t>
            </w:r>
          </w:p>
        </w:tc>
        <w:tc>
          <w:tcPr>
            <w:tcW w:w="992" w:type="dxa"/>
            <w:vAlign w:val="center"/>
          </w:tcPr>
          <w:p w14:paraId="677383B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w:t>
            </w:r>
          </w:p>
        </w:tc>
      </w:tr>
      <w:tr w14:paraId="4E8B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968F3E8">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租赁和商务服务业</w:t>
            </w:r>
          </w:p>
        </w:tc>
        <w:tc>
          <w:tcPr>
            <w:tcW w:w="1369" w:type="dxa"/>
            <w:vAlign w:val="center"/>
          </w:tcPr>
          <w:p w14:paraId="766E252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1BE05FB7">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3C2A3C7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vAlign w:val="center"/>
          </w:tcPr>
          <w:p w14:paraId="5439F0D1">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426" w:type="dxa"/>
            <w:vAlign w:val="center"/>
          </w:tcPr>
          <w:p w14:paraId="1799DEB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vAlign w:val="center"/>
          </w:tcPr>
          <w:p w14:paraId="4111D3F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r w14:paraId="5209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D071C3C">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p>
        </w:tc>
        <w:tc>
          <w:tcPr>
            <w:tcW w:w="1369" w:type="dxa"/>
            <w:vAlign w:val="center"/>
          </w:tcPr>
          <w:p w14:paraId="2BE43615">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0D1F9ED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万元</w:t>
            </w:r>
          </w:p>
        </w:tc>
        <w:tc>
          <w:tcPr>
            <w:tcW w:w="1125" w:type="dxa"/>
            <w:vAlign w:val="center"/>
          </w:tcPr>
          <w:p w14:paraId="5587068F">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Z≥120000</w:t>
            </w:r>
          </w:p>
        </w:tc>
        <w:tc>
          <w:tcPr>
            <w:tcW w:w="1701" w:type="dxa"/>
            <w:vAlign w:val="center"/>
          </w:tcPr>
          <w:p w14:paraId="415E4A70">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8000≤Z＜120000</w:t>
            </w:r>
          </w:p>
        </w:tc>
        <w:tc>
          <w:tcPr>
            <w:tcW w:w="1426" w:type="dxa"/>
            <w:vAlign w:val="center"/>
          </w:tcPr>
          <w:p w14:paraId="73444B46">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100≤Z＜8000</w:t>
            </w:r>
          </w:p>
        </w:tc>
        <w:tc>
          <w:tcPr>
            <w:tcW w:w="992" w:type="dxa"/>
            <w:vAlign w:val="center"/>
          </w:tcPr>
          <w:p w14:paraId="24BEA24E">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Z＜100</w:t>
            </w:r>
          </w:p>
        </w:tc>
      </w:tr>
      <w:tr w14:paraId="479A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A1FFE7F">
            <w:pPr>
              <w:widowControl/>
              <w:spacing w:line="280" w:lineRule="exact"/>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其他未列明行业 *</w:t>
            </w:r>
          </w:p>
        </w:tc>
        <w:tc>
          <w:tcPr>
            <w:tcW w:w="1369" w:type="dxa"/>
            <w:vAlign w:val="center"/>
          </w:tcPr>
          <w:p w14:paraId="1D056642">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625C8A9C">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人</w:t>
            </w:r>
          </w:p>
        </w:tc>
        <w:tc>
          <w:tcPr>
            <w:tcW w:w="1125" w:type="dxa"/>
            <w:vAlign w:val="center"/>
          </w:tcPr>
          <w:p w14:paraId="070DD124">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X≥300</w:t>
            </w:r>
          </w:p>
        </w:tc>
        <w:tc>
          <w:tcPr>
            <w:tcW w:w="1701" w:type="dxa"/>
            <w:vAlign w:val="center"/>
          </w:tcPr>
          <w:p w14:paraId="57DD481F">
            <w:pPr>
              <w:widowControl/>
              <w:spacing w:line="280" w:lineRule="exact"/>
              <w:ind w:left="1" w:leftChars="-51" w:hanging="108" w:hangingChars="60"/>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426" w:type="dxa"/>
            <w:vAlign w:val="center"/>
          </w:tcPr>
          <w:p w14:paraId="43C01983">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992" w:type="dxa"/>
            <w:vAlign w:val="center"/>
          </w:tcPr>
          <w:p w14:paraId="6696F11A">
            <w:pPr>
              <w:widowControl/>
              <w:spacing w:line="280" w:lineRule="exact"/>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r>
    </w:tbl>
    <w:p w14:paraId="41A87A0C">
      <w:pPr>
        <w:widowControl/>
        <w:spacing w:line="440" w:lineRule="exact"/>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说明：</w:t>
      </w:r>
    </w:p>
    <w:p w14:paraId="382D6538">
      <w:pPr>
        <w:pStyle w:val="27"/>
        <w:adjustRightInd w:val="0"/>
        <w:spacing w:line="440" w:lineRule="exact"/>
        <w:ind w:firstLine="452" w:firstLineChars="200"/>
        <w:contextualSpacing/>
        <w:rPr>
          <w:rFonts w:hAnsi="宋体" w:cs="宋体"/>
          <w:color w:val="000000" w:themeColor="text1"/>
          <w:spacing w:val="8"/>
          <w:kern w:val="0"/>
          <w:szCs w:val="21"/>
          <w:highlight w:val="none"/>
          <w14:textFill>
            <w14:solidFill>
              <w14:schemeClr w14:val="tx1"/>
            </w14:solidFill>
          </w14:textFill>
        </w:rPr>
      </w:pPr>
      <w:r>
        <w:rPr>
          <w:rFonts w:hint="eastAsia" w:hAnsi="宋体" w:cs="宋体"/>
          <w:color w:val="000000" w:themeColor="text1"/>
          <w:spacing w:val="8"/>
          <w:kern w:val="0"/>
          <w:szCs w:val="21"/>
          <w:highlight w:val="none"/>
          <w14:textFill>
            <w14:solidFill>
              <w14:schemeClr w14:val="tx1"/>
            </w14:solidFill>
          </w14:textFill>
        </w:rPr>
        <w:t>1.大型、中型和小型企业须同时满足所列指标的下限，否则下划一档；微型企业只须满足所列指标中的一项即可。</w:t>
      </w:r>
    </w:p>
    <w:p w14:paraId="0A5D1E83">
      <w:pPr>
        <w:pStyle w:val="27"/>
        <w:adjustRightInd w:val="0"/>
        <w:spacing w:line="440" w:lineRule="exact"/>
        <w:ind w:firstLine="452" w:firstLineChars="200"/>
        <w:contextualSpacing/>
        <w:rPr>
          <w:rFonts w:hAnsi="宋体" w:cs="宋体"/>
          <w:color w:val="000000" w:themeColor="text1"/>
          <w:spacing w:val="8"/>
          <w:kern w:val="0"/>
          <w:szCs w:val="21"/>
          <w:highlight w:val="none"/>
          <w14:textFill>
            <w14:solidFill>
              <w14:schemeClr w14:val="tx1"/>
            </w14:solidFill>
          </w14:textFill>
        </w:rPr>
      </w:pPr>
      <w:r>
        <w:rPr>
          <w:rFonts w:hint="eastAsia" w:hAnsi="宋体" w:cs="宋体"/>
          <w:color w:val="000000" w:themeColor="text1"/>
          <w:spacing w:val="8"/>
          <w:ker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D6FBB66">
      <w:pPr>
        <w:pStyle w:val="27"/>
        <w:spacing w:line="440" w:lineRule="exact"/>
        <w:ind w:firstLine="452" w:firstLineChars="200"/>
        <w:rPr>
          <w:rFonts w:hAnsi="宋体" w:cs="宋体"/>
          <w:color w:val="000000" w:themeColor="text1"/>
          <w:spacing w:val="8"/>
          <w:kern w:val="0"/>
          <w:szCs w:val="21"/>
          <w:highlight w:val="none"/>
          <w14:textFill>
            <w14:solidFill>
              <w14:schemeClr w14:val="tx1"/>
            </w14:solidFill>
          </w14:textFill>
        </w:rPr>
      </w:pPr>
      <w:r>
        <w:rPr>
          <w:rFonts w:hint="eastAsia" w:hAnsi="宋体" w:cs="宋体"/>
          <w:color w:val="000000" w:themeColor="text1"/>
          <w:spacing w:val="8"/>
          <w:kern w:val="0"/>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13" w:name="_Toc8466"/>
      <w:bookmarkStart w:id="314" w:name="_Toc4774"/>
    </w:p>
    <w:p w14:paraId="2D7713CF">
      <w:pPr>
        <w:pStyle w:val="12"/>
        <w:ind w:left="2940"/>
        <w:rPr>
          <w:rFonts w:ascii="宋体" w:hAnsi="宋体" w:cs="宋体"/>
          <w:color w:val="000000" w:themeColor="text1"/>
          <w:spacing w:val="8"/>
          <w:kern w:val="0"/>
          <w:sz w:val="24"/>
          <w:highlight w:val="none"/>
          <w14:textFill>
            <w14:solidFill>
              <w14:schemeClr w14:val="tx1"/>
            </w14:solidFill>
          </w14:textFill>
        </w:rPr>
      </w:pPr>
    </w:p>
    <w:p w14:paraId="4742EC0B">
      <w:pPr>
        <w:jc w:val="center"/>
        <w:outlineLvl w:val="0"/>
        <w:rPr>
          <w:rFonts w:ascii="华文中宋" w:hAnsi="华文中宋" w:eastAsia="华文中宋" w:cs="华文中宋"/>
          <w:b/>
          <w:bCs/>
          <w:color w:val="000000" w:themeColor="text1"/>
          <w:sz w:val="32"/>
          <w:szCs w:val="32"/>
          <w:highlight w:val="none"/>
          <w14:textFill>
            <w14:solidFill>
              <w14:schemeClr w14:val="tx1"/>
            </w14:solidFill>
          </w14:textFill>
        </w:rPr>
      </w:pPr>
      <w:bookmarkStart w:id="315" w:name="_Toc25717"/>
      <w:bookmarkStart w:id="316" w:name="_Toc11185"/>
      <w:r>
        <w:rPr>
          <w:rFonts w:hint="eastAsia" w:ascii="华文中宋" w:hAnsi="华文中宋" w:eastAsia="华文中宋" w:cs="华文中宋"/>
          <w:b/>
          <w:bCs/>
          <w:color w:val="000000" w:themeColor="text1"/>
          <w:sz w:val="32"/>
          <w:szCs w:val="32"/>
          <w:highlight w:val="none"/>
          <w14:textFill>
            <w14:solidFill>
              <w14:schemeClr w14:val="tx1"/>
            </w14:solidFill>
          </w14:textFill>
        </w:rPr>
        <w:br w:type="page"/>
      </w:r>
      <w:bookmarkStart w:id="317" w:name="_Toc4566"/>
      <w:r>
        <w:rPr>
          <w:rFonts w:hint="eastAsia" w:ascii="华文中宋" w:hAnsi="华文中宋" w:eastAsia="华文中宋" w:cs="华文中宋"/>
          <w:b/>
          <w:bCs/>
          <w:color w:val="000000" w:themeColor="text1"/>
          <w:sz w:val="32"/>
          <w:szCs w:val="32"/>
          <w:highlight w:val="none"/>
          <w14:textFill>
            <w14:solidFill>
              <w14:schemeClr w14:val="tx1"/>
            </w14:solidFill>
          </w14:textFill>
        </w:rPr>
        <w:t>第五章  采购合同（合同主要条款及格式）</w:t>
      </w:r>
      <w:bookmarkEnd w:id="313"/>
      <w:bookmarkEnd w:id="314"/>
      <w:bookmarkEnd w:id="315"/>
      <w:bookmarkEnd w:id="316"/>
      <w:bookmarkEnd w:id="317"/>
    </w:p>
    <w:p w14:paraId="24A34015">
      <w:pPr>
        <w:widowControl/>
        <w:jc w:val="left"/>
        <w:rPr>
          <w:rFonts w:eastAsia="华文中宋"/>
          <w:b/>
          <w:color w:val="000000" w:themeColor="text1"/>
          <w:sz w:val="72"/>
          <w:szCs w:val="52"/>
          <w:highlight w:val="none"/>
          <w14:textFill>
            <w14:solidFill>
              <w14:schemeClr w14:val="tx1"/>
            </w14:solidFill>
          </w14:textFill>
        </w:rPr>
      </w:pPr>
      <w:bookmarkStart w:id="318" w:name="_Toc24269"/>
      <w:bookmarkStart w:id="319" w:name="_Toc10014"/>
      <w:bookmarkStart w:id="320" w:name="_Toc4230"/>
      <w:bookmarkStart w:id="321" w:name="_Toc2274"/>
      <w:r>
        <w:rPr>
          <w:rFonts w:eastAsia="华文中宋"/>
          <w:b/>
          <w:color w:val="000000" w:themeColor="text1"/>
          <w:sz w:val="72"/>
          <w:szCs w:val="52"/>
          <w:highlight w:val="none"/>
          <w14:textFill>
            <w14:solidFill>
              <w14:schemeClr w14:val="tx1"/>
            </w14:solidFill>
          </w14:textFill>
        </w:rPr>
        <w:br w:type="page"/>
      </w:r>
    </w:p>
    <w:p w14:paraId="2F469EF6">
      <w:pPr>
        <w:jc w:val="center"/>
        <w:rPr>
          <w:rFonts w:eastAsia="华文中宋"/>
          <w:b/>
          <w:color w:val="000000" w:themeColor="text1"/>
          <w:sz w:val="72"/>
          <w:szCs w:val="52"/>
          <w:highlight w:val="none"/>
          <w14:textFill>
            <w14:solidFill>
              <w14:schemeClr w14:val="tx1"/>
            </w14:solidFill>
          </w14:textFill>
        </w:rPr>
      </w:pPr>
      <w:r>
        <w:rPr>
          <w:rFonts w:hint="eastAsia" w:eastAsia="华文中宋"/>
          <w:b/>
          <w:color w:val="000000" w:themeColor="text1"/>
          <w:sz w:val="72"/>
          <w:szCs w:val="52"/>
          <w:highlight w:val="none"/>
          <w14:textFill>
            <w14:solidFill>
              <w14:schemeClr w14:val="tx1"/>
            </w14:solidFill>
          </w14:textFill>
        </w:rPr>
        <w:t>修缮工程施工合同</w:t>
      </w:r>
    </w:p>
    <w:p w14:paraId="3608E502">
      <w:pPr>
        <w:jc w:val="center"/>
        <w:rPr>
          <w:rFonts w:eastAsia="华文中宋"/>
          <w:b/>
          <w:color w:val="000000" w:themeColor="text1"/>
          <w:sz w:val="52"/>
          <w:szCs w:val="52"/>
          <w:highlight w:val="none"/>
          <w14:textFill>
            <w14:solidFill>
              <w14:schemeClr w14:val="tx1"/>
            </w14:solidFill>
          </w14:textFill>
        </w:rPr>
      </w:pPr>
    </w:p>
    <w:p w14:paraId="3D64058A">
      <w:pPr>
        <w:jc w:val="center"/>
        <w:rPr>
          <w:rFonts w:eastAsia="黑体"/>
          <w:b/>
          <w:color w:val="000000" w:themeColor="text1"/>
          <w:sz w:val="72"/>
          <w:szCs w:val="72"/>
          <w:highlight w:val="none"/>
          <w14:textFill>
            <w14:solidFill>
              <w14:schemeClr w14:val="tx1"/>
            </w14:solidFill>
          </w14:textFill>
        </w:rPr>
      </w:pPr>
    </w:p>
    <w:p w14:paraId="5DC68E80">
      <w:pPr>
        <w:jc w:val="center"/>
        <w:rPr>
          <w:rFonts w:eastAsia="楷体_GB2312"/>
          <w:b/>
          <w:color w:val="000000" w:themeColor="text1"/>
          <w:sz w:val="72"/>
          <w:szCs w:val="72"/>
          <w:highlight w:val="none"/>
          <w14:textFill>
            <w14:solidFill>
              <w14:schemeClr w14:val="tx1"/>
            </w14:solidFill>
          </w14:textFill>
        </w:rPr>
      </w:pPr>
    </w:p>
    <w:p w14:paraId="3DC6CADF">
      <w:pPr>
        <w:jc w:val="center"/>
        <w:rPr>
          <w:rFonts w:eastAsia="黑体"/>
          <w:b/>
          <w:color w:val="000000" w:themeColor="text1"/>
          <w:sz w:val="52"/>
          <w:szCs w:val="52"/>
          <w:highlight w:val="none"/>
          <w14:textFill>
            <w14:solidFill>
              <w14:schemeClr w14:val="tx1"/>
            </w14:solidFill>
          </w14:textFill>
        </w:rPr>
      </w:pPr>
    </w:p>
    <w:p w14:paraId="69F272EB">
      <w:pPr>
        <w:rPr>
          <w:b/>
          <w:color w:val="000000" w:themeColor="text1"/>
          <w:sz w:val="28"/>
          <w:szCs w:val="28"/>
          <w:highlight w:val="none"/>
          <w14:textFill>
            <w14:solidFill>
              <w14:schemeClr w14:val="tx1"/>
            </w14:solidFill>
          </w14:textFill>
        </w:rPr>
      </w:pPr>
    </w:p>
    <w:p w14:paraId="06F341D8">
      <w:pPr>
        <w:rPr>
          <w:b/>
          <w:color w:val="000000" w:themeColor="text1"/>
          <w:sz w:val="28"/>
          <w:szCs w:val="28"/>
          <w:highlight w:val="none"/>
          <w14:textFill>
            <w14:solidFill>
              <w14:schemeClr w14:val="tx1"/>
            </w14:solidFill>
          </w14:textFill>
        </w:rPr>
      </w:pPr>
    </w:p>
    <w:p w14:paraId="6933C5DC">
      <w:pPr>
        <w:rPr>
          <w:b/>
          <w:color w:val="000000" w:themeColor="text1"/>
          <w:sz w:val="28"/>
          <w:szCs w:val="28"/>
          <w:highlight w:val="none"/>
          <w14:textFill>
            <w14:solidFill>
              <w14:schemeClr w14:val="tx1"/>
            </w14:solidFill>
          </w14:textFill>
        </w:rPr>
      </w:pPr>
    </w:p>
    <w:p w14:paraId="59CBF5EE">
      <w:pPr>
        <w:rPr>
          <w:b/>
          <w:color w:val="000000" w:themeColor="text1"/>
          <w:sz w:val="28"/>
          <w:szCs w:val="28"/>
          <w:highlight w:val="none"/>
          <w14:textFill>
            <w14:solidFill>
              <w14:schemeClr w14:val="tx1"/>
            </w14:solidFill>
          </w14:textFill>
        </w:rPr>
      </w:pPr>
    </w:p>
    <w:p w14:paraId="46D81DEB">
      <w:pPr>
        <w:rPr>
          <w:b/>
          <w:color w:val="000000" w:themeColor="text1"/>
          <w:sz w:val="28"/>
          <w:szCs w:val="28"/>
          <w:highlight w:val="none"/>
          <w14:textFill>
            <w14:solidFill>
              <w14:schemeClr w14:val="tx1"/>
            </w14:solidFill>
          </w14:textFill>
        </w:rPr>
      </w:pPr>
    </w:p>
    <w:p w14:paraId="2229DE15">
      <w:pPr>
        <w:ind w:right="2719" w:rightChars="1295" w:firstLine="2738" w:firstLineChars="1304"/>
        <w:jc w:val="distribute"/>
        <w:rPr>
          <w:b/>
          <w:color w:val="000000" w:themeColor="text1"/>
          <w:sz w:val="32"/>
          <w:szCs w:val="28"/>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6"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146CAF1">
                            <w:pPr>
                              <w:rPr>
                                <w:b/>
                                <w:bCs/>
                                <w:sz w:val="32"/>
                              </w:rPr>
                            </w:pPr>
                            <w:r>
                              <w:rPr>
                                <w:rFonts w:hint="eastAsia"/>
                                <w:b/>
                                <w:bCs/>
                                <w:sz w:val="32"/>
                              </w:rPr>
                              <w:t>制定</w:t>
                            </w:r>
                          </w:p>
                        </w:txbxContent>
                      </wps:txbx>
                      <wps:bodyPr wrap="square" upright="1"/>
                    </wps:wsp>
                  </a:graphicData>
                </a:graphic>
              </wp:anchor>
            </w:drawing>
          </mc:Choice>
          <mc:Fallback>
            <w:pict>
              <v:shape id="文本框 2"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NLXHYAAAACQEAAA8AAAAAAAAAAQAg&#10;AAAAIgAAAGRycy9kb3ducmV2LnhtbFBLAQIUABQAAAAIAIdO4kAaWPI+DgIAABoEAAAOAAAAAAAA&#10;AAEAIAAAACcBAABkcnMvZTJvRG9jLnhtbFBLBQYAAAAABgAGAFkBAACnBQAAAAA=&#10;">
                <v:fill on="f" focussize="0,0"/>
                <v:stroke color="#FFFFFF" joinstyle="miter"/>
                <v:imagedata o:title=""/>
                <o:lock v:ext="edit" aspectratio="f"/>
                <v:textbox>
                  <w:txbxContent>
                    <w:p w14:paraId="0146CAF1">
                      <w:pPr>
                        <w:rPr>
                          <w:b/>
                          <w:bCs/>
                          <w:sz w:val="32"/>
                        </w:rPr>
                      </w:pPr>
                      <w:r>
                        <w:rPr>
                          <w:rFonts w:hint="eastAsia"/>
                          <w:b/>
                          <w:bCs/>
                          <w:sz w:val="32"/>
                        </w:rPr>
                        <w:t>制定</w:t>
                      </w:r>
                    </w:p>
                  </w:txbxContent>
                </v:textbox>
              </v:shape>
            </w:pict>
          </mc:Fallback>
        </mc:AlternateContent>
      </w:r>
      <w:r>
        <w:rPr>
          <w:b/>
          <w:color w:val="000000" w:themeColor="text1"/>
          <w:sz w:val="32"/>
          <w:szCs w:val="28"/>
          <w:highlight w:val="none"/>
          <w14:textFill>
            <w14:solidFill>
              <w14:schemeClr w14:val="tx1"/>
            </w14:solidFill>
          </w14:textFill>
        </w:rPr>
        <w:t>住房和城乡建设部</w:t>
      </w:r>
    </w:p>
    <w:p w14:paraId="71EA18FF">
      <w:pPr>
        <w:ind w:right="2719" w:rightChars="1295" w:firstLine="2750" w:firstLineChars="856"/>
        <w:jc w:val="distribute"/>
        <w:rPr>
          <w:rFonts w:ascii="仿宋_GB2312" w:eastAsia="仿宋_GB2312"/>
          <w:color w:val="000000" w:themeColor="text1"/>
          <w:sz w:val="30"/>
          <w:szCs w:val="30"/>
          <w:highlight w:val="none"/>
          <w14:textFill>
            <w14:solidFill>
              <w14:schemeClr w14:val="tx1"/>
            </w14:solidFill>
          </w14:textFill>
        </w:rPr>
        <w:sectPr>
          <w:footerReference r:id="rId6" w:type="first"/>
          <w:footerReference r:id="rId5" w:type="default"/>
          <w:pgSz w:w="11906" w:h="16838"/>
          <w:pgMar w:top="1418" w:right="1555" w:bottom="1418" w:left="1531" w:header="851" w:footer="992" w:gutter="0"/>
          <w:pgNumType w:start="1"/>
          <w:cols w:space="708" w:num="1"/>
          <w:titlePg/>
          <w:docGrid w:type="lines" w:linePitch="312" w:charSpace="0"/>
        </w:sectPr>
      </w:pPr>
      <w:r>
        <w:rPr>
          <w:b/>
          <w:color w:val="000000" w:themeColor="text1"/>
          <w:sz w:val="32"/>
          <w:szCs w:val="28"/>
          <w:highlight w:val="none"/>
          <w14:textFill>
            <w14:solidFill>
              <w14:schemeClr w14:val="tx1"/>
            </w14:solidFill>
          </w14:textFill>
        </w:rPr>
        <w:t>国家工商行政管理总局</w:t>
      </w:r>
      <w:bookmarkStart w:id="322" w:name="_Toc296890982"/>
      <w:bookmarkStart w:id="323" w:name="_Toc296503025"/>
    </w:p>
    <w:p w14:paraId="130597FF">
      <w:pPr>
        <w:pStyle w:val="4"/>
        <w:jc w:val="center"/>
        <w:rPr>
          <w:rFonts w:ascii="宋体" w:hAnsi="宋体"/>
          <w:b w:val="0"/>
          <w:color w:val="000000" w:themeColor="text1"/>
          <w:sz w:val="21"/>
          <w:szCs w:val="21"/>
          <w:highlight w:val="none"/>
          <w14:textFill>
            <w14:solidFill>
              <w14:schemeClr w14:val="tx1"/>
            </w14:solidFill>
          </w14:textFill>
        </w:rPr>
      </w:pPr>
      <w:bookmarkStart w:id="324" w:name="_Toc31112"/>
      <w:bookmarkStart w:id="325" w:name="_Toc351203480"/>
      <w:r>
        <w:rPr>
          <w:rFonts w:ascii="宋体" w:hAnsi="宋体"/>
          <w:color w:val="000000" w:themeColor="text1"/>
          <w:sz w:val="21"/>
          <w:szCs w:val="21"/>
          <w:highlight w:val="none"/>
          <w14:textFill>
            <w14:solidFill>
              <w14:schemeClr w14:val="tx1"/>
            </w14:solidFill>
          </w14:textFill>
        </w:rPr>
        <w:t>第一部分 合同协议书</w:t>
      </w:r>
      <w:bookmarkEnd w:id="322"/>
      <w:bookmarkEnd w:id="323"/>
      <w:bookmarkEnd w:id="324"/>
      <w:bookmarkEnd w:id="325"/>
    </w:p>
    <w:p w14:paraId="4B2B5C77">
      <w:pPr>
        <w:spacing w:line="360" w:lineRule="auto"/>
        <w:rPr>
          <w:rFonts w:ascii="宋体" w:hAnsi="宋体"/>
          <w:b/>
          <w:color w:val="000000" w:themeColor="text1"/>
          <w:szCs w:val="21"/>
          <w:highlight w:val="none"/>
          <w:u w:val="single"/>
          <w14:textFill>
            <w14:solidFill>
              <w14:schemeClr w14:val="tx1"/>
            </w14:solidFill>
          </w14:textFill>
        </w:rPr>
      </w:pPr>
      <w:r>
        <w:rPr>
          <w:rFonts w:ascii="宋体" w:hAnsi="宋体"/>
          <w:b/>
          <w:color w:val="000000" w:themeColor="text1"/>
          <w:szCs w:val="21"/>
          <w:highlight w:val="none"/>
          <w14:textFill>
            <w14:solidFill>
              <w14:schemeClr w14:val="tx1"/>
            </w14:solidFill>
          </w14:textFill>
        </w:rPr>
        <w:t>发包人（全称）：</w:t>
      </w:r>
      <w:r>
        <w:rPr>
          <w:rFonts w:ascii="宋体" w:hAnsi="宋体"/>
          <w:b/>
          <w:color w:val="000000" w:themeColor="text1"/>
          <w:szCs w:val="21"/>
          <w:highlight w:val="none"/>
          <w:u w:val="single"/>
          <w14:textFill>
            <w14:solidFill>
              <w14:schemeClr w14:val="tx1"/>
            </w14:solidFill>
          </w14:textFill>
        </w:rPr>
        <w:sym w:font="Times New Roman" w:char="E5E5"/>
      </w:r>
      <w:r>
        <w:rPr>
          <w:rFonts w:hint="eastAsia" w:ascii="宋体" w:hAnsi="宋体"/>
          <w:b/>
          <w:color w:val="000000" w:themeColor="text1"/>
          <w:szCs w:val="21"/>
          <w:highlight w:val="none"/>
          <w:u w:val="single"/>
          <w14:textFill>
            <w14:solidFill>
              <w14:schemeClr w14:val="tx1"/>
            </w14:solidFill>
          </w14:textFill>
        </w:rPr>
        <w:t xml:space="preserve">       广西师范大学</w:t>
      </w:r>
      <w:r>
        <w:rPr>
          <w:rFonts w:ascii="宋体" w:hAnsi="宋体"/>
          <w:b/>
          <w:color w:val="000000" w:themeColor="text1"/>
          <w:szCs w:val="21"/>
          <w:highlight w:val="none"/>
          <w:u w:val="single"/>
          <w14:textFill>
            <w14:solidFill>
              <w14:schemeClr w14:val="tx1"/>
            </w14:solidFill>
          </w14:textFill>
        </w:rPr>
        <w:sym w:font="Times New Roman" w:char="E5E5"/>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sym w:font="Times New Roman" w:char="E5E5"/>
      </w:r>
    </w:p>
    <w:p w14:paraId="1CED0508">
      <w:pPr>
        <w:spacing w:line="360" w:lineRule="auto"/>
        <w:rPr>
          <w:rFonts w:ascii="宋体" w:hAnsi="宋体"/>
          <w:b/>
          <w:color w:val="000000" w:themeColor="text1"/>
          <w:szCs w:val="21"/>
          <w:highlight w:val="none"/>
          <w:u w:val="single"/>
          <w14:textFill>
            <w14:solidFill>
              <w14:schemeClr w14:val="tx1"/>
            </w14:solidFill>
          </w14:textFill>
        </w:rPr>
      </w:pPr>
      <w:r>
        <w:rPr>
          <w:rFonts w:ascii="宋体" w:hAnsi="宋体"/>
          <w:b/>
          <w:color w:val="000000" w:themeColor="text1"/>
          <w:szCs w:val="21"/>
          <w:highlight w:val="none"/>
          <w14:textFill>
            <w14:solidFill>
              <w14:schemeClr w14:val="tx1"/>
            </w14:solidFill>
          </w14:textFill>
        </w:rPr>
        <w:t>承包人（全称）：</w:t>
      </w:r>
      <w:r>
        <w:rPr>
          <w:rFonts w:ascii="宋体" w:hAnsi="宋体"/>
          <w:b/>
          <w:color w:val="000000" w:themeColor="text1"/>
          <w:szCs w:val="21"/>
          <w:highlight w:val="none"/>
          <w:u w:val="single"/>
          <w14:textFill>
            <w14:solidFill>
              <w14:schemeClr w14:val="tx1"/>
            </w14:solidFill>
          </w14:textFill>
        </w:rPr>
        <w:sym w:font="Times New Roman" w:char="E5E5"/>
      </w:r>
      <w:r>
        <w:rPr>
          <w:rFonts w:ascii="宋体" w:hAnsi="宋体"/>
          <w:b/>
          <w:color w:val="000000" w:themeColor="text1"/>
          <w:szCs w:val="21"/>
          <w:highlight w:val="none"/>
          <w:u w:val="single"/>
          <w14:textFill>
            <w14:solidFill>
              <w14:schemeClr w14:val="tx1"/>
            </w14:solidFill>
          </w14:textFill>
        </w:rPr>
        <w:sym w:font="Times New Roman" w:char="E5E5"/>
      </w:r>
      <w:r>
        <w:rPr>
          <w:rFonts w:ascii="宋体" w:hAnsi="宋体"/>
          <w:b/>
          <w:color w:val="000000" w:themeColor="text1"/>
          <w:szCs w:val="21"/>
          <w:highlight w:val="none"/>
          <w:u w:val="single"/>
          <w14:textFill>
            <w14:solidFill>
              <w14:schemeClr w14:val="tx1"/>
            </w14:solidFill>
          </w14:textFill>
        </w:rPr>
        <w:sym w:font="Times New Roman" w:char="E5E5"/>
      </w:r>
      <w:r>
        <w:rPr>
          <w:rFonts w:ascii="宋体" w:hAnsi="宋体"/>
          <w:b/>
          <w:color w:val="000000" w:themeColor="text1"/>
          <w:szCs w:val="21"/>
          <w:highlight w:val="none"/>
          <w:u w:val="single"/>
          <w14:textFill>
            <w14:solidFill>
              <w14:schemeClr w14:val="tx1"/>
            </w14:solidFill>
          </w14:textFill>
        </w:rPr>
        <w:sym w:font="Times New Roman" w:char="E5E5"/>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sym w:font="Times New Roman" w:char="E5E5"/>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sym w:font="Times New Roman" w:char="E5E5"/>
      </w:r>
    </w:p>
    <w:p w14:paraId="463DFF9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14:textFill>
            <w14:solidFill>
              <w14:schemeClr w14:val="tx1"/>
            </w14:solidFill>
          </w14:textFill>
        </w:rPr>
        <w:t>《中华人民共和国民法典》</w:t>
      </w:r>
      <w:r>
        <w:rPr>
          <w:rFonts w:ascii="宋体" w:hAnsi="宋体"/>
          <w:color w:val="000000" w:themeColor="text1"/>
          <w:szCs w:val="21"/>
          <w:highlight w:val="none"/>
          <w14:textFill>
            <w14:solidFill>
              <w14:schemeClr w14:val="tx1"/>
            </w14:solidFill>
          </w14:textFill>
        </w:rPr>
        <w:t>、《中华人民共和国建筑法》及有关法律规定，遵循平等、自愿、公平和诚实信用的原则，双方就</w:t>
      </w:r>
    </w:p>
    <w:p w14:paraId="35E96F3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工程施工及有关事项协商一致</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共同达成如下协议：</w:t>
      </w:r>
    </w:p>
    <w:p w14:paraId="051EA4A7">
      <w:pPr>
        <w:pStyle w:val="5"/>
        <w:spacing w:before="120" w:after="120" w:line="360" w:lineRule="auto"/>
        <w:rPr>
          <w:rFonts w:ascii="宋体" w:hAnsi="宋体"/>
          <w:bCs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r>
        <w:rPr>
          <w:rFonts w:ascii="宋体" w:hAnsi="宋体"/>
          <w:b w:val="0"/>
          <w:color w:val="000000" w:themeColor="text1"/>
          <w:szCs w:val="21"/>
          <w:highlight w:val="none"/>
          <w14:textFill>
            <w14:solidFill>
              <w14:schemeClr w14:val="tx1"/>
            </w14:solidFill>
          </w14:textFill>
        </w:rPr>
        <w:t xml:space="preserve"> </w:t>
      </w:r>
      <w:bookmarkStart w:id="326" w:name="_Toc351203481"/>
      <w:r>
        <w:rPr>
          <w:rFonts w:ascii="宋体" w:hAnsi="宋体"/>
          <w:b w:val="0"/>
          <w:color w:val="000000" w:themeColor="text1"/>
          <w:szCs w:val="21"/>
          <w:highlight w:val="none"/>
          <w14:textFill>
            <w14:solidFill>
              <w14:schemeClr w14:val="tx1"/>
            </w14:solidFill>
          </w14:textFill>
        </w:rPr>
        <w:t>一、工程概况</w:t>
      </w:r>
      <w:bookmarkEnd w:id="326"/>
    </w:p>
    <w:p w14:paraId="234473AF">
      <w:pPr>
        <w:spacing w:line="360" w:lineRule="auto"/>
        <w:ind w:firstLine="411" w:firstLineChars="196"/>
        <w:rPr>
          <w:rFonts w:ascii="宋体" w:hAnsi="宋体"/>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1.工程名称</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1BA5908">
      <w:pPr>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2.工程地点：</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B251CC2">
      <w:pPr>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3.工程立项批准文号：</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w:t>
      </w:r>
    </w:p>
    <w:p w14:paraId="7F2F04A2">
      <w:pPr>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4.资金来源：</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w:t>
      </w:r>
    </w:p>
    <w:p w14:paraId="3FD2FFF6">
      <w:pPr>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5.工程内容：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详见施工图纸及工程预算书等相关资料</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w:t>
      </w:r>
    </w:p>
    <w:p w14:paraId="70ABDA78">
      <w:pPr>
        <w:spacing w:line="360" w:lineRule="auto"/>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w:t>
      </w:r>
      <w:r>
        <w:rPr>
          <w:rFonts w:ascii="宋体" w:hAnsi="宋体"/>
          <w:bCs/>
          <w:color w:val="000000" w:themeColor="text1"/>
          <w:szCs w:val="21"/>
          <w:highlight w:val="none"/>
          <w14:textFill>
            <w14:solidFill>
              <w14:schemeClr w14:val="tx1"/>
            </w14:solidFill>
          </w14:textFill>
        </w:rPr>
        <w:t>.工程承包范围：</w:t>
      </w:r>
    </w:p>
    <w:p w14:paraId="03F4A3AC">
      <w:pPr>
        <w:spacing w:line="360" w:lineRule="auto"/>
        <w:ind w:firstLine="405" w:firstLineChars="193"/>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详见施工图纸及工程预算书等相关资料</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37CBE8C8">
      <w:pPr>
        <w:pStyle w:val="5"/>
        <w:spacing w:before="120" w:after="120" w:line="360" w:lineRule="auto"/>
        <w:rPr>
          <w:rFonts w:ascii="宋体" w:hAnsi="宋体"/>
          <w:b w:val="0"/>
          <w:color w:val="000000" w:themeColor="text1"/>
          <w:szCs w:val="21"/>
          <w:highlight w:val="none"/>
          <w14:textFill>
            <w14:solidFill>
              <w14:schemeClr w14:val="tx1"/>
            </w14:solidFill>
          </w14:textFill>
        </w:rPr>
      </w:pPr>
      <w:r>
        <w:rPr>
          <w:rFonts w:ascii="宋体" w:hAnsi="宋体"/>
          <w:b w:val="0"/>
          <w:color w:val="000000" w:themeColor="text1"/>
          <w:szCs w:val="21"/>
          <w:highlight w:val="none"/>
          <w14:textFill>
            <w14:solidFill>
              <w14:schemeClr w14:val="tx1"/>
            </w14:solidFill>
          </w14:textFill>
        </w:rPr>
        <w:t xml:space="preserve">   </w:t>
      </w:r>
      <w:bookmarkStart w:id="327" w:name="_Toc351203482"/>
      <w:r>
        <w:rPr>
          <w:rFonts w:ascii="宋体" w:hAnsi="宋体"/>
          <w:b w:val="0"/>
          <w:color w:val="000000" w:themeColor="text1"/>
          <w:szCs w:val="21"/>
          <w:highlight w:val="none"/>
          <w14:textFill>
            <w14:solidFill>
              <w14:schemeClr w14:val="tx1"/>
            </w14:solidFill>
          </w14:textFill>
        </w:rPr>
        <w:t>二、合同工期</w:t>
      </w:r>
      <w:bookmarkEnd w:id="327"/>
    </w:p>
    <w:p w14:paraId="1D255D26">
      <w:pPr>
        <w:spacing w:line="360" w:lineRule="auto"/>
        <w:ind w:firstLine="459"/>
        <w:rPr>
          <w:rFonts w:ascii="宋体" w:hAnsi="宋体" w:cs="仿宋"/>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计划开工日期：</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日。</w:t>
      </w:r>
      <w:r>
        <w:rPr>
          <w:rFonts w:hint="eastAsia" w:ascii="宋体" w:hAnsi="宋体" w:cs="仿宋"/>
          <w:color w:val="000000" w:themeColor="text1"/>
          <w:szCs w:val="21"/>
          <w:highlight w:val="none"/>
          <w14:textFill>
            <w14:solidFill>
              <w14:schemeClr w14:val="tx1"/>
            </w14:solidFill>
          </w14:textFill>
        </w:rPr>
        <w:t>（实际开工日期以发包人书面通知为准，春节前三天至元宵节共18日不计工期）</w:t>
      </w:r>
    </w:p>
    <w:p w14:paraId="1266BA5D">
      <w:pPr>
        <w:spacing w:line="360" w:lineRule="auto"/>
        <w:ind w:firstLine="45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计划竣工日期：</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（以发包人出具的竣工验收意见书合格之日为准）</w:t>
      </w:r>
    </w:p>
    <w:p w14:paraId="2131B5E7">
      <w:pPr>
        <w:spacing w:line="360" w:lineRule="auto"/>
        <w:ind w:firstLine="45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工期总日历天数：</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天。工期总日历天数与根据前述计划开竣工日期计算的工期天数不一致的，以工期总日历天数为准。</w:t>
      </w:r>
    </w:p>
    <w:p w14:paraId="7CC86EC2">
      <w:pPr>
        <w:pStyle w:val="5"/>
        <w:spacing w:before="120" w:after="120" w:line="360" w:lineRule="auto"/>
        <w:rPr>
          <w:rFonts w:ascii="宋体" w:hAnsi="宋体"/>
          <w:bCs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bookmarkStart w:id="328" w:name="_Toc351203483"/>
      <w:r>
        <w:rPr>
          <w:rFonts w:ascii="宋体" w:hAnsi="宋体"/>
          <w:b w:val="0"/>
          <w:color w:val="000000" w:themeColor="text1"/>
          <w:szCs w:val="21"/>
          <w:highlight w:val="none"/>
          <w14:textFill>
            <w14:solidFill>
              <w14:schemeClr w14:val="tx1"/>
            </w14:solidFill>
          </w14:textFill>
        </w:rPr>
        <w:t>三、质量标准</w:t>
      </w:r>
      <w:bookmarkEnd w:id="328"/>
    </w:p>
    <w:p w14:paraId="593B00AF">
      <w:pPr>
        <w:spacing w:line="360" w:lineRule="auto"/>
        <w:ind w:firstLine="45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工程质量符合</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国家合格</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标准。</w:t>
      </w:r>
    </w:p>
    <w:p w14:paraId="4BE73BDB">
      <w:pPr>
        <w:pStyle w:val="5"/>
        <w:spacing w:before="120" w:after="120" w:line="360" w:lineRule="auto"/>
        <w:rPr>
          <w:rFonts w:ascii="宋体" w:hAnsi="宋体"/>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r>
        <w:rPr>
          <w:rFonts w:ascii="宋体" w:hAnsi="宋体"/>
          <w:b w:val="0"/>
          <w:color w:val="000000" w:themeColor="text1"/>
          <w:szCs w:val="21"/>
          <w:highlight w:val="none"/>
          <w14:textFill>
            <w14:solidFill>
              <w14:schemeClr w14:val="tx1"/>
            </w14:solidFill>
          </w14:textFill>
        </w:rPr>
        <w:t xml:space="preserve"> </w:t>
      </w:r>
      <w:bookmarkStart w:id="329" w:name="_Toc351203484"/>
      <w:r>
        <w:rPr>
          <w:rFonts w:ascii="宋体" w:hAnsi="宋体"/>
          <w:b w:val="0"/>
          <w:color w:val="000000" w:themeColor="text1"/>
          <w:szCs w:val="21"/>
          <w:highlight w:val="none"/>
          <w14:textFill>
            <w14:solidFill>
              <w14:schemeClr w14:val="tx1"/>
            </w14:solidFill>
          </w14:textFill>
        </w:rPr>
        <w:t>四、合同价格形式与合同价</w:t>
      </w:r>
      <w:bookmarkEnd w:id="329"/>
    </w:p>
    <w:p w14:paraId="00749040">
      <w:pPr>
        <w:spacing w:line="360" w:lineRule="auto"/>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工程按以下第</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种确定合同价格形式与合同价。</w:t>
      </w:r>
    </w:p>
    <w:p w14:paraId="7C308AEB">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合同价格形式：</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根据实际完成的工程量，套定额结算</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CD3AA1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暂定合同价为： </w:t>
      </w:r>
    </w:p>
    <w:p w14:paraId="75D0696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p>
    <w:p w14:paraId="479C4A19">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合同价格形式：</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固定综合单价</w:t>
      </w:r>
      <w:r>
        <w:rPr>
          <w:rFonts w:hint="eastAsia" w:ascii="宋体" w:hAnsi="宋体" w:cs="仿宋"/>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6AB351E">
      <w:pPr>
        <w:adjustRightInd w:val="0"/>
        <w:snapToGrid w:val="0"/>
        <w:spacing w:line="600" w:lineRule="exact"/>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 签约合同价为：</w:t>
      </w:r>
    </w:p>
    <w:p w14:paraId="22FEDBDB">
      <w:pPr>
        <w:adjustRightInd w:val="0"/>
        <w:snapToGrid w:val="0"/>
        <w:spacing w:line="600" w:lineRule="exact"/>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总价：人民币（大写）</w:t>
      </w:r>
      <w:r>
        <w:rPr>
          <w:rFonts w:hint="eastAsia" w:ascii="宋体" w:hAnsi="宋体" w:cs="仿宋"/>
          <w:color w:val="000000" w:themeColor="text1"/>
          <w:szCs w:val="21"/>
          <w:highlight w:val="none"/>
          <w:u w:val="single"/>
          <w14:textFill>
            <w14:solidFill>
              <w14:schemeClr w14:val="tx1"/>
            </w14:solidFill>
          </w14:textFill>
        </w:rPr>
        <w:t xml:space="preserve">                             （¥       元）</w:t>
      </w:r>
      <w:r>
        <w:rPr>
          <w:rFonts w:hint="eastAsia" w:ascii="宋体" w:hAnsi="宋体" w:cs="仿宋"/>
          <w:color w:val="000000" w:themeColor="text1"/>
          <w:szCs w:val="21"/>
          <w:highlight w:val="none"/>
          <w14:textFill>
            <w14:solidFill>
              <w14:schemeClr w14:val="tx1"/>
            </w14:solidFill>
          </w14:textFill>
        </w:rPr>
        <w:t>；</w:t>
      </w:r>
    </w:p>
    <w:p w14:paraId="5FA98C79">
      <w:pPr>
        <w:adjustRightInd w:val="0"/>
        <w:snapToGrid w:val="0"/>
        <w:spacing w:line="600" w:lineRule="exact"/>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其中：</w:t>
      </w:r>
    </w:p>
    <w:p w14:paraId="40429F5C">
      <w:pPr>
        <w:numPr>
          <w:ilvl w:val="0"/>
          <w:numId w:val="7"/>
        </w:numPr>
        <w:adjustRightInd w:val="0"/>
        <w:snapToGrid w:val="0"/>
        <w:spacing w:line="600" w:lineRule="exact"/>
        <w:ind w:firstLine="210" w:firstLineChars="1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安全文明施工费：</w:t>
      </w:r>
    </w:p>
    <w:p w14:paraId="4AA5A272">
      <w:pPr>
        <w:adjustRightInd w:val="0"/>
        <w:snapToGrid w:val="0"/>
        <w:spacing w:line="600" w:lineRule="exact"/>
        <w:ind w:firstLine="630" w:firstLineChars="3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人民币（大写）</w:t>
      </w:r>
      <w:r>
        <w:rPr>
          <w:rFonts w:hint="eastAsia" w:ascii="宋体" w:hAnsi="宋体" w:cs="仿宋"/>
          <w:color w:val="000000" w:themeColor="text1"/>
          <w:szCs w:val="21"/>
          <w:highlight w:val="none"/>
          <w:u w:val="single"/>
          <w14:textFill>
            <w14:solidFill>
              <w14:schemeClr w14:val="tx1"/>
            </w14:solidFill>
          </w14:textFill>
        </w:rPr>
        <w:t xml:space="preserve">                               （¥        元）</w:t>
      </w:r>
      <w:r>
        <w:rPr>
          <w:rFonts w:hint="eastAsia" w:ascii="宋体" w:hAnsi="宋体" w:cs="仿宋"/>
          <w:color w:val="000000" w:themeColor="text1"/>
          <w:szCs w:val="21"/>
          <w:highlight w:val="none"/>
          <w14:textFill>
            <w14:solidFill>
              <w14:schemeClr w14:val="tx1"/>
            </w14:solidFill>
          </w14:textFill>
        </w:rPr>
        <w:t>；</w:t>
      </w:r>
    </w:p>
    <w:p w14:paraId="1FAEAF83">
      <w:pPr>
        <w:numPr>
          <w:ilvl w:val="0"/>
          <w:numId w:val="7"/>
        </w:numPr>
        <w:adjustRightInd w:val="0"/>
        <w:snapToGrid w:val="0"/>
        <w:spacing w:line="600" w:lineRule="exact"/>
        <w:ind w:firstLine="210" w:firstLineChars="1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暂估价：</w:t>
      </w:r>
    </w:p>
    <w:p w14:paraId="32D9850A">
      <w:pPr>
        <w:adjustRightInd w:val="0"/>
        <w:snapToGrid w:val="0"/>
        <w:spacing w:line="600" w:lineRule="exact"/>
        <w:ind w:firstLine="630" w:firstLineChars="3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人民币（大写）</w:t>
      </w:r>
      <w:r>
        <w:rPr>
          <w:rFonts w:hint="eastAsia" w:ascii="宋体" w:hAnsi="宋体" w:cs="仿宋"/>
          <w:color w:val="000000" w:themeColor="text1"/>
          <w:szCs w:val="21"/>
          <w:highlight w:val="none"/>
          <w:u w:val="single"/>
          <w14:textFill>
            <w14:solidFill>
              <w14:schemeClr w14:val="tx1"/>
            </w14:solidFill>
          </w14:textFill>
        </w:rPr>
        <w:t xml:space="preserve">                               （¥        元）</w:t>
      </w:r>
      <w:r>
        <w:rPr>
          <w:rFonts w:hint="eastAsia" w:ascii="宋体" w:hAnsi="宋体" w:cs="仿宋"/>
          <w:color w:val="000000" w:themeColor="text1"/>
          <w:szCs w:val="21"/>
          <w:highlight w:val="none"/>
          <w14:textFill>
            <w14:solidFill>
              <w14:schemeClr w14:val="tx1"/>
            </w14:solidFill>
          </w14:textFill>
        </w:rPr>
        <w:t>；</w:t>
      </w:r>
    </w:p>
    <w:p w14:paraId="18D25050">
      <w:pPr>
        <w:numPr>
          <w:ilvl w:val="0"/>
          <w:numId w:val="7"/>
        </w:numPr>
        <w:adjustRightInd w:val="0"/>
        <w:snapToGrid w:val="0"/>
        <w:spacing w:line="600" w:lineRule="exact"/>
        <w:ind w:firstLine="210" w:firstLineChars="1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暂列金额：</w:t>
      </w:r>
    </w:p>
    <w:p w14:paraId="2A70D053">
      <w:pPr>
        <w:adjustRightInd w:val="0"/>
        <w:snapToGrid w:val="0"/>
        <w:spacing w:line="600" w:lineRule="exact"/>
        <w:ind w:left="210" w:leftChars="100" w:firstLine="630" w:firstLineChars="3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人民币（大写）</w:t>
      </w:r>
      <w:r>
        <w:rPr>
          <w:rFonts w:hint="eastAsia" w:ascii="宋体" w:hAnsi="宋体" w:cs="仿宋"/>
          <w:color w:val="000000" w:themeColor="text1"/>
          <w:szCs w:val="21"/>
          <w:highlight w:val="none"/>
          <w:u w:val="single"/>
          <w14:textFill>
            <w14:solidFill>
              <w14:schemeClr w14:val="tx1"/>
            </w14:solidFill>
          </w14:textFill>
        </w:rPr>
        <w:t xml:space="preserve">                              （¥        元）</w:t>
      </w:r>
      <w:r>
        <w:rPr>
          <w:rFonts w:hint="eastAsia" w:ascii="宋体" w:hAnsi="宋体" w:cs="仿宋"/>
          <w:color w:val="000000" w:themeColor="text1"/>
          <w:szCs w:val="21"/>
          <w:highlight w:val="none"/>
          <w14:textFill>
            <w14:solidFill>
              <w14:schemeClr w14:val="tx1"/>
            </w14:solidFill>
          </w14:textFill>
        </w:rPr>
        <w:t>。</w:t>
      </w:r>
    </w:p>
    <w:p w14:paraId="77DC9BC0">
      <w:pPr>
        <w:spacing w:line="600" w:lineRule="exact"/>
        <w:ind w:left="768" w:leftChars="266" w:hanging="210" w:hangingChars="100"/>
        <w:rPr>
          <w:rFonts w:ascii="宋体" w:hAnsi="宋体" w:cs="仿宋"/>
          <w:b/>
          <w:bCs/>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2.根据市住建〔2016〕34号文《关于市建成区、临桂新区、灵川县范围内建筑工程新增扬尘防治费用的通知》和市住建【2018】 32号《桂林十县范围内建筑工程新增扬尘防治费用的通知》，另计扬尘防治费，本工程扬尘防治费</w:t>
      </w:r>
      <w:r>
        <w:rPr>
          <w:rFonts w:hint="eastAsia" w:ascii="宋体" w:hAnsi="宋体" w:cs="仿宋"/>
          <w:b/>
          <w:color w:val="000000" w:themeColor="text1"/>
          <w:szCs w:val="21"/>
          <w:highlight w:val="none"/>
          <w:u w:val="single"/>
          <w14:textFill>
            <w14:solidFill>
              <w14:schemeClr w14:val="tx1"/>
            </w14:solidFill>
          </w14:textFill>
        </w:rPr>
        <w:t xml:space="preserve">    0    </w:t>
      </w:r>
      <w:r>
        <w:rPr>
          <w:rFonts w:hint="eastAsia" w:ascii="宋体" w:hAnsi="宋体" w:cs="仿宋"/>
          <w:color w:val="000000" w:themeColor="text1"/>
          <w:szCs w:val="21"/>
          <w:highlight w:val="none"/>
          <w14:textFill>
            <w14:solidFill>
              <w14:schemeClr w14:val="tx1"/>
            </w14:solidFill>
          </w14:textFill>
        </w:rPr>
        <w:t>元。</w:t>
      </w:r>
    </w:p>
    <w:p w14:paraId="25B9725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合同价格形式：</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总价包干合同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D5383B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签约合同价为： </w:t>
      </w:r>
    </w:p>
    <w:p w14:paraId="1E9518D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人民币（大写）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元)；</w:t>
      </w:r>
    </w:p>
    <w:p w14:paraId="35C38BA2">
      <w:pPr>
        <w:pStyle w:val="5"/>
        <w:spacing w:before="120" w:after="120" w:line="360" w:lineRule="auto"/>
        <w:rPr>
          <w:rFonts w:ascii="宋体" w:hAnsi="宋体"/>
          <w:b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r>
        <w:rPr>
          <w:rFonts w:ascii="宋体" w:hAnsi="宋体"/>
          <w:b w:val="0"/>
          <w:color w:val="000000" w:themeColor="text1"/>
          <w:szCs w:val="21"/>
          <w:highlight w:val="none"/>
          <w14:textFill>
            <w14:solidFill>
              <w14:schemeClr w14:val="tx1"/>
            </w14:solidFill>
          </w14:textFill>
        </w:rPr>
        <w:t xml:space="preserve"> </w:t>
      </w:r>
      <w:bookmarkStart w:id="330" w:name="_Toc351203485"/>
      <w:r>
        <w:rPr>
          <w:rFonts w:ascii="宋体" w:hAnsi="宋体"/>
          <w:b w:val="0"/>
          <w:color w:val="000000" w:themeColor="text1"/>
          <w:szCs w:val="21"/>
          <w:highlight w:val="none"/>
          <w14:textFill>
            <w14:solidFill>
              <w14:schemeClr w14:val="tx1"/>
            </w14:solidFill>
          </w14:textFill>
        </w:rPr>
        <w:t>五、</w:t>
      </w:r>
      <w:bookmarkEnd w:id="330"/>
      <w:r>
        <w:rPr>
          <w:rFonts w:ascii="宋体" w:hAnsi="宋体"/>
          <w:b w:val="0"/>
          <w:color w:val="000000" w:themeColor="text1"/>
          <w:szCs w:val="21"/>
          <w:highlight w:val="none"/>
          <w14:textFill>
            <w14:solidFill>
              <w14:schemeClr w14:val="tx1"/>
            </w14:solidFill>
          </w14:textFill>
        </w:rPr>
        <w:t>项目经理</w:t>
      </w:r>
    </w:p>
    <w:p w14:paraId="61DA45C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承包人项目经理：</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6916D1F7">
      <w:pPr>
        <w:pStyle w:val="5"/>
        <w:spacing w:before="120" w:after="120" w:line="360" w:lineRule="auto"/>
        <w:rPr>
          <w:rFonts w:ascii="宋体" w:hAnsi="宋体"/>
          <w:bCs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r>
        <w:rPr>
          <w:rFonts w:ascii="宋体" w:hAnsi="宋体"/>
          <w:b w:val="0"/>
          <w:color w:val="000000" w:themeColor="text1"/>
          <w:szCs w:val="21"/>
          <w:highlight w:val="none"/>
          <w14:textFill>
            <w14:solidFill>
              <w14:schemeClr w14:val="tx1"/>
            </w14:solidFill>
          </w14:textFill>
        </w:rPr>
        <w:t xml:space="preserve"> </w:t>
      </w:r>
      <w:bookmarkStart w:id="331" w:name="_Toc351203486"/>
      <w:r>
        <w:rPr>
          <w:rFonts w:ascii="宋体" w:hAnsi="宋体"/>
          <w:b w:val="0"/>
          <w:color w:val="000000" w:themeColor="text1"/>
          <w:szCs w:val="21"/>
          <w:highlight w:val="none"/>
          <w14:textFill>
            <w14:solidFill>
              <w14:schemeClr w14:val="tx1"/>
            </w14:solidFill>
          </w14:textFill>
        </w:rPr>
        <w:t>六、合同文件构成</w:t>
      </w:r>
      <w:bookmarkEnd w:id="331"/>
    </w:p>
    <w:p w14:paraId="2A165F79">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本协议书与下列文件一起构成合同文件：</w:t>
      </w:r>
    </w:p>
    <w:p w14:paraId="28DAF79A">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（1）中标通知书（如有）；</w:t>
      </w:r>
    </w:p>
    <w:p w14:paraId="7C68202A">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 xml:space="preserve">（2）投标函及其附录（如有）； </w:t>
      </w:r>
    </w:p>
    <w:p w14:paraId="31EF68A4">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（3）专用合同条款及其附件；</w:t>
      </w:r>
    </w:p>
    <w:p w14:paraId="46CA2861">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（4）通用合同条款；</w:t>
      </w:r>
    </w:p>
    <w:p w14:paraId="54765CA6">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（5）</w:t>
      </w:r>
      <w:r>
        <w:rPr>
          <w:rFonts w:hint="eastAsia" w:ascii="宋体" w:hAnsi="宋体" w:cs="仿宋"/>
          <w:color w:val="000000" w:themeColor="text1"/>
          <w:szCs w:val="21"/>
          <w:highlight w:val="none"/>
          <w:u w:val="single"/>
          <w14:textFill>
            <w14:solidFill>
              <w14:schemeClr w14:val="tx1"/>
            </w14:solidFill>
          </w14:textFill>
        </w:rPr>
        <w:t>标准、规范及有关技术文件</w:t>
      </w:r>
      <w:r>
        <w:rPr>
          <w:rFonts w:hint="eastAsia" w:ascii="宋体" w:hAnsi="宋体" w:cs="仿宋"/>
          <w:color w:val="000000" w:themeColor="text1"/>
          <w:szCs w:val="21"/>
          <w:highlight w:val="none"/>
          <w14:textFill>
            <w14:solidFill>
              <w14:schemeClr w14:val="tx1"/>
            </w14:solidFill>
          </w14:textFill>
        </w:rPr>
        <w:t>；</w:t>
      </w:r>
    </w:p>
    <w:p w14:paraId="3E65AE1B">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（6）</w:t>
      </w:r>
      <w:r>
        <w:rPr>
          <w:rFonts w:hint="eastAsia" w:ascii="宋体" w:hAnsi="宋体" w:cs="仿宋"/>
          <w:color w:val="000000" w:themeColor="text1"/>
          <w:szCs w:val="21"/>
          <w:highlight w:val="none"/>
          <w:u w:val="single"/>
          <w14:textFill>
            <w14:solidFill>
              <w14:schemeClr w14:val="tx1"/>
            </w14:solidFill>
          </w14:textFill>
        </w:rPr>
        <w:t>图纸（含图纸修改通知单及图纸设计变更文件）</w:t>
      </w:r>
      <w:r>
        <w:rPr>
          <w:rFonts w:hint="eastAsia" w:ascii="宋体" w:hAnsi="宋体" w:cs="仿宋"/>
          <w:color w:val="000000" w:themeColor="text1"/>
          <w:szCs w:val="21"/>
          <w:highlight w:val="none"/>
          <w14:textFill>
            <w14:solidFill>
              <w14:schemeClr w14:val="tx1"/>
            </w14:solidFill>
          </w14:textFill>
        </w:rPr>
        <w:t>；</w:t>
      </w:r>
    </w:p>
    <w:p w14:paraId="7609E70B">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（7）</w:t>
      </w:r>
      <w:r>
        <w:rPr>
          <w:rFonts w:hint="eastAsia" w:ascii="宋体" w:hAnsi="宋体" w:cs="仿宋"/>
          <w:color w:val="000000" w:themeColor="text1"/>
          <w:szCs w:val="21"/>
          <w:highlight w:val="none"/>
          <w:u w:val="single"/>
          <w14:textFill>
            <w14:solidFill>
              <w14:schemeClr w14:val="tx1"/>
            </w14:solidFill>
          </w14:textFill>
        </w:rPr>
        <w:t>本工程预算造价成果文件</w:t>
      </w:r>
      <w:r>
        <w:rPr>
          <w:rFonts w:hint="eastAsia" w:ascii="宋体" w:hAnsi="宋体" w:cs="仿宋"/>
          <w:color w:val="000000" w:themeColor="text1"/>
          <w:szCs w:val="21"/>
          <w:highlight w:val="none"/>
          <w14:textFill>
            <w14:solidFill>
              <w14:schemeClr w14:val="tx1"/>
            </w14:solidFill>
          </w14:textFill>
        </w:rPr>
        <w:t>；</w:t>
      </w:r>
    </w:p>
    <w:p w14:paraId="0D9FA0A6">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（8）其他合同文件：</w:t>
      </w:r>
    </w:p>
    <w:p w14:paraId="1B8D1C0C">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5C842757">
      <w:pPr>
        <w:pStyle w:val="5"/>
        <w:spacing w:before="120" w:after="120" w:line="360" w:lineRule="auto"/>
        <w:rPr>
          <w:rFonts w:ascii="宋体" w:hAnsi="宋体"/>
          <w:b w:val="0"/>
          <w:bCs w:val="0"/>
          <w:color w:val="000000" w:themeColor="text1"/>
          <w:szCs w:val="21"/>
          <w:highlight w:val="none"/>
          <w14:textFill>
            <w14:solidFill>
              <w14:schemeClr w14:val="tx1"/>
            </w14:solidFill>
          </w14:textFill>
        </w:rPr>
      </w:pPr>
      <w:r>
        <w:rPr>
          <w:rFonts w:ascii="宋体" w:hAnsi="宋体"/>
          <w:b w:val="0"/>
          <w:bCs w:val="0"/>
          <w:color w:val="000000" w:themeColor="text1"/>
          <w:szCs w:val="21"/>
          <w:highlight w:val="none"/>
          <w14:textFill>
            <w14:solidFill>
              <w14:schemeClr w14:val="tx1"/>
            </w14:solidFill>
          </w14:textFill>
        </w:rPr>
        <w:t xml:space="preserve">   </w:t>
      </w:r>
      <w:r>
        <w:rPr>
          <w:rFonts w:ascii="宋体" w:hAnsi="宋体"/>
          <w:b w:val="0"/>
          <w:color w:val="000000" w:themeColor="text1"/>
          <w:szCs w:val="21"/>
          <w:highlight w:val="none"/>
          <w14:textFill>
            <w14:solidFill>
              <w14:schemeClr w14:val="tx1"/>
            </w14:solidFill>
          </w14:textFill>
        </w:rPr>
        <w:t xml:space="preserve"> </w:t>
      </w:r>
      <w:bookmarkStart w:id="332" w:name="_Toc351203487"/>
      <w:r>
        <w:rPr>
          <w:rFonts w:ascii="宋体" w:hAnsi="宋体"/>
          <w:b w:val="0"/>
          <w:color w:val="000000" w:themeColor="text1"/>
          <w:szCs w:val="21"/>
          <w:highlight w:val="none"/>
          <w14:textFill>
            <w14:solidFill>
              <w14:schemeClr w14:val="tx1"/>
            </w14:solidFill>
          </w14:textFill>
        </w:rPr>
        <w:t>七、承诺</w:t>
      </w:r>
      <w:bookmarkEnd w:id="332"/>
    </w:p>
    <w:p w14:paraId="3D3A10A8">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1.发包人承诺按照法律规定履行项目审批手续、筹集工程建设资金并按照合同约定的期限和方式支付合同价款。</w:t>
      </w:r>
    </w:p>
    <w:p w14:paraId="25B4D625">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241187B9">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3.发包人和承包人通过招投标形式签订合同的，双方理解并</w:t>
      </w:r>
      <w:r>
        <w:rPr>
          <w:rFonts w:hint="eastAsia" w:ascii="宋体" w:hAnsi="宋体"/>
          <w:bCs/>
          <w:color w:val="000000" w:themeColor="text1"/>
          <w:szCs w:val="21"/>
          <w:highlight w:val="none"/>
          <w14:textFill>
            <w14:solidFill>
              <w14:schemeClr w14:val="tx1"/>
            </w14:solidFill>
          </w14:textFill>
        </w:rPr>
        <w:t>承诺</w:t>
      </w:r>
      <w:r>
        <w:rPr>
          <w:rFonts w:ascii="宋体" w:hAnsi="宋体"/>
          <w:bCs/>
          <w:color w:val="000000" w:themeColor="text1"/>
          <w:szCs w:val="21"/>
          <w:highlight w:val="none"/>
          <w14:textFill>
            <w14:solidFill>
              <w14:schemeClr w14:val="tx1"/>
            </w14:solidFill>
          </w14:textFill>
        </w:rPr>
        <w:t>不再就同一工程另行签订与合同实质性内容相背离的协议。</w:t>
      </w:r>
    </w:p>
    <w:p w14:paraId="5096C7C1">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合同签订后五个工作日内必须与广西师范大学后勤服务集团水电中心签订水电使用协议，并按学校水电管理规定缴纳水电保证金，水电使用协议及水电保证金作为本合同附件。</w:t>
      </w:r>
    </w:p>
    <w:p w14:paraId="2AE1B0FB">
      <w:pPr>
        <w:spacing w:line="360" w:lineRule="auto"/>
        <w:rPr>
          <w:rFonts w:ascii="宋体" w:hAnsi="宋体"/>
          <w:bCs/>
          <w:color w:val="000000" w:themeColor="text1"/>
          <w:szCs w:val="21"/>
          <w:highlight w:val="none"/>
          <w14:textFill>
            <w14:solidFill>
              <w14:schemeClr w14:val="tx1"/>
            </w14:solidFill>
          </w14:textFill>
        </w:rPr>
      </w:pPr>
      <w:bookmarkStart w:id="333" w:name="_Toc351203488"/>
      <w:r>
        <w:rPr>
          <w:rFonts w:hint="eastAsia" w:ascii="宋体" w:hAnsi="宋体"/>
          <w:b/>
          <w:color w:val="000000" w:themeColor="text1"/>
          <w:szCs w:val="21"/>
          <w:highlight w:val="none"/>
          <w14:textFill>
            <w14:solidFill>
              <w14:schemeClr w14:val="tx1"/>
            </w14:solidFill>
          </w14:textFill>
        </w:rPr>
        <w:t xml:space="preserve">    </w:t>
      </w:r>
      <w:r>
        <w:rPr>
          <w:rFonts w:ascii="宋体" w:hAnsi="宋体"/>
          <w:b/>
          <w:color w:val="000000" w:themeColor="text1"/>
          <w:szCs w:val="21"/>
          <w:highlight w:val="none"/>
          <w14:textFill>
            <w14:solidFill>
              <w14:schemeClr w14:val="tx1"/>
            </w14:solidFill>
          </w14:textFill>
        </w:rPr>
        <w:t>八、词语含义</w:t>
      </w:r>
      <w:bookmarkEnd w:id="333"/>
    </w:p>
    <w:p w14:paraId="190DB697">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本协议书中词语含义与第二部分通用合同条款中赋予的含义相同。</w:t>
      </w:r>
    </w:p>
    <w:p w14:paraId="6DED6409">
      <w:pPr>
        <w:pStyle w:val="5"/>
        <w:spacing w:before="120" w:after="120" w:line="360" w:lineRule="auto"/>
        <w:rPr>
          <w:rFonts w:ascii="宋体" w:hAnsi="宋体"/>
          <w:bCs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r>
        <w:rPr>
          <w:rFonts w:ascii="宋体" w:hAnsi="宋体"/>
          <w:b w:val="0"/>
          <w:color w:val="000000" w:themeColor="text1"/>
          <w:szCs w:val="21"/>
          <w:highlight w:val="none"/>
          <w14:textFill>
            <w14:solidFill>
              <w14:schemeClr w14:val="tx1"/>
            </w14:solidFill>
          </w14:textFill>
        </w:rPr>
        <w:t xml:space="preserve">  </w:t>
      </w:r>
      <w:bookmarkStart w:id="334" w:name="_Toc351203489"/>
      <w:r>
        <w:rPr>
          <w:rFonts w:ascii="宋体" w:hAnsi="宋体"/>
          <w:b w:val="0"/>
          <w:color w:val="000000" w:themeColor="text1"/>
          <w:szCs w:val="21"/>
          <w:highlight w:val="none"/>
          <w14:textFill>
            <w14:solidFill>
              <w14:schemeClr w14:val="tx1"/>
            </w14:solidFill>
          </w14:textFill>
        </w:rPr>
        <w:t>九、签订时间</w:t>
      </w:r>
      <w:bookmarkEnd w:id="334"/>
    </w:p>
    <w:p w14:paraId="71647208">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本合同于</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日签订。</w:t>
      </w:r>
    </w:p>
    <w:p w14:paraId="0B5F80D1">
      <w:pPr>
        <w:pStyle w:val="5"/>
        <w:spacing w:before="120" w:after="120" w:line="360" w:lineRule="auto"/>
        <w:rPr>
          <w:rFonts w:ascii="宋体" w:hAnsi="宋体"/>
          <w:bCs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bookmarkStart w:id="335" w:name="_Toc351203490"/>
      <w:r>
        <w:rPr>
          <w:rFonts w:ascii="宋体" w:hAnsi="宋体"/>
          <w:b w:val="0"/>
          <w:color w:val="000000" w:themeColor="text1"/>
          <w:szCs w:val="21"/>
          <w:highlight w:val="none"/>
          <w14:textFill>
            <w14:solidFill>
              <w14:schemeClr w14:val="tx1"/>
            </w14:solidFill>
          </w14:textFill>
        </w:rPr>
        <w:t>十、签订地点</w:t>
      </w:r>
      <w:bookmarkEnd w:id="335"/>
    </w:p>
    <w:p w14:paraId="10591230">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本合同在</w:t>
      </w:r>
      <w:r>
        <w:rPr>
          <w:rFonts w:ascii="宋体" w:hAnsi="宋体"/>
          <w:bCs/>
          <w:color w:val="000000" w:themeColor="text1"/>
          <w:szCs w:val="21"/>
          <w:highlight w:val="none"/>
          <w:u w:val="single"/>
          <w14:textFill>
            <w14:solidFill>
              <w14:schemeClr w14:val="tx1"/>
            </w14:solidFill>
          </w14:textFill>
        </w:rPr>
        <w:t xml:space="preserve">       广西师范大学</w:t>
      </w:r>
      <w:r>
        <w:rPr>
          <w:rFonts w:hint="eastAsia" w:ascii="宋体" w:hAnsi="宋体"/>
          <w:bCs/>
          <w:color w:val="000000" w:themeColor="text1"/>
          <w:szCs w:val="21"/>
          <w:highlight w:val="none"/>
          <w:u w:val="single"/>
          <w14:textFill>
            <w14:solidFill>
              <w14:schemeClr w14:val="tx1"/>
            </w14:solidFill>
          </w14:textFill>
        </w:rPr>
        <w:t>雁山区</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签订。</w:t>
      </w:r>
    </w:p>
    <w:p w14:paraId="42C413D8">
      <w:pPr>
        <w:pStyle w:val="5"/>
        <w:spacing w:before="120" w:after="120" w:line="360" w:lineRule="auto"/>
        <w:rPr>
          <w:rFonts w:ascii="宋体" w:hAnsi="宋体"/>
          <w:bCs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bookmarkStart w:id="336" w:name="_Toc351203491"/>
      <w:r>
        <w:rPr>
          <w:rFonts w:ascii="宋体" w:hAnsi="宋体"/>
          <w:b w:val="0"/>
          <w:color w:val="000000" w:themeColor="text1"/>
          <w:szCs w:val="21"/>
          <w:highlight w:val="none"/>
          <w14:textFill>
            <w14:solidFill>
              <w14:schemeClr w14:val="tx1"/>
            </w14:solidFill>
          </w14:textFill>
        </w:rPr>
        <w:t>十一、补充协议</w:t>
      </w:r>
      <w:bookmarkEnd w:id="336"/>
    </w:p>
    <w:p w14:paraId="58B55197">
      <w:pPr>
        <w:spacing w:line="360" w:lineRule="auto"/>
        <w:ind w:firstLine="420" w:firstLineChars="200"/>
        <w:rPr>
          <w:rFonts w:ascii="宋体" w:hAnsi="宋体"/>
          <w:b/>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合同未尽事宜，合同当事人另行签订补充协议</w:t>
      </w:r>
      <w:r>
        <w:rPr>
          <w:rFonts w:hint="eastAsia" w:ascii="宋体" w:hAnsi="宋体"/>
          <w:bCs/>
          <w:color w:val="000000" w:themeColor="text1"/>
          <w:szCs w:val="21"/>
          <w:highlight w:val="none"/>
          <w14:textFill>
            <w14:solidFill>
              <w14:schemeClr w14:val="tx1"/>
            </w14:solidFill>
          </w14:textFill>
        </w:rPr>
        <w:t>，</w:t>
      </w:r>
      <w:r>
        <w:rPr>
          <w:rFonts w:ascii="宋体" w:hAnsi="宋体"/>
          <w:bCs/>
          <w:color w:val="000000" w:themeColor="text1"/>
          <w:szCs w:val="21"/>
          <w:highlight w:val="none"/>
          <w14:textFill>
            <w14:solidFill>
              <w14:schemeClr w14:val="tx1"/>
            </w14:solidFill>
          </w14:textFill>
        </w:rPr>
        <w:t>补充协议是合同的组成部分。</w:t>
      </w:r>
    </w:p>
    <w:p w14:paraId="779184CD">
      <w:pPr>
        <w:pStyle w:val="5"/>
        <w:spacing w:before="120" w:after="120" w:line="360" w:lineRule="auto"/>
        <w:rPr>
          <w:rFonts w:ascii="宋体" w:hAnsi="宋体"/>
          <w:bCs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bookmarkStart w:id="337" w:name="_Toc351203492"/>
      <w:r>
        <w:rPr>
          <w:rFonts w:ascii="宋体" w:hAnsi="宋体"/>
          <w:b w:val="0"/>
          <w:color w:val="000000" w:themeColor="text1"/>
          <w:szCs w:val="21"/>
          <w:highlight w:val="none"/>
          <w14:textFill>
            <w14:solidFill>
              <w14:schemeClr w14:val="tx1"/>
            </w14:solidFill>
          </w14:textFill>
        </w:rPr>
        <w:t>十二、合同生效</w:t>
      </w:r>
      <w:bookmarkEnd w:id="337"/>
    </w:p>
    <w:p w14:paraId="770C5944">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本合同自</w:t>
      </w:r>
      <w:r>
        <w:rPr>
          <w:rFonts w:hint="eastAsia" w:ascii="宋体" w:hAnsi="宋体"/>
          <w:bCs/>
          <w:color w:val="000000" w:themeColor="text1"/>
          <w:szCs w:val="21"/>
          <w:highlight w:val="none"/>
          <w:u w:val="single"/>
          <w14:textFill>
            <w14:solidFill>
              <w14:schemeClr w14:val="tx1"/>
            </w14:solidFill>
          </w14:textFill>
        </w:rPr>
        <w:t>双方法定代表人或其授权代理人签字或盖章并加盖单位公章后</w:t>
      </w:r>
      <w:r>
        <w:rPr>
          <w:rFonts w:ascii="宋体" w:hAnsi="宋体"/>
          <w:bCs/>
          <w:color w:val="000000" w:themeColor="text1"/>
          <w:szCs w:val="21"/>
          <w:highlight w:val="none"/>
          <w14:textFill>
            <w14:solidFill>
              <w14:schemeClr w14:val="tx1"/>
            </w14:solidFill>
          </w14:textFill>
        </w:rPr>
        <w:t>生效。</w:t>
      </w:r>
    </w:p>
    <w:p w14:paraId="5DE7A820">
      <w:pPr>
        <w:pStyle w:val="5"/>
        <w:spacing w:before="120" w:after="120" w:line="360" w:lineRule="auto"/>
        <w:rPr>
          <w:rFonts w:ascii="宋体" w:hAnsi="宋体"/>
          <w:bCs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 xml:space="preserve">    </w:t>
      </w:r>
      <w:bookmarkStart w:id="338" w:name="_Toc351203493"/>
      <w:r>
        <w:rPr>
          <w:rFonts w:ascii="宋体" w:hAnsi="宋体"/>
          <w:b w:val="0"/>
          <w:color w:val="000000" w:themeColor="text1"/>
          <w:szCs w:val="21"/>
          <w:highlight w:val="none"/>
          <w14:textFill>
            <w14:solidFill>
              <w14:schemeClr w14:val="tx1"/>
            </w14:solidFill>
          </w14:textFill>
        </w:rPr>
        <w:t>十三、合同份数</w:t>
      </w:r>
      <w:bookmarkEnd w:id="338"/>
    </w:p>
    <w:p w14:paraId="3C476D0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本合同一式</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柒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份，均具有同等法律效力，发包人执</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肆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份，承包人执</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叁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份。</w:t>
      </w:r>
    </w:p>
    <w:p w14:paraId="13926270">
      <w:pPr>
        <w:spacing w:line="360" w:lineRule="auto"/>
        <w:rPr>
          <w:rFonts w:ascii="宋体" w:hAnsi="宋体"/>
          <w:color w:val="000000" w:themeColor="text1"/>
          <w:szCs w:val="21"/>
          <w:highlight w:val="none"/>
          <w14:textFill>
            <w14:solidFill>
              <w14:schemeClr w14:val="tx1"/>
            </w14:solidFill>
          </w14:textFill>
        </w:rPr>
      </w:pPr>
    </w:p>
    <w:p w14:paraId="79D4D55D">
      <w:pPr>
        <w:spacing w:line="360" w:lineRule="auto"/>
        <w:rPr>
          <w:rFonts w:ascii="宋体" w:hAnsi="宋体"/>
          <w:color w:val="000000" w:themeColor="text1"/>
          <w:szCs w:val="21"/>
          <w:highlight w:val="none"/>
          <w14:textFill>
            <w14:solidFill>
              <w14:schemeClr w14:val="tx1"/>
            </w14:solidFill>
          </w14:textFill>
        </w:rPr>
      </w:pPr>
      <w:bookmarkStart w:id="339" w:name="_Toc351203494"/>
      <w:r>
        <w:rPr>
          <w:rFonts w:ascii="宋体" w:hAnsi="宋体"/>
          <w:color w:val="000000" w:themeColor="text1"/>
          <w:szCs w:val="21"/>
          <w:highlight w:val="none"/>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(公章)</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承包人</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(公章)</w:t>
      </w:r>
    </w:p>
    <w:p w14:paraId="4DA4DFA5">
      <w:pPr>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59BFA1C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        法定代表人或其委托代理人：</w:t>
      </w:r>
    </w:p>
    <w:p w14:paraId="1915BC1C">
      <w:pPr>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（签字）                         （签字）</w:t>
      </w:r>
    </w:p>
    <w:p w14:paraId="31408D3D">
      <w:pPr>
        <w:tabs>
          <w:tab w:val="left" w:pos="441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组织机构代码：</w:t>
      </w:r>
      <w:r>
        <w:rPr>
          <w:rFonts w:hint="eastAsia" w:ascii="宋体" w:hAnsi="宋体" w:cs="宋体"/>
          <w:color w:val="000000" w:themeColor="text1"/>
          <w:szCs w:val="21"/>
          <w:highlight w:val="none"/>
          <w:u w:val="single"/>
          <w14:textFill>
            <w14:solidFill>
              <w14:schemeClr w14:val="tx1"/>
            </w14:solidFill>
          </w14:textFill>
        </w:rPr>
        <w:t>12450000498502795M</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组织机构代码：</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17E19966">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桂林市育才路15号</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地  址：</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215E005C">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541004</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p>
    <w:p w14:paraId="55AFFC00">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法定代表人：</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445651D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2E152CFC">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  话：</w:t>
      </w:r>
      <w:r>
        <w:rPr>
          <w:rFonts w:ascii="宋体" w:hAnsi="宋体"/>
          <w:color w:val="000000" w:themeColor="text1"/>
          <w:szCs w:val="21"/>
          <w:highlight w:val="none"/>
          <w:u w:val="single"/>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 xml:space="preserve">0773-5839090 </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电  话：</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3FB55B9C">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  真：</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传  真：</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75F5E9C9">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电子信箱：</w:t>
      </w:r>
      <w:r>
        <w:rPr>
          <w:rFonts w:ascii="宋体" w:hAnsi="宋体"/>
          <w:color w:val="000000" w:themeColor="text1"/>
          <w:szCs w:val="21"/>
          <w:highlight w:val="none"/>
          <w:u w:val="single"/>
          <w14:textFill>
            <w14:solidFill>
              <w14:schemeClr w14:val="tx1"/>
            </w14:solidFill>
          </w14:textFill>
        </w:rPr>
        <w:t xml:space="preserve">   </w:t>
      </w:r>
    </w:p>
    <w:p w14:paraId="3C829B3D">
      <w:pPr>
        <w:spacing w:line="360" w:lineRule="auto"/>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开户银行：</w:t>
      </w:r>
      <w:r>
        <w:rPr>
          <w:rFonts w:hint="eastAsia" w:ascii="宋体" w:hAnsi="宋体"/>
          <w:color w:val="000000" w:themeColor="text1"/>
          <w:szCs w:val="21"/>
          <w:highlight w:val="none"/>
          <w:u w:val="single"/>
          <w14:textFill>
            <w14:solidFill>
              <w14:schemeClr w14:val="tx1"/>
            </w14:solidFill>
          </w14:textFill>
        </w:rPr>
        <w:t>中国工商银行桂林市</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开户银行：</w:t>
      </w:r>
      <w:r>
        <w:rPr>
          <w:rFonts w:ascii="宋体" w:hAnsi="宋体"/>
          <w:color w:val="000000" w:themeColor="text1"/>
          <w:szCs w:val="21"/>
          <w:highlight w:val="none"/>
          <w:u w:val="single"/>
          <w14:textFill>
            <w14:solidFill>
              <w14:schemeClr w14:val="tx1"/>
            </w14:solidFill>
          </w14:textFill>
        </w:rPr>
        <w:t xml:space="preserve">   </w:t>
      </w:r>
    </w:p>
    <w:p w14:paraId="5D23503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高新技术开发区支行</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26F65E90">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账  号：</w:t>
      </w:r>
      <w:r>
        <w:rPr>
          <w:rFonts w:hint="eastAsia" w:ascii="宋体" w:hAnsi="宋体"/>
          <w:color w:val="000000" w:themeColor="text1"/>
          <w:szCs w:val="21"/>
          <w:highlight w:val="none"/>
          <w:u w:val="single"/>
          <w14:textFill>
            <w14:solidFill>
              <w14:schemeClr w14:val="tx1"/>
            </w14:solidFill>
          </w14:textFill>
        </w:rPr>
        <w:t>2103215109264004618</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账</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号：</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 </w:t>
      </w:r>
    </w:p>
    <w:bookmarkEnd w:id="339"/>
    <w:p w14:paraId="795FC207">
      <w:pPr>
        <w:pStyle w:val="4"/>
        <w:rPr>
          <w:rFonts w:ascii="宋体" w:hAnsi="宋体"/>
          <w:color w:val="000000" w:themeColor="text1"/>
          <w:sz w:val="21"/>
          <w:szCs w:val="21"/>
          <w:highlight w:val="none"/>
          <w14:textFill>
            <w14:solidFill>
              <w14:schemeClr w14:val="tx1"/>
            </w14:solidFill>
          </w14:textFill>
        </w:rPr>
      </w:pPr>
      <w:bookmarkStart w:id="340" w:name="_Toc11681"/>
      <w:bookmarkStart w:id="341" w:name="_Toc351203632"/>
      <w:r>
        <w:rPr>
          <w:rFonts w:ascii="宋体" w:hAnsi="宋体"/>
          <w:color w:val="000000" w:themeColor="text1"/>
          <w:sz w:val="21"/>
          <w:szCs w:val="21"/>
          <w:highlight w:val="none"/>
          <w14:textFill>
            <w14:solidFill>
              <w14:schemeClr w14:val="tx1"/>
            </w14:solidFill>
          </w14:textFill>
        </w:rPr>
        <w:t>第二部分 通用合同条款</w:t>
      </w:r>
      <w:bookmarkEnd w:id="340"/>
      <w:bookmarkStart w:id="342" w:name="_Toc337558727"/>
    </w:p>
    <w:bookmarkEnd w:id="342"/>
    <w:p w14:paraId="3CACA279">
      <w:pPr>
        <w:pStyle w:val="4"/>
        <w:jc w:val="center"/>
        <w:rPr>
          <w:rFonts w:ascii="宋体" w:hAnsi="宋体"/>
          <w:b w:val="0"/>
          <w:bCs w:val="0"/>
          <w:color w:val="000000" w:themeColor="text1"/>
          <w:kern w:val="0"/>
          <w:sz w:val="21"/>
          <w:szCs w:val="21"/>
          <w:highlight w:val="none"/>
          <w14:textFill>
            <w14:solidFill>
              <w14:schemeClr w14:val="tx1"/>
            </w14:solidFill>
          </w14:textFill>
        </w:rPr>
      </w:pPr>
      <w:bookmarkStart w:id="343" w:name="_Toc22718"/>
      <w:r>
        <w:rPr>
          <w:rFonts w:hint="eastAsia" w:ascii="宋体" w:hAnsi="宋体"/>
          <w:b w:val="0"/>
          <w:color w:val="000000" w:themeColor="text1"/>
          <w:sz w:val="21"/>
          <w:szCs w:val="21"/>
          <w:highlight w:val="none"/>
          <w14:textFill>
            <w14:solidFill>
              <w14:schemeClr w14:val="tx1"/>
            </w14:solidFill>
          </w14:textFill>
        </w:rPr>
        <w:t>采用《建设工程施工合同（示范文本）》（GF-2021-0201）中通用合同条款</w:t>
      </w:r>
      <w:r>
        <w:rPr>
          <w:rFonts w:ascii="宋体" w:hAnsi="宋体"/>
          <w:color w:val="000000" w:themeColor="text1"/>
          <w:sz w:val="21"/>
          <w:szCs w:val="21"/>
          <w:highlight w:val="none"/>
          <w14:textFill>
            <w14:solidFill>
              <w14:schemeClr w14:val="tx1"/>
            </w14:solidFill>
          </w14:textFill>
        </w:rPr>
        <w:br w:type="page"/>
      </w:r>
      <w:bookmarkEnd w:id="343"/>
    </w:p>
    <w:p w14:paraId="4FE212E5">
      <w:pPr>
        <w:pStyle w:val="4"/>
        <w:rPr>
          <w:rFonts w:ascii="宋体" w:hAnsi="宋体"/>
          <w:color w:val="000000" w:themeColor="text1"/>
          <w:sz w:val="21"/>
          <w:szCs w:val="21"/>
          <w:highlight w:val="none"/>
          <w14:textFill>
            <w14:solidFill>
              <w14:schemeClr w14:val="tx1"/>
            </w14:solidFill>
          </w14:textFill>
        </w:rPr>
      </w:pPr>
      <w:bookmarkStart w:id="344" w:name="_Toc9823"/>
      <w:r>
        <w:rPr>
          <w:rFonts w:ascii="宋体" w:hAnsi="宋体"/>
          <w:color w:val="000000" w:themeColor="text1"/>
          <w:sz w:val="21"/>
          <w:szCs w:val="21"/>
          <w:highlight w:val="none"/>
          <w14:textFill>
            <w14:solidFill>
              <w14:schemeClr w14:val="tx1"/>
            </w14:solidFill>
          </w14:textFill>
        </w:rPr>
        <w:t xml:space="preserve">第三部分 </w:t>
      </w:r>
      <w:r>
        <w:rPr>
          <w:rFonts w:hint="eastAsia" w:ascii="宋体" w:hAnsi="宋体"/>
          <w:color w:val="000000" w:themeColor="text1"/>
          <w:sz w:val="21"/>
          <w:szCs w:val="21"/>
          <w:highlight w:val="none"/>
          <w14:textFill>
            <w14:solidFill>
              <w14:schemeClr w14:val="tx1"/>
            </w14:solidFill>
          </w14:textFill>
        </w:rPr>
        <w:t>专用合同条款</w:t>
      </w:r>
      <w:bookmarkEnd w:id="341"/>
      <w:bookmarkEnd w:id="344"/>
    </w:p>
    <w:p w14:paraId="41369679">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345" w:name="_Toc351203633"/>
      <w:r>
        <w:rPr>
          <w:rFonts w:ascii="宋体" w:hAnsi="宋体"/>
          <w:b w:val="0"/>
          <w:color w:val="000000" w:themeColor="text1"/>
          <w:szCs w:val="21"/>
          <w:highlight w:val="none"/>
          <w14:textFill>
            <w14:solidFill>
              <w14:schemeClr w14:val="tx1"/>
            </w14:solidFill>
          </w14:textFill>
        </w:rPr>
        <w:t>1</w:t>
      </w:r>
      <w:bookmarkStart w:id="346" w:name="_Toc296503156"/>
      <w:bookmarkStart w:id="347" w:name="_Toc296890984"/>
      <w:bookmarkStart w:id="348" w:name="_Toc297048342"/>
      <w:bookmarkStart w:id="349" w:name="_Toc296347155"/>
      <w:bookmarkStart w:id="350" w:name="_Toc296891196"/>
      <w:bookmarkStart w:id="351" w:name="_Toc292559866"/>
      <w:bookmarkStart w:id="352" w:name="_Toc297120456"/>
      <w:bookmarkStart w:id="353" w:name="_Toc292559361"/>
      <w:bookmarkStart w:id="354" w:name="_Toc296944495"/>
      <w:bookmarkStart w:id="355" w:name="_Toc296346657"/>
      <w:r>
        <w:rPr>
          <w:rFonts w:ascii="宋体" w:hAnsi="宋体"/>
          <w:b w:val="0"/>
          <w:color w:val="000000" w:themeColor="text1"/>
          <w:szCs w:val="21"/>
          <w:highlight w:val="none"/>
          <w14:textFill>
            <w14:solidFill>
              <w14:schemeClr w14:val="tx1"/>
            </w14:solidFill>
          </w14:textFill>
        </w:rPr>
        <w:t>. 一般约定</w:t>
      </w:r>
      <w:bookmarkEnd w:id="345"/>
    </w:p>
    <w:bookmarkEnd w:id="346"/>
    <w:bookmarkEnd w:id="347"/>
    <w:bookmarkEnd w:id="348"/>
    <w:bookmarkEnd w:id="349"/>
    <w:bookmarkEnd w:id="350"/>
    <w:bookmarkEnd w:id="351"/>
    <w:bookmarkEnd w:id="352"/>
    <w:bookmarkEnd w:id="353"/>
    <w:bookmarkEnd w:id="354"/>
    <w:bookmarkEnd w:id="355"/>
    <w:p w14:paraId="50B9EDF7">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 词语定义</w:t>
      </w:r>
    </w:p>
    <w:p w14:paraId="36F898F5">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1.1.1合同</w:t>
      </w:r>
    </w:p>
    <w:p w14:paraId="1044E6CB">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1.1.1.1其他合同文件包括：</w:t>
      </w:r>
      <w:r>
        <w:rPr>
          <w:rFonts w:hint="eastAsia" w:ascii="宋体" w:hAnsi="宋体" w:cs="宋体"/>
          <w:color w:val="000000" w:themeColor="text1"/>
          <w:szCs w:val="21"/>
          <w:highlight w:val="none"/>
          <w:u w:val="single"/>
          <w14:textFill>
            <w14:solidFill>
              <w14:schemeClr w14:val="tx1"/>
            </w14:solidFill>
          </w14:textFill>
        </w:rPr>
        <w:t>（1）本合同协议书；（2）中标通知书；（3）本合同专用条款及补充条款；（4）本合同通用条款；（5）标准、规范及有关技术文件；（6）图纸（含图纸修改通知单及图纸设计变更文件）；（7）本工程预算造价成果文件；（8）双方约定的与工程施工有关的具有合同约束力的文件或书面协议（如工程变更、施工组织设计、签证、工作联系函、会议纪要、补充协议、其他文件等）。</w:t>
      </w:r>
    </w:p>
    <w:p w14:paraId="2085E1A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 合同当事人及其他相关方</w:t>
      </w:r>
    </w:p>
    <w:p w14:paraId="0CA016D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监理人：</w:t>
      </w:r>
    </w:p>
    <w:p w14:paraId="356073E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名    称：</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14:textFill>
            <w14:solidFill>
              <w14:schemeClr w14:val="tx1"/>
            </w14:solidFill>
          </w14:textFill>
        </w:rPr>
        <w:t>；</w:t>
      </w:r>
    </w:p>
    <w:p w14:paraId="7AFB6D2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资质类别和等级：</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04FD016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2E76244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FA5882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1526F7C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设计人：</w:t>
      </w:r>
    </w:p>
    <w:p w14:paraId="22BBD6E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名    称：</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BF373C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资质类别和等级：</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4498997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6553AD8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B7BCE8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44826AE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1.1.3 工程和设备</w:t>
      </w:r>
    </w:p>
    <w:p w14:paraId="084DEAF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1.1.3.</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作为施工现场组成部分的其他场所包括：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用于承包人施工所需的场地</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32DA02F9">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永久占地包括：</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为实际工程需永久占用的土地</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F13E035">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 临时占地包括：</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为</w:t>
      </w:r>
      <w:r>
        <w:rPr>
          <w:rFonts w:hint="eastAsia" w:ascii="宋体" w:hAnsi="宋体" w:cs="仿宋"/>
          <w:color w:val="000000" w:themeColor="text1"/>
          <w:szCs w:val="21"/>
          <w:highlight w:val="none"/>
          <w:u w:val="single"/>
          <w14:textFill>
            <w14:solidFill>
              <w14:schemeClr w14:val="tx1"/>
            </w14:solidFill>
          </w14:textFill>
        </w:rPr>
        <w:t xml:space="preserve">实施工程需要临时占用的土地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C04A149">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法律 </w:t>
      </w:r>
    </w:p>
    <w:p w14:paraId="35A39F6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适用于合同的其他规范性文件：</w:t>
      </w:r>
      <w:r>
        <w:rPr>
          <w:rFonts w:hint="eastAsia" w:ascii="宋体" w:hAnsi="宋体" w:cs="仿宋"/>
          <w:color w:val="000000" w:themeColor="text1"/>
          <w:szCs w:val="21"/>
          <w:highlight w:val="none"/>
          <w:u w:val="single"/>
          <w14:textFill>
            <w14:solidFill>
              <w14:schemeClr w14:val="tx1"/>
            </w14:solidFill>
          </w14:textFill>
        </w:rPr>
        <w:t>《中华人民共和国民法典》、《中华人民共和国建筑法》、《建设工程质量管理条例》、《建设工程安全管理条例》及现行的国家法律、行政法规及部门规章，工程所在地政府、行政主管部门的有关法规和规章及规范性文件。</w:t>
      </w:r>
    </w:p>
    <w:p w14:paraId="1A6B0943">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标准和规范</w:t>
      </w:r>
    </w:p>
    <w:p w14:paraId="2D35A82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.1适用于工程的标准规范包括：</w:t>
      </w:r>
      <w:r>
        <w:rPr>
          <w:rFonts w:hint="eastAsia" w:ascii="宋体" w:hAnsi="宋体" w:cs="仿宋"/>
          <w:color w:val="000000" w:themeColor="text1"/>
          <w:szCs w:val="21"/>
          <w:highlight w:val="none"/>
          <w:u w:val="single"/>
          <w14:textFill>
            <w14:solidFill>
              <w14:schemeClr w14:val="tx1"/>
            </w14:solidFill>
          </w14:textFill>
        </w:rPr>
        <w:t>国家及工程所在地省市颁布的与本合同工程有关的现行的法律、行政法规、技术标准及规范。国家和本地方没有规定的，按发包人指定的规范、标准执行。</w:t>
      </w:r>
    </w:p>
    <w:p w14:paraId="6A1CA70F">
      <w:pPr>
        <w:spacing w:line="360" w:lineRule="auto"/>
        <w:ind w:firstLine="210" w:firstLineChars="1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 发包人提供国外标准、规范的名称：</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无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10320CF">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发包人提供国外标准、规范的份数：</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无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873819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发包人提供国外标准、规范的名称：</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无</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661217C">
      <w:pPr>
        <w:spacing w:line="360" w:lineRule="auto"/>
        <w:ind w:left="596" w:leftChars="284"/>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.3发包人对工程的技术标准和功能要求的特殊要求：</w:t>
      </w:r>
      <w:r>
        <w:rPr>
          <w:rFonts w:hint="eastAsia" w:ascii="宋体" w:hAnsi="宋体"/>
          <w:color w:val="000000" w:themeColor="text1"/>
          <w:szCs w:val="21"/>
          <w:highlight w:val="none"/>
          <w:u w:val="single"/>
          <w14:textFill>
            <w14:solidFill>
              <w14:schemeClr w14:val="tx1"/>
            </w14:solidFill>
          </w14:textFill>
        </w:rPr>
        <w:t xml:space="preserve"> 无   </w:t>
      </w:r>
      <w:r>
        <w:rPr>
          <w:rFonts w:hint="eastAsia" w:ascii="宋体" w:hAnsi="宋体"/>
          <w:color w:val="000000" w:themeColor="text1"/>
          <w:szCs w:val="21"/>
          <w:highlight w:val="none"/>
          <w14:textFill>
            <w14:solidFill>
              <w14:schemeClr w14:val="tx1"/>
            </w14:solidFill>
          </w14:textFill>
        </w:rPr>
        <w:t>。</w:t>
      </w:r>
    </w:p>
    <w:p w14:paraId="426A0FEE">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合同文件的优先顺序</w:t>
      </w:r>
    </w:p>
    <w:p w14:paraId="38BB277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合同文件组成及优先顺序为：</w:t>
      </w:r>
    </w:p>
    <w:p w14:paraId="5AAD5568">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（1）合同协议书；</w:t>
      </w:r>
    </w:p>
    <w:p w14:paraId="2FB5C87E">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（2）中标通知书（如果有）；</w:t>
      </w:r>
    </w:p>
    <w:p w14:paraId="5540354B">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 xml:space="preserve">（3）投标函及其附录（如果有）； </w:t>
      </w:r>
    </w:p>
    <w:p w14:paraId="0B8206CB">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（4）专用合同条款及其附件；</w:t>
      </w:r>
    </w:p>
    <w:p w14:paraId="0E34C32C">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（5）通用合同条款；</w:t>
      </w:r>
    </w:p>
    <w:p w14:paraId="0BF1053B">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（6）技术标准和要求；</w:t>
      </w:r>
    </w:p>
    <w:p w14:paraId="685A8A8E">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（7）图纸（含图纸修改通知单及图纸设计变更文件）；</w:t>
      </w:r>
    </w:p>
    <w:p w14:paraId="458B814B">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（8）已标价工程量清单或预算书；</w:t>
      </w:r>
    </w:p>
    <w:p w14:paraId="3B1EBB1B">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（9）本工程预算控制价造价成果文件。</w:t>
      </w:r>
    </w:p>
    <w:p w14:paraId="37F6D706">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10）《建设工程工程量清单计价规范（2013》及其广西实施细则、《建设工程工程量清单计算规范（2013）》及其广西实施细则。</w:t>
      </w:r>
    </w:p>
    <w:p w14:paraId="4D5294EB">
      <w:pPr>
        <w:spacing w:line="360" w:lineRule="auto"/>
        <w:ind w:firstLine="420" w:firstLineChars="200"/>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（11）合同履行中发包人和承包人就有关工程的洽商、变更等书面协议或文件视为本合同有效施工组成部分。</w:t>
      </w:r>
    </w:p>
    <w:p w14:paraId="29DA8660">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（12）上述各项合同文件包括合同当事人就该项合同文件所作出的补充和修改，属于同一类内容的文件，应以最新签署的为准。</w:t>
      </w:r>
    </w:p>
    <w:p w14:paraId="4B2942B6">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（13）在合同订立及履行过程中形成的与合同有关的文件均构成合同文件组成部分，并根据其性质确定优先解释顺序。</w:t>
      </w:r>
    </w:p>
    <w:p w14:paraId="1C3F91FB">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仿宋"/>
          <w:b/>
          <w:bCs/>
          <w:color w:val="000000" w:themeColor="text1"/>
          <w:szCs w:val="21"/>
          <w:highlight w:val="none"/>
          <w14:textFill>
            <w14:solidFill>
              <w14:schemeClr w14:val="tx1"/>
            </w14:solidFill>
          </w14:textFill>
        </w:rPr>
        <w:t>1.5</w:t>
      </w:r>
      <w:r>
        <w:rPr>
          <w:rFonts w:hint="eastAsia" w:ascii="宋体" w:hAnsi="宋体" w:cs="仿宋"/>
          <w:color w:val="000000" w:themeColor="text1"/>
          <w:szCs w:val="21"/>
          <w:highlight w:val="none"/>
          <w14:textFill>
            <w14:solidFill>
              <w14:schemeClr w14:val="tx1"/>
            </w14:solidFill>
          </w14:textFill>
        </w:rPr>
        <w:t xml:space="preserve"> 图纸和承包人文件</w:t>
      </w:r>
      <w:r>
        <w:rPr>
          <w:rFonts w:ascii="宋体" w:hAnsi="宋体"/>
          <w:color w:val="000000" w:themeColor="text1"/>
          <w:szCs w:val="21"/>
          <w:highlight w:val="none"/>
          <w14:textFill>
            <w14:solidFill>
              <w14:schemeClr w14:val="tx1"/>
            </w14:solidFill>
          </w14:textFill>
        </w:rPr>
        <w:tab/>
      </w:r>
    </w:p>
    <w:p w14:paraId="15251CB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.1 图纸的提供</w:t>
      </w:r>
    </w:p>
    <w:p w14:paraId="04B7E94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发包人向承包人提供图纸的期限：</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无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23ED2B5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发包人向承包人提供图纸的数量：</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无</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612F364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发包人向承包人提供图纸的内容：</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无</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4DDCF48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承包人文件</w:t>
      </w:r>
    </w:p>
    <w:p w14:paraId="28770C01">
      <w:pPr>
        <w:spacing w:line="360" w:lineRule="auto"/>
        <w:ind w:left="596" w:leftChars="284"/>
        <w:jc w:val="left"/>
        <w:rPr>
          <w:rFonts w:ascii="宋体" w:hAnsi="宋体" w:cs="仿宋"/>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需要由承包人提供的文件，包括：</w:t>
      </w:r>
      <w:r>
        <w:rPr>
          <w:rFonts w:hint="eastAsia" w:ascii="宋体" w:hAnsi="宋体" w:cs="仿宋"/>
          <w:color w:val="000000" w:themeColor="text1"/>
          <w:szCs w:val="21"/>
          <w:highlight w:val="none"/>
          <w:u w:val="single"/>
          <w:lang w:val="zh-CN"/>
          <w14:textFill>
            <w14:solidFill>
              <w14:schemeClr w14:val="tx1"/>
            </w14:solidFill>
          </w14:textFill>
        </w:rPr>
        <w:t>1、</w:t>
      </w:r>
      <w:r>
        <w:rPr>
          <w:rFonts w:hint="eastAsia" w:ascii="宋体" w:hAnsi="宋体" w:cs="仿宋"/>
          <w:color w:val="000000" w:themeColor="text1"/>
          <w:szCs w:val="21"/>
          <w:highlight w:val="none"/>
          <w:u w:val="single"/>
          <w14:textFill>
            <w14:solidFill>
              <w14:schemeClr w14:val="tx1"/>
            </w14:solidFill>
          </w14:textFill>
        </w:rPr>
        <w:t>资质证书、营业执照副本、</w:t>
      </w:r>
    </w:p>
    <w:p w14:paraId="63FFA557">
      <w:pPr>
        <w:spacing w:line="360" w:lineRule="auto"/>
        <w:jc w:val="left"/>
        <w:rPr>
          <w:rFonts w:ascii="宋体" w:hAnsi="宋体"/>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安全生产许可证</w:t>
      </w:r>
      <w:r>
        <w:rPr>
          <w:rFonts w:hint="eastAsia" w:ascii="宋体" w:hAnsi="宋体" w:cs="仿宋"/>
          <w:color w:val="000000" w:themeColor="text1"/>
          <w:szCs w:val="21"/>
          <w:highlight w:val="none"/>
          <w:u w:val="single"/>
          <w:lang w:eastAsia="zh-CN"/>
          <w14:textFill>
            <w14:solidFill>
              <w14:schemeClr w14:val="tx1"/>
            </w14:solidFill>
          </w14:textFill>
        </w:rPr>
        <w:t>扫描件</w:t>
      </w:r>
      <w:r>
        <w:rPr>
          <w:rFonts w:hint="eastAsia" w:ascii="宋体" w:hAnsi="宋体" w:cs="仿宋"/>
          <w:color w:val="000000" w:themeColor="text1"/>
          <w:szCs w:val="21"/>
          <w:highlight w:val="none"/>
          <w:u w:val="single"/>
          <w14:textFill>
            <w14:solidFill>
              <w14:schemeClr w14:val="tx1"/>
            </w14:solidFill>
          </w14:textFill>
        </w:rPr>
        <w:t>并加章单位公章</w:t>
      </w:r>
      <w:r>
        <w:rPr>
          <w:rFonts w:hint="eastAsia" w:ascii="宋体" w:hAnsi="宋体" w:cs="仿宋"/>
          <w:color w:val="000000" w:themeColor="text1"/>
          <w:szCs w:val="21"/>
          <w:highlight w:val="none"/>
          <w:u w:val="single"/>
          <w:lang w:val="zh-CN"/>
          <w14:textFill>
            <w14:solidFill>
              <w14:schemeClr w14:val="tx1"/>
            </w14:solidFill>
          </w14:textFill>
        </w:rPr>
        <w:t>；2、施工组织设计、工程进度计划；3、施工</w:t>
      </w:r>
      <w:r>
        <w:rPr>
          <w:rFonts w:hint="eastAsia" w:ascii="宋体" w:hAnsi="宋体" w:cs="仿宋"/>
          <w:color w:val="000000" w:themeColor="text1"/>
          <w:szCs w:val="21"/>
          <w:highlight w:val="none"/>
          <w:u w:val="single"/>
          <w14:textFill>
            <w14:solidFill>
              <w14:schemeClr w14:val="tx1"/>
            </w14:solidFill>
          </w14:textFill>
        </w:rPr>
        <w:t>图纸及</w:t>
      </w:r>
      <w:r>
        <w:rPr>
          <w:rFonts w:hint="eastAsia" w:ascii="宋体" w:hAnsi="宋体" w:cs="仿宋"/>
          <w:color w:val="000000" w:themeColor="text1"/>
          <w:szCs w:val="21"/>
          <w:highlight w:val="none"/>
          <w:u w:val="single"/>
          <w:lang w:val="zh-CN"/>
          <w14:textFill>
            <w14:solidFill>
              <w14:schemeClr w14:val="tx1"/>
            </w14:solidFill>
          </w14:textFill>
        </w:rPr>
        <w:t>预算书；4、专项施工方案、安全文明施工措施、质量</w:t>
      </w:r>
      <w:r>
        <w:rPr>
          <w:rFonts w:hint="eastAsia" w:ascii="宋体" w:hAnsi="宋体" w:cs="仿宋"/>
          <w:color w:val="000000" w:themeColor="text1"/>
          <w:szCs w:val="21"/>
          <w:highlight w:val="none"/>
          <w:u w:val="single"/>
          <w14:textFill>
            <w14:solidFill>
              <w14:schemeClr w14:val="tx1"/>
            </w14:solidFill>
          </w14:textFill>
        </w:rPr>
        <w:t>管控</w:t>
      </w:r>
      <w:r>
        <w:rPr>
          <w:rFonts w:hint="eastAsia" w:ascii="宋体" w:hAnsi="宋体" w:cs="仿宋"/>
          <w:color w:val="000000" w:themeColor="text1"/>
          <w:szCs w:val="21"/>
          <w:highlight w:val="none"/>
          <w:u w:val="single"/>
          <w:lang w:val="zh-CN"/>
          <w14:textFill>
            <w14:solidFill>
              <w14:schemeClr w14:val="tx1"/>
            </w14:solidFill>
          </w14:textFill>
        </w:rPr>
        <w:t>体系；5、施工图以外的大样图、加工图、标准图等图册；6、管理人员名单、职称、职务、上岗证等；7、其他建设行政主管部门、发包人需要用于本工程的文件（含电子版）</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8、设计成果文件需经原设计单位审核及认可。最终设计成果归发包人所有。施工图纸应满足发包人的要求，施工做法清晰明确，内容完整，施工图纸经发包人确认后方可施工。</w:t>
      </w:r>
    </w:p>
    <w:p w14:paraId="318F4F0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承包人提供的文件的期限为：</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 xml:space="preserve">开工前5天内上述资料必须全部提供完整，每延迟一天，按200元/天支付违约金         </w:t>
      </w:r>
      <w:r>
        <w:rPr>
          <w:rFonts w:hint="eastAsia" w:ascii="宋体" w:hAnsi="宋体" w:cs="仿宋"/>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766985C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承包人提供的文件的数量为：</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肆份</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722B091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承包人提供的文件的形式为：</w:t>
      </w:r>
      <w:r>
        <w:rPr>
          <w:rFonts w:hint="eastAsia" w:ascii="宋体" w:hAnsi="宋体" w:cs="仿宋"/>
          <w:color w:val="000000" w:themeColor="text1"/>
          <w:szCs w:val="21"/>
          <w:highlight w:val="none"/>
          <w:u w:val="single"/>
          <w14:textFill>
            <w14:solidFill>
              <w14:schemeClr w14:val="tx1"/>
            </w14:solidFill>
          </w14:textFill>
        </w:rPr>
        <w:t>纸质版（装订成册）和</w:t>
      </w:r>
      <w:r>
        <w:rPr>
          <w:rFonts w:hint="eastAsia" w:ascii="宋体" w:hAnsi="宋体"/>
          <w:color w:val="000000" w:themeColor="text1"/>
          <w:szCs w:val="21"/>
          <w:highlight w:val="none"/>
          <w:u w:val="single"/>
          <w14:textFill>
            <w14:solidFill>
              <w14:schemeClr w14:val="tx1"/>
            </w14:solidFill>
          </w14:textFill>
        </w:rPr>
        <w:t xml:space="preserve">电子版   </w:t>
      </w:r>
      <w:r>
        <w:rPr>
          <w:rFonts w:ascii="宋体" w:hAnsi="宋体"/>
          <w:color w:val="000000" w:themeColor="text1"/>
          <w:szCs w:val="21"/>
          <w:highlight w:val="none"/>
          <w14:textFill>
            <w14:solidFill>
              <w14:schemeClr w14:val="tx1"/>
            </w14:solidFill>
          </w14:textFill>
        </w:rPr>
        <w:t>；</w:t>
      </w:r>
    </w:p>
    <w:p w14:paraId="44A1C66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审批</w:t>
      </w:r>
      <w:r>
        <w:rPr>
          <w:rFonts w:ascii="宋体" w:hAnsi="宋体"/>
          <w:color w:val="000000" w:themeColor="text1"/>
          <w:szCs w:val="21"/>
          <w:highlight w:val="none"/>
          <w14:textFill>
            <w14:solidFill>
              <w14:schemeClr w14:val="tx1"/>
            </w14:solidFill>
          </w14:textFill>
        </w:rPr>
        <w:t>承包人文件的期限：</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收到承包人齐全有效的文件后15个工作日内</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58A4DAE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现场图纸准备</w:t>
      </w:r>
    </w:p>
    <w:p w14:paraId="50C0D88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关于现场图纸准备的约定：</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同通用条款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3FAFB6C3">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联络</w:t>
      </w:r>
    </w:p>
    <w:p w14:paraId="71F8A57E">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.1发包人和承包人应当在</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7</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天内将与合同有关的通知、批准、证明、证书、指示、指令、要求、请求、同意、意见、确定和决定等书面函件送达对方当事人</w:t>
      </w:r>
      <w:r>
        <w:rPr>
          <w:rFonts w:hint="eastAsia" w:ascii="宋体" w:hAnsi="宋体"/>
          <w:color w:val="000000" w:themeColor="text1"/>
          <w:kern w:val="0"/>
          <w:szCs w:val="21"/>
          <w:highlight w:val="none"/>
          <w14:textFill>
            <w14:solidFill>
              <w14:schemeClr w14:val="tx1"/>
            </w14:solidFill>
          </w14:textFill>
        </w:rPr>
        <w:t>。</w:t>
      </w:r>
    </w:p>
    <w:p w14:paraId="739499BB">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.2 发包人接收文件的地点：</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广西师范大学</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kern w:val="0"/>
          <w:szCs w:val="21"/>
          <w:highlight w:val="none"/>
          <w14:textFill>
            <w14:solidFill>
              <w14:schemeClr w14:val="tx1"/>
            </w14:solidFill>
          </w14:textFill>
        </w:rPr>
        <w:t>；</w:t>
      </w:r>
    </w:p>
    <w:p w14:paraId="695EB4DB">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发包人指定的接收人为：</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双方根据现场情况约定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kern w:val="0"/>
          <w:szCs w:val="21"/>
          <w:highlight w:val="none"/>
          <w14:textFill>
            <w14:solidFill>
              <w14:schemeClr w14:val="tx1"/>
            </w14:solidFill>
          </w14:textFill>
        </w:rPr>
        <w:t>。</w:t>
      </w:r>
    </w:p>
    <w:p w14:paraId="24EF922C">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承包人接收文件的地点：</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双方根据现场情况约定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kern w:val="0"/>
          <w:szCs w:val="21"/>
          <w:highlight w:val="none"/>
          <w14:textFill>
            <w14:solidFill>
              <w14:schemeClr w14:val="tx1"/>
            </w14:solidFill>
          </w14:textFill>
        </w:rPr>
        <w:t>；</w:t>
      </w:r>
    </w:p>
    <w:p w14:paraId="630EA708">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承包人指定的接收人为：</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双方根据现场情况约定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kern w:val="0"/>
          <w:szCs w:val="21"/>
          <w:highlight w:val="none"/>
          <w14:textFill>
            <w14:solidFill>
              <w14:schemeClr w14:val="tx1"/>
            </w14:solidFill>
          </w14:textFill>
        </w:rPr>
        <w:t>。</w:t>
      </w:r>
    </w:p>
    <w:p w14:paraId="7A491026">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监理人接收文件的地点：</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kern w:val="0"/>
          <w:szCs w:val="21"/>
          <w:highlight w:val="none"/>
          <w14:textFill>
            <w14:solidFill>
              <w14:schemeClr w14:val="tx1"/>
            </w14:solidFill>
          </w14:textFill>
        </w:rPr>
        <w:t>；</w:t>
      </w:r>
    </w:p>
    <w:p w14:paraId="16EFF86C">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监理人指定的接收人为：</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kern w:val="0"/>
          <w:szCs w:val="21"/>
          <w:highlight w:val="none"/>
          <w14:textFill>
            <w14:solidFill>
              <w14:schemeClr w14:val="tx1"/>
            </w14:solidFill>
          </w14:textFill>
        </w:rPr>
        <w:t>。</w:t>
      </w:r>
    </w:p>
    <w:p w14:paraId="398A838C">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 xml:space="preserve"> 交通运输</w:t>
      </w:r>
    </w:p>
    <w:p w14:paraId="67B9E0A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356" w:name="_Toc312677986"/>
      <w:bookmarkStart w:id="357" w:name="_Toc300934943"/>
      <w:bookmarkStart w:id="358" w:name="_Toc303539100"/>
      <w:bookmarkStart w:id="359" w:name="_Toc318581155"/>
      <w:bookmarkStart w:id="360" w:name="_Toc304295521"/>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.1 出入现场的权利</w:t>
      </w:r>
    </w:p>
    <w:p w14:paraId="3DD2A501">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关于出入现场的权利的约定：</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除正常施工涉及的人员及车辆外，其他人员及车辆进出场内须经过发包人同意，且由承包人进行管理登记</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bookmarkEnd w:id="356"/>
    <w:bookmarkEnd w:id="357"/>
    <w:bookmarkEnd w:id="358"/>
    <w:bookmarkEnd w:id="359"/>
    <w:bookmarkEnd w:id="360"/>
    <w:p w14:paraId="17FCD2A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361" w:name="_Toc312677987"/>
      <w:bookmarkStart w:id="362" w:name="_Toc304295522"/>
      <w:bookmarkStart w:id="363" w:name="_Toc303539101"/>
      <w:bookmarkStart w:id="364" w:name="_Toc318581156"/>
      <w:bookmarkStart w:id="365" w:name="_Toc300934944"/>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场内交通</w:t>
      </w:r>
    </w:p>
    <w:p w14:paraId="4621A29B">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关于场外交通和场内交通的边界的约定：</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施工场地围档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3C0F1374">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关于发包人向承包人免费提供满足工程施工需要的场内道路和交通设施的约定：</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bCs/>
          <w:color w:val="000000" w:themeColor="text1"/>
          <w:kern w:val="0"/>
          <w:szCs w:val="21"/>
          <w:highlight w:val="none"/>
          <w:u w:val="single"/>
          <w14:textFill>
            <w14:solidFill>
              <w14:schemeClr w14:val="tx1"/>
            </w14:solidFill>
          </w14:textFill>
        </w:rPr>
        <w:t>发包人提供离施工现场围档范围50m内的电源点和供水点，接入费用和使用费用由承包人承担。施工需要的场内道路和交通设施，由承包人修建，相关费用由承包人承担，确保满足施工运输的需要并保证施工期间的畅通</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bookmarkEnd w:id="361"/>
      <w:bookmarkEnd w:id="362"/>
      <w:bookmarkEnd w:id="363"/>
      <w:bookmarkEnd w:id="364"/>
      <w:bookmarkEnd w:id="365"/>
      <w:r>
        <w:rPr>
          <w:rFonts w:ascii="宋体" w:hAnsi="宋体"/>
          <w:color w:val="000000" w:themeColor="text1"/>
          <w:szCs w:val="21"/>
          <w:highlight w:val="none"/>
          <w14:textFill>
            <w14:solidFill>
              <w14:schemeClr w14:val="tx1"/>
            </w14:solidFill>
          </w14:textFill>
        </w:rPr>
        <w:t xml:space="preserve">  </w:t>
      </w:r>
      <w:bookmarkStart w:id="366" w:name="_Toc318581157"/>
    </w:p>
    <w:p w14:paraId="2780D38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超大件和超重件的运输</w:t>
      </w:r>
    </w:p>
    <w:p w14:paraId="2F757CE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运输超大件或超重件所需的道路和桥梁临时加固改造费用和其他有关费用由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承包人</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承担。</w:t>
      </w:r>
    </w:p>
    <w:bookmarkEnd w:id="366"/>
    <w:p w14:paraId="1E3D85C6">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 xml:space="preserve"> 知识产权</w:t>
      </w:r>
    </w:p>
    <w:p w14:paraId="654A625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.1关于发包人提供给承包人的图纸、发包人为实施工程自行编制或委托编制的技术规范以及反映发包人关于合同要求或其他类似性质的文件的著作权的归属：</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著作权属于发包人</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F4C1F5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关于发包人提供的上述文件的使用限制的要求：</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未经发包人书面同意，承包人不得为了合同以外的目的而复制、使用上述文件或将之提供给任何第三方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3DC90F8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.2 关于承包人为实施工程所编制文件的著作权的归属：</w:t>
      </w:r>
      <w:r>
        <w:rPr>
          <w:rFonts w:hint="eastAsia" w:ascii="宋体" w:hAnsi="宋体" w:cs="仿宋"/>
          <w:color w:val="000000" w:themeColor="text1"/>
          <w:szCs w:val="21"/>
          <w:highlight w:val="none"/>
          <w:u w:val="single"/>
          <w14:textFill>
            <w14:solidFill>
              <w14:schemeClr w14:val="tx1"/>
            </w14:solidFill>
          </w14:textFill>
        </w:rPr>
        <w:t>除署名以外著作权属于发包人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B09C2F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关于承包人提供的上述文件的使用限制的要求：</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未经发包人书面同意，承包人不得为了合同以外的目的而复制、使用上述文件或将之提供给任何第三方</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BB0EB33">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承包人在施工过程中所采用的专利、专有技术、技术秘密的使用费的承担方式：</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由承包人自行承担相关费用，发包人不额外支付费用</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8E8CC2D">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9</w:t>
      </w:r>
      <w:r>
        <w:rPr>
          <w:rFonts w:ascii="宋体" w:hAnsi="宋体"/>
          <w:color w:val="000000" w:themeColor="text1"/>
          <w:szCs w:val="21"/>
          <w:highlight w:val="none"/>
          <w14:textFill>
            <w14:solidFill>
              <w14:schemeClr w14:val="tx1"/>
            </w14:solidFill>
          </w14:textFill>
        </w:rPr>
        <w:t>工程量清单错误的修正</w:t>
      </w:r>
    </w:p>
    <w:p w14:paraId="6EAEB30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出现工程量清单错误时，是否调整合同价格：</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调整</w:t>
      </w:r>
      <w:r>
        <w:rPr>
          <w:rFonts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w:t>
      </w:r>
    </w:p>
    <w:p w14:paraId="2F1F242D">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允许调整合同价格的工程量偏差范围：</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 xml:space="preserve">则超过15%以上增加部分工程量或减少后剩余部分工程量的综合单价按以下方法计算：有定额的套定额计算，执行本招标文件工程计价参考依据，并乘以下浮系数（中标价/经审定的工程招标控制价）结算，其中材料价格有信息价的按施工期间信息价的平均价计取，无信息价的由发包人、监理单位（如果有）及承包人根据市场价格协商议定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4F32050">
      <w:pPr>
        <w:pStyle w:val="5"/>
        <w:widowControl w:val="0"/>
        <w:numPr>
          <w:ilvl w:val="0"/>
          <w:numId w:val="8"/>
        </w:numPr>
        <w:spacing w:before="120" w:after="120" w:line="360" w:lineRule="auto"/>
        <w:jc w:val="both"/>
        <w:rPr>
          <w:rFonts w:ascii="宋体" w:hAnsi="宋体"/>
          <w:b w:val="0"/>
          <w:color w:val="000000" w:themeColor="text1"/>
          <w:szCs w:val="21"/>
          <w:highlight w:val="none"/>
          <w14:textFill>
            <w14:solidFill>
              <w14:schemeClr w14:val="tx1"/>
            </w14:solidFill>
          </w14:textFill>
        </w:rPr>
      </w:pPr>
      <w:bookmarkStart w:id="367" w:name="_Toc351203634"/>
      <w:bookmarkStart w:id="368" w:name="_Toc292559362"/>
      <w:bookmarkStart w:id="369" w:name="_Toc296346658"/>
      <w:bookmarkStart w:id="370" w:name="_Toc292559867"/>
      <w:bookmarkStart w:id="371" w:name="_Toc296891197"/>
      <w:bookmarkStart w:id="372" w:name="_Toc297120457"/>
      <w:bookmarkStart w:id="373" w:name="_Toc296944496"/>
      <w:bookmarkStart w:id="374" w:name="_Toc297048343"/>
      <w:bookmarkStart w:id="375" w:name="_Toc296503157"/>
      <w:bookmarkStart w:id="376" w:name="_Toc296890985"/>
      <w:bookmarkStart w:id="377" w:name="_Toc296347156"/>
      <w:r>
        <w:rPr>
          <w:rFonts w:ascii="宋体" w:hAnsi="宋体"/>
          <w:b w:val="0"/>
          <w:color w:val="000000" w:themeColor="text1"/>
          <w:szCs w:val="21"/>
          <w:highlight w:val="none"/>
          <w14:textFill>
            <w14:solidFill>
              <w14:schemeClr w14:val="tx1"/>
            </w14:solidFill>
          </w14:textFill>
        </w:rPr>
        <w:t>发包人</w:t>
      </w:r>
      <w:bookmarkEnd w:id="367"/>
    </w:p>
    <w:p w14:paraId="2C1D029E">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 xml:space="preserve"> </w:t>
      </w:r>
      <w:bookmarkStart w:id="378" w:name="_Toc8447"/>
      <w:r>
        <w:rPr>
          <w:rFonts w:hint="eastAsia" w:ascii="宋体" w:hAnsi="宋体" w:cs="仿宋"/>
          <w:color w:val="000000" w:themeColor="text1"/>
          <w:szCs w:val="21"/>
          <w:highlight w:val="none"/>
          <w14:textFill>
            <w14:solidFill>
              <w14:schemeClr w14:val="tx1"/>
            </w14:solidFill>
          </w14:textFill>
        </w:rPr>
        <w:t>2.1 将通用条款2.1条第二段修订为：“因发包人原因未能及时办理完毕前述许可、批准或备案，由发包人承担由此增加的费用和（或）延误的工期，但承包人应当在知晓前述情形之日或损失发生之日起28天内向发包人主张增加费用及顺延工期，逾期视为承包人放弃主张增加费用及工期顺延。”</w:t>
      </w:r>
      <w:bookmarkEnd w:id="378"/>
    </w:p>
    <w:p w14:paraId="62384092">
      <w:pPr>
        <w:rPr>
          <w:rFonts w:ascii="宋体" w:hAnsi="宋体"/>
          <w:color w:val="000000" w:themeColor="text1"/>
          <w:szCs w:val="21"/>
          <w:highlight w:val="none"/>
          <w14:textFill>
            <w14:solidFill>
              <w14:schemeClr w14:val="tx1"/>
            </w14:solidFill>
          </w14:textFill>
        </w:rPr>
      </w:pPr>
    </w:p>
    <w:bookmarkEnd w:id="368"/>
    <w:bookmarkEnd w:id="369"/>
    <w:bookmarkEnd w:id="370"/>
    <w:bookmarkEnd w:id="371"/>
    <w:bookmarkEnd w:id="372"/>
    <w:bookmarkEnd w:id="373"/>
    <w:bookmarkEnd w:id="374"/>
    <w:bookmarkEnd w:id="375"/>
    <w:bookmarkEnd w:id="376"/>
    <w:bookmarkEnd w:id="377"/>
    <w:p w14:paraId="59DF195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 发包人代表</w:t>
      </w:r>
    </w:p>
    <w:p w14:paraId="6927321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发包人代表：</w:t>
      </w:r>
    </w:p>
    <w:p w14:paraId="7502EE4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0C39DCB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12CE8B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职    务：</w:t>
      </w:r>
      <w:r>
        <w:rPr>
          <w:rFonts w:hint="eastAsia" w:ascii="宋体" w:hAnsi="宋体"/>
          <w:color w:val="000000" w:themeColor="text1"/>
          <w:szCs w:val="21"/>
          <w:highlight w:val="none"/>
          <w:u w:val="single"/>
          <w14:textFill>
            <w14:solidFill>
              <w14:schemeClr w14:val="tx1"/>
            </w14:solidFill>
          </w14:textFill>
        </w:rPr>
        <w:t>后勤保障处/后勤服务集团维修管理服务中心经理</w:t>
      </w:r>
      <w:r>
        <w:rPr>
          <w:rFonts w:ascii="宋体" w:hAnsi="宋体"/>
          <w:color w:val="000000" w:themeColor="text1"/>
          <w:szCs w:val="21"/>
          <w:highlight w:val="none"/>
          <w14:textFill>
            <w14:solidFill>
              <w14:schemeClr w14:val="tx1"/>
            </w14:solidFill>
          </w14:textFill>
        </w:rPr>
        <w:t>；</w:t>
      </w:r>
    </w:p>
    <w:p w14:paraId="4D99946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系：</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6446594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0D9ECE8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广西桂林市育才路15号广西师范大学       </w:t>
      </w:r>
      <w:r>
        <w:rPr>
          <w:rFonts w:ascii="宋体" w:hAnsi="宋体"/>
          <w:color w:val="000000" w:themeColor="text1"/>
          <w:szCs w:val="21"/>
          <w:highlight w:val="none"/>
          <w14:textFill>
            <w14:solidFill>
              <w14:schemeClr w14:val="tx1"/>
            </w14:solidFill>
          </w14:textFill>
        </w:rPr>
        <w:t>。</w:t>
      </w:r>
    </w:p>
    <w:p w14:paraId="61405CC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发包人对发包人代表的授权范围如下：</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 xml:space="preserve">对工程进度、质量进行监督、办理中间交工工程验收手续，负责现场签证，解决由发包人授权处理的事宜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9258340">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必须经发包人盖章确认的事项：⑴凡涉及扩大建设规模、增加工程投资的设计变更，涉及外立面的变更；⑵施工方案与开工报告审批及停工令，工期的延长和提前竣工；⑶合同条款的变更；⑷合同价款的增减和工程的签证；⑸工程款支付；⑹组织工程竣工验收；⑺结算价款的确认；（8）工程变更及签证。承包人明确知晓以上事务的处理必须由发包人盖章的书面文件方为有效，并应自行尽谨慎注意之义务，否则由此产生的不利法律后果由承包人自行承担 。</w:t>
      </w:r>
    </w:p>
    <w:p w14:paraId="53EB8860">
      <w:pPr>
        <w:spacing w:line="360" w:lineRule="auto"/>
        <w:rPr>
          <w:rFonts w:ascii="宋体" w:hAnsi="宋体"/>
          <w:color w:val="000000" w:themeColor="text1"/>
          <w:szCs w:val="21"/>
          <w:highlight w:val="none"/>
          <w14:textFill>
            <w14:solidFill>
              <w14:schemeClr w14:val="tx1"/>
            </w14:solidFill>
          </w14:textFill>
        </w:rPr>
      </w:pPr>
    </w:p>
    <w:p w14:paraId="621A889B">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施工现场、施工条件和基础资料的提供</w:t>
      </w:r>
    </w:p>
    <w:p w14:paraId="60148E0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.1 提供施工现场</w:t>
      </w:r>
    </w:p>
    <w:p w14:paraId="7CC0CBC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关于发包人移交施工现场的期限要求：</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施工场地应在开工日期前 7 天具备施工条件并移交给承包人，但不一定是完整工作面的移交。承包人在收到工程师发给的开工通知后，应在指定的时间内将满足合同履行需要的人、机、料等组织进场并从速开工，不得延误。如无相反证据，开工令的签发是现场满足协议书约定的移交标准、具备施工条件且发包人已将现场移交给承包人的充分证据</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9AA5FFD">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工程地质和地下管线资料提供时间</w:t>
      </w:r>
      <w:r>
        <w:rPr>
          <w:rFonts w:hint="eastAsia" w:ascii="宋体" w:hAnsi="宋体" w:cs="仿宋"/>
          <w:color w:val="000000" w:themeColor="text1"/>
          <w:szCs w:val="21"/>
          <w:highlight w:val="none"/>
          <w:u w:val="single"/>
          <w14:textFill>
            <w14:solidFill>
              <w14:schemeClr w14:val="tx1"/>
            </w14:solidFill>
          </w14:textFill>
        </w:rPr>
        <w:t>：发包人最迟在移交施工场地的同时向承包人提供施工场地内地下管线和地下设施等有关资料，并保证资料的真实、准确和完整，由承包人现场复核，所发生的费用由承包人承担。</w:t>
      </w:r>
    </w:p>
    <w:p w14:paraId="5DA939A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.2 提供施工条件</w:t>
      </w:r>
    </w:p>
    <w:p w14:paraId="179267FD">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关于发包人应负责提供施工</w:t>
      </w:r>
      <w:r>
        <w:rPr>
          <w:rFonts w:hint="eastAsia" w:ascii="宋体" w:hAnsi="宋体"/>
          <w:color w:val="000000" w:themeColor="text1"/>
          <w:szCs w:val="21"/>
          <w:highlight w:val="none"/>
          <w14:textFill>
            <w14:solidFill>
              <w14:schemeClr w14:val="tx1"/>
            </w14:solidFill>
          </w14:textFill>
        </w:rPr>
        <w:t>所需要的条件，</w:t>
      </w:r>
      <w:r>
        <w:rPr>
          <w:rFonts w:ascii="宋体" w:hAnsi="宋体"/>
          <w:color w:val="000000" w:themeColor="text1"/>
          <w:szCs w:val="21"/>
          <w:highlight w:val="none"/>
          <w14:textFill>
            <w14:solidFill>
              <w14:schemeClr w14:val="tx1"/>
            </w14:solidFill>
          </w14:textFill>
        </w:rPr>
        <w:t>包括：</w:t>
      </w:r>
      <w:r>
        <w:rPr>
          <w:rFonts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  施工场地、电源点、供水点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D0D9EDE">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资金来源证明及支付担保</w:t>
      </w:r>
    </w:p>
    <w:p w14:paraId="5205AEB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发包人提供资金来源证明的期限要求：</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无</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357E8CE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发包人是否提供支付担保：</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14:textFill>
            <w14:solidFill>
              <w14:schemeClr w14:val="tx1"/>
            </w14:solidFill>
          </w14:textFill>
        </w:rPr>
        <w:t>。</w:t>
      </w:r>
    </w:p>
    <w:p w14:paraId="1B556AA1">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发包人提供支付担保的形式：</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9E43A73">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379" w:name="_Toc351203635"/>
      <w:r>
        <w:rPr>
          <w:rFonts w:ascii="宋体" w:hAnsi="宋体"/>
          <w:b w:val="0"/>
          <w:color w:val="000000" w:themeColor="text1"/>
          <w:szCs w:val="21"/>
          <w:highlight w:val="none"/>
          <w14:textFill>
            <w14:solidFill>
              <w14:schemeClr w14:val="tx1"/>
            </w14:solidFill>
          </w14:textFill>
        </w:rPr>
        <w:t>3</w:t>
      </w:r>
      <w:bookmarkStart w:id="380" w:name="_Toc296891198"/>
      <w:bookmarkStart w:id="381" w:name="_Toc297120458"/>
      <w:bookmarkStart w:id="382" w:name="_Toc296944497"/>
      <w:bookmarkStart w:id="383" w:name="_Toc296503158"/>
      <w:bookmarkStart w:id="384" w:name="_Toc292559868"/>
      <w:bookmarkStart w:id="385" w:name="_Toc297048344"/>
      <w:bookmarkStart w:id="386" w:name="_Toc296346659"/>
      <w:bookmarkStart w:id="387" w:name="_Toc292559363"/>
      <w:bookmarkStart w:id="388" w:name="_Toc296347157"/>
      <w:bookmarkStart w:id="389" w:name="_Toc296890986"/>
      <w:r>
        <w:rPr>
          <w:rFonts w:ascii="宋体" w:hAnsi="宋体"/>
          <w:b w:val="0"/>
          <w:color w:val="000000" w:themeColor="text1"/>
          <w:szCs w:val="21"/>
          <w:highlight w:val="none"/>
          <w14:textFill>
            <w14:solidFill>
              <w14:schemeClr w14:val="tx1"/>
            </w14:solidFill>
          </w14:textFill>
        </w:rPr>
        <w:t>. 承包人</w:t>
      </w:r>
      <w:bookmarkEnd w:id="379"/>
    </w:p>
    <w:bookmarkEnd w:id="380"/>
    <w:bookmarkEnd w:id="381"/>
    <w:bookmarkEnd w:id="382"/>
    <w:bookmarkEnd w:id="383"/>
    <w:bookmarkEnd w:id="384"/>
    <w:bookmarkEnd w:id="385"/>
    <w:bookmarkEnd w:id="386"/>
    <w:bookmarkEnd w:id="387"/>
    <w:bookmarkEnd w:id="388"/>
    <w:bookmarkEnd w:id="389"/>
    <w:p w14:paraId="37D43659">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 承包人的一般义务</w:t>
      </w:r>
    </w:p>
    <w:p w14:paraId="54429D50">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承包人提交的竣工资料的内容：</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 ①竣工结算和图纸；②设计变更、洽商记录、现场签证；③提交建设主管部门需要提供的其他资料；④桂林市档案馆需要提供的其他资料；</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3304272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承包人需要提交的竣工资料套数：</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完整、准确的竣工图纸肆套，竣工资料一式肆份，结算一式肆份</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535510C">
      <w:pPr>
        <w:spacing w:line="360" w:lineRule="auto"/>
        <w:ind w:left="638" w:leftChars="304"/>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承包人提交的竣工资料的费用承担：</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由承包人承担相关费用</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433C8C2">
      <w:pPr>
        <w:spacing w:line="360" w:lineRule="auto"/>
        <w:ind w:left="638" w:leftChars="304"/>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承包人提交的竣工资料移交时间：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竣工验收后28天内</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F11BD60">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承包人提交的竣工资料形式要求：</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按竣工资料整理要求编制形成纸质资料并装订成册，并移交发包人</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847442C">
      <w:pPr>
        <w:spacing w:line="360" w:lineRule="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承包人应履行的其他义务：</w:t>
      </w:r>
    </w:p>
    <w:p w14:paraId="40AAB5D4">
      <w:pPr>
        <w:spacing w:line="360" w:lineRule="auto"/>
        <w:ind w:firstLine="630" w:firstLineChars="3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1）承包人应负责施工场地及其周边环境与生态的保护工作：按行政部门规定办理手续或双方协商。发包人办理项目环评。①需要办理交通特别通行证时，由承包人负责办证并承担相关费用；②需要排放有害污水时，由承包人办理相关手续，并承担相关费用；③施工噪音超过规定时，由承包人提出措施并承担相关费用。④自行与居民（村民）处理好关系，妥善解决涉及周边居民（村民）纠纷问题。</w:t>
      </w:r>
    </w:p>
    <w:p w14:paraId="001050A3">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2）为他人提供方便</w:t>
      </w:r>
    </w:p>
    <w:p w14:paraId="22376E39">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承包人应当对在施工场地或者附近实施与合同工程有关的其他工作的独立承包人履行管理、协调、配合、照管和服务义务，由此发生的费用已经包括在承包人的签约合同价中，具体工作内容和要求包括：1、需要办理交通特别通告证时。由承包人负责办证并承担相交费用；2、需要排放有害污水时，由承包人办理有关手续，并承担相关费用；3、施工噪音超过桂林市有关规定标准由此产生的费用由承包人承担；4、免费提供现场监理及发包人办公室、办公桌椅及电话、网络等相应的办公设施（含水电）；5、配合发包人做好安全文明工程、领导检查、宣传等工作；6、负责现场所有分包工程的</w:t>
      </w:r>
      <w:r>
        <w:rPr>
          <w:rFonts w:hint="eastAsia" w:ascii="宋体" w:hAnsi="宋体" w:cs="仿宋"/>
          <w:bCs/>
          <w:color w:val="000000" w:themeColor="text1"/>
          <w:szCs w:val="21"/>
          <w:highlight w:val="none"/>
          <w:u w:val="single"/>
          <w14:textFill>
            <w14:solidFill>
              <w14:schemeClr w14:val="tx1"/>
            </w14:solidFill>
          </w14:textFill>
        </w:rPr>
        <w:t>扬尘防治工作</w:t>
      </w:r>
      <w:r>
        <w:rPr>
          <w:rFonts w:hint="eastAsia" w:ascii="宋体" w:hAnsi="宋体" w:cs="仿宋"/>
          <w:color w:val="000000" w:themeColor="text1"/>
          <w:szCs w:val="21"/>
          <w:highlight w:val="none"/>
          <w:u w:val="single"/>
          <w14:textFill>
            <w14:solidFill>
              <w14:schemeClr w14:val="tx1"/>
            </w14:solidFill>
          </w14:textFill>
        </w:rPr>
        <w:t>（园林工程除外）。</w:t>
      </w:r>
    </w:p>
    <w:p w14:paraId="271185F2">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承包人还应按监理人指示为独立承包人以外的他人在施工场地或者附近实施与合同工程有关的其他工作提供可能的条件，可能发生费用由承包人承担（与村民的关系，甲乙双共同处理，承包人承担自身原因发生的费用）。</w:t>
      </w:r>
    </w:p>
    <w:p w14:paraId="02A697ED">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3）安全生产，文明施工必须符合当地建设行政主管部门规定。</w:t>
      </w:r>
    </w:p>
    <w:p w14:paraId="78446A29">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4）按建设行政主管部门有关规定配合发包人其他工程的施工。为发包人依法发包或指定分包的专业工程承包商提供总承包管理与协调服务，并为专业工程承包商提供一切施工方便。</w:t>
      </w:r>
    </w:p>
    <w:p w14:paraId="01270A3A">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5）根据现场场地条件，必须负责施工场地二次围场施工，施工围场不得影响周边居民的正常通行，所发生的费用由承包人自行负责。</w:t>
      </w:r>
    </w:p>
    <w:p w14:paraId="7C4402C7">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6）严格按建设行政主管部门的有关要求进行资料和现场准备。</w:t>
      </w:r>
    </w:p>
    <w:p w14:paraId="1EB21C04">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7）承包人负责办理施工有关的环卫和噪音等审批手续，并承担费用。承包人负责满足施工期间政府职能部门对工地消防设施有关要求，并承担相关费用。</w:t>
      </w:r>
    </w:p>
    <w:p w14:paraId="4C41C776">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8）承包人应负责协调解决来自当地居民对工程施工的人为干扰，并承担相关费用（非承包人原因除外）。承包人应合理安排施工时间，确保做到不影响周边居民的正常生活，对居民的合理意见应积极整改，确保工程顺利进行。</w:t>
      </w:r>
    </w:p>
    <w:p w14:paraId="2527C9E0">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9）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w:t>
      </w:r>
    </w:p>
    <w:p w14:paraId="71466EE9">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10）承包人应按时支付农民工工资。</w:t>
      </w:r>
    </w:p>
    <w:p w14:paraId="7C8D2442">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 项目经理</w:t>
      </w:r>
    </w:p>
    <w:p w14:paraId="7A83237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3.2.1 </w:t>
      </w:r>
      <w:r>
        <w:rPr>
          <w:rFonts w:ascii="宋体" w:hAnsi="宋体"/>
          <w:color w:val="000000" w:themeColor="text1"/>
          <w:szCs w:val="21"/>
          <w:highlight w:val="none"/>
          <w14:textFill>
            <w14:solidFill>
              <w14:schemeClr w14:val="tx1"/>
            </w14:solidFill>
          </w14:textFill>
        </w:rPr>
        <w:t>项目经理：</w:t>
      </w:r>
    </w:p>
    <w:p w14:paraId="47551EF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（必填）</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23A51B9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（必填）</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0D37568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建造师执业资格等级：</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（必填）</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20099B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建造师注册证书号：</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（必填）</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0726BCC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建造师执业印章号：</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（必填）</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19DA15E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安全生产考核合格证书号：</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（必填）</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15A0BC9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（必填）</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12980CE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（必填）</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1CE546B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（必填）</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46364B3B">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承包人对项目经理的授权范围如下：</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s="仿宋"/>
          <w:color w:val="000000" w:themeColor="text1"/>
          <w:szCs w:val="21"/>
          <w:highlight w:val="none"/>
          <w:u w:val="single"/>
          <w14:textFill>
            <w14:solidFill>
              <w14:schemeClr w14:val="tx1"/>
            </w14:solidFill>
          </w14:textFill>
        </w:rPr>
        <w:t xml:space="preserve">（1）对本工程的建设进行全面管理，行使合同约定的权利，履行合同约定的义务；（2）负责本工程的施工组织方案制定和施工组织设计；（3）负责本工程的劳动力组织和机械设备组织；（4）合同约定由承包人采购的材料、工程设备，项目经理参与选择物资供应单位；（5）在授权范围内协调与项目有关的内、外部关系；（6）负责与发包人、监理人（如果有）办理设计变更、现场签证等手续，及时办理本工程相关索赔；（7）负责签收发包人、监理人（如果有）往来函件，承包人的要求、通知均应以书面形式由承包人项目经理签字并加盖承包人公司公章后递交发包人；（8）代表承包人接受监理工程师（如果有）或发包人现场代表发出的指示和指令。未经承包人盖章同意不得以承包人和（或本工程项目部）名义向外融资、采购材料设备、租用建筑周转材料、雇佣劳动力、签订分包合同等从事一切为承包人设立义务或责任的行为   </w:t>
      </w:r>
      <w:r>
        <w:rPr>
          <w:rFonts w:hint="eastAsia" w:ascii="宋体" w:hAnsi="宋体" w:cs="仿宋"/>
          <w:color w:val="000000" w:themeColor="text1"/>
          <w:szCs w:val="21"/>
          <w:highlight w:val="none"/>
          <w14:textFill>
            <w14:solidFill>
              <w14:schemeClr w14:val="tx1"/>
            </w14:solidFill>
          </w14:textFill>
        </w:rPr>
        <w:t>。</w:t>
      </w:r>
    </w:p>
    <w:p w14:paraId="2BF7A22B">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关于项目经理每月在施工现场的时间要求：</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不得</w:t>
      </w:r>
      <w:r>
        <w:rPr>
          <w:rFonts w:hint="eastAsia" w:ascii="宋体" w:hAnsi="宋体" w:cs="仿宋"/>
          <w:color w:val="000000" w:themeColor="text1"/>
          <w:szCs w:val="21"/>
          <w:highlight w:val="none"/>
          <w:u w:val="single"/>
          <w14:textFill>
            <w14:solidFill>
              <w14:schemeClr w14:val="tx1"/>
            </w14:solidFill>
          </w14:textFill>
        </w:rPr>
        <w:t xml:space="preserve">少于当月施工时间的80% ，每日在岗时间不少于8小时，若项目经理每月在岗时间少于当月施工时间的80%或每日在岗时间少于8小时的，发包人有权更换项目经理，由此造成的一切损失由承包人承担 </w:t>
      </w:r>
      <w:r>
        <w:rPr>
          <w:rFonts w:ascii="宋体" w:hAnsi="宋体"/>
          <w:color w:val="000000" w:themeColor="text1"/>
          <w:szCs w:val="21"/>
          <w:highlight w:val="none"/>
          <w14:textFill>
            <w14:solidFill>
              <w14:schemeClr w14:val="tx1"/>
            </w14:solidFill>
          </w14:textFill>
        </w:rPr>
        <w:t>。</w:t>
      </w:r>
    </w:p>
    <w:p w14:paraId="521FEEAA">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承包人未提交劳动合同，以及没有为项目经理缴纳社会保险证明的违约责任：</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发包人有权要求更换项目经理直至解除承包合同，由此增加的费用和（或）延误的工期由承包人承担，发包人要求承包人更换项目经理的，承包人还应承担违约金2万元</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5B640599">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项目经理未经批准，擅自离开施工现场的违约责任：</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未经发包人同意或正当理由，项目经理每月在岗带班时间少于当月施工时间80%的，少在岗带班一天，发包人有权处违约金5000元/日（人民币）（项目经理缺席现场协调会的，视为擅自离场），超过5日，发包人有权解除承包合同</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00ABC7C0">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3.2.</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承包人擅自更换项目经理的违约责任：</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承包人项目经理必须与承包人签订合同所承诺的人员一致。</w:t>
      </w:r>
    </w:p>
    <w:p w14:paraId="200EE01E">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未经发包人书面同意，承包人擅自更换项目经理和项目技术负责人的视为违约，违约金处20000元/人•次（人民币），原项目经理如能够继续履行职责的，发包人或监理人有权责令承包人撤销其更换决定，如原项目经理客观上已经无法继续履行职责的，发包人或监理人有权要求审核确认承包人更换的项目经理，由此增加的费用和（或）延误的工期由承包人承担</w:t>
      </w:r>
      <w:r>
        <w:rPr>
          <w:rFonts w:hint="eastAsia" w:ascii="宋体" w:hAnsi="宋体" w:cs="仿宋"/>
          <w:color w:val="000000" w:themeColor="text1"/>
          <w:szCs w:val="21"/>
          <w:highlight w:val="none"/>
          <w14:textFill>
            <w14:solidFill>
              <w14:schemeClr w14:val="tx1"/>
            </w14:solidFill>
          </w14:textFill>
        </w:rPr>
        <w:t>。</w:t>
      </w:r>
    </w:p>
    <w:p w14:paraId="20518A39">
      <w:pPr>
        <w:spacing w:line="360" w:lineRule="auto"/>
        <w:ind w:firstLine="6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承包人无正当理由拒绝更换项目经理的违约责任：</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因承包人项目经理不称职，发包人要求调换而未及时调换的，视为承包人违约，必须向发包人交纳处罚金10000元/人•次（人民币），发包人或监理人还有权指示暂时停止施工，暂停施工按照“通用合同条款”7.8.2项[承包人原因引起的暂停施工]处理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26D9E2F">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b/>
          <w:bCs/>
          <w:color w:val="000000" w:themeColor="text1"/>
          <w:szCs w:val="21"/>
          <w:highlight w:val="none"/>
          <w14:textFill>
            <w14:solidFill>
              <w14:schemeClr w14:val="tx1"/>
            </w14:solidFill>
          </w14:textFill>
        </w:rPr>
        <w:t>3.2.3.1</w:t>
      </w:r>
      <w:r>
        <w:rPr>
          <w:rFonts w:hint="eastAsia" w:ascii="宋体" w:hAnsi="宋体" w:cs="仿宋"/>
          <w:color w:val="000000" w:themeColor="text1"/>
          <w:szCs w:val="21"/>
          <w:highlight w:val="none"/>
          <w:u w:val="single"/>
          <w14:textFill>
            <w14:solidFill>
              <w14:schemeClr w14:val="tx1"/>
            </w14:solidFill>
          </w14:textFill>
        </w:rPr>
        <w:t>对于下列承包人现场管理人员及施工队组，发包人有权要求及时更换，承包人在收到书面通知后必须在三天内将其调离本工程范围，同时，承包人应在三天内用发包人批准的合格的人员代替上述调离的人员，且发包人有权对承包人进行经济处罚2000-10000元/次。</w:t>
      </w:r>
    </w:p>
    <w:p w14:paraId="794E2060">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①对施工进度及质量达不到合同要求负有责任的施工人员；</w:t>
      </w:r>
    </w:p>
    <w:p w14:paraId="711343E9">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②专业水平达不到岗位要求、工作责任心不强的施工人员；</w:t>
      </w:r>
    </w:p>
    <w:p w14:paraId="0C823D64">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③不能积极配合发包人正常工作者；</w:t>
      </w:r>
    </w:p>
    <w:p w14:paraId="1801AC1A">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④违反发包人或承包人工地现场管理规定者；</w:t>
      </w:r>
    </w:p>
    <w:p w14:paraId="0BF53C7E">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⑤无证上岗者（适用于按规定必须有上岗证）；</w:t>
      </w:r>
    </w:p>
    <w:p w14:paraId="46C126BF">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⑥与本工程施工无关及对本工程产生不良影响的其他人员。</w:t>
      </w:r>
    </w:p>
    <w:p w14:paraId="37F8BFE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⑦不安全文明施工者。</w:t>
      </w:r>
    </w:p>
    <w:p w14:paraId="7A3F6372">
      <w:pPr>
        <w:pStyle w:val="69"/>
        <w:ind w:firstLine="420"/>
        <w:rPr>
          <w:color w:val="000000" w:themeColor="text1"/>
          <w:sz w:val="21"/>
          <w:szCs w:val="21"/>
          <w:highlight w:val="none"/>
          <w14:textFill>
            <w14:solidFill>
              <w14:schemeClr w14:val="tx1"/>
            </w14:solidFill>
          </w14:textFill>
        </w:rPr>
      </w:pPr>
    </w:p>
    <w:p w14:paraId="504E1448">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 承包人人员</w:t>
      </w:r>
    </w:p>
    <w:p w14:paraId="0C6DDE9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3.3.1 承包人提交项目管理机构及施工现场管理人员安排报告的期限：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承包人接到开工通知后7天内</w:t>
      </w:r>
      <w:r>
        <w:rPr>
          <w:rFonts w:hint="eastAsia" w:ascii="宋体" w:hAnsi="宋体" w:cs="仿宋"/>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AA77FE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承包人无正当理由拒绝撤换主要施工管理人员的违约责任：</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1万元/人次</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B8B3499">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承包人主要施工管理人员离开施工现场的批准要求：   </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按通用条款执行，无特殊约定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86FBF9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承包人擅自更换主要施工管理人员的违约责任：</w:t>
      </w:r>
      <w:r>
        <w:rPr>
          <w:rFonts w:hint="eastAsia" w:ascii="宋体" w:hAnsi="宋体" w:cs="仿宋"/>
          <w:color w:val="000000" w:themeColor="text1"/>
          <w:szCs w:val="21"/>
          <w:highlight w:val="none"/>
          <w:u w:val="single"/>
          <w14:textFill>
            <w14:solidFill>
              <w14:schemeClr w14:val="tx1"/>
            </w14:solidFill>
          </w14:textFill>
        </w:rPr>
        <w:t xml:space="preserve">1万元/人次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BBE1D6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承包人主要施工管理人员擅自离开施工现场的违约责任：</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未经发包人同意，项目技术负责人擅自离岗的，视为承包人违约，发包人有权处违约金 500元/人•次（人民币）；其它在场管理人员擅自离岗的，视为承包人违约，发包人有权处违约金 500 元/人•次（人民币），擅自离场＞2天的，发包人或监理人有权要求承包人更换该管理人员，承包人还应额外承担违约金2000元。由此增加的费用和（或）延误的工期由承包人承担</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D49610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bookmarkStart w:id="390" w:name="_Toc303539102"/>
      <w:bookmarkStart w:id="391" w:name="_Toc312677988"/>
      <w:bookmarkStart w:id="392" w:name="_Toc297048345"/>
      <w:bookmarkStart w:id="393" w:name="_Toc297216151"/>
      <w:bookmarkStart w:id="394" w:name="_Toc296944498"/>
      <w:bookmarkStart w:id="395" w:name="_Toc296347158"/>
      <w:bookmarkStart w:id="396" w:name="_Toc297123492"/>
      <w:bookmarkStart w:id="397" w:name="_Toc300934945"/>
      <w:bookmarkStart w:id="398" w:name="_Toc296890987"/>
      <w:bookmarkStart w:id="399" w:name="_Toc296503159"/>
      <w:bookmarkStart w:id="400" w:name="_Toc296891199"/>
      <w:bookmarkStart w:id="401" w:name="_Toc292559869"/>
      <w:bookmarkStart w:id="402" w:name="_Toc304295523"/>
      <w:bookmarkStart w:id="403" w:name="_Toc296346660"/>
      <w:bookmarkStart w:id="404" w:name="_Toc292559364"/>
      <w:bookmarkStart w:id="405" w:name="_Toc297120459"/>
      <w:r>
        <w:rPr>
          <w:rFonts w:ascii="宋体" w:hAnsi="宋体"/>
          <w:color w:val="000000" w:themeColor="text1"/>
          <w:szCs w:val="21"/>
          <w:highlight w:val="none"/>
          <w14:textFill>
            <w14:solidFill>
              <w14:schemeClr w14:val="tx1"/>
            </w14:solidFill>
          </w14:textFill>
        </w:rPr>
        <w:t>.5 分包</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6D9D813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bookmarkStart w:id="406" w:name="_Toc296890988"/>
      <w:bookmarkStart w:id="407" w:name="_Toc297123493"/>
      <w:bookmarkStart w:id="408" w:name="_Toc303539103"/>
      <w:bookmarkStart w:id="409" w:name="_Toc296346661"/>
      <w:bookmarkStart w:id="410" w:name="_Toc296347159"/>
      <w:bookmarkStart w:id="411" w:name="_Toc296503160"/>
      <w:bookmarkStart w:id="412" w:name="_Toc296891200"/>
      <w:bookmarkStart w:id="413" w:name="_Toc304295524"/>
      <w:bookmarkStart w:id="414" w:name="_Toc300934946"/>
      <w:bookmarkStart w:id="415" w:name="_Toc296944499"/>
      <w:bookmarkStart w:id="416" w:name="_Toc297120460"/>
      <w:bookmarkStart w:id="417" w:name="_Toc292559870"/>
      <w:bookmarkStart w:id="418" w:name="_Toc292559365"/>
      <w:bookmarkStart w:id="419" w:name="_Toc297048346"/>
      <w:bookmarkStart w:id="420" w:name="_Toc297216152"/>
      <w:bookmarkStart w:id="421" w:name="_Toc312677989"/>
      <w:bookmarkStart w:id="422" w:name="_Toc318581158"/>
      <w:r>
        <w:rPr>
          <w:rFonts w:ascii="宋体" w:hAnsi="宋体"/>
          <w:color w:val="000000" w:themeColor="text1"/>
          <w:szCs w:val="21"/>
          <w:highlight w:val="none"/>
          <w14:textFill>
            <w14:solidFill>
              <w14:schemeClr w14:val="tx1"/>
            </w14:solidFill>
          </w14:textFill>
        </w:rPr>
        <w:t>.5.1 分包的一般约定</w:t>
      </w:r>
    </w:p>
    <w:p w14:paraId="0874764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禁止分包的工程包括：</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所有工程内容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D400869">
      <w:pPr>
        <w:spacing w:line="360" w:lineRule="auto"/>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主体结构、关键性工作的范围：</w:t>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Start w:id="423" w:name="_Toc297123494"/>
      <w:bookmarkStart w:id="424" w:name="_Toc296891201"/>
      <w:bookmarkStart w:id="425" w:name="_Toc296346662"/>
      <w:bookmarkStart w:id="426" w:name="_Toc296944500"/>
      <w:bookmarkStart w:id="427" w:name="_Toc297048347"/>
      <w:bookmarkStart w:id="428" w:name="_Toc304295525"/>
      <w:bookmarkStart w:id="429" w:name="_Toc297216153"/>
      <w:bookmarkStart w:id="430" w:name="_Toc296347160"/>
      <w:bookmarkStart w:id="431" w:name="_Toc297120461"/>
      <w:bookmarkStart w:id="432" w:name="_Toc296890989"/>
      <w:bookmarkStart w:id="433" w:name="_Toc296503161"/>
      <w:bookmarkStart w:id="434" w:name="_Toc300934947"/>
      <w:bookmarkStart w:id="435" w:name="_Toc303539104"/>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14:paraId="15446B3C">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3</w:t>
      </w:r>
      <w:bookmarkStart w:id="436" w:name="_Toc312677990"/>
      <w:bookmarkStart w:id="437" w:name="_Toc318581159"/>
      <w:r>
        <w:rPr>
          <w:rFonts w:ascii="宋体" w:hAnsi="宋体"/>
          <w:color w:val="000000" w:themeColor="text1"/>
          <w:szCs w:val="21"/>
          <w:highlight w:val="none"/>
          <w14:textFill>
            <w14:solidFill>
              <w14:schemeClr w14:val="tx1"/>
            </w14:solidFill>
          </w14:textFill>
        </w:rPr>
        <w:t>.5.2分包的确定</w:t>
      </w:r>
    </w:p>
    <w:p w14:paraId="4A528427">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允许分包的专业工程包括：</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793B530">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其他关于分包的约定：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无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7C940D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分包合同价款</w:t>
      </w:r>
    </w:p>
    <w:p w14:paraId="5721F95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关于分包合同价款支付的约定：</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436"/>
    <w:bookmarkEnd w:id="437"/>
    <w:p w14:paraId="3E3CC0D7">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3.6 工程照管与成品、半成品保护</w:t>
      </w:r>
    </w:p>
    <w:p w14:paraId="16AE97DD">
      <w:pPr>
        <w:spacing w:before="120" w:after="120" w:line="360" w:lineRule="auto"/>
        <w:ind w:firstLine="420" w:firstLineChars="200"/>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承包人负责照管工程及工程相关的材料、工程设备的起始时间：</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（1）</w:t>
      </w:r>
      <w:r>
        <w:rPr>
          <w:rFonts w:hint="eastAsia" w:ascii="宋体" w:hAnsi="宋体" w:cs="仿宋"/>
          <w:color w:val="000000" w:themeColor="text1"/>
          <w:szCs w:val="21"/>
          <w:highlight w:val="none"/>
          <w:u w:val="single"/>
          <w14:textFill>
            <w14:solidFill>
              <w14:schemeClr w14:val="tx1"/>
            </w14:solidFill>
          </w14:textFill>
        </w:rPr>
        <w:t>自发包人向承包人移交施工现场之日起，承包人应负责照管工程及工程相关的材料、工程设备，直到颁发工程接收证书之日止。（2）在承包人负责照管期间，因承包人自身原因造成工程、材料、工程设备损坏的，由承包人负责修复或更换，并承担由此增加的费用。（3）对合同内分期完成的成品和半成品，在工程接收证书颁发前，由承包人承担保护责任。因承包人原因造成成品或半成品损坏的，由承包人负责修复或更换，并承担由此增加的费用</w:t>
      </w:r>
      <w:r>
        <w:rPr>
          <w:rFonts w:hint="eastAsia" w:ascii="宋体" w:hAnsi="宋体" w:cs="仿宋"/>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8341E20">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3.7 履约担保</w:t>
      </w:r>
    </w:p>
    <w:p w14:paraId="2DFCDC2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承包人是否提供履约担保：</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43580D1">
      <w:pPr>
        <w:pStyle w:val="5"/>
        <w:spacing w:before="120" w:after="120" w:line="360" w:lineRule="auto"/>
        <w:ind w:firstLine="420" w:firstLineChars="200"/>
        <w:rPr>
          <w:rFonts w:ascii="宋体" w:hAnsi="宋体"/>
          <w:b w:val="0"/>
          <w:color w:val="000000" w:themeColor="text1"/>
          <w:szCs w:val="21"/>
          <w:highlight w:val="none"/>
          <w14:textFill>
            <w14:solidFill>
              <w14:schemeClr w14:val="tx1"/>
            </w14:solidFill>
          </w14:textFill>
        </w:rPr>
      </w:pPr>
      <w:bookmarkStart w:id="438" w:name="_Toc351203636"/>
      <w:r>
        <w:rPr>
          <w:rFonts w:ascii="宋体" w:hAnsi="宋体"/>
          <w:b w:val="0"/>
          <w:color w:val="000000" w:themeColor="text1"/>
          <w:szCs w:val="21"/>
          <w:highlight w:val="none"/>
          <w14:textFill>
            <w14:solidFill>
              <w14:schemeClr w14:val="tx1"/>
            </w14:solidFill>
          </w14:textFill>
        </w:rPr>
        <w:t>4</w:t>
      </w:r>
      <w:bookmarkStart w:id="439" w:name="_Toc296944501"/>
      <w:bookmarkStart w:id="440" w:name="_Toc297120462"/>
      <w:bookmarkStart w:id="441" w:name="_Toc267251413"/>
      <w:bookmarkStart w:id="442" w:name="_Toc296503162"/>
      <w:bookmarkStart w:id="443" w:name="_Toc296891202"/>
      <w:bookmarkStart w:id="444" w:name="_Toc296347161"/>
      <w:bookmarkStart w:id="445" w:name="_Toc292559871"/>
      <w:bookmarkStart w:id="446" w:name="_Toc296346663"/>
      <w:bookmarkStart w:id="447" w:name="_Toc297048348"/>
      <w:bookmarkStart w:id="448" w:name="_Toc296890990"/>
      <w:bookmarkStart w:id="449" w:name="_Toc292559366"/>
      <w:r>
        <w:rPr>
          <w:rFonts w:ascii="宋体" w:hAnsi="宋体"/>
          <w:b w:val="0"/>
          <w:color w:val="000000" w:themeColor="text1"/>
          <w:szCs w:val="21"/>
          <w:highlight w:val="none"/>
          <w14:textFill>
            <w14:solidFill>
              <w14:schemeClr w14:val="tx1"/>
            </w14:solidFill>
          </w14:textFill>
        </w:rPr>
        <w:t>. 监</w:t>
      </w:r>
      <w:bookmarkEnd w:id="439"/>
      <w:bookmarkEnd w:id="440"/>
      <w:bookmarkEnd w:id="441"/>
      <w:bookmarkEnd w:id="442"/>
      <w:bookmarkEnd w:id="443"/>
      <w:bookmarkEnd w:id="444"/>
      <w:bookmarkEnd w:id="445"/>
      <w:bookmarkEnd w:id="446"/>
      <w:bookmarkEnd w:id="447"/>
      <w:bookmarkEnd w:id="448"/>
      <w:bookmarkEnd w:id="449"/>
      <w:r>
        <w:rPr>
          <w:rFonts w:ascii="宋体" w:hAnsi="宋体"/>
          <w:b w:val="0"/>
          <w:color w:val="000000" w:themeColor="text1"/>
          <w:szCs w:val="21"/>
          <w:highlight w:val="none"/>
          <w14:textFill>
            <w14:solidFill>
              <w14:schemeClr w14:val="tx1"/>
            </w14:solidFill>
          </w14:textFill>
        </w:rPr>
        <w:t>理人</w:t>
      </w:r>
      <w:bookmarkEnd w:id="438"/>
    </w:p>
    <w:p w14:paraId="06BA7F7B">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4.1监理人的一般规定</w:t>
      </w:r>
    </w:p>
    <w:p w14:paraId="299B780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关于监理人的监理内容：</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023ABC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关于监理人的监理权限：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6346C66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关于监理人在施工现场的办公场所、生活场所的提供和费用承担的约定：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0925656">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 监理人员</w:t>
      </w:r>
    </w:p>
    <w:p w14:paraId="39587A3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总监理工程师：</w:t>
      </w:r>
    </w:p>
    <w:p w14:paraId="7C3EC3D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16C2085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职    务：</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3FA9ED7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监理工程师执业资格证书号：</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221EE44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3959E39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电子信箱：</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67C5E69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通信地址：</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512BC1F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关于监理人的其他约定：</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sym w:font="Times New Roman" w:char="E5E5"/>
      </w:r>
      <w:r>
        <w:rPr>
          <w:rFonts w:ascii="宋体" w:hAnsi="宋体"/>
          <w:color w:val="000000" w:themeColor="text1"/>
          <w:szCs w:val="21"/>
          <w:highlight w:val="none"/>
          <w14:textFill>
            <w14:solidFill>
              <w14:schemeClr w14:val="tx1"/>
            </w14:solidFill>
          </w14:textFill>
        </w:rPr>
        <w:t>。</w:t>
      </w:r>
    </w:p>
    <w:p w14:paraId="3587B74F">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商定或确定</w:t>
      </w:r>
    </w:p>
    <w:p w14:paraId="0BE5F5EE">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450" w:name="_Toc267251418"/>
      <w:r>
        <w:rPr>
          <w:rFonts w:ascii="宋体" w:hAnsi="宋体"/>
          <w:color w:val="000000" w:themeColor="text1"/>
          <w:szCs w:val="21"/>
          <w:highlight w:val="none"/>
          <w14:textFill>
            <w14:solidFill>
              <w14:schemeClr w14:val="tx1"/>
            </w14:solidFill>
          </w14:textFill>
        </w:rPr>
        <w:t>在发包人和承包人不能通过协商达成一致意见时，发包人授权监理人对以下事项进行确定：</w:t>
      </w:r>
    </w:p>
    <w:p w14:paraId="0C5A00C7">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9695B51">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C37D3B3">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3280B7D7">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451" w:name="_Toc351203637"/>
      <w:r>
        <w:rPr>
          <w:rFonts w:ascii="宋体" w:hAnsi="宋体"/>
          <w:b w:val="0"/>
          <w:color w:val="000000" w:themeColor="text1"/>
          <w:szCs w:val="21"/>
          <w:highlight w:val="none"/>
          <w14:textFill>
            <w14:solidFill>
              <w14:schemeClr w14:val="tx1"/>
            </w14:solidFill>
          </w14:textFill>
        </w:rPr>
        <w:t>5</w:t>
      </w:r>
      <w:bookmarkEnd w:id="450"/>
      <w:bookmarkStart w:id="452" w:name="_Toc297120463"/>
      <w:bookmarkStart w:id="453" w:name="_Toc296891203"/>
      <w:bookmarkStart w:id="454" w:name="_Toc292559367"/>
      <w:bookmarkStart w:id="455" w:name="_Toc296503163"/>
      <w:bookmarkStart w:id="456" w:name="_Toc292559872"/>
      <w:bookmarkStart w:id="457" w:name="_Toc296346664"/>
      <w:bookmarkStart w:id="458" w:name="_Toc296347162"/>
      <w:bookmarkStart w:id="459" w:name="_Toc297048349"/>
      <w:bookmarkStart w:id="460" w:name="_Toc296890991"/>
      <w:bookmarkStart w:id="461" w:name="_Toc296944502"/>
      <w:r>
        <w:rPr>
          <w:rFonts w:ascii="宋体" w:hAnsi="宋体"/>
          <w:b w:val="0"/>
          <w:color w:val="000000" w:themeColor="text1"/>
          <w:szCs w:val="21"/>
          <w:highlight w:val="none"/>
          <w14:textFill>
            <w14:solidFill>
              <w14:schemeClr w14:val="tx1"/>
            </w14:solidFill>
          </w14:textFill>
        </w:rPr>
        <w:t>. 工程质量</w:t>
      </w:r>
      <w:bookmarkEnd w:id="451"/>
    </w:p>
    <w:p w14:paraId="6E7AC69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 质量要求</w:t>
      </w:r>
    </w:p>
    <w:p w14:paraId="29A3E35E">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bookmarkStart w:id="462" w:name="_Toc318581164"/>
      <w:bookmarkStart w:id="463" w:name="_Toc300934949"/>
      <w:bookmarkStart w:id="464" w:name="_Toc312677997"/>
      <w:bookmarkStart w:id="465" w:name="_Toc297123496"/>
      <w:bookmarkStart w:id="466" w:name="_Toc304295527"/>
      <w:bookmarkStart w:id="467" w:name="_Toc303539106"/>
      <w:bookmarkStart w:id="468" w:name="_Toc297216155"/>
      <w:r>
        <w:rPr>
          <w:rFonts w:ascii="宋体" w:hAnsi="宋体"/>
          <w:color w:val="000000" w:themeColor="text1"/>
          <w:szCs w:val="21"/>
          <w:highlight w:val="none"/>
          <w14:textFill>
            <w14:solidFill>
              <w14:schemeClr w14:val="tx1"/>
            </w14:solidFill>
          </w14:textFill>
        </w:rPr>
        <w:t>.1.1 质量标准和要求：</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合格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310A6F3A">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关于工程奖项的约定：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0442822">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隐蔽工程检查</w:t>
      </w:r>
    </w:p>
    <w:p w14:paraId="5C6B2EB4">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承包人提前通知</w:t>
      </w:r>
      <w:r>
        <w:rPr>
          <w:rFonts w:hint="eastAsia" w:ascii="宋体" w:hAnsi="宋体"/>
          <w:color w:val="000000" w:themeColor="text1"/>
          <w:szCs w:val="21"/>
          <w:highlight w:val="none"/>
          <w14:textFill>
            <w14:solidFill>
              <w14:schemeClr w14:val="tx1"/>
            </w14:solidFill>
          </w14:textFill>
        </w:rPr>
        <w:t>发包</w:t>
      </w:r>
      <w:r>
        <w:rPr>
          <w:rFonts w:ascii="宋体" w:hAnsi="宋体"/>
          <w:color w:val="000000" w:themeColor="text1"/>
          <w:szCs w:val="21"/>
          <w:highlight w:val="none"/>
          <w14:textFill>
            <w14:solidFill>
              <w14:schemeClr w14:val="tx1"/>
            </w14:solidFill>
          </w14:textFill>
        </w:rPr>
        <w:t>人隐蔽工程检查的期限的约定：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任何部位的工程需要覆盖或隐蔽前，均应提前24小时通知发包人进行中间验收并拍照，没有发包人的批准，均不得隐蔽或验收。对相关单位所提出涉及工程质量、安全管理等存在问题时，必须进行整改，承包人应在发包人及相关人员指示的时间内修整返工后，由发包人及相关人员重新检查。如发包人发现承包人未整改，承包人承担1000元/次。</w:t>
      </w:r>
    </w:p>
    <w:p w14:paraId="07CF91FE">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469" w:name="_Toc351203638"/>
      <w:r>
        <w:rPr>
          <w:rFonts w:ascii="宋体" w:hAnsi="宋体"/>
          <w:b w:val="0"/>
          <w:color w:val="000000" w:themeColor="text1"/>
          <w:szCs w:val="21"/>
          <w:highlight w:val="none"/>
          <w14:textFill>
            <w14:solidFill>
              <w14:schemeClr w14:val="tx1"/>
            </w14:solidFill>
          </w14:textFill>
        </w:rPr>
        <w:t>6. 安全文明施工与环境保护</w:t>
      </w:r>
      <w:bookmarkEnd w:id="469"/>
    </w:p>
    <w:p w14:paraId="2A9B1D33">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6.1安全文明施工</w:t>
      </w:r>
    </w:p>
    <w:p w14:paraId="152AA7A4">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6.1.1 项目安全生产的达标目标及相应事项的约定：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达到《建筑施工安全检查标准》（JGJ59-2011）的标准和符合《广西壮族自治区建筑工程安全防护、文明施工措施费及使用管理细则》（桂建质安【2015】16号文）的要求</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7DCC33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关于治安保卫的特别约定：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承包人应当负责统一管理施工场地的治安保卫事项，履行合同工程的治安保卫职责。承包人应采取一切合理的预防措施，防止人员伤亡、财产损失事故，费用由承包人承担。承包人生活设施及施工场应自费配备消防设备，防止火灾发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F8A722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关于编制施工场地治安管理计划的约定：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开工前3天内由承包人编制施工场地治安管理计划，并制定应对突发治安事件紧急预</w:t>
      </w:r>
      <w:r>
        <w:rPr>
          <w:rFonts w:hint="eastAsia" w:ascii="宋体" w:hAnsi="宋体" w:cs="宋体"/>
          <w:color w:val="000000" w:themeColor="text1"/>
          <w:szCs w:val="21"/>
          <w:highlight w:val="none"/>
          <w:u w:val="single"/>
          <w14:textFill>
            <w14:solidFill>
              <w14:schemeClr w14:val="tx1"/>
            </w14:solidFill>
          </w14:textFill>
        </w:rPr>
        <w:t>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654744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6.1.3文明施工</w:t>
      </w:r>
    </w:p>
    <w:p w14:paraId="743253C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合同当事人对文明施工的要求：</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按工程所在地有关建设行政管理部门的规定执行。在承包范围内，承包人必须做到工完料净场清，承包人应在现场设置垃圾池，施工过程产生的建筑垃圾（含废摸板、落地灰、钢筋头等）必须统一堆放在垃圾池内，建筑垃圾倒满垃圾池后，立即清除外运。本条涉及的费用已包括在安全文明施工费中。</w:t>
      </w:r>
    </w:p>
    <w:p w14:paraId="3DAEF4B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关于安全文明施工费支付比例和支付期限的约定：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具体按《广西壮族自治区建筑工程安全防护、文明施工措施费及管理细则》（桂建质〔2015〕16 号）和当地建设行政主管部门要求执行</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p>
    <w:p w14:paraId="70B5116F">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.1</w:t>
      </w:r>
      <w:r>
        <w:rPr>
          <w:rFonts w:hint="eastAsia" w:ascii="宋体" w:hAnsi="宋体" w:cs="仿宋"/>
          <w:color w:val="000000" w:themeColor="text1"/>
          <w:szCs w:val="21"/>
          <w:highlight w:val="none"/>
          <w14:textFill>
            <w14:solidFill>
              <w14:schemeClr w14:val="tx1"/>
            </w14:solidFill>
          </w14:textFill>
        </w:rPr>
        <w:t>本工程安全文明施工要求按照合同附件8《项目安全文明施工管理实施细则》执行。</w:t>
      </w:r>
    </w:p>
    <w:p w14:paraId="7836513E">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.2</w:t>
      </w:r>
      <w:r>
        <w:rPr>
          <w:rFonts w:hint="eastAsia" w:ascii="宋体" w:hAnsi="宋体" w:cs="仿宋"/>
          <w:color w:val="000000" w:themeColor="text1"/>
          <w:szCs w:val="21"/>
          <w:highlight w:val="none"/>
          <w14:textFill>
            <w14:solidFill>
              <w14:schemeClr w14:val="tx1"/>
            </w14:solidFill>
          </w14:textFill>
        </w:rPr>
        <w:t xml:space="preserve"> 承包人按桂林市《关于市建成区、临桂新区、灵川县范围内建筑工程新增扬尘防治费用的通知》住建〔2016〕34号文、《关于进一步加强全市建筑工地扬尘治理工作的通知》市住建〔2016〕71号文、《关于市建成区、临桂新区、灵川县范围内建筑工程新增扬尘防治费用通知的补充说明》市住建[2016]156号文件要求和内容承担扬尘治理责任。</w:t>
      </w:r>
    </w:p>
    <w:p w14:paraId="36B5BBF1">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w:t>
      </w:r>
      <w:r>
        <w:rPr>
          <w:rFonts w:hint="eastAsia" w:ascii="宋体" w:hAnsi="宋体" w:cs="仿宋"/>
          <w:color w:val="000000" w:themeColor="text1"/>
          <w:szCs w:val="21"/>
          <w:highlight w:val="none"/>
          <w14:textFill>
            <w14:solidFill>
              <w14:schemeClr w14:val="tx1"/>
            </w14:solidFill>
          </w14:textFill>
        </w:rPr>
        <w:t xml:space="preserve"> 环境保护（双方各负责任）</w:t>
      </w:r>
    </w:p>
    <w:p w14:paraId="67796068">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因施工需要，经发包人批准，由承包人办理有关施工场地交通、环卫和施工噪音管理等手续。</w:t>
      </w:r>
    </w:p>
    <w:p w14:paraId="59E61078">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经过城市道路的施工车辆，必须按交警、城管、运输等部门相关规定执行。由于施工车辆造成的道路、环境等污染，其责任和费用均由承包人承担。</w:t>
      </w:r>
    </w:p>
    <w:p w14:paraId="2BB30BF4">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环保工作的约定：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工程师的指示进行清理、修正，并根据实际情况将场地恢复到原有状态，费用自理。</w:t>
      </w:r>
    </w:p>
    <w:bookmarkEnd w:id="462"/>
    <w:bookmarkEnd w:id="463"/>
    <w:bookmarkEnd w:id="464"/>
    <w:bookmarkEnd w:id="465"/>
    <w:bookmarkEnd w:id="466"/>
    <w:bookmarkEnd w:id="467"/>
    <w:bookmarkEnd w:id="468"/>
    <w:p w14:paraId="6A4576D8">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470" w:name="_Toc351203639"/>
      <w:r>
        <w:rPr>
          <w:rFonts w:ascii="宋体" w:hAnsi="宋体"/>
          <w:b w:val="0"/>
          <w:color w:val="000000" w:themeColor="text1"/>
          <w:szCs w:val="21"/>
          <w:highlight w:val="none"/>
          <w14:textFill>
            <w14:solidFill>
              <w14:schemeClr w14:val="tx1"/>
            </w14:solidFill>
          </w14:textFill>
        </w:rPr>
        <w:t>7. 工期和进度</w:t>
      </w:r>
      <w:bookmarkEnd w:id="470"/>
    </w:p>
    <w:p w14:paraId="19698CFC">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 施工组织设计</w:t>
      </w:r>
    </w:p>
    <w:p w14:paraId="3C4DFF2E">
      <w:pPr>
        <w:autoSpaceDE w:val="0"/>
        <w:autoSpaceDN w:val="0"/>
        <w:adjustRightInd w:val="0"/>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7.1.</w:t>
      </w:r>
      <w:r>
        <w:rPr>
          <w:rFonts w:hint="eastAsia" w:ascii="宋体" w:hAnsi="宋体"/>
          <w:color w:val="000000" w:themeColor="text1"/>
          <w:szCs w:val="21"/>
          <w:highlight w:val="none"/>
          <w14:textFill>
            <w14:solidFill>
              <w14:schemeClr w14:val="tx1"/>
            </w14:solidFill>
          </w14:textFill>
        </w:rPr>
        <w:t>1 合</w:t>
      </w:r>
      <w:r>
        <w:rPr>
          <w:rFonts w:hint="eastAsia" w:ascii="宋体" w:hAnsi="宋体"/>
          <w:color w:val="000000" w:themeColor="text1"/>
          <w:kern w:val="0"/>
          <w:szCs w:val="21"/>
          <w:highlight w:val="none"/>
          <w14:textFill>
            <w14:solidFill>
              <w14:schemeClr w14:val="tx1"/>
            </w14:solidFill>
          </w14:textFill>
        </w:rPr>
        <w:t>同当事人约定的</w:t>
      </w:r>
      <w:r>
        <w:rPr>
          <w:rFonts w:ascii="宋体" w:hAnsi="宋体"/>
          <w:color w:val="000000" w:themeColor="text1"/>
          <w:kern w:val="0"/>
          <w:szCs w:val="21"/>
          <w:highlight w:val="none"/>
          <w14:textFill>
            <w14:solidFill>
              <w14:schemeClr w14:val="tx1"/>
            </w14:solidFill>
          </w14:textFill>
        </w:rPr>
        <w:t>施工组织设计</w:t>
      </w:r>
      <w:r>
        <w:rPr>
          <w:rFonts w:hint="eastAsia" w:ascii="宋体" w:hAnsi="宋体"/>
          <w:color w:val="000000" w:themeColor="text1"/>
          <w:kern w:val="0"/>
          <w:szCs w:val="21"/>
          <w:highlight w:val="none"/>
          <w14:textFill>
            <w14:solidFill>
              <w14:schemeClr w14:val="tx1"/>
            </w14:solidFill>
          </w14:textFill>
        </w:rPr>
        <w:t>应包括的其他内容</w:t>
      </w:r>
      <w:r>
        <w:rPr>
          <w:rFonts w:ascii="宋体" w:hAnsi="宋体"/>
          <w:color w:val="000000" w:themeColor="text1"/>
          <w:kern w:val="0"/>
          <w:szCs w:val="21"/>
          <w:highlight w:val="none"/>
          <w14:textFill>
            <w14:solidFill>
              <w14:schemeClr w14:val="tx1"/>
            </w14:solidFill>
          </w14:textFill>
        </w:rPr>
        <w:t>：</w:t>
      </w:r>
      <w:r>
        <w:rPr>
          <w:rFonts w:hint="eastAsia" w:ascii="宋体" w:hAnsi="宋体" w:cs="仿宋"/>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1、</w:t>
      </w:r>
      <w:r>
        <w:rPr>
          <w:rFonts w:hint="eastAsia" w:ascii="宋体" w:hAnsi="宋体" w:cs="仿宋"/>
          <w:color w:val="000000" w:themeColor="text1"/>
          <w:szCs w:val="21"/>
          <w:highlight w:val="none"/>
          <w:u w:val="single"/>
          <w14:textFill>
            <w14:solidFill>
              <w14:schemeClr w14:val="tx1"/>
            </w14:solidFill>
          </w14:textFill>
        </w:rPr>
        <w:t xml:space="preserve">施工进度计划包括总进度计划、分阶段和分项进度计划、设备材料人员进场计划；施工方案说明包括分部、分项工程或工程部位的名称及施工顺序和方法；2、管理人员名单、职称、职务、上岗证等；3、按照国家及地方有关规定应当提交的内容 </w:t>
      </w:r>
      <w:r>
        <w:rPr>
          <w:rFonts w:ascii="宋体" w:hAnsi="宋体"/>
          <w:color w:val="000000" w:themeColor="text1"/>
          <w:szCs w:val="21"/>
          <w:highlight w:val="none"/>
          <w:u w:val="single"/>
          <w14:textFill>
            <w14:solidFill>
              <w14:schemeClr w14:val="tx1"/>
            </w14:solidFill>
          </w14:textFill>
        </w:rPr>
        <w:t xml:space="preserve"> 。</w:t>
      </w:r>
    </w:p>
    <w:p w14:paraId="71B55A6A">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7.1.2 </w:t>
      </w:r>
      <w:r>
        <w:rPr>
          <w:rFonts w:ascii="宋体" w:hAnsi="宋体"/>
          <w:color w:val="000000" w:themeColor="text1"/>
          <w:kern w:val="0"/>
          <w:szCs w:val="21"/>
          <w:highlight w:val="none"/>
          <w14:textFill>
            <w14:solidFill>
              <w14:schemeClr w14:val="tx1"/>
            </w14:solidFill>
          </w14:textFill>
        </w:rPr>
        <w:t>施工组织设计的提交和修改</w:t>
      </w:r>
    </w:p>
    <w:p w14:paraId="6B3EF83B">
      <w:pPr>
        <w:autoSpaceDE w:val="0"/>
        <w:autoSpaceDN w:val="0"/>
        <w:adjustRightInd w:val="0"/>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承包人提交详细施工组织设计的期限的约定：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合同签订后14天内，最迟不得晚于开工通知载明的开工日期前7天</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48FF67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发包人和监理人</w:t>
      </w:r>
      <w:r>
        <w:rPr>
          <w:rFonts w:hint="eastAsia" w:ascii="宋体" w:hAnsi="宋体"/>
          <w:color w:val="000000" w:themeColor="text1"/>
          <w:szCs w:val="21"/>
          <w:highlight w:val="none"/>
          <w14:textFill>
            <w14:solidFill>
              <w14:schemeClr w14:val="tx1"/>
            </w14:solidFill>
          </w14:textFill>
        </w:rPr>
        <w:t>（如果有）</w:t>
      </w:r>
      <w:r>
        <w:rPr>
          <w:rFonts w:ascii="宋体" w:hAnsi="宋体"/>
          <w:color w:val="000000" w:themeColor="text1"/>
          <w:szCs w:val="21"/>
          <w:highlight w:val="none"/>
          <w14:textFill>
            <w14:solidFill>
              <w14:schemeClr w14:val="tx1"/>
            </w14:solidFill>
          </w14:textFill>
        </w:rPr>
        <w:t>在收到</w:t>
      </w:r>
      <w:r>
        <w:rPr>
          <w:rFonts w:hint="eastAsia" w:ascii="宋体" w:hAnsi="宋体"/>
          <w:color w:val="000000" w:themeColor="text1"/>
          <w:szCs w:val="21"/>
          <w:highlight w:val="none"/>
          <w14:textFill>
            <w14:solidFill>
              <w14:schemeClr w14:val="tx1"/>
            </w14:solidFill>
          </w14:textFill>
        </w:rPr>
        <w:t>详细的施工组织设计</w:t>
      </w:r>
      <w:r>
        <w:rPr>
          <w:rFonts w:ascii="宋体" w:hAnsi="宋体"/>
          <w:color w:val="000000" w:themeColor="text1"/>
          <w:szCs w:val="21"/>
          <w:highlight w:val="none"/>
          <w14:textFill>
            <w14:solidFill>
              <w14:schemeClr w14:val="tx1"/>
            </w14:solidFill>
          </w14:textFill>
        </w:rPr>
        <w:t>后确认或提出修改意见的期限：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 收到修订的施工进度计划后7天内确认或提出修改意见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2A287B5">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71" w:name="_Toc304295541"/>
      <w:bookmarkStart w:id="472" w:name="_Toc312677479"/>
      <w:bookmarkStart w:id="473" w:name="_Toc297123514"/>
      <w:bookmarkStart w:id="474" w:name="_Toc300934966"/>
      <w:bookmarkStart w:id="475" w:name="_Toc297216173"/>
      <w:bookmarkStart w:id="476" w:name="_Toc312678005"/>
      <w:bookmarkStart w:id="477" w:name="_Toc303539123"/>
      <w:r>
        <w:rPr>
          <w:rFonts w:ascii="宋体" w:hAnsi="宋体"/>
          <w:color w:val="000000" w:themeColor="text1"/>
          <w:szCs w:val="21"/>
          <w:highlight w:val="none"/>
          <w14:textFill>
            <w14:solidFill>
              <w14:schemeClr w14:val="tx1"/>
            </w14:solidFill>
          </w14:textFill>
        </w:rPr>
        <w:t>.2 施工进度计划</w:t>
      </w:r>
    </w:p>
    <w:p w14:paraId="410E1D9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7.2.2 施工进度计划的修订</w:t>
      </w:r>
    </w:p>
    <w:p w14:paraId="5FB7E54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发包人和监理人</w:t>
      </w:r>
      <w:r>
        <w:rPr>
          <w:rFonts w:hint="eastAsia" w:ascii="宋体" w:hAnsi="宋体"/>
          <w:color w:val="000000" w:themeColor="text1"/>
          <w:szCs w:val="21"/>
          <w:highlight w:val="none"/>
          <w14:textFill>
            <w14:solidFill>
              <w14:schemeClr w14:val="tx1"/>
            </w14:solidFill>
          </w14:textFill>
        </w:rPr>
        <w:t>（如果有）</w:t>
      </w:r>
      <w:r>
        <w:rPr>
          <w:rFonts w:ascii="宋体" w:hAnsi="宋体"/>
          <w:color w:val="000000" w:themeColor="text1"/>
          <w:szCs w:val="21"/>
          <w:highlight w:val="none"/>
          <w14:textFill>
            <w14:solidFill>
              <w14:schemeClr w14:val="tx1"/>
            </w14:solidFill>
          </w14:textFill>
        </w:rPr>
        <w:t>在收到修订的施工进度计划后确认或提出修改意见的期限：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收到修订的施工进度计划后7天内确认或提出修改意见</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971A0E0">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 开工</w:t>
      </w:r>
    </w:p>
    <w:p w14:paraId="6DEE5A9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7.3.1 开工准备</w:t>
      </w:r>
    </w:p>
    <w:p w14:paraId="023F76EE">
      <w:pPr>
        <w:spacing w:line="360" w:lineRule="auto"/>
        <w:ind w:firstLine="645"/>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关于承包人提交</w:t>
      </w:r>
      <w:r>
        <w:rPr>
          <w:rFonts w:ascii="宋体" w:hAnsi="宋体"/>
          <w:color w:val="000000" w:themeColor="text1"/>
          <w:kern w:val="0"/>
          <w:szCs w:val="21"/>
          <w:highlight w:val="none"/>
          <w14:textFill>
            <w14:solidFill>
              <w14:schemeClr w14:val="tx1"/>
            </w14:solidFill>
          </w14:textFill>
        </w:rPr>
        <w:t>工程开工报审表的期限：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 工程开工前7天内</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EA1F2C7">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关于发包人应完成的其他开工准备工作及期限：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工程开工前7天内</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39AC355">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关于承包人应完成的其他开工准备工作及期限：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工程开工前7天内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3870C34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7.3.2开工通知</w:t>
      </w:r>
    </w:p>
    <w:p w14:paraId="5CA23C5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因发包人原因造成未能在计划开工日期之日起</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90</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天内发出开工通知的，承包人有权提出价格调整要求，或者解除合同。</w:t>
      </w:r>
    </w:p>
    <w:bookmarkEnd w:id="471"/>
    <w:bookmarkEnd w:id="472"/>
    <w:bookmarkEnd w:id="473"/>
    <w:bookmarkEnd w:id="474"/>
    <w:bookmarkEnd w:id="475"/>
    <w:bookmarkEnd w:id="476"/>
    <w:bookmarkEnd w:id="477"/>
    <w:p w14:paraId="7B83108B">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7.4 测量放线</w:t>
      </w:r>
    </w:p>
    <w:p w14:paraId="6EF40D94">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7.4.1发包人通过监理人</w:t>
      </w:r>
      <w:r>
        <w:rPr>
          <w:rFonts w:hint="eastAsia" w:ascii="宋体" w:hAnsi="宋体"/>
          <w:color w:val="000000" w:themeColor="text1"/>
          <w:szCs w:val="21"/>
          <w:highlight w:val="none"/>
          <w14:textFill>
            <w14:solidFill>
              <w14:schemeClr w14:val="tx1"/>
            </w14:solidFill>
          </w14:textFill>
        </w:rPr>
        <w:t>（如果有）</w:t>
      </w:r>
      <w:r>
        <w:rPr>
          <w:rFonts w:ascii="宋体" w:hAnsi="宋体"/>
          <w:color w:val="000000" w:themeColor="text1"/>
          <w:szCs w:val="21"/>
          <w:highlight w:val="none"/>
          <w14:textFill>
            <w14:solidFill>
              <w14:schemeClr w14:val="tx1"/>
            </w14:solidFill>
          </w14:textFill>
        </w:rPr>
        <w:t>向承包人提供测量基准点、基准线和水准点及其书面资料的期限：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工程开工前7天内</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FA59D14">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78" w:name="_Toc297123516"/>
      <w:bookmarkStart w:id="479" w:name="_Toc312678010"/>
      <w:bookmarkStart w:id="480" w:name="_Toc312677484"/>
      <w:bookmarkStart w:id="481" w:name="_Toc304295546"/>
      <w:bookmarkStart w:id="482" w:name="_Toc297216175"/>
      <w:bookmarkStart w:id="483" w:name="_Toc303539125"/>
      <w:bookmarkStart w:id="484" w:name="_Toc300934968"/>
      <w:r>
        <w:rPr>
          <w:rFonts w:ascii="宋体" w:hAnsi="宋体"/>
          <w:color w:val="000000" w:themeColor="text1"/>
          <w:szCs w:val="21"/>
          <w:highlight w:val="none"/>
          <w14:textFill>
            <w14:solidFill>
              <w14:schemeClr w14:val="tx1"/>
            </w14:solidFill>
          </w14:textFill>
        </w:rPr>
        <w:t>.5 工期延误</w:t>
      </w:r>
    </w:p>
    <w:bookmarkEnd w:id="478"/>
    <w:bookmarkEnd w:id="479"/>
    <w:bookmarkEnd w:id="480"/>
    <w:bookmarkEnd w:id="481"/>
    <w:bookmarkEnd w:id="482"/>
    <w:bookmarkEnd w:id="483"/>
    <w:bookmarkEnd w:id="484"/>
    <w:p w14:paraId="6EA11C9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7.5.1 因发包人原因导致工期延误</w:t>
      </w:r>
      <w:r>
        <w:rPr>
          <w:rFonts w:hint="eastAsia" w:ascii="宋体" w:hAnsi="宋体"/>
          <w:color w:val="000000" w:themeColor="text1"/>
          <w:szCs w:val="21"/>
          <w:highlight w:val="none"/>
          <w14:textFill>
            <w14:solidFill>
              <w14:schemeClr w14:val="tx1"/>
            </w14:solidFill>
          </w14:textFill>
        </w:rPr>
        <w:t>，工期顺延。</w:t>
      </w:r>
    </w:p>
    <w:p w14:paraId="7E5FBC7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因发包人原因导致工期延误的其他情形：</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因发包人原因影响到关建线路工期的，工期相应顺延，包括：1、工程量增加和设计变更导致工程量增加；2、发包人未按时支付工程款；3、重大图纸变更影响关健线路工序施工；4、因发包人未能及时确认变更价格或甲供材料提供延误的；5、因发包人应承担责任的原因，未能按合同要求配合施工直接造成停工的</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B53DF0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85" w:name="_Toc312678012"/>
      <w:bookmarkStart w:id="486" w:name="_Toc312677486"/>
      <w:bookmarkStart w:id="487" w:name="_Toc318581169"/>
      <w:bookmarkStart w:id="488" w:name="_Toc297123518"/>
      <w:bookmarkStart w:id="489" w:name="_Toc297216177"/>
      <w:bookmarkStart w:id="490" w:name="_Toc300934970"/>
      <w:bookmarkStart w:id="491" w:name="_Toc304295548"/>
      <w:bookmarkStart w:id="492" w:name="_Toc303539127"/>
      <w:r>
        <w:rPr>
          <w:rFonts w:ascii="宋体" w:hAnsi="宋体"/>
          <w:color w:val="000000" w:themeColor="text1"/>
          <w:szCs w:val="21"/>
          <w:highlight w:val="none"/>
          <w14:textFill>
            <w14:solidFill>
              <w14:schemeClr w14:val="tx1"/>
            </w14:solidFill>
          </w14:textFill>
        </w:rPr>
        <w:t>.5.2 因承包人原因导致工期延误</w:t>
      </w:r>
    </w:p>
    <w:bookmarkEnd w:id="485"/>
    <w:bookmarkEnd w:id="486"/>
    <w:bookmarkEnd w:id="487"/>
    <w:p w14:paraId="1B18F15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w:t>
      </w:r>
      <w:bookmarkStart w:id="493" w:name="_Toc312678013"/>
      <w:bookmarkStart w:id="494" w:name="_Toc312677487"/>
      <w:bookmarkStart w:id="495" w:name="_Toc318581170"/>
      <w:r>
        <w:rPr>
          <w:rFonts w:ascii="宋体" w:hAnsi="宋体"/>
          <w:color w:val="000000" w:themeColor="text1"/>
          <w:szCs w:val="21"/>
          <w:highlight w:val="none"/>
          <w14:textFill>
            <w14:solidFill>
              <w14:schemeClr w14:val="tx1"/>
            </w14:solidFill>
          </w14:textFill>
        </w:rPr>
        <w:t>承包人原因造成工期延误，逾期竣工违约金的计算方法为：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承包人不能按合同约定的时间竣工，承包人应承担违约责任。承包人按本合同约定的工期和本合同约定顺延后的工期竣工，每延误一天，按签约合同价的万分之四支付违约金给发包人。发包人可从应向承包人支付的任何金额中扣除此项赔款费或其他方式收回此款，此赔偿款的支付并不能解除承包人应完成工程的责任或合同规定的其他责任</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bookmarkEnd w:id="488"/>
      <w:bookmarkEnd w:id="489"/>
      <w:bookmarkEnd w:id="490"/>
      <w:bookmarkEnd w:id="491"/>
      <w:bookmarkEnd w:id="492"/>
      <w:bookmarkEnd w:id="493"/>
      <w:bookmarkEnd w:id="494"/>
    </w:p>
    <w:bookmarkEnd w:id="495"/>
    <w:p w14:paraId="67110CD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因承包人原因造成工期延误，逾</w:t>
      </w:r>
      <w:bookmarkStart w:id="496" w:name="_Toc312678014"/>
      <w:bookmarkStart w:id="497" w:name="_Toc318581171"/>
      <w:r>
        <w:rPr>
          <w:rFonts w:ascii="宋体" w:hAnsi="宋体"/>
          <w:color w:val="000000" w:themeColor="text1"/>
          <w:szCs w:val="21"/>
          <w:highlight w:val="none"/>
          <w14:textFill>
            <w14:solidFill>
              <w14:schemeClr w14:val="tx1"/>
            </w14:solidFill>
          </w14:textFill>
        </w:rPr>
        <w:t>期竣工违约金的上限：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bCs/>
          <w:color w:val="000000" w:themeColor="text1"/>
          <w:szCs w:val="21"/>
          <w:highlight w:val="none"/>
          <w:u w:val="single"/>
          <w14:textFill>
            <w14:solidFill>
              <w14:schemeClr w14:val="tx1"/>
            </w14:solidFill>
          </w14:textFill>
        </w:rPr>
        <w:t>暂定合同价的10%</w:t>
      </w:r>
      <w:r>
        <w:rPr>
          <w:rFonts w:hint="eastAsia" w:ascii="宋体" w:hAnsi="宋体" w:cs="仿宋"/>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496"/>
    <w:bookmarkEnd w:id="497"/>
    <w:p w14:paraId="220C6A6B">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498" w:name="_Toc297216178"/>
      <w:bookmarkStart w:id="499" w:name="_Toc312678015"/>
      <w:bookmarkStart w:id="500" w:name="_Toc300934971"/>
      <w:bookmarkStart w:id="501" w:name="_Toc304295549"/>
      <w:bookmarkStart w:id="502" w:name="_Toc303539128"/>
      <w:bookmarkStart w:id="503" w:name="_Toc297123519"/>
      <w:r>
        <w:rPr>
          <w:rFonts w:ascii="宋体" w:hAnsi="宋体"/>
          <w:color w:val="000000" w:themeColor="text1"/>
          <w:szCs w:val="21"/>
          <w:highlight w:val="none"/>
          <w14:textFill>
            <w14:solidFill>
              <w14:schemeClr w14:val="tx1"/>
            </w14:solidFill>
          </w14:textFill>
        </w:rPr>
        <w:t>.6 不</w:t>
      </w:r>
      <w:bookmarkEnd w:id="498"/>
      <w:bookmarkEnd w:id="499"/>
      <w:bookmarkEnd w:id="500"/>
      <w:bookmarkEnd w:id="501"/>
      <w:bookmarkEnd w:id="502"/>
      <w:bookmarkEnd w:id="503"/>
      <w:r>
        <w:rPr>
          <w:rFonts w:ascii="宋体" w:hAnsi="宋体"/>
          <w:color w:val="000000" w:themeColor="text1"/>
          <w:szCs w:val="21"/>
          <w:highlight w:val="none"/>
          <w14:textFill>
            <w14:solidFill>
              <w14:schemeClr w14:val="tx1"/>
            </w14:solidFill>
          </w14:textFill>
        </w:rPr>
        <w:t>利物质条件</w:t>
      </w:r>
    </w:p>
    <w:p w14:paraId="560FA1D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bookmarkStart w:id="504" w:name="_Toc304295550"/>
      <w:bookmarkStart w:id="505" w:name="_Toc297216179"/>
      <w:bookmarkStart w:id="506" w:name="_Toc297123520"/>
      <w:bookmarkStart w:id="507" w:name="_Toc300934972"/>
      <w:bookmarkStart w:id="508" w:name="_Toc312678016"/>
      <w:bookmarkStart w:id="509" w:name="_Toc318581172"/>
      <w:bookmarkStart w:id="510" w:name="_Toc303539129"/>
      <w:r>
        <w:rPr>
          <w:rFonts w:ascii="宋体" w:hAnsi="宋体"/>
          <w:color w:val="000000" w:themeColor="text1"/>
          <w:szCs w:val="21"/>
          <w:highlight w:val="none"/>
          <w14:textFill>
            <w14:solidFill>
              <w14:schemeClr w14:val="tx1"/>
            </w14:solidFill>
          </w14:textFill>
        </w:rPr>
        <w:t>不利物质条件的其他情形和有关约定：</w:t>
      </w:r>
      <w:r>
        <w:rPr>
          <w:rFonts w:hint="eastAsia" w:ascii="宋体" w:hAnsi="宋体" w:cs="仿宋"/>
          <w:color w:val="000000" w:themeColor="text1"/>
          <w:szCs w:val="21"/>
          <w:highlight w:val="none"/>
          <w:u w:val="single"/>
          <w14:textFill>
            <w14:solidFill>
              <w14:schemeClr w14:val="tx1"/>
            </w14:solidFill>
          </w14:textFill>
        </w:rPr>
        <w:t xml:space="preserve"> ①一周内非承包人原因，停水、停电、停气造成停工连续超过8小时②遇到地下障碍物、文物、坟穴。对上述几种形式，应以造成灾害和影响施工并以政府相关部门的规定为准；其余按本合同《通用条款》规定执行</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504"/>
    <w:bookmarkEnd w:id="505"/>
    <w:bookmarkEnd w:id="506"/>
    <w:bookmarkEnd w:id="507"/>
    <w:bookmarkEnd w:id="508"/>
    <w:bookmarkEnd w:id="509"/>
    <w:bookmarkEnd w:id="510"/>
    <w:p w14:paraId="4D1344BE">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bookmarkStart w:id="511" w:name="_Toc297123521"/>
      <w:bookmarkStart w:id="512" w:name="_Toc303539130"/>
      <w:bookmarkStart w:id="513" w:name="_Toc297216180"/>
      <w:bookmarkStart w:id="514" w:name="_Toc304295551"/>
      <w:bookmarkStart w:id="515" w:name="_Toc312678017"/>
      <w:bookmarkStart w:id="516" w:name="_Toc300934973"/>
      <w:r>
        <w:rPr>
          <w:rFonts w:ascii="宋体" w:hAnsi="宋体"/>
          <w:color w:val="000000" w:themeColor="text1"/>
          <w:szCs w:val="21"/>
          <w:highlight w:val="none"/>
          <w14:textFill>
            <w14:solidFill>
              <w14:schemeClr w14:val="tx1"/>
            </w14:solidFill>
          </w14:textFill>
        </w:rPr>
        <w:t>.7异常恶劣的气候条件</w:t>
      </w:r>
    </w:p>
    <w:bookmarkEnd w:id="511"/>
    <w:bookmarkEnd w:id="512"/>
    <w:bookmarkEnd w:id="513"/>
    <w:bookmarkEnd w:id="514"/>
    <w:bookmarkEnd w:id="515"/>
    <w:bookmarkEnd w:id="516"/>
    <w:p w14:paraId="0ACE437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发包人和承包人同意以下情形视为异常恶劣的气候条件：</w:t>
      </w:r>
    </w:p>
    <w:p w14:paraId="5F744114">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4 级以上的地震</w:t>
      </w:r>
      <w:r>
        <w:rPr>
          <w:rFonts w:hint="eastAsia" w:ascii="宋体" w:hAnsi="宋体" w:cs="仿宋"/>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4C63D5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6 级及以上的大风</w:t>
      </w:r>
      <w:r>
        <w:rPr>
          <w:rFonts w:hint="eastAsia" w:ascii="宋体" w:hAnsi="宋体" w:cs="仿宋"/>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DF9BB4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按施工规范和政府文件规定导致关键线路延期的低温天气</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69D9FA6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20年以上未发生过的洪水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E601F65">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提前竣工的奖励</w:t>
      </w:r>
    </w:p>
    <w:p w14:paraId="5F5FABF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提前竣工的奖励：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41925DE">
      <w:pPr>
        <w:pStyle w:val="5"/>
        <w:widowControl w:val="0"/>
        <w:numPr>
          <w:ilvl w:val="0"/>
          <w:numId w:val="9"/>
        </w:numPr>
        <w:spacing w:before="120" w:after="120" w:line="360" w:lineRule="auto"/>
        <w:jc w:val="both"/>
        <w:rPr>
          <w:rFonts w:ascii="宋体" w:hAnsi="宋体"/>
          <w:b w:val="0"/>
          <w:color w:val="000000" w:themeColor="text1"/>
          <w:szCs w:val="21"/>
          <w:highlight w:val="none"/>
          <w14:textFill>
            <w14:solidFill>
              <w14:schemeClr w14:val="tx1"/>
            </w14:solidFill>
          </w14:textFill>
        </w:rPr>
      </w:pPr>
      <w:bookmarkStart w:id="517" w:name="_Toc351203640"/>
      <w:r>
        <w:rPr>
          <w:rFonts w:ascii="宋体" w:hAnsi="宋体"/>
          <w:b w:val="0"/>
          <w:color w:val="000000" w:themeColor="text1"/>
          <w:szCs w:val="21"/>
          <w:highlight w:val="none"/>
          <w14:textFill>
            <w14:solidFill>
              <w14:schemeClr w14:val="tx1"/>
            </w14:solidFill>
          </w14:textFill>
        </w:rPr>
        <w:t>材料与设备</w:t>
      </w:r>
      <w:bookmarkEnd w:id="517"/>
    </w:p>
    <w:p w14:paraId="0C181F42">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8.1 承包人采购材料与工程设备</w:t>
      </w:r>
    </w:p>
    <w:p w14:paraId="5CBE131A">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承包人将由其提供的材料和工程设备的供货人及品种、规格、数量和供货时间等报送监理人审批的期限：在材料和工程设备到货2天前。</w:t>
      </w:r>
    </w:p>
    <w:p w14:paraId="07C5A559">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承包人采购材料和设备的约定：（1）材料设备的品种、规格、型号、质量应满足设计文件的要求；（2）材料设备的品种、规格、型号、质量应满足现行《建筑工程施工质量与验收规范》要求；（3）各种材料的检验或实验必须满足设计文件的要求及国家现行的有关标准。（4）承包人应按专用合同条款的约定，将各项材料和工程设备的供货人及品种、规格、 数量和供货时间等报送监理人审批。承包人应向监理人提交其负责提供的材料和工程设备的质量证明文件，并满足合同约定的质量标准。（5）对承包人提供的材料和工程设备，承包人应会同发包人、监理人进行检验和交货验收，查验材料合格证明和产品合格证书，并按合同约定和监理人指示，进行材料的抽样检验和工程设备的检验测试，检验和测试结果应提交监理人。（6）承包人所采购的材料设备，事前应取得发包人同意；未经发包人同意，如已用于本工程，承包人也应按发包人的指令无条件执行，所造成的损失由承包人负责。（7）需送检的材料设备由承包人负责。送检时，应通知监理工程师和发包人现场代表见证，未经监理工程师和发包人现场代表见证的送检材料，不能用于本工程，否则，因此所造成的损失由承包人负责。（8）承包人用于本工程的模板，必须符合模板验收技术规范。</w:t>
      </w:r>
    </w:p>
    <w:p w14:paraId="6E8E5D64">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本工程发包范围内所有材料、设备均由承包人负责采购、供应；材料及设备在定购时需经发包人认可，并留置样品备查。材料应严格保证质量，相同类型材料品质应统一。承包人投标时所报的材料品牌原则上不允许更换，确需更换时须经发包人认可。</w:t>
      </w:r>
    </w:p>
    <w:p w14:paraId="42033E22">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4BD11BFF">
      <w:pPr>
        <w:rPr>
          <w:rFonts w:ascii="宋体" w:hAnsi="宋体"/>
          <w:color w:val="000000" w:themeColor="text1"/>
          <w:szCs w:val="21"/>
          <w:highlight w:val="none"/>
          <w14:textFill>
            <w14:solidFill>
              <w14:schemeClr w14:val="tx1"/>
            </w14:solidFill>
          </w14:textFill>
        </w:rPr>
      </w:pPr>
    </w:p>
    <w:bookmarkEnd w:id="452"/>
    <w:bookmarkEnd w:id="453"/>
    <w:bookmarkEnd w:id="454"/>
    <w:bookmarkEnd w:id="455"/>
    <w:bookmarkEnd w:id="456"/>
    <w:bookmarkEnd w:id="457"/>
    <w:bookmarkEnd w:id="458"/>
    <w:bookmarkEnd w:id="459"/>
    <w:bookmarkEnd w:id="460"/>
    <w:bookmarkEnd w:id="461"/>
    <w:p w14:paraId="075F933F">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bookmarkStart w:id="518" w:name="_Toc296944506"/>
      <w:bookmarkStart w:id="519" w:name="_Toc312677493"/>
      <w:bookmarkStart w:id="520" w:name="_Toc296346668"/>
      <w:bookmarkStart w:id="521" w:name="_Toc296890995"/>
      <w:bookmarkStart w:id="522" w:name="_Toc292559372"/>
      <w:bookmarkStart w:id="523" w:name="_Toc297048353"/>
      <w:bookmarkStart w:id="524" w:name="_Toc304295556"/>
      <w:bookmarkStart w:id="525" w:name="_Toc297216186"/>
      <w:bookmarkStart w:id="526" w:name="_Toc300934979"/>
      <w:bookmarkStart w:id="527" w:name="_Toc297123527"/>
      <w:bookmarkStart w:id="528" w:name="_Toc297120467"/>
      <w:bookmarkStart w:id="529" w:name="_Toc296891207"/>
      <w:bookmarkStart w:id="530" w:name="_Toc303539136"/>
      <w:bookmarkStart w:id="531" w:name="_Toc292559877"/>
      <w:bookmarkStart w:id="532" w:name="_Toc312678019"/>
      <w:bookmarkStart w:id="533" w:name="_Toc280868654"/>
      <w:bookmarkStart w:id="534" w:name="_Toc296347166"/>
      <w:bookmarkStart w:id="535" w:name="_Toc296503167"/>
      <w:bookmarkStart w:id="536" w:name="_Toc280868655"/>
      <w:bookmarkStart w:id="537" w:name="_Toc280868656"/>
      <w:bookmarkStart w:id="538" w:name="_Toc267251424"/>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材料与工程设备的保管与使用</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14:paraId="03BBDBA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bookmarkStart w:id="539" w:name="_Toc292559373"/>
      <w:bookmarkStart w:id="540" w:name="_Toc292559878"/>
      <w:bookmarkStart w:id="541" w:name="_Toc296891208"/>
      <w:bookmarkStart w:id="542" w:name="_Toc296503168"/>
      <w:bookmarkStart w:id="543" w:name="_Toc296346669"/>
      <w:bookmarkStart w:id="544" w:name="_Toc297123528"/>
      <w:bookmarkStart w:id="545" w:name="_Toc296890996"/>
      <w:bookmarkStart w:id="546" w:name="_Toc304295557"/>
      <w:bookmarkStart w:id="547" w:name="_Toc318581173"/>
      <w:bookmarkStart w:id="548" w:name="_Toc296944507"/>
      <w:bookmarkStart w:id="549" w:name="_Toc296347167"/>
      <w:bookmarkStart w:id="550" w:name="_Toc303539137"/>
      <w:bookmarkStart w:id="551" w:name="_Toc312677494"/>
      <w:bookmarkStart w:id="552" w:name="_Toc312678020"/>
      <w:bookmarkStart w:id="553" w:name="_Toc297216187"/>
      <w:bookmarkStart w:id="554" w:name="_Toc297048354"/>
      <w:bookmarkStart w:id="555" w:name="_Toc300934980"/>
      <w:bookmarkStart w:id="556" w:name="_Toc297120468"/>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.1发包人供应的材料设备的保管费用的承担：</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bCs/>
          <w:color w:val="000000" w:themeColor="text1"/>
          <w:szCs w:val="21"/>
          <w:highlight w:val="none"/>
          <w:u w:val="single"/>
          <w14:textFill>
            <w14:solidFill>
              <w14:schemeClr w14:val="tx1"/>
            </w14:solidFill>
          </w14:textFill>
        </w:rPr>
        <w:t xml:space="preserve">由发包人提供的材料和工程设备【甲供材】，发包人应按正规的采购流程完成采购并验收合格后提供给承包人。由发包人负责运到施工现场围墙内，供货数量按理论安装数量乘以消耗量定额中的损耗量供应，承包人需控制现场安装损耗，实际安装超出发包人供应数量的，由承包人自行承担；发包人按甲供材总价的3%支付承包人费用，由承包人负责接收、运输和保管等工作内容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bookmarkEnd w:id="539"/>
      <w:bookmarkEnd w:id="540"/>
    </w:p>
    <w:p w14:paraId="3EFD4E15">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样品</w:t>
      </w:r>
    </w:p>
    <w:p w14:paraId="2BF9ACEB">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样品的报送</w:t>
      </w:r>
      <w:r>
        <w:rPr>
          <w:rFonts w:hint="eastAsia" w:ascii="宋体" w:hAnsi="宋体"/>
          <w:color w:val="000000" w:themeColor="text1"/>
          <w:kern w:val="0"/>
          <w:szCs w:val="21"/>
          <w:highlight w:val="none"/>
          <w14:textFill>
            <w14:solidFill>
              <w14:schemeClr w14:val="tx1"/>
            </w14:solidFill>
          </w14:textFill>
        </w:rPr>
        <w:t>与封存</w:t>
      </w:r>
    </w:p>
    <w:p w14:paraId="1CA513E9">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需要承包人报送样品的材料或工程设备，样品的种类、名称、规格、数量要求：</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按相关规定计算在工程造价内，由承包人修建，支付相关费用由承包人自行承担</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3CDFC6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施工设备和临时设施</w:t>
      </w:r>
    </w:p>
    <w:p w14:paraId="53CF89CC">
      <w:pPr>
        <w:autoSpaceDE w:val="0"/>
        <w:autoSpaceDN w:val="0"/>
        <w:adjustRightIn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.1 承包人提供的施工设备和临时设施</w:t>
      </w:r>
    </w:p>
    <w:p w14:paraId="4798A7BD">
      <w:pPr>
        <w:autoSpaceDE w:val="0"/>
        <w:autoSpaceDN w:val="0"/>
        <w:adjustRightInd w:val="0"/>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关于修建临时设施费用承担的约定：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按相关规定计算在工程造价内，由承包人修建，支付相关费用由承包人自行承担</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7467DEB">
      <w:pPr>
        <w:autoSpaceDE w:val="0"/>
        <w:autoSpaceDN w:val="0"/>
        <w:adjustRightInd w:val="0"/>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发包人提供的施工设备和临时设施：</w:t>
      </w:r>
      <w:r>
        <w:rPr>
          <w:rFonts w:hint="eastAsia" w:ascii="宋体" w:hAnsi="宋体" w:cs="仿宋"/>
          <w:color w:val="000000" w:themeColor="text1"/>
          <w:szCs w:val="21"/>
          <w:highlight w:val="none"/>
          <w:u w:val="single"/>
          <w14:textFill>
            <w14:solidFill>
              <w14:schemeClr w14:val="tx1"/>
            </w14:solidFill>
          </w14:textFill>
        </w:rPr>
        <w:t>临时占地申请由发包人配合承包人联系红线范围外的临时占地，支付相关费用由发包人承担，按实计算相关费用。</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14:paraId="71C26025">
      <w:pPr>
        <w:pStyle w:val="5"/>
        <w:spacing w:before="120" w:after="120" w:line="360" w:lineRule="auto"/>
        <w:ind w:firstLine="420" w:firstLineChars="200"/>
        <w:rPr>
          <w:rFonts w:ascii="宋体" w:hAnsi="宋体"/>
          <w:b w:val="0"/>
          <w:color w:val="000000" w:themeColor="text1"/>
          <w:szCs w:val="21"/>
          <w:highlight w:val="none"/>
          <w14:textFill>
            <w14:solidFill>
              <w14:schemeClr w14:val="tx1"/>
            </w14:solidFill>
          </w14:textFill>
        </w:rPr>
      </w:pPr>
      <w:bookmarkStart w:id="557" w:name="_Toc351203641"/>
      <w:r>
        <w:rPr>
          <w:rFonts w:ascii="宋体" w:hAnsi="宋体"/>
          <w:b w:val="0"/>
          <w:color w:val="000000" w:themeColor="text1"/>
          <w:szCs w:val="21"/>
          <w:highlight w:val="none"/>
          <w14:textFill>
            <w14:solidFill>
              <w14:schemeClr w14:val="tx1"/>
            </w14:solidFill>
          </w14:textFill>
        </w:rPr>
        <w:t>9</w:t>
      </w:r>
      <w:bookmarkEnd w:id="536"/>
      <w:bookmarkEnd w:id="537"/>
      <w:bookmarkEnd w:id="538"/>
      <w:bookmarkStart w:id="558" w:name="_Toc304295559"/>
      <w:bookmarkStart w:id="559" w:name="_Toc300934982"/>
      <w:bookmarkStart w:id="560" w:name="_Toc297123533"/>
      <w:bookmarkStart w:id="561" w:name="_Toc312677495"/>
      <w:bookmarkStart w:id="562" w:name="_Toc303539139"/>
      <w:bookmarkStart w:id="563" w:name="_Toc312678021"/>
      <w:bookmarkStart w:id="564" w:name="_Toc297216192"/>
      <w:bookmarkStart w:id="565" w:name="_Toc297120473"/>
      <w:bookmarkStart w:id="566" w:name="_Toc292559883"/>
      <w:bookmarkStart w:id="567" w:name="_Toc296346674"/>
      <w:bookmarkStart w:id="568" w:name="_Toc296347172"/>
      <w:bookmarkStart w:id="569" w:name="_Toc296891213"/>
      <w:bookmarkStart w:id="570" w:name="_Toc267251427"/>
      <w:bookmarkStart w:id="571" w:name="_Toc267251428"/>
      <w:bookmarkStart w:id="572" w:name="_Toc297048359"/>
      <w:bookmarkStart w:id="573" w:name="_Toc296944512"/>
      <w:bookmarkStart w:id="574" w:name="_Toc292559378"/>
      <w:bookmarkStart w:id="575" w:name="_Toc296891001"/>
      <w:bookmarkStart w:id="576" w:name="_Toc296503173"/>
      <w:r>
        <w:rPr>
          <w:rFonts w:ascii="宋体" w:hAnsi="宋体"/>
          <w:b w:val="0"/>
          <w:color w:val="000000" w:themeColor="text1"/>
          <w:szCs w:val="21"/>
          <w:highlight w:val="none"/>
          <w14:textFill>
            <w14:solidFill>
              <w14:schemeClr w14:val="tx1"/>
            </w14:solidFill>
          </w14:textFill>
        </w:rPr>
        <w:t>. 试验与检验</w:t>
      </w:r>
      <w:bookmarkEnd w:id="557"/>
    </w:p>
    <w:bookmarkEnd w:id="558"/>
    <w:bookmarkEnd w:id="559"/>
    <w:bookmarkEnd w:id="560"/>
    <w:bookmarkEnd w:id="561"/>
    <w:bookmarkEnd w:id="562"/>
    <w:bookmarkEnd w:id="563"/>
    <w:bookmarkEnd w:id="564"/>
    <w:p w14:paraId="7843C38A">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bookmarkStart w:id="577" w:name="_Toc297216193"/>
      <w:bookmarkStart w:id="578" w:name="_Toc297123534"/>
      <w:bookmarkStart w:id="579" w:name="_Toc303539140"/>
      <w:bookmarkStart w:id="580" w:name="_Toc304295560"/>
      <w:bookmarkStart w:id="581" w:name="_Toc300934983"/>
      <w:bookmarkStart w:id="582" w:name="_Toc312677496"/>
      <w:bookmarkStart w:id="583" w:name="_Toc312678022"/>
      <w:r>
        <w:rPr>
          <w:rFonts w:ascii="宋体" w:hAnsi="宋体"/>
          <w:color w:val="000000" w:themeColor="text1"/>
          <w:szCs w:val="21"/>
          <w:highlight w:val="none"/>
          <w14:textFill>
            <w14:solidFill>
              <w14:schemeClr w14:val="tx1"/>
            </w14:solidFill>
          </w14:textFill>
        </w:rPr>
        <w:t>.1试验设备与试验人员</w:t>
      </w:r>
    </w:p>
    <w:bookmarkEnd w:id="577"/>
    <w:bookmarkEnd w:id="578"/>
    <w:bookmarkEnd w:id="579"/>
    <w:bookmarkEnd w:id="580"/>
    <w:bookmarkEnd w:id="581"/>
    <w:bookmarkEnd w:id="582"/>
    <w:bookmarkEnd w:id="583"/>
    <w:p w14:paraId="0F3F61C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bookmarkStart w:id="584" w:name="_Toc312678023"/>
      <w:bookmarkStart w:id="585" w:name="_Toc297123535"/>
      <w:bookmarkStart w:id="586" w:name="_Toc312677497"/>
      <w:bookmarkStart w:id="587" w:name="_Toc297216194"/>
      <w:bookmarkStart w:id="588" w:name="_Toc300934984"/>
      <w:bookmarkStart w:id="589" w:name="_Toc303539141"/>
      <w:bookmarkStart w:id="590" w:name="_Toc304295561"/>
      <w:bookmarkStart w:id="591" w:name="_Toc318581174"/>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试验设备</w:t>
      </w:r>
    </w:p>
    <w:p w14:paraId="1C43C3E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施工现场需要配置的试验场所：</w:t>
      </w:r>
      <w:bookmarkEnd w:id="584"/>
      <w:bookmarkEnd w:id="585"/>
      <w:bookmarkEnd w:id="586"/>
      <w:bookmarkEnd w:id="587"/>
      <w:bookmarkEnd w:id="588"/>
      <w:bookmarkEnd w:id="589"/>
      <w:bookmarkEnd w:id="590"/>
      <w:bookmarkStart w:id="592" w:name="_Toc297216195"/>
      <w:bookmarkStart w:id="593" w:name="_Toc304295562"/>
      <w:bookmarkStart w:id="594" w:name="_Toc312678024"/>
      <w:bookmarkStart w:id="595" w:name="_Toc312677498"/>
      <w:bookmarkStart w:id="596" w:name="_Toc303539142"/>
      <w:bookmarkStart w:id="597" w:name="_Toc300934985"/>
      <w:bookmarkStart w:id="598" w:name="_Toc297123536"/>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p>
    <w:p w14:paraId="1666DF3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施工现场需要配备的试验设备：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8E38C4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施工现场需要具备的其他试验条件：</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CF6998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现场工艺试验</w:t>
      </w:r>
      <w:r>
        <w:rPr>
          <w:rFonts w:hint="eastAsia" w:ascii="宋体" w:hAnsi="宋体"/>
          <w:color w:val="000000" w:themeColor="text1"/>
          <w:szCs w:val="21"/>
          <w:highlight w:val="none"/>
          <w14:textFill>
            <w14:solidFill>
              <w14:schemeClr w14:val="tx1"/>
            </w14:solidFill>
          </w14:textFill>
        </w:rPr>
        <w:t xml:space="preserve"> </w:t>
      </w:r>
    </w:p>
    <w:p w14:paraId="43F9FEB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现场工艺试验的有关约定：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按照设计和国家施工规范要求</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591"/>
    <w:bookmarkEnd w:id="592"/>
    <w:bookmarkEnd w:id="593"/>
    <w:bookmarkEnd w:id="594"/>
    <w:bookmarkEnd w:id="595"/>
    <w:bookmarkEnd w:id="596"/>
    <w:bookmarkEnd w:id="597"/>
    <w:bookmarkEnd w:id="598"/>
    <w:p w14:paraId="6F2EDBB9">
      <w:pPr>
        <w:pStyle w:val="5"/>
        <w:spacing w:before="120" w:after="120" w:line="360" w:lineRule="auto"/>
        <w:ind w:firstLine="420" w:firstLineChars="200"/>
        <w:rPr>
          <w:rFonts w:ascii="宋体" w:hAnsi="宋体"/>
          <w:b w:val="0"/>
          <w:color w:val="000000" w:themeColor="text1"/>
          <w:szCs w:val="21"/>
          <w:highlight w:val="none"/>
          <w14:textFill>
            <w14:solidFill>
              <w14:schemeClr w14:val="tx1"/>
            </w14:solidFill>
          </w14:textFill>
        </w:rPr>
      </w:pPr>
      <w:bookmarkStart w:id="599" w:name="_Toc351203642"/>
      <w:r>
        <w:rPr>
          <w:rFonts w:ascii="宋体" w:hAnsi="宋体"/>
          <w:b w:val="0"/>
          <w:color w:val="000000" w:themeColor="text1"/>
          <w:szCs w:val="21"/>
          <w:highlight w:val="none"/>
          <w14:textFill>
            <w14:solidFill>
              <w14:schemeClr w14:val="tx1"/>
            </w14:solidFill>
          </w14:textFill>
        </w:rPr>
        <w:t>1</w:t>
      </w:r>
      <w:bookmarkEnd w:id="565"/>
      <w:bookmarkEnd w:id="566"/>
      <w:bookmarkEnd w:id="567"/>
      <w:bookmarkEnd w:id="568"/>
      <w:bookmarkEnd w:id="569"/>
      <w:bookmarkEnd w:id="570"/>
      <w:bookmarkEnd w:id="571"/>
      <w:bookmarkEnd w:id="572"/>
      <w:bookmarkEnd w:id="573"/>
      <w:bookmarkEnd w:id="574"/>
      <w:bookmarkEnd w:id="575"/>
      <w:bookmarkEnd w:id="576"/>
      <w:bookmarkStart w:id="600" w:name="_Toc297120493"/>
      <w:bookmarkStart w:id="601" w:name="_Toc292559903"/>
      <w:bookmarkStart w:id="602" w:name="_Toc297123540"/>
      <w:bookmarkStart w:id="603" w:name="_Toc296347192"/>
      <w:bookmarkStart w:id="604" w:name="_Toc292559398"/>
      <w:bookmarkStart w:id="605" w:name="_Toc296891233"/>
      <w:bookmarkStart w:id="606" w:name="_Toc304295566"/>
      <w:bookmarkStart w:id="607" w:name="_Toc296891021"/>
      <w:bookmarkStart w:id="608" w:name="_Toc303539146"/>
      <w:bookmarkStart w:id="609" w:name="_Toc300934989"/>
      <w:bookmarkStart w:id="610" w:name="_Toc297216199"/>
      <w:bookmarkStart w:id="611" w:name="_Toc296944532"/>
      <w:bookmarkStart w:id="612" w:name="_Toc296503193"/>
      <w:bookmarkStart w:id="613" w:name="_Toc296346694"/>
      <w:bookmarkStart w:id="614" w:name="_Toc297048379"/>
      <w:bookmarkStart w:id="615" w:name="_Toc312677499"/>
      <w:bookmarkStart w:id="616" w:name="_Toc312678025"/>
      <w:bookmarkStart w:id="617" w:name="_Toc267251437"/>
      <w:bookmarkStart w:id="618" w:name="_Toc267251439"/>
      <w:bookmarkStart w:id="619" w:name="_Toc267251440"/>
      <w:bookmarkStart w:id="620" w:name="_Toc267251435"/>
      <w:bookmarkStart w:id="621" w:name="_Toc267251441"/>
      <w:bookmarkStart w:id="622" w:name="_Toc267251433"/>
      <w:bookmarkStart w:id="623" w:name="_Toc267251442"/>
      <w:r>
        <w:rPr>
          <w:rFonts w:ascii="宋体" w:hAnsi="宋体"/>
          <w:b w:val="0"/>
          <w:color w:val="000000" w:themeColor="text1"/>
          <w:szCs w:val="21"/>
          <w:highlight w:val="none"/>
          <w14:textFill>
            <w14:solidFill>
              <w14:schemeClr w14:val="tx1"/>
            </w14:solidFill>
          </w14:textFill>
        </w:rPr>
        <w:t>0. 变更</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615"/>
    <w:bookmarkEnd w:id="616"/>
    <w:p w14:paraId="4A77F016">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624" w:name="_Toc300934990"/>
      <w:bookmarkStart w:id="625" w:name="_Toc296503194"/>
      <w:bookmarkStart w:id="626" w:name="_Toc297216200"/>
      <w:bookmarkStart w:id="627" w:name="_Toc296891022"/>
      <w:bookmarkStart w:id="628" w:name="_Toc292559399"/>
      <w:bookmarkStart w:id="629" w:name="_Toc297123541"/>
      <w:bookmarkStart w:id="630" w:name="_Toc303539147"/>
      <w:bookmarkStart w:id="631" w:name="_Toc304295567"/>
      <w:bookmarkStart w:id="632" w:name="_Toc296347193"/>
      <w:bookmarkStart w:id="633" w:name="_Toc297120494"/>
      <w:bookmarkStart w:id="634" w:name="_Toc292559904"/>
      <w:bookmarkStart w:id="635" w:name="_Toc296944533"/>
      <w:bookmarkStart w:id="636" w:name="_Toc312677500"/>
      <w:bookmarkStart w:id="637" w:name="_Toc296891234"/>
      <w:bookmarkStart w:id="638" w:name="_Toc296346695"/>
      <w:bookmarkStart w:id="639" w:name="_Toc312678026"/>
      <w:bookmarkStart w:id="640" w:name="_Toc297048380"/>
      <w:r>
        <w:rPr>
          <w:rFonts w:ascii="宋体" w:hAnsi="宋体"/>
          <w:color w:val="000000" w:themeColor="text1"/>
          <w:szCs w:val="21"/>
          <w:highlight w:val="none"/>
          <w14:textFill>
            <w14:solidFill>
              <w14:schemeClr w14:val="tx1"/>
            </w14:solidFill>
          </w14:textFill>
        </w:rPr>
        <w:t>0.1变更的范围</w:t>
      </w:r>
    </w:p>
    <w:p w14:paraId="5EB06C85">
      <w:pPr>
        <w:pStyle w:val="245"/>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关于变更的范围的约定：</w:t>
      </w:r>
    </w:p>
    <w:p w14:paraId="325CA28F">
      <w:pPr>
        <w:pStyle w:val="245"/>
        <w:spacing w:line="360" w:lineRule="auto"/>
        <w:rPr>
          <w:rFonts w:ascii="宋体" w:hAnsi="宋体" w:cs="仿宋"/>
          <w:color w:val="000000" w:themeColor="text1"/>
          <w:highlight w:val="none"/>
          <w:u w:val="single"/>
          <w14:textFill>
            <w14:solidFill>
              <w14:schemeClr w14:val="tx1"/>
            </w14:solidFill>
          </w14:textFill>
        </w:rPr>
      </w:pPr>
      <w:r>
        <w:rPr>
          <w:rFonts w:hint="eastAsia" w:ascii="宋体" w:hAnsi="宋体" w:cs="仿宋"/>
          <w:color w:val="000000" w:themeColor="text1"/>
          <w:highlight w:val="none"/>
          <w:u w:val="single"/>
          <w14:textFill>
            <w14:solidFill>
              <w14:schemeClr w14:val="tx1"/>
            </w14:solidFill>
          </w14:textFill>
        </w:rPr>
        <w:t xml:space="preserve"> ①发包人有权改变承包人的工程范围及内容，发包人不需承担任何费用；</w:t>
      </w:r>
    </w:p>
    <w:p w14:paraId="1371D6D3">
      <w:pPr>
        <w:pStyle w:val="245"/>
        <w:spacing w:line="360" w:lineRule="auto"/>
        <w:rPr>
          <w:rFonts w:ascii="宋体" w:hAnsi="宋体"/>
          <w:color w:val="000000" w:themeColor="text1"/>
          <w:highlight w:val="none"/>
          <w14:textFill>
            <w14:solidFill>
              <w14:schemeClr w14:val="tx1"/>
            </w14:solidFill>
          </w14:textFill>
        </w:rPr>
      </w:pPr>
      <w:r>
        <w:rPr>
          <w:rFonts w:hint="eastAsia" w:ascii="宋体" w:hAnsi="宋体" w:cs="仿宋"/>
          <w:color w:val="000000" w:themeColor="text1"/>
          <w:highlight w:val="none"/>
          <w:u w:val="single"/>
          <w14:textFill>
            <w14:solidFill>
              <w14:schemeClr w14:val="tx1"/>
            </w14:solidFill>
          </w14:textFill>
        </w:rPr>
        <w:t>②施工期间因不可预见因素或发包人要求所发生的工程量增减（由变更、签证产生），需按发包人要求办理工程变更手续，经监理工程师（如果有）及发包人审批后实施，工程变更综合单价按专用条款第10.4点规定执行</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14:paraId="2125E18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变更估价</w:t>
      </w:r>
    </w:p>
    <w:p w14:paraId="1E662472">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10.2.1 变更估价原则：</w:t>
      </w:r>
      <w:r>
        <w:rPr>
          <w:rFonts w:hint="eastAsia" w:ascii="宋体" w:hAnsi="宋体" w:cs="仿宋"/>
          <w:color w:val="000000" w:themeColor="text1"/>
          <w:szCs w:val="21"/>
          <w:highlight w:val="none"/>
          <w:u w:val="single"/>
          <w14:textFill>
            <w14:solidFill>
              <w14:schemeClr w14:val="tx1"/>
            </w14:solidFill>
          </w14:textFill>
        </w:rPr>
        <w:t>因设计变更、相关签证引起工程项目、工程量任何变化的，变更合同价款按下列方法进行：</w:t>
      </w:r>
    </w:p>
    <w:p w14:paraId="12F78B42">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（1）、投标报价中已有适用于变更工程的综合单价，按已有的综合单价；</w:t>
      </w:r>
    </w:p>
    <w:p w14:paraId="1C8B70B3">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（2）、投标报价中有类似变更工程的综合单价，可参照投标报价中类似的综合单价确定；</w:t>
      </w:r>
    </w:p>
    <w:p w14:paraId="15CE6364">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3）、投标报价中没有适用或类似于变更工程的综合单价，则按定额的套用定额计算，执行本工程编制招标控制价的参考依据，其中材料价格有信息价的按合同该新增子项实施期间《桂林市建设工程造价信息》中桂林市的平均价计取，无信息价时按市场价格共同协商初步确定；此类工程结算综合单价=按现行定额计算（管理费、利润取中值）的综合单价× （中标人的投标报价÷</w:t>
      </w:r>
      <w:r>
        <w:rPr>
          <w:rFonts w:hint="eastAsia" w:ascii="宋体" w:hAnsi="宋体" w:cs="仿宋"/>
          <w:color w:val="000000" w:themeColor="text1"/>
          <w:szCs w:val="21"/>
          <w:highlight w:val="none"/>
          <w:u w:val="single"/>
          <w:lang w:val="en-US" w:eastAsia="zh-CN"/>
          <w14:textFill>
            <w14:solidFill>
              <w14:schemeClr w14:val="tx1"/>
            </w14:solidFill>
          </w14:textFill>
        </w:rPr>
        <w:t>经财评中心审定的招标控制价</w:t>
      </w:r>
      <w:r>
        <w:rPr>
          <w:rFonts w:hint="eastAsia" w:ascii="宋体" w:hAnsi="宋体" w:cs="仿宋"/>
          <w:color w:val="000000" w:themeColor="text1"/>
          <w:szCs w:val="21"/>
          <w:highlight w:val="none"/>
          <w:u w:val="single"/>
          <w14:textFill>
            <w14:solidFill>
              <w14:schemeClr w14:val="tx1"/>
            </w14:solidFill>
          </w14:textFill>
        </w:rPr>
        <w:t>），签订合同时写明具体数值，新增项目无定额可套用时，由发包人、承包人及监理三方共同协商初步确定，最终以发包人及承包人双方确认的金额为准。</w:t>
      </w:r>
    </w:p>
    <w:p w14:paraId="0904E6B1">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p>
    <w:p w14:paraId="648D49DB">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5）暂定价调整方法为：暂定材料价格部分仅调整合同实施期间材料市场价与暂定价之间的材差并计相应的税金，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w:t>
      </w:r>
    </w:p>
    <w:p w14:paraId="39F1270E">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（6）无约定的参照我区现行《建设工程工程量清单计价规范》及配套定额相关规定执行。</w:t>
      </w:r>
    </w:p>
    <w:p w14:paraId="145BD381">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7）①本工程最终结算符合财政投资评审范围，工程结算最终以财政投资评审中心评审结果为准。②工程结算不属于财政投资评审范围的，以发包人委托的造价咨询机构审定并经发包人及承包人双方确认的金额为准。</w:t>
      </w:r>
    </w:p>
    <w:p w14:paraId="74C3FB43">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注：无信息价的，通过市场询价共同协商确定的材料套用定额时，材料价格部分结算时不再下浮。如果双方对市场询价协商不一致，发包人有权甲供材，承包人无条件配合，对双方约定见8.4.1条。</w:t>
      </w:r>
    </w:p>
    <w:p w14:paraId="15D2842C">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Start w:id="641" w:name="_Toc296346698"/>
      <w:bookmarkStart w:id="642" w:name="_Toc300934993"/>
      <w:bookmarkStart w:id="643" w:name="_Toc296944536"/>
      <w:bookmarkStart w:id="644" w:name="_Toc296891025"/>
      <w:bookmarkStart w:id="645" w:name="_Toc297216203"/>
      <w:bookmarkStart w:id="646" w:name="_Toc303539150"/>
      <w:bookmarkStart w:id="647" w:name="_Toc292559402"/>
      <w:bookmarkStart w:id="648" w:name="_Toc297123544"/>
      <w:bookmarkStart w:id="649" w:name="_Toc296347196"/>
      <w:bookmarkStart w:id="650" w:name="_Toc292559907"/>
      <w:bookmarkStart w:id="651" w:name="_Toc297120497"/>
      <w:bookmarkStart w:id="652" w:name="_Toc297048383"/>
      <w:bookmarkStart w:id="653" w:name="_Toc296891237"/>
      <w:bookmarkStart w:id="654" w:name="_Toc296503197"/>
      <w:bookmarkStart w:id="655" w:name="_Toc312677503"/>
      <w:bookmarkStart w:id="656" w:name="_Toc312678029"/>
      <w:bookmarkStart w:id="657" w:name="_Toc304295570"/>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承</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Start w:id="658" w:name="_Toc297120503"/>
      <w:bookmarkStart w:id="659" w:name="_Toc303539151"/>
      <w:bookmarkStart w:id="660" w:name="_Toc296503203"/>
      <w:bookmarkStart w:id="661" w:name="_Toc292559408"/>
      <w:bookmarkStart w:id="662" w:name="_Toc297123545"/>
      <w:bookmarkStart w:id="663" w:name="_Toc296347202"/>
      <w:bookmarkStart w:id="664" w:name="_Toc296346704"/>
      <w:bookmarkStart w:id="665" w:name="_Toc292559913"/>
      <w:bookmarkStart w:id="666" w:name="_Toc296944542"/>
      <w:bookmarkStart w:id="667" w:name="_Toc296891031"/>
      <w:bookmarkStart w:id="668" w:name="_Toc297216204"/>
      <w:bookmarkStart w:id="669" w:name="_Toc297048389"/>
      <w:bookmarkStart w:id="670" w:name="_Toc296891243"/>
      <w:bookmarkStart w:id="671" w:name="_Toc300934994"/>
      <w:r>
        <w:rPr>
          <w:rFonts w:ascii="宋体" w:hAnsi="宋体"/>
          <w:color w:val="000000" w:themeColor="text1"/>
          <w:szCs w:val="21"/>
          <w:highlight w:val="none"/>
          <w14:textFill>
            <w14:solidFill>
              <w14:schemeClr w14:val="tx1"/>
            </w14:solidFill>
          </w14:textFill>
        </w:rPr>
        <w:t>包人的合理化建议</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6BC05F8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监理人审查承包人合理化建议的期限：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BDB343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发包人审批承包人合理化建议的期限：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7天</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5B7553D">
      <w:pPr>
        <w:spacing w:line="360" w:lineRule="auto"/>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承</w:t>
      </w:r>
      <w:bookmarkStart w:id="672" w:name="_Toc296891032"/>
      <w:bookmarkStart w:id="673" w:name="_Toc300934995"/>
      <w:bookmarkStart w:id="674" w:name="_Toc296944543"/>
      <w:bookmarkStart w:id="675" w:name="_Toc296891244"/>
      <w:bookmarkStart w:id="676" w:name="_Toc297123546"/>
      <w:bookmarkStart w:id="677" w:name="_Toc312677504"/>
      <w:bookmarkStart w:id="678" w:name="_Toc292559409"/>
      <w:bookmarkStart w:id="679" w:name="_Toc312678030"/>
      <w:bookmarkStart w:id="680" w:name="_Toc318581175"/>
      <w:bookmarkStart w:id="681" w:name="_Toc296503204"/>
      <w:bookmarkStart w:id="682" w:name="_Toc296346705"/>
      <w:bookmarkStart w:id="683" w:name="_Toc297216205"/>
      <w:bookmarkStart w:id="684" w:name="_Toc303539152"/>
      <w:bookmarkStart w:id="685" w:name="_Toc297048390"/>
      <w:bookmarkStart w:id="686" w:name="_Toc304295571"/>
      <w:bookmarkStart w:id="687" w:name="_Toc297120504"/>
      <w:bookmarkStart w:id="688" w:name="_Toc296347203"/>
      <w:bookmarkStart w:id="689" w:name="_Toc292559914"/>
      <w:r>
        <w:rPr>
          <w:rFonts w:ascii="宋体" w:hAnsi="宋体"/>
          <w:color w:val="000000" w:themeColor="text1"/>
          <w:szCs w:val="21"/>
          <w:highlight w:val="none"/>
          <w14:textFill>
            <w14:solidFill>
              <w14:schemeClr w14:val="tx1"/>
            </w14:solidFill>
          </w14:textFill>
        </w:rPr>
        <w:t>包人提出的合理化建议降低了合同价格或者提高了工程经济效益的奖励的方法和金额为：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14:paraId="1D1E8DA4">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690" w:name="_Toc297216207"/>
      <w:bookmarkStart w:id="691" w:name="_Toc297048385"/>
      <w:bookmarkStart w:id="692" w:name="_Toc296944538"/>
      <w:bookmarkStart w:id="693" w:name="_Toc296891239"/>
      <w:bookmarkStart w:id="694" w:name="_Toc297120499"/>
      <w:bookmarkStart w:id="695" w:name="_Toc303539154"/>
      <w:bookmarkStart w:id="696" w:name="_Toc292559909"/>
      <w:bookmarkStart w:id="697" w:name="_Toc312678033"/>
      <w:bookmarkStart w:id="698" w:name="_Toc296346700"/>
      <w:bookmarkStart w:id="699" w:name="_Toc297123548"/>
      <w:bookmarkStart w:id="700" w:name="_Toc304295574"/>
      <w:bookmarkStart w:id="701" w:name="_Toc300934997"/>
      <w:bookmarkStart w:id="702" w:name="_Toc296347198"/>
      <w:bookmarkStart w:id="703" w:name="_Toc312677507"/>
      <w:bookmarkStart w:id="704" w:name="_Toc296503199"/>
      <w:bookmarkStart w:id="705" w:name="_Toc292559404"/>
      <w:bookmarkStart w:id="706" w:name="_Toc296891027"/>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暂估价</w:t>
      </w:r>
    </w:p>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14:paraId="79329D6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暂</w:t>
      </w:r>
      <w:bookmarkStart w:id="707" w:name="_Toc312677508"/>
      <w:bookmarkStart w:id="708" w:name="_Toc312678034"/>
      <w:bookmarkStart w:id="709" w:name="_Toc318581176"/>
      <w:r>
        <w:rPr>
          <w:rFonts w:ascii="宋体" w:hAnsi="宋体"/>
          <w:color w:val="000000" w:themeColor="text1"/>
          <w:kern w:val="0"/>
          <w:szCs w:val="21"/>
          <w:highlight w:val="none"/>
          <w14:textFill>
            <w14:solidFill>
              <w14:schemeClr w14:val="tx1"/>
            </w14:solidFill>
          </w14:textFill>
        </w:rPr>
        <w:t>估价材料和工程设备的明细详见附件</w:t>
      </w:r>
      <w:r>
        <w:rPr>
          <w:rFonts w:hint="eastAsia" w:ascii="宋体" w:hAnsi="宋体"/>
          <w:color w:val="000000" w:themeColor="text1"/>
          <w:kern w:val="0"/>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暂估价一览表</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bookmarkEnd w:id="707"/>
    <w:bookmarkEnd w:id="708"/>
    <w:bookmarkEnd w:id="709"/>
    <w:p w14:paraId="2F63F78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Start w:id="710" w:name="_Toc312678035"/>
      <w:bookmarkStart w:id="711" w:name="_Toc312677509"/>
      <w:bookmarkStart w:id="712" w:name="_Toc318581177"/>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.1 依法必须招标的暂估价项目</w:t>
      </w:r>
    </w:p>
    <w:bookmarkEnd w:id="710"/>
    <w:bookmarkEnd w:id="711"/>
    <w:bookmarkEnd w:id="712"/>
    <w:p w14:paraId="0ADCB6B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对于依法必须招标的暂估价项目的确认和批准采取第</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3</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种方式确定。</w:t>
      </w:r>
    </w:p>
    <w:p w14:paraId="284C770C">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第1种方式：对于依法必须招标的暂估价项目，由承包人招标，对该暂估价项目的确认和批准按照以下约定执行：</w:t>
      </w:r>
    </w:p>
    <w:p w14:paraId="3C6F33A9">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8B53852">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14:paraId="066A6A63">
      <w:pPr>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01282A9">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BEBC8FB">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第3种方式：发包人作为招标人，承包人配合、协助发包人的招标工作。</w:t>
      </w:r>
    </w:p>
    <w:p w14:paraId="4A370E6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.2 不属于依法必须招标的暂估价项目</w:t>
      </w:r>
    </w:p>
    <w:p w14:paraId="1EA4CF1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对于不属于依法必须招标的暂估价项目的确认和批准采取第</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3</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种方式确定。</w:t>
      </w:r>
    </w:p>
    <w:p w14:paraId="1F884274">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第1种方式：对于不属于依法必须招标的暂估价项目，按本项约定确认和批准：</w:t>
      </w:r>
    </w:p>
    <w:p w14:paraId="5485FD8B">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承包人根据施工进度计划，在签订暂估价项目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4FAE354">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（2）发包人认为承包人确定的供应商、分包人无法满足工程质量或合同要求的，发包人可以要求承包人重新确定暂估价项目的供应商、分包人;</w:t>
      </w:r>
    </w:p>
    <w:p w14:paraId="6E602D80">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（3）承包人应当在签订暂估价合同后7天内，将暂估价合同副本报送发包人留存。</w:t>
      </w:r>
    </w:p>
    <w:p w14:paraId="40BFC05C">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第2种方式：承包人按照第10.7.1项〔依法必须招标的暂估价项目〕约定的第1种方式确定暂估价项目。</w:t>
      </w:r>
    </w:p>
    <w:p w14:paraId="1B88AF2B">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第3种方式：承包人实施的暂估价项目</w:t>
      </w:r>
    </w:p>
    <w:p w14:paraId="56518E5F">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承包人直接实施的暂估价项目的约定：</w:t>
      </w:r>
      <w:r>
        <w:rPr>
          <w:rFonts w:hint="eastAsia" w:ascii="宋体" w:hAnsi="宋体" w:cs="仿宋"/>
          <w:color w:val="000000" w:themeColor="text1"/>
          <w:szCs w:val="21"/>
          <w:highlight w:val="none"/>
          <w:u w:val="single"/>
          <w14:textFill>
            <w14:solidFill>
              <w14:schemeClr w14:val="tx1"/>
            </w14:solidFill>
          </w14:textFill>
        </w:rPr>
        <w:t xml:space="preserve">发包人认为承包人具备实施暂估价项目的资格和条件的，经发包人同意后，由承包人实施暂估价项目，结算方式同10.4条 </w:t>
      </w:r>
      <w:r>
        <w:rPr>
          <w:rFonts w:hint="eastAsia" w:ascii="宋体" w:hAnsi="宋体" w:cs="仿宋"/>
          <w:color w:val="000000" w:themeColor="text1"/>
          <w:szCs w:val="21"/>
          <w:highlight w:val="none"/>
          <w14:textFill>
            <w14:solidFill>
              <w14:schemeClr w14:val="tx1"/>
            </w14:solidFill>
          </w14:textFill>
        </w:rPr>
        <w:t>。</w:t>
      </w:r>
    </w:p>
    <w:p w14:paraId="52F610C4">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暂列金额</w:t>
      </w:r>
    </w:p>
    <w:p w14:paraId="270AB5A7">
      <w:pPr>
        <w:spacing w:line="36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合同当事人关于暂列金额使用的约定：</w:t>
      </w:r>
    </w:p>
    <w:p w14:paraId="465640EB">
      <w:pPr>
        <w:spacing w:line="360" w:lineRule="exact"/>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 xml:space="preserve">（1）已签约合同价中的暂列金额由发包人掌握使用 </w:t>
      </w:r>
      <w:r>
        <w:rPr>
          <w:rFonts w:hint="eastAsia" w:ascii="宋体" w:hAnsi="宋体" w:cs="仿宋"/>
          <w:color w:val="000000" w:themeColor="text1"/>
          <w:szCs w:val="21"/>
          <w:highlight w:val="none"/>
          <w14:textFill>
            <w14:solidFill>
              <w14:schemeClr w14:val="tx1"/>
            </w14:solidFill>
          </w14:textFill>
        </w:rPr>
        <w:t>；</w:t>
      </w:r>
    </w:p>
    <w:p w14:paraId="7186B43B">
      <w:pPr>
        <w:spacing w:line="36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（2）发包人按照规定所作支付后，暂列金额如有余额归发包人</w:t>
      </w:r>
      <w:r>
        <w:rPr>
          <w:rFonts w:hint="eastAsia" w:ascii="宋体" w:hAnsi="宋体" w:cs="仿宋"/>
          <w:color w:val="000000" w:themeColor="text1"/>
          <w:szCs w:val="21"/>
          <w:highlight w:val="none"/>
          <w14:textFill>
            <w14:solidFill>
              <w14:schemeClr w14:val="tx1"/>
            </w14:solidFill>
          </w14:textFill>
        </w:rPr>
        <w:t>。</w:t>
      </w:r>
    </w:p>
    <w:p w14:paraId="31912767">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713" w:name="_Toc351203643"/>
      <w:r>
        <w:rPr>
          <w:rFonts w:ascii="宋体" w:hAnsi="宋体"/>
          <w:b w:val="0"/>
          <w:color w:val="000000" w:themeColor="text1"/>
          <w:szCs w:val="21"/>
          <w:highlight w:val="none"/>
          <w14:textFill>
            <w14:solidFill>
              <w14:schemeClr w14:val="tx1"/>
            </w14:solidFill>
          </w14:textFill>
        </w:rPr>
        <w:t>11. 价格调整</w:t>
      </w:r>
      <w:bookmarkEnd w:id="713"/>
    </w:p>
    <w:p w14:paraId="28502ECB">
      <w:pPr>
        <w:spacing w:after="120" w:line="360" w:lineRule="auto"/>
        <w:ind w:firstLine="420" w:firstLineChars="200"/>
        <w:rPr>
          <w:rFonts w:ascii="宋体" w:hAnsi="宋体"/>
          <w:color w:val="000000" w:themeColor="text1"/>
          <w:szCs w:val="21"/>
          <w:highlight w:val="none"/>
          <w14:textFill>
            <w14:solidFill>
              <w14:schemeClr w14:val="tx1"/>
            </w14:solidFill>
          </w14:textFill>
        </w:rPr>
      </w:pPr>
      <w:bookmarkStart w:id="714" w:name="_Toc292559406"/>
      <w:bookmarkStart w:id="715" w:name="_Toc296346702"/>
      <w:bookmarkStart w:id="716" w:name="_Toc297048387"/>
      <w:bookmarkStart w:id="717" w:name="_Toc296944540"/>
      <w:bookmarkStart w:id="718" w:name="_Toc297120501"/>
      <w:bookmarkStart w:id="719" w:name="_Toc296891241"/>
      <w:bookmarkStart w:id="720" w:name="_Toc292559911"/>
      <w:bookmarkStart w:id="721" w:name="_Toc312678039"/>
      <w:bookmarkStart w:id="722" w:name="_Toc296503201"/>
      <w:bookmarkStart w:id="723" w:name="_Toc303539157"/>
      <w:bookmarkStart w:id="724" w:name="_Toc297123550"/>
      <w:bookmarkStart w:id="725" w:name="_Toc304295577"/>
      <w:bookmarkStart w:id="726" w:name="_Toc296891029"/>
      <w:bookmarkStart w:id="727" w:name="_Toc297216209"/>
      <w:bookmarkStart w:id="728" w:name="_Toc296347200"/>
      <w:bookmarkStart w:id="729" w:name="_Toc300935000"/>
      <w:r>
        <w:rPr>
          <w:rFonts w:ascii="宋体" w:hAnsi="宋体"/>
          <w:color w:val="000000" w:themeColor="text1"/>
          <w:szCs w:val="21"/>
          <w:highlight w:val="none"/>
          <w14:textFill>
            <w14:solidFill>
              <w14:schemeClr w14:val="tx1"/>
            </w14:solidFill>
          </w14:textFill>
        </w:rPr>
        <w:t>11.1 市场价格波动引起的调整</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14:paraId="7FF3292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市场价格波动是否调整合同价格的约定：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不调整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516052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因市场价格波动调整合同价格，采用以下第</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种方式对合同价格进行调整：</w:t>
      </w:r>
    </w:p>
    <w:p w14:paraId="14FA3D2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第1种方式：采用价格指数</w:t>
      </w:r>
      <w:r>
        <w:rPr>
          <w:rFonts w:hint="eastAsia" w:ascii="宋体" w:hAnsi="宋体"/>
          <w:color w:val="000000" w:themeColor="text1"/>
          <w:szCs w:val="21"/>
          <w:highlight w:val="none"/>
          <w14:textFill>
            <w14:solidFill>
              <w14:schemeClr w14:val="tx1"/>
            </w14:solidFill>
          </w14:textFill>
        </w:rPr>
        <w:t>进行价格</w:t>
      </w:r>
      <w:r>
        <w:rPr>
          <w:rFonts w:ascii="宋体" w:hAnsi="宋体"/>
          <w:color w:val="000000" w:themeColor="text1"/>
          <w:szCs w:val="21"/>
          <w:highlight w:val="none"/>
          <w14:textFill>
            <w14:solidFill>
              <w14:schemeClr w14:val="tx1"/>
            </w14:solidFill>
          </w14:textFill>
        </w:rPr>
        <w:t>调整。</w:t>
      </w:r>
    </w:p>
    <w:p w14:paraId="4101CB70">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关于各可调因子、定值和变值权重，以及基本价格指数及其来源的约定：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5B848E7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第2种方式：采用造价信息</w:t>
      </w:r>
      <w:r>
        <w:rPr>
          <w:rFonts w:hint="eastAsia" w:ascii="宋体" w:hAnsi="宋体"/>
          <w:color w:val="000000" w:themeColor="text1"/>
          <w:szCs w:val="21"/>
          <w:highlight w:val="none"/>
          <w14:textFill>
            <w14:solidFill>
              <w14:schemeClr w14:val="tx1"/>
            </w14:solidFill>
          </w14:textFill>
        </w:rPr>
        <w:t>进行价格</w:t>
      </w:r>
      <w:r>
        <w:rPr>
          <w:rFonts w:ascii="宋体" w:hAnsi="宋体"/>
          <w:color w:val="000000" w:themeColor="text1"/>
          <w:szCs w:val="21"/>
          <w:highlight w:val="none"/>
          <w14:textFill>
            <w14:solidFill>
              <w14:schemeClr w14:val="tx1"/>
            </w14:solidFill>
          </w14:textFill>
        </w:rPr>
        <w:t>调整。</w:t>
      </w:r>
    </w:p>
    <w:p w14:paraId="0CB6C0F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（2）关于基准价格的约定：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发包人招标控制价采用的桂林市建设工程造价信息当期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0A4A3A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专用合同条款</w:t>
      </w:r>
      <w:r>
        <w:rPr>
          <w:rFonts w:hint="eastAsia" w:ascii="宋体" w:hAnsi="宋体" w:cs="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t>承包人在已标价工程量清单或预算书中载明的材料单价低于基准价格的：专用合同条款合同履行期间材料单价涨幅以基准价格为基础超过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%时，或材料单价跌幅以已标价工程量清单或预算书中载明材料单价为基础超过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%时，其超过部分据实调整。</w:t>
      </w:r>
    </w:p>
    <w:p w14:paraId="0C02E68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t>承包人在已标价工程量清单或预算书中载明的材料单价高于基准价格的：专用合同条款合同履行期间材料单价跌幅以基准价格为基础超过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%时，材料单价涨幅以已标价工程量清单或预算书中载明材料单价为基础超过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%时，其超过部分据实调整。</w:t>
      </w:r>
    </w:p>
    <w:p w14:paraId="6D090EF1">
      <w:pPr>
        <w:spacing w:line="360" w:lineRule="auto"/>
        <w:ind w:firstLine="645"/>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ascii="宋体" w:hAnsi="宋体"/>
          <w:color w:val="000000" w:themeColor="text1"/>
          <w:szCs w:val="21"/>
          <w:highlight w:val="none"/>
          <w14:textFill>
            <w14:solidFill>
              <w14:schemeClr w14:val="tx1"/>
            </w14:solidFill>
          </w14:textFill>
        </w:rPr>
        <w:t>承包人在已标价工程量清单或预算书中载明的材料单价等于基准单价的：专用合同条款合同履行期间材料单价涨跌幅以基准单价为基础超过±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%时，其超过部分据实调整。</w:t>
      </w:r>
    </w:p>
    <w:p w14:paraId="6AA5332A">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第3种方式：其他价格调整方式：</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617"/>
    <w:bookmarkEnd w:id="618"/>
    <w:bookmarkEnd w:id="619"/>
    <w:bookmarkEnd w:id="620"/>
    <w:bookmarkEnd w:id="621"/>
    <w:bookmarkEnd w:id="622"/>
    <w:p w14:paraId="32FF5337">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730" w:name="_Toc297120505"/>
      <w:bookmarkStart w:id="731" w:name="_Toc292559915"/>
      <w:bookmarkStart w:id="732" w:name="_Toc296503205"/>
      <w:bookmarkStart w:id="733" w:name="_Toc292559410"/>
      <w:bookmarkStart w:id="734" w:name="_Toc296891245"/>
      <w:bookmarkStart w:id="735" w:name="_Toc296347204"/>
      <w:bookmarkStart w:id="736" w:name="_Toc296891033"/>
      <w:bookmarkStart w:id="737" w:name="_Toc297048391"/>
      <w:bookmarkStart w:id="738" w:name="_Toc296346706"/>
      <w:bookmarkStart w:id="739" w:name="_Toc296944544"/>
      <w:bookmarkStart w:id="740" w:name="_Toc351203644"/>
      <w:bookmarkStart w:id="741" w:name="_Toc300935002"/>
      <w:bookmarkStart w:id="742" w:name="_Toc297216211"/>
      <w:bookmarkStart w:id="743" w:name="_Toc304295579"/>
      <w:bookmarkStart w:id="744" w:name="_Toc303539159"/>
      <w:bookmarkStart w:id="745" w:name="_Toc297123552"/>
      <w:bookmarkStart w:id="746" w:name="_Toc312678040"/>
      <w:r>
        <w:rPr>
          <w:rFonts w:ascii="宋体" w:hAnsi="宋体"/>
          <w:b w:val="0"/>
          <w:color w:val="000000" w:themeColor="text1"/>
          <w:szCs w:val="21"/>
          <w:highlight w:val="none"/>
          <w14:textFill>
            <w14:solidFill>
              <w14:schemeClr w14:val="tx1"/>
            </w14:solidFill>
          </w14:textFill>
        </w:rPr>
        <w:t xml:space="preserve">12. </w:t>
      </w:r>
      <w:bookmarkEnd w:id="730"/>
      <w:bookmarkEnd w:id="731"/>
      <w:bookmarkEnd w:id="732"/>
      <w:bookmarkEnd w:id="733"/>
      <w:bookmarkEnd w:id="734"/>
      <w:bookmarkEnd w:id="735"/>
      <w:bookmarkEnd w:id="736"/>
      <w:bookmarkEnd w:id="737"/>
      <w:bookmarkEnd w:id="738"/>
      <w:bookmarkEnd w:id="739"/>
      <w:r>
        <w:rPr>
          <w:rFonts w:ascii="宋体" w:hAnsi="宋体"/>
          <w:b w:val="0"/>
          <w:color w:val="000000" w:themeColor="text1"/>
          <w:szCs w:val="21"/>
          <w:highlight w:val="none"/>
          <w14:textFill>
            <w14:solidFill>
              <w14:schemeClr w14:val="tx1"/>
            </w14:solidFill>
          </w14:textFill>
        </w:rPr>
        <w:t>合同价格、计量与支付</w:t>
      </w:r>
      <w:bookmarkEnd w:id="740"/>
    </w:p>
    <w:bookmarkEnd w:id="741"/>
    <w:bookmarkEnd w:id="742"/>
    <w:bookmarkEnd w:id="743"/>
    <w:bookmarkEnd w:id="744"/>
    <w:bookmarkEnd w:id="745"/>
    <w:bookmarkEnd w:id="746"/>
    <w:p w14:paraId="7451A573">
      <w:pPr>
        <w:spacing w:after="120" w:line="360" w:lineRule="auto"/>
        <w:ind w:firstLine="420" w:firstLineChars="200"/>
        <w:rPr>
          <w:rFonts w:ascii="宋体" w:hAnsi="宋体"/>
          <w:color w:val="000000" w:themeColor="text1"/>
          <w:szCs w:val="21"/>
          <w:highlight w:val="none"/>
          <w14:textFill>
            <w14:solidFill>
              <w14:schemeClr w14:val="tx1"/>
            </w14:solidFill>
          </w14:textFill>
        </w:rPr>
      </w:pPr>
      <w:bookmarkStart w:id="747" w:name="_Toc267251461"/>
      <w:bookmarkStart w:id="748" w:name="_Toc292559916"/>
      <w:bookmarkStart w:id="749" w:name="_Toc292559411"/>
      <w:bookmarkStart w:id="750" w:name="_Toc297120506"/>
      <w:bookmarkStart w:id="751" w:name="_Toc296891246"/>
      <w:bookmarkStart w:id="752" w:name="_Toc296346707"/>
      <w:bookmarkStart w:id="753" w:name="_Toc296347205"/>
      <w:bookmarkStart w:id="754" w:name="_Toc296944545"/>
      <w:bookmarkStart w:id="755" w:name="_Toc297048392"/>
      <w:bookmarkStart w:id="756" w:name="_Toc296503206"/>
      <w:bookmarkStart w:id="757" w:name="_Toc296891034"/>
      <w:bookmarkStart w:id="758" w:name="_Toc297123553"/>
      <w:bookmarkStart w:id="759" w:name="_Toc297216212"/>
      <w:bookmarkStart w:id="760" w:name="_Toc312678041"/>
      <w:bookmarkStart w:id="761" w:name="_Toc303539160"/>
      <w:bookmarkStart w:id="762" w:name="_Toc304295580"/>
      <w:bookmarkStart w:id="763" w:name="_Toc300935003"/>
      <w:r>
        <w:rPr>
          <w:rFonts w:ascii="宋体" w:hAnsi="宋体"/>
          <w:color w:val="000000" w:themeColor="text1"/>
          <w:szCs w:val="21"/>
          <w:highlight w:val="none"/>
          <w14:textFill>
            <w14:solidFill>
              <w14:schemeClr w14:val="tx1"/>
            </w14:solidFill>
          </w14:textFill>
        </w:rPr>
        <w:t>12.1 合</w:t>
      </w:r>
      <w:bookmarkEnd w:id="747"/>
      <w:bookmarkEnd w:id="748"/>
      <w:bookmarkEnd w:id="749"/>
      <w:r>
        <w:rPr>
          <w:rFonts w:ascii="宋体" w:hAnsi="宋体"/>
          <w:color w:val="000000" w:themeColor="text1"/>
          <w:szCs w:val="21"/>
          <w:highlight w:val="none"/>
          <w14:textFill>
            <w14:solidFill>
              <w14:schemeClr w14:val="tx1"/>
            </w14:solidFill>
          </w14:textFill>
        </w:rPr>
        <w:t>同价</w:t>
      </w:r>
      <w:bookmarkEnd w:id="750"/>
      <w:bookmarkEnd w:id="751"/>
      <w:bookmarkEnd w:id="752"/>
      <w:bookmarkEnd w:id="753"/>
      <w:bookmarkEnd w:id="754"/>
      <w:bookmarkEnd w:id="755"/>
      <w:bookmarkEnd w:id="756"/>
      <w:bookmarkEnd w:id="757"/>
      <w:r>
        <w:rPr>
          <w:rFonts w:ascii="宋体" w:hAnsi="宋体"/>
          <w:color w:val="000000" w:themeColor="text1"/>
          <w:szCs w:val="21"/>
          <w:highlight w:val="none"/>
          <w14:textFill>
            <w14:solidFill>
              <w14:schemeClr w14:val="tx1"/>
            </w14:solidFill>
          </w14:textFill>
        </w:rPr>
        <w:t>格形式</w:t>
      </w:r>
      <w:r>
        <w:rPr>
          <w:rFonts w:hint="eastAsia" w:ascii="宋体" w:hAnsi="宋体"/>
          <w:color w:val="000000" w:themeColor="text1"/>
          <w:szCs w:val="21"/>
          <w:highlight w:val="none"/>
          <w14:textFill>
            <w14:solidFill>
              <w14:schemeClr w14:val="tx1"/>
            </w14:solidFill>
          </w14:textFill>
        </w:rPr>
        <w:t>：</w:t>
      </w:r>
    </w:p>
    <w:bookmarkEnd w:id="758"/>
    <w:bookmarkEnd w:id="759"/>
    <w:bookmarkEnd w:id="760"/>
    <w:bookmarkEnd w:id="761"/>
    <w:bookmarkEnd w:id="762"/>
    <w:bookmarkEnd w:id="763"/>
    <w:p w14:paraId="672F9481">
      <w:pPr>
        <w:spacing w:line="360" w:lineRule="auto"/>
        <w:ind w:firstLine="420" w:firstLineChars="200"/>
        <w:jc w:val="left"/>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1、单价合同。</w:t>
      </w:r>
    </w:p>
    <w:p w14:paraId="21AE1BB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综合单价包含的风险范围：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除工程变更、政策性调整风险以外因素。</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3DD809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风险费用的计算方法：</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F5C6C4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风险范围以外合同价格的调整方法：</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CA6677E">
      <w:pPr>
        <w:spacing w:line="360" w:lineRule="auto"/>
        <w:ind w:firstLine="420" w:firstLineChars="200"/>
        <w:jc w:val="left"/>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2、总价合同。</w:t>
      </w:r>
    </w:p>
    <w:p w14:paraId="328EEE8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总价包含的风险范围：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316EDC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风险费用的计算方法：</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F93ED0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风险范围以外合同价格的调整方法：</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6337B5B">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3、其他价格方式</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根据实际完成的工程量，套定额结算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0726AAA">
      <w:pPr>
        <w:spacing w:after="120" w:line="360" w:lineRule="auto"/>
        <w:ind w:firstLine="420" w:firstLineChars="200"/>
        <w:rPr>
          <w:rFonts w:ascii="宋体" w:hAnsi="宋体"/>
          <w:color w:val="000000" w:themeColor="text1"/>
          <w:szCs w:val="21"/>
          <w:highlight w:val="none"/>
          <w14:textFill>
            <w14:solidFill>
              <w14:schemeClr w14:val="tx1"/>
            </w14:solidFill>
          </w14:textFill>
        </w:rPr>
      </w:pPr>
      <w:bookmarkStart w:id="764" w:name="_Toc297216213"/>
      <w:bookmarkStart w:id="765" w:name="_Toc303539161"/>
      <w:bookmarkStart w:id="766" w:name="_Toc297123554"/>
      <w:bookmarkStart w:id="767" w:name="_Toc304295581"/>
      <w:bookmarkStart w:id="768" w:name="_Toc312678042"/>
      <w:bookmarkStart w:id="769" w:name="_Toc300935004"/>
      <w:bookmarkStart w:id="770" w:name="_Toc292559412"/>
      <w:bookmarkStart w:id="771" w:name="_Toc292559917"/>
      <w:bookmarkStart w:id="772" w:name="_Toc296347206"/>
      <w:bookmarkStart w:id="773" w:name="_Toc297120507"/>
      <w:bookmarkStart w:id="774" w:name="_Toc297048393"/>
      <w:bookmarkStart w:id="775" w:name="_Toc296503207"/>
      <w:bookmarkStart w:id="776" w:name="_Toc296891247"/>
      <w:bookmarkStart w:id="777" w:name="_Toc296891035"/>
      <w:bookmarkStart w:id="778" w:name="_Toc296944546"/>
      <w:bookmarkStart w:id="779" w:name="_Toc296346708"/>
      <w:r>
        <w:rPr>
          <w:rFonts w:ascii="宋体" w:hAnsi="宋体"/>
          <w:color w:val="000000" w:themeColor="text1"/>
          <w:szCs w:val="21"/>
          <w:highlight w:val="none"/>
          <w14:textFill>
            <w14:solidFill>
              <w14:schemeClr w14:val="tx1"/>
            </w14:solidFill>
          </w14:textFill>
        </w:rPr>
        <w:t>12.2 预付款</w:t>
      </w:r>
    </w:p>
    <w:bookmarkEnd w:id="764"/>
    <w:bookmarkEnd w:id="765"/>
    <w:bookmarkEnd w:id="766"/>
    <w:bookmarkEnd w:id="767"/>
    <w:bookmarkEnd w:id="768"/>
    <w:bookmarkEnd w:id="769"/>
    <w:p w14:paraId="368A631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12.2.1 预付款的支付</w:t>
      </w:r>
    </w:p>
    <w:p w14:paraId="26EDAB7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预付款支付比例或金额：</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E268AF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预付款支付期限：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371578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预付款扣回的方式：</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C41DA86">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12.2.2 预付款担保</w:t>
      </w:r>
    </w:p>
    <w:p w14:paraId="39CDDE4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承包人提交预付款担保的期限：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322EA7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预付款担保的形式为：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无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770"/>
    <w:bookmarkEnd w:id="771"/>
    <w:bookmarkEnd w:id="772"/>
    <w:bookmarkEnd w:id="773"/>
    <w:bookmarkEnd w:id="774"/>
    <w:bookmarkEnd w:id="775"/>
    <w:bookmarkEnd w:id="776"/>
    <w:bookmarkEnd w:id="777"/>
    <w:bookmarkEnd w:id="778"/>
    <w:bookmarkEnd w:id="779"/>
    <w:p w14:paraId="4DDA6833">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 计量</w:t>
      </w:r>
    </w:p>
    <w:p w14:paraId="262489AB">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12.3.1 计量原则</w:t>
      </w:r>
    </w:p>
    <w:p w14:paraId="0C80118F">
      <w:pPr>
        <w:spacing w:line="360" w:lineRule="auto"/>
        <w:ind w:left="596" w:leftChars="284"/>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工程量计算规则：</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工程的计量均以《建设工程工程量清单计价</w:t>
      </w:r>
    </w:p>
    <w:p w14:paraId="58FBB7F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规范》（GB50500－2013）和及其广西壮族自治区实施细则、《建设工程工程量清单计算规范》（GB50854~50862－2013）及其广西实施细则、本工程补充项目清单为准。</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5EDE6A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12.3.2 计量周期</w:t>
      </w:r>
    </w:p>
    <w:p w14:paraId="29195785">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关于计量周期的约定：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每月25日前</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26CD55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12.3.3 单价合同的计量</w:t>
      </w:r>
    </w:p>
    <w:p w14:paraId="7ACC10F3">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关于单价合同计量的约定：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①</w:t>
      </w:r>
      <w:r>
        <w:rPr>
          <w:rFonts w:hint="eastAsia" w:ascii="宋体" w:hAnsi="宋体" w:cs="仿宋"/>
          <w:color w:val="000000" w:themeColor="text1"/>
          <w:szCs w:val="21"/>
          <w:highlight w:val="none"/>
          <w:u w:val="single"/>
          <w14:textFill>
            <w14:solidFill>
              <w14:schemeClr w14:val="tx1"/>
            </w14:solidFill>
          </w14:textFill>
        </w:rPr>
        <w:t>工程量清单所列的工程量，不能作为承包人按合同履行其责任法律依据，实际施工中发生工程量增加或减少并不影响承包人履行合同的责任，工程结算以完成的实际工程量为准。②除另有规定外，工程师应按照合同通过计量来核实确定已完成的工作量和价款，承包人应得到该价款扣除保留金后的金额。当工程师对已完工的工程量进行计量时，应通知承包人参加。</w:t>
      </w:r>
    </w:p>
    <w:p w14:paraId="100D9D6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12.3.4 总价合同的计量</w:t>
      </w:r>
    </w:p>
    <w:p w14:paraId="7AAAE58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关于总价合同计量的约定：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除工程变更外，原图纸范围内的工程量</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3160DC7F">
      <w:pPr>
        <w:spacing w:line="360" w:lineRule="auto"/>
        <w:ind w:left="596" w:leftChars="284"/>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12.3.5总价合同采用支付分解表计量支付的，是否适用第</w:t>
      </w:r>
      <w:r>
        <w:rPr>
          <w:rFonts w:ascii="宋体" w:hAnsi="宋体"/>
          <w:color w:val="000000" w:themeColor="text1"/>
          <w:kern w:val="0"/>
          <w:szCs w:val="21"/>
          <w:highlight w:val="none"/>
          <w14:textFill>
            <w14:solidFill>
              <w14:schemeClr w14:val="tx1"/>
            </w14:solidFill>
          </w14:textFill>
        </w:rPr>
        <w:t xml:space="preserve">12.3.4 </w:t>
      </w:r>
      <w:r>
        <w:rPr>
          <w:rFonts w:ascii="宋体" w:hAnsi="宋体"/>
          <w:color w:val="000000" w:themeColor="text1"/>
          <w:szCs w:val="21"/>
          <w:highlight w:val="none"/>
          <w14:textFill>
            <w14:solidFill>
              <w14:schemeClr w14:val="tx1"/>
            </w14:solidFill>
          </w14:textFill>
        </w:rPr>
        <w:t>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总价合同的计量</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约定</w:t>
      </w:r>
      <w:r>
        <w:rPr>
          <w:rFonts w:hint="eastAsia" w:ascii="宋体" w:hAnsi="宋体"/>
          <w:color w:val="000000" w:themeColor="text1"/>
          <w:szCs w:val="21"/>
          <w:highlight w:val="none"/>
          <w14:textFill>
            <w14:solidFill>
              <w14:schemeClr w14:val="tx1"/>
            </w14:solidFill>
          </w14:textFill>
        </w:rPr>
        <w:t>进行计量：</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14:textFill>
            <w14:solidFill>
              <w14:schemeClr w14:val="tx1"/>
            </w14:solidFill>
          </w14:textFill>
        </w:rPr>
        <w:t>。</w:t>
      </w:r>
    </w:p>
    <w:p w14:paraId="0BF6950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12.3.6 其他价格形式合同的计量</w:t>
      </w:r>
    </w:p>
    <w:p w14:paraId="4C999030">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其他价格形式的计量方式和程序：</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根据实际完成的工程量，套定额结算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1B6957C">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12.4 工程进度款支付</w:t>
      </w:r>
    </w:p>
    <w:p w14:paraId="314D9B0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bookmarkStart w:id="780" w:name="_Toc303539163"/>
      <w:bookmarkStart w:id="781" w:name="_Toc297048397"/>
      <w:bookmarkStart w:id="782" w:name="_Toc292559921"/>
      <w:bookmarkStart w:id="783" w:name="_Toc296944550"/>
      <w:bookmarkStart w:id="784" w:name="_Toc296891251"/>
      <w:bookmarkStart w:id="785" w:name="_Toc296891039"/>
      <w:bookmarkStart w:id="786" w:name="_Toc296347210"/>
      <w:bookmarkStart w:id="787" w:name="_Toc297123556"/>
      <w:bookmarkStart w:id="788" w:name="_Toc296346712"/>
      <w:bookmarkStart w:id="789" w:name="_Toc296503211"/>
      <w:bookmarkStart w:id="790" w:name="_Toc297216215"/>
      <w:bookmarkStart w:id="791" w:name="_Toc292559416"/>
      <w:bookmarkStart w:id="792" w:name="_Toc297120511"/>
      <w:bookmarkStart w:id="793" w:name="_Toc300935006"/>
      <w:r>
        <w:rPr>
          <w:rFonts w:ascii="宋体" w:hAnsi="宋体"/>
          <w:color w:val="000000" w:themeColor="text1"/>
          <w:szCs w:val="21"/>
          <w:highlight w:val="none"/>
          <w14:textFill>
            <w14:solidFill>
              <w14:schemeClr w14:val="tx1"/>
            </w14:solidFill>
          </w14:textFill>
        </w:rPr>
        <w:t>12.4.1 付款周期</w:t>
      </w:r>
    </w:p>
    <w:p w14:paraId="20572BBE">
      <w:pPr>
        <w:pStyle w:val="245"/>
        <w:spacing w:line="360" w:lineRule="auto"/>
        <w:ind w:firstLine="422"/>
        <w:rPr>
          <w:rFonts w:ascii="宋体" w:hAnsi="宋体" w:cs="仿宋"/>
          <w:b/>
          <w:bCs/>
          <w:color w:val="000000" w:themeColor="text1"/>
          <w:highlight w:val="none"/>
          <w14:textFill>
            <w14:solidFill>
              <w14:schemeClr w14:val="tx1"/>
            </w14:solidFill>
          </w14:textFill>
        </w:rPr>
      </w:pPr>
      <w:r>
        <w:rPr>
          <w:rFonts w:hint="eastAsia" w:ascii="宋体" w:hAnsi="宋体" w:cs="仿宋"/>
          <w:b/>
          <w:bCs/>
          <w:color w:val="000000" w:themeColor="text1"/>
          <w:highlight w:val="none"/>
          <w14:textFill>
            <w14:solidFill>
              <w14:schemeClr w14:val="tx1"/>
            </w14:solidFill>
          </w14:textFill>
        </w:rPr>
        <w:t>本项目关于付款周期（进度款支付）的约定，采用以下第</w:t>
      </w:r>
      <w:r>
        <w:rPr>
          <w:rFonts w:hint="eastAsia" w:ascii="宋体" w:hAnsi="宋体" w:cs="仿宋"/>
          <w:b/>
          <w:bCs/>
          <w:color w:val="000000" w:themeColor="text1"/>
          <w:highlight w:val="none"/>
          <w:u w:val="single"/>
          <w14:textFill>
            <w14:solidFill>
              <w14:schemeClr w14:val="tx1"/>
            </w14:solidFill>
          </w14:textFill>
        </w:rPr>
        <w:t xml:space="preserve">  （ </w:t>
      </w:r>
      <w:r>
        <w:rPr>
          <w:rFonts w:ascii="宋体" w:hAnsi="宋体" w:cs="仿宋"/>
          <w:b/>
          <w:bCs/>
          <w:color w:val="000000" w:themeColor="text1"/>
          <w:highlight w:val="none"/>
          <w:u w:val="single"/>
          <w14:textFill>
            <w14:solidFill>
              <w14:schemeClr w14:val="tx1"/>
            </w14:solidFill>
          </w14:textFill>
        </w:rPr>
        <w:t>1</w:t>
      </w:r>
      <w:r>
        <w:rPr>
          <w:rFonts w:hint="eastAsia" w:ascii="宋体" w:hAnsi="宋体" w:cs="仿宋"/>
          <w:b/>
          <w:bCs/>
          <w:color w:val="000000" w:themeColor="text1"/>
          <w:highlight w:val="none"/>
          <w:u w:val="single"/>
          <w14:textFill>
            <w14:solidFill>
              <w14:schemeClr w14:val="tx1"/>
            </w14:solidFill>
          </w14:textFill>
        </w:rPr>
        <w:t xml:space="preserve"> ）   </w:t>
      </w:r>
      <w:r>
        <w:rPr>
          <w:rFonts w:hint="eastAsia" w:ascii="宋体" w:hAnsi="宋体" w:cs="仿宋"/>
          <w:b/>
          <w:bCs/>
          <w:color w:val="000000" w:themeColor="text1"/>
          <w:highlight w:val="none"/>
          <w14:textFill>
            <w14:solidFill>
              <w14:schemeClr w14:val="tx1"/>
            </w14:solidFill>
          </w14:textFill>
        </w:rPr>
        <w:t>种方式：</w:t>
      </w:r>
    </w:p>
    <w:p w14:paraId="5DDCF5A0">
      <w:pPr>
        <w:spacing w:line="360" w:lineRule="auto"/>
        <w:ind w:firstLine="210" w:firstLineChars="1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（1）非总价包干工程付款约定：</w:t>
      </w:r>
      <w:r>
        <w:rPr>
          <w:rFonts w:hint="eastAsia" w:ascii="宋体" w:hAnsi="宋体" w:cs="仿宋"/>
          <w:color w:val="000000" w:themeColor="text1"/>
          <w:szCs w:val="21"/>
          <w:highlight w:val="none"/>
          <w:u w:val="single"/>
          <w14:textFill>
            <w14:solidFill>
              <w14:schemeClr w14:val="tx1"/>
            </w14:solidFill>
          </w14:textFill>
        </w:rPr>
        <w:t>①工程竣工并经验收合格，按竞争性磋商后签订合同价（若有重大设计变更，则按实际完成工程量确定的总造价）的70%支付进度款</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s="仿宋"/>
          <w:color w:val="000000" w:themeColor="text1"/>
          <w:szCs w:val="21"/>
          <w:highlight w:val="none"/>
          <w:u w:val="single"/>
          <w14:textFill>
            <w14:solidFill>
              <w14:schemeClr w14:val="tx1"/>
            </w14:solidFill>
          </w14:textFill>
        </w:rPr>
        <w:t>此款项支付之前，承包人必须清缴水电费，否则甲方有权不予支付或者有权从乙方的工程款中扣除相应水电费。</w:t>
      </w:r>
      <w:r>
        <w:rPr>
          <w:rFonts w:ascii="宋体" w:hAnsi="宋体"/>
          <w:color w:val="000000" w:themeColor="text1"/>
          <w:szCs w:val="21"/>
          <w:highlight w:val="none"/>
          <w:u w:val="single"/>
          <w14:textFill>
            <w14:solidFill>
              <w14:schemeClr w14:val="tx1"/>
            </w14:solidFill>
          </w14:textFill>
        </w:rPr>
        <w:t>②</w:t>
      </w:r>
      <w:r>
        <w:rPr>
          <w:rFonts w:hint="eastAsia" w:ascii="宋体" w:hAnsi="宋体"/>
          <w:color w:val="000000" w:themeColor="text1"/>
          <w:szCs w:val="21"/>
          <w:highlight w:val="none"/>
          <w:u w:val="single"/>
          <w14:textFill>
            <w14:solidFill>
              <w14:schemeClr w14:val="tx1"/>
            </w14:solidFill>
          </w14:textFill>
        </w:rPr>
        <w:t>余下部分待工程结算经发包人委托的造价咨询机构审定后支付至工程审定总价的97%（如项目符合财政投资评审范围，余下部分待工程结算经自治区财政厅财政投资评审中心审定后支付至工程结算审定总价的97%）</w:t>
      </w:r>
      <w:r>
        <w:rPr>
          <w:rFonts w:ascii="宋体" w:hAnsi="宋体"/>
          <w:color w:val="000000" w:themeColor="text1"/>
          <w:szCs w:val="21"/>
          <w:highlight w:val="none"/>
          <w:u w:val="single"/>
          <w14:textFill>
            <w14:solidFill>
              <w14:schemeClr w14:val="tx1"/>
            </w14:solidFill>
          </w14:textFill>
        </w:rPr>
        <w:t>。③</w:t>
      </w:r>
      <w:r>
        <w:rPr>
          <w:rFonts w:hint="eastAsia" w:ascii="宋体" w:hAnsi="宋体" w:cs="仿宋"/>
          <w:color w:val="000000" w:themeColor="text1"/>
          <w:szCs w:val="21"/>
          <w:highlight w:val="none"/>
          <w:u w:val="single"/>
          <w14:textFill>
            <w14:solidFill>
              <w14:schemeClr w14:val="tx1"/>
            </w14:solidFill>
          </w14:textFill>
        </w:rPr>
        <w:t>余下工程结算审定总价的3%作为工程质量保修金（无息），非防水工程，待工程质量保修期（两年）满后，一次性返还；防水工程待工程质量保修期（五年）满后，一次性返还。</w:t>
      </w:r>
    </w:p>
    <w:p w14:paraId="37259F6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（2）总价包干工程付款约定：</w:t>
      </w:r>
      <w:r>
        <w:rPr>
          <w:rFonts w:hint="eastAsia" w:ascii="宋体" w:hAnsi="宋体"/>
          <w:color w:val="000000" w:themeColor="text1"/>
          <w:szCs w:val="21"/>
          <w:highlight w:val="none"/>
          <w:u w:val="single"/>
          <w14:textFill>
            <w14:solidFill>
              <w14:schemeClr w14:val="tx1"/>
            </w14:solidFill>
          </w14:textFill>
        </w:rPr>
        <w:t>工程完工后，经验收合格，支付签约合同价的97%，余下工程总价的3%作为工程质量保修金（无息），非防水工程，待工程质量保修期（两年）满后，一次性返还；防水工程待工程质量保修期（五年）满后，一次性返还。</w:t>
      </w:r>
    </w:p>
    <w:p w14:paraId="4604B08B">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12.4.2 进度付款申请单的编制</w:t>
      </w:r>
    </w:p>
    <w:p w14:paraId="2E3FA89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关于进度付款申请单编制的约定：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F1E98E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Pr>
          <w:rFonts w:ascii="宋体" w:hAnsi="宋体"/>
          <w:color w:val="000000" w:themeColor="text1"/>
          <w:szCs w:val="21"/>
          <w:highlight w:val="none"/>
          <w14:textFill>
            <w14:solidFill>
              <w14:schemeClr w14:val="tx1"/>
            </w14:solidFill>
          </w14:textFill>
        </w:rPr>
        <w:t>2.4.3 进度付款申请单的提交</w:t>
      </w:r>
    </w:p>
    <w:p w14:paraId="3969306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（1）单价合同进度付款申请单提交的约定</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F9CA5F0">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（2）总价合同进度付款申请单提交的约定</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CA3813C">
      <w:pPr>
        <w:spacing w:line="360" w:lineRule="auto"/>
        <w:ind w:left="806" w:leftChars="284" w:hanging="210" w:hangingChars="1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（3）其他价格形式合同进度付款申请单提交的约定：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达到进</w:t>
      </w:r>
    </w:p>
    <w:p w14:paraId="1393DC35">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度款支付约定节点即可提交</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C5D01F4">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12.4.4 进度款审核和支付</w:t>
      </w:r>
    </w:p>
    <w:p w14:paraId="0A05A658">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（1）监理人审查并报送发包人的期限：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AFC4F5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发包人完成审批并签发进度款支付证书的期限：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F5EACA3">
      <w:pPr>
        <w:numPr>
          <w:ilvl w:val="0"/>
          <w:numId w:val="10"/>
        </w:num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发包人支付进度款的期限：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收到承包人提交的合格支付</w:t>
      </w:r>
    </w:p>
    <w:p w14:paraId="2810594E">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材料后20个工作日内完成支付</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FC84904">
      <w:pPr>
        <w:spacing w:line="360" w:lineRule="auto"/>
        <w:ind w:left="596" w:leftChars="284"/>
        <w:jc w:val="left"/>
        <w:rPr>
          <w:rFonts w:ascii="宋体" w:hAnsi="宋体" w:cs="仿宋"/>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发包人逾期支付进度款的违约金的计算方式：</w:t>
      </w:r>
      <w:r>
        <w:rPr>
          <w:rFonts w:hint="eastAsia" w:ascii="宋体" w:hAnsi="宋体" w:cs="仿宋"/>
          <w:color w:val="000000" w:themeColor="text1"/>
          <w:szCs w:val="21"/>
          <w:highlight w:val="none"/>
          <w:u w:val="single"/>
          <w14:textFill>
            <w14:solidFill>
              <w14:schemeClr w14:val="tx1"/>
            </w14:solidFill>
          </w14:textFill>
        </w:rPr>
        <w:t xml:space="preserve"> 以应支付的进度</w:t>
      </w:r>
    </w:p>
    <w:p w14:paraId="2AB9E468">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款金额为基数，按中国人民银行发布的同期同类贷款基准利率计算</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547AF7E">
      <w:pPr>
        <w:spacing w:line="360" w:lineRule="auto"/>
        <w:ind w:firstLine="525" w:firstLineChars="25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12.4.</w:t>
      </w: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支付分解表的编制</w:t>
      </w:r>
    </w:p>
    <w:p w14:paraId="6E25CFB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、总价合同支付分解表的编制与审批：</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FD4625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、单价合同的总价项目支付分解表的编制与审批：</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623"/>
    <w:p w14:paraId="288B988D">
      <w:pPr>
        <w:pStyle w:val="5"/>
        <w:spacing w:before="120" w:after="120" w:line="360" w:lineRule="auto"/>
        <w:ind w:firstLine="420" w:firstLineChars="200"/>
        <w:rPr>
          <w:rFonts w:ascii="宋体" w:hAnsi="宋体"/>
          <w:b w:val="0"/>
          <w:color w:val="000000" w:themeColor="text1"/>
          <w:szCs w:val="21"/>
          <w:highlight w:val="none"/>
          <w14:textFill>
            <w14:solidFill>
              <w14:schemeClr w14:val="tx1"/>
            </w14:solidFill>
          </w14:textFill>
        </w:rPr>
      </w:pPr>
      <w:bookmarkStart w:id="794" w:name="_Toc351203645"/>
      <w:bookmarkStart w:id="795" w:name="_Toc312678053"/>
      <w:bookmarkStart w:id="796" w:name="_Toc296346720"/>
      <w:bookmarkStart w:id="797" w:name="_Toc297048405"/>
      <w:bookmarkStart w:id="798" w:name="_Toc297216223"/>
      <w:bookmarkStart w:id="799" w:name="_Toc303539172"/>
      <w:bookmarkStart w:id="800" w:name="_Toc296347218"/>
      <w:bookmarkStart w:id="801" w:name="_Toc300935015"/>
      <w:bookmarkStart w:id="802" w:name="_Toc296944558"/>
      <w:bookmarkStart w:id="803" w:name="_Toc292559929"/>
      <w:bookmarkStart w:id="804" w:name="_Toc292559424"/>
      <w:bookmarkStart w:id="805" w:name="_Toc297120519"/>
      <w:bookmarkStart w:id="806" w:name="_Toc296503219"/>
      <w:bookmarkStart w:id="807" w:name="_Toc297123564"/>
      <w:bookmarkStart w:id="808" w:name="_Toc296891259"/>
      <w:bookmarkStart w:id="809" w:name="_Toc296891047"/>
      <w:bookmarkStart w:id="810" w:name="_Toc304295593"/>
      <w:r>
        <w:rPr>
          <w:rFonts w:ascii="宋体" w:hAnsi="宋体"/>
          <w:b w:val="0"/>
          <w:color w:val="000000" w:themeColor="text1"/>
          <w:szCs w:val="21"/>
          <w:highlight w:val="none"/>
          <w14:textFill>
            <w14:solidFill>
              <w14:schemeClr w14:val="tx1"/>
            </w14:solidFill>
          </w14:textFill>
        </w:rPr>
        <w:t>13.</w:t>
      </w:r>
      <w:r>
        <w:rPr>
          <w:rFonts w:hint="eastAsia" w:ascii="宋体" w:hAnsi="宋体"/>
          <w:b w:val="0"/>
          <w:color w:val="000000" w:themeColor="text1"/>
          <w:szCs w:val="21"/>
          <w:highlight w:val="none"/>
          <w14:textFill>
            <w14:solidFill>
              <w14:schemeClr w14:val="tx1"/>
            </w14:solidFill>
          </w14:textFill>
        </w:rPr>
        <w:t xml:space="preserve"> </w:t>
      </w:r>
      <w:r>
        <w:rPr>
          <w:rFonts w:ascii="宋体" w:hAnsi="宋体"/>
          <w:b w:val="0"/>
          <w:color w:val="000000" w:themeColor="text1"/>
          <w:szCs w:val="21"/>
          <w:highlight w:val="none"/>
          <w14:textFill>
            <w14:solidFill>
              <w14:schemeClr w14:val="tx1"/>
            </w14:solidFill>
          </w14:textFill>
        </w:rPr>
        <w:t>验收和工程试车</w:t>
      </w:r>
      <w:bookmarkEnd w:id="794"/>
    </w:p>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14:paraId="07ABD78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 分部分项工程验收</w:t>
      </w:r>
    </w:p>
    <w:p w14:paraId="2DAF0C8D">
      <w:pPr>
        <w:spacing w:line="360" w:lineRule="auto"/>
        <w:ind w:left="596" w:leftChars="284"/>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监理人不能按时进行验收时，应提前</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小时提交书</w:t>
      </w:r>
    </w:p>
    <w:p w14:paraId="40EA157F">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面延期要求。</w:t>
      </w:r>
    </w:p>
    <w:p w14:paraId="1E1E263D">
      <w:pPr>
        <w:spacing w:line="360" w:lineRule="auto"/>
        <w:ind w:firstLine="420" w:firstLineChars="200"/>
        <w:jc w:val="left"/>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关于延期最长不得超过：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小时。</w:t>
      </w:r>
    </w:p>
    <w:p w14:paraId="33426755">
      <w:pPr>
        <w:spacing w:after="120" w:line="360" w:lineRule="auto"/>
        <w:ind w:firstLine="420" w:firstLineChars="200"/>
        <w:rPr>
          <w:rFonts w:ascii="宋体" w:hAnsi="宋体"/>
          <w:color w:val="000000" w:themeColor="text1"/>
          <w:szCs w:val="21"/>
          <w:highlight w:val="none"/>
          <w14:textFill>
            <w14:solidFill>
              <w14:schemeClr w14:val="tx1"/>
            </w14:solidFill>
          </w14:textFill>
        </w:rPr>
      </w:pPr>
      <w:bookmarkStart w:id="811" w:name="_Toc296891263"/>
      <w:bookmarkStart w:id="812" w:name="_Toc297123565"/>
      <w:bookmarkStart w:id="813" w:name="_Toc312678056"/>
      <w:bookmarkStart w:id="814" w:name="_Toc296347222"/>
      <w:bookmarkStart w:id="815" w:name="_Toc300935016"/>
      <w:bookmarkStart w:id="816" w:name="_Toc297216224"/>
      <w:bookmarkStart w:id="817" w:name="_Toc292559428"/>
      <w:bookmarkStart w:id="818" w:name="_Toc296944562"/>
      <w:bookmarkStart w:id="819" w:name="_Toc304295596"/>
      <w:bookmarkStart w:id="820" w:name="_Toc292559933"/>
      <w:bookmarkStart w:id="821" w:name="_Toc297048409"/>
      <w:bookmarkStart w:id="822" w:name="_Toc296503223"/>
      <w:bookmarkStart w:id="823" w:name="_Toc303539173"/>
      <w:bookmarkStart w:id="824" w:name="_Toc297120523"/>
      <w:bookmarkStart w:id="825" w:name="_Toc296346724"/>
      <w:bookmarkStart w:id="826" w:name="_Toc296891051"/>
      <w:bookmarkStart w:id="827" w:name="_Toc267251470"/>
      <w:bookmarkStart w:id="828" w:name="_Toc267251476"/>
      <w:bookmarkStart w:id="829" w:name="_Toc267251471"/>
      <w:bookmarkStart w:id="830" w:name="_Toc267251474"/>
      <w:bookmarkStart w:id="831" w:name="_Toc267251473"/>
      <w:bookmarkStart w:id="832" w:name="_Toc267251475"/>
      <w:bookmarkStart w:id="833" w:name="_Toc267251472"/>
      <w:r>
        <w:rPr>
          <w:rFonts w:ascii="宋体" w:hAnsi="宋体"/>
          <w:color w:val="000000" w:themeColor="text1"/>
          <w:szCs w:val="21"/>
          <w:highlight w:val="none"/>
          <w14:textFill>
            <w14:solidFill>
              <w14:schemeClr w14:val="tx1"/>
            </w14:solidFill>
          </w14:textFill>
        </w:rPr>
        <w:t>13.2 竣工验收</w:t>
      </w:r>
    </w:p>
    <w:p w14:paraId="23FFA409">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13.2.1</w:t>
      </w:r>
      <w:r>
        <w:rPr>
          <w:rFonts w:hint="eastAsia" w:ascii="宋体" w:hAnsi="宋体" w:cs="仿宋"/>
          <w:color w:val="000000" w:themeColor="text1"/>
          <w:szCs w:val="21"/>
          <w:highlight w:val="none"/>
          <w14:textFill>
            <w14:solidFill>
              <w14:schemeClr w14:val="tx1"/>
            </w14:solidFill>
          </w14:textFill>
        </w:rPr>
        <w:t>竣工验收条件</w:t>
      </w:r>
    </w:p>
    <w:p w14:paraId="43F1531C">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承包人负责整理和提交的竣工验收资料应当符合工程所在地建设行政主管部门和(或)城市建设档案管理机构有关施工资料的要求，具体内容包括：参照桂林市城建馆存档要求及发包人需要。</w:t>
      </w:r>
    </w:p>
    <w:p w14:paraId="20CBEC9F">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竣工验收资料的份数：一式四套。</w:t>
      </w:r>
    </w:p>
    <w:p w14:paraId="1C2DABAE">
      <w:pPr>
        <w:spacing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承包人提供竣工图的约定：竣工验收正式通过后15天，提供竣工图的数量为4套。</w:t>
      </w:r>
    </w:p>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359BC6A0">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bookmarkStart w:id="834" w:name="_Toc280868704"/>
      <w:bookmarkStart w:id="835" w:name="_Toc280868705"/>
      <w:bookmarkStart w:id="836" w:name="_Toc280868706"/>
      <w:bookmarkStart w:id="837" w:name="_Toc280868707"/>
      <w:bookmarkStart w:id="838" w:name="_Toc280868708"/>
      <w:bookmarkStart w:id="839" w:name="_Toc280868709"/>
      <w:r>
        <w:rPr>
          <w:rFonts w:ascii="宋体" w:hAnsi="宋体"/>
          <w:color w:val="000000" w:themeColor="text1"/>
          <w:szCs w:val="21"/>
          <w:highlight w:val="none"/>
          <w14:textFill>
            <w14:solidFill>
              <w14:schemeClr w14:val="tx1"/>
            </w14:solidFill>
          </w14:textFill>
        </w:rPr>
        <w:t>13.2.2竣工验收程序</w:t>
      </w:r>
    </w:p>
    <w:bookmarkEnd w:id="834"/>
    <w:p w14:paraId="095410AD">
      <w:pPr>
        <w:spacing w:line="36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关于竣工验收程序的约定：</w:t>
      </w:r>
    </w:p>
    <w:p w14:paraId="639FDC12">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关于竣工验收程序的补充约定：</w:t>
      </w:r>
    </w:p>
    <w:p w14:paraId="4B3CD903">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（1）发包人与有关部门联系，确定验收日期，组织使用单位、监理公司（如果有）、承包人参加竣工验收。</w:t>
      </w:r>
    </w:p>
    <w:p w14:paraId="2CCAB5F5">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（2） 竣工验收合格后，各方应签署工程质量验收意见书，共一式肆份，其中发包人留叁份。如在竣工验收过程中发现问题需要整改，发包人在竣工验收后7天内提出整改意见，承包人按此意见在限定的时间内全部完成整改，因此而发生的整改或返修费用全部由承包人承担。否则按13.2.5条款执行。</w:t>
      </w:r>
    </w:p>
    <w:p w14:paraId="319EE845">
      <w:pPr>
        <w:spacing w:line="360" w:lineRule="auto"/>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3）工程在未移交发包人之前，承包人负责承包范围内工程的维修、维护和保管，期间发生的成品、半成品、材料等遗失、污染、破损等情况，承包人承担修复费用。如发包人提前使用造成损坏，所产生的修理费用由发包人承担。</w:t>
      </w:r>
    </w:p>
    <w:p w14:paraId="2D7D914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发包人不按照本项约定组织竣工验收、颁发工程接收证书的违约金的计算方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按通用条款</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835"/>
    <w:p w14:paraId="4E92F184">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13.2.</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移交、接收全部与部分工程</w:t>
      </w:r>
    </w:p>
    <w:bookmarkEnd w:id="836"/>
    <w:p w14:paraId="2F88ED13">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承包人向发包人移交工程的期限：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按通用条款执行</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05F7169C">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发包人未按本合同约定接收全部或部分工程的，违约金的计算方法为：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每拖延一天工期支付给发包人工程签约合同价的0.4%/天的违约金，最高限额为工程审定总价的10%</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837"/>
    <w:p w14:paraId="6B2A0575">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承包人未按时移交工程的，违约金的计算方法为：</w:t>
      </w:r>
      <w:r>
        <w:rPr>
          <w:rFonts w:hint="eastAsia" w:ascii="宋体" w:hAnsi="宋体"/>
          <w:color w:val="000000" w:themeColor="text1"/>
          <w:szCs w:val="21"/>
          <w:highlight w:val="none"/>
          <w:u w:val="single"/>
          <w14:textFill>
            <w14:solidFill>
              <w14:schemeClr w14:val="tx1"/>
            </w14:solidFill>
          </w14:textFill>
        </w:rPr>
        <w:t xml:space="preserve"> 每拖延一天工期支付给发包人工程签约合同价的0.4%/天的违约金，最高限额为工程审定总价的10%</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02B4E84">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13.3 工程试车</w:t>
      </w:r>
    </w:p>
    <w:bookmarkEnd w:id="838"/>
    <w:p w14:paraId="440C33C3">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13.3.1 试车程序</w:t>
      </w:r>
    </w:p>
    <w:p w14:paraId="2815A913">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工程试车内容：</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27EDF349">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（1）单机无负荷试车费用由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承担；</w:t>
      </w:r>
    </w:p>
    <w:p w14:paraId="5C79800E">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（2）无负荷联动试车费用由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承担。</w:t>
      </w:r>
    </w:p>
    <w:p w14:paraId="22CDED1F">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投料试车</w:t>
      </w:r>
    </w:p>
    <w:p w14:paraId="5BD7284D">
      <w:pPr>
        <w:spacing w:line="360" w:lineRule="auto"/>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关于投料试车相关事项的约定：</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7620FF7">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竣工退场</w:t>
      </w:r>
    </w:p>
    <w:p w14:paraId="527794D8">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w:t>
      </w: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 竣工退场</w:t>
      </w:r>
    </w:p>
    <w:p w14:paraId="7DF67D49">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承包人完成竣工退场的期限：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竣工验收合格后7日内</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3CBE0AA">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840" w:name="_Toc351203646"/>
      <w:r>
        <w:rPr>
          <w:rFonts w:ascii="宋体" w:hAnsi="宋体"/>
          <w:b w:val="0"/>
          <w:color w:val="000000" w:themeColor="text1"/>
          <w:szCs w:val="21"/>
          <w:highlight w:val="none"/>
          <w14:textFill>
            <w14:solidFill>
              <w14:schemeClr w14:val="tx1"/>
            </w14:solidFill>
          </w14:textFill>
        </w:rPr>
        <w:t>14. 竣工结算</w:t>
      </w:r>
      <w:bookmarkEnd w:id="840"/>
    </w:p>
    <w:p w14:paraId="7E51EC10">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14.1 竣工</w:t>
      </w:r>
      <w:r>
        <w:rPr>
          <w:rFonts w:hint="eastAsia" w:ascii="宋体" w:hAnsi="宋体"/>
          <w:color w:val="000000" w:themeColor="text1"/>
          <w:szCs w:val="21"/>
          <w:highlight w:val="none"/>
          <w14:textFill>
            <w14:solidFill>
              <w14:schemeClr w14:val="tx1"/>
            </w14:solidFill>
          </w14:textFill>
        </w:rPr>
        <w:t>结算</w:t>
      </w:r>
      <w:r>
        <w:rPr>
          <w:rFonts w:ascii="宋体" w:hAnsi="宋体"/>
          <w:color w:val="000000" w:themeColor="text1"/>
          <w:szCs w:val="21"/>
          <w:highlight w:val="none"/>
          <w14:textFill>
            <w14:solidFill>
              <w14:schemeClr w14:val="tx1"/>
            </w14:solidFill>
          </w14:textFill>
        </w:rPr>
        <w:t>申请</w:t>
      </w:r>
    </w:p>
    <w:p w14:paraId="38B5ECB0">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承包人提交竣工</w:t>
      </w:r>
      <w:r>
        <w:rPr>
          <w:rFonts w:hint="eastAsia" w:ascii="宋体" w:hAnsi="宋体"/>
          <w:color w:val="000000" w:themeColor="text1"/>
          <w:szCs w:val="21"/>
          <w:highlight w:val="none"/>
          <w14:textFill>
            <w14:solidFill>
              <w14:schemeClr w14:val="tx1"/>
            </w14:solidFill>
          </w14:textFill>
        </w:rPr>
        <w:t>结算</w:t>
      </w:r>
      <w:r>
        <w:rPr>
          <w:rFonts w:ascii="宋体" w:hAnsi="宋体"/>
          <w:color w:val="000000" w:themeColor="text1"/>
          <w:szCs w:val="21"/>
          <w:highlight w:val="none"/>
          <w14:textFill>
            <w14:solidFill>
              <w14:schemeClr w14:val="tx1"/>
            </w14:solidFill>
          </w14:textFill>
        </w:rPr>
        <w:t>申请单的期限：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竣工验收合格后28天内</w:t>
      </w:r>
      <w:r>
        <w:rPr>
          <w:rFonts w:hint="eastAsia" w:ascii="宋体" w:hAnsi="宋体" w:cs="仿宋"/>
          <w:color w:val="000000" w:themeColor="text1"/>
          <w:szCs w:val="21"/>
          <w:highlight w:val="none"/>
          <w:u w:val="single"/>
          <w14:textFill>
            <w14:solidFill>
              <w14:schemeClr w14:val="tx1"/>
            </w14:solidFill>
          </w14:textFill>
        </w:rPr>
        <w:t xml:space="preserve">提交完整的结算资料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7E1F2E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竣工</w:t>
      </w:r>
      <w:r>
        <w:rPr>
          <w:rFonts w:hint="eastAsia" w:ascii="宋体" w:hAnsi="宋体"/>
          <w:color w:val="000000" w:themeColor="text1"/>
          <w:szCs w:val="21"/>
          <w:highlight w:val="none"/>
          <w14:textFill>
            <w14:solidFill>
              <w14:schemeClr w14:val="tx1"/>
            </w14:solidFill>
          </w14:textFill>
        </w:rPr>
        <w:t>结算</w:t>
      </w:r>
      <w:r>
        <w:rPr>
          <w:rFonts w:ascii="宋体" w:hAnsi="宋体"/>
          <w:color w:val="000000" w:themeColor="text1"/>
          <w:szCs w:val="21"/>
          <w:highlight w:val="none"/>
          <w14:textFill>
            <w14:solidFill>
              <w14:schemeClr w14:val="tx1"/>
            </w14:solidFill>
          </w14:textFill>
        </w:rPr>
        <w:t>申请单应包括的内容：</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竣工结算由承包人提交相关结算资料（包括但不限于工程送审承诺书、工程竣工验收单、工程发票、施工合同、补充协议、工程预算书、施工图、工程设计变更单、工程签证单原件、结算书、竣工图、工程量计算稿电子版、工程甲供料资料、有关材料价格调整的依据、有关工期调整的依据等）报工程监管部门或监理（如果有）初审，初审后报发包人委托有资质的造价咨询机构审核。</w:t>
      </w:r>
    </w:p>
    <w:p w14:paraId="6003E32E">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14.2 竣工结算审核</w:t>
      </w:r>
    </w:p>
    <w:p w14:paraId="2F167BDF">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审批</w:t>
      </w:r>
      <w:r>
        <w:rPr>
          <w:rFonts w:ascii="宋体" w:hAnsi="宋体"/>
          <w:color w:val="000000" w:themeColor="text1"/>
          <w:szCs w:val="21"/>
          <w:highlight w:val="none"/>
          <w14:textFill>
            <w14:solidFill>
              <w14:schemeClr w14:val="tx1"/>
            </w14:solidFill>
          </w14:textFill>
        </w:rPr>
        <w:t>竣工付款申请单的期限：</w:t>
      </w:r>
      <w:r>
        <w:rPr>
          <w:rFonts w:hint="eastAsia" w:ascii="宋体" w:hAnsi="宋体" w:cs="仿宋"/>
          <w:color w:val="000000" w:themeColor="text1"/>
          <w:szCs w:val="21"/>
          <w:highlight w:val="none"/>
          <w:u w:val="single"/>
          <w14:textFill>
            <w14:solidFill>
              <w14:schemeClr w14:val="tx1"/>
            </w14:solidFill>
          </w14:textFill>
        </w:rPr>
        <w:t>承包人应确保工程结算资料完整、无错漏。发包人收到竣工结算报告和完整的竣工结算资料之日起后应在六个月内提出初审意见。因承包人提供的工程结算资料不完整、错漏或审计过程中承包人未按时回复审计意见及对数而导致发包人无法在约定时间内提出初审意见时，出具初审意见时间应相应顺延。如项目结算符合财政投资评审范围，承包人应按照广西壮族自治区财政厅财政投资评审中心要求提交结算评审资料，以财政部门评审要求为准。</w:t>
      </w:r>
    </w:p>
    <w:p w14:paraId="16F5EA19">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①本工程最终竣工结算达到《自治区本级财政投资评审实施办法》（桂财办〔2015〕70号）规定的评审范围，需报自治区财政厅财政投资评审中心审定，本工程竣工结算金额以自治区财政厅财政投资评审中心审定为准。</w:t>
      </w:r>
    </w:p>
    <w:p w14:paraId="11D4F2C9">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②工程竣工验收意见书经发包人认可后15天内，承包人向发包人递交完整的结算资料。</w:t>
      </w:r>
    </w:p>
    <w:p w14:paraId="58C4F7D3">
      <w:pPr>
        <w:spacing w:line="360" w:lineRule="auto"/>
        <w:ind w:firstLine="420" w:firstLineChars="200"/>
        <w:jc w:val="left"/>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③承包人所编制的工程竣工资料经确认后，自送到财政部门或发包人之日起，承包人对是否遗漏与工程造价有关的签证自行负责，遗漏部分不作为结算审核依据，按自动放弃处理。</w:t>
      </w:r>
    </w:p>
    <w:p w14:paraId="57DD8433">
      <w:pPr>
        <w:pStyle w:val="69"/>
        <w:ind w:firstLine="420"/>
        <w:rPr>
          <w:color w:val="000000" w:themeColor="text1"/>
          <w:sz w:val="21"/>
          <w:szCs w:val="21"/>
          <w:highlight w:val="none"/>
          <w14:textFill>
            <w14:solidFill>
              <w14:schemeClr w14:val="tx1"/>
            </w14:solidFill>
          </w14:textFill>
        </w:rPr>
      </w:pPr>
      <w:r>
        <w:rPr>
          <w:rFonts w:hint="eastAsia" w:cs="仿宋"/>
          <w:color w:val="000000" w:themeColor="text1"/>
          <w:sz w:val="21"/>
          <w:szCs w:val="21"/>
          <w:highlight w:val="none"/>
          <w:u w:val="single"/>
          <w14:textFill>
            <w14:solidFill>
              <w14:schemeClr w14:val="tx1"/>
            </w14:solidFill>
          </w14:textFill>
        </w:rPr>
        <w:t>④</w:t>
      </w:r>
      <w:r>
        <w:rPr>
          <w:rFonts w:hint="eastAsia"/>
          <w:color w:val="000000" w:themeColor="text1"/>
          <w:sz w:val="21"/>
          <w:szCs w:val="21"/>
          <w:highlight w:val="none"/>
          <w:u w:val="single"/>
          <w14:textFill>
            <w14:solidFill>
              <w14:schemeClr w14:val="tx1"/>
            </w14:solidFill>
          </w14:textFill>
        </w:rPr>
        <w:t>承包人应在发包人出具结算初审意见后15个工作日内以书面的形式回复初审结果意见。若承包人未在约定期限内回复意见的，视为承包人同意发包人按结算初审结果出具最终结算意见。</w:t>
      </w:r>
    </w:p>
    <w:p w14:paraId="4FA5003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发包人完成竣工付款的期限：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审核完承包人的竣工付款申请材料30天内</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1891A93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关于竣工付款证书异议部分复核的方式和程序：</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如双方对结算有异议的，有异议部分双方向行政主管机构进行咨询和调解</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9A4B838">
      <w:pPr>
        <w:spacing w:line="360" w:lineRule="auto"/>
        <w:ind w:firstLine="42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承包人报送的工程结算经有资质的</w:t>
      </w:r>
      <w:bookmarkStart w:id="841" w:name="OLE_LINK6"/>
      <w:r>
        <w:rPr>
          <w:rFonts w:ascii="宋体" w:hAnsi="宋体" w:cs="宋体"/>
          <w:color w:val="000000" w:themeColor="text1"/>
          <w:highlight w:val="none"/>
          <w14:textFill>
            <w14:solidFill>
              <w14:schemeClr w14:val="tx1"/>
            </w14:solidFill>
          </w14:textFill>
        </w:rPr>
        <w:t>造价咨询机构审核或财政投资评审中心审核</w:t>
      </w:r>
      <w:bookmarkEnd w:id="841"/>
      <w:r>
        <w:rPr>
          <w:rFonts w:ascii="宋体" w:hAnsi="宋体" w:cs="宋体"/>
          <w:color w:val="000000" w:themeColor="text1"/>
          <w:highlight w:val="none"/>
          <w14:textFill>
            <w14:solidFill>
              <w14:schemeClr w14:val="tx1"/>
            </w14:solidFill>
          </w14:textFill>
        </w:rPr>
        <w:t>，最终发包人和承包人共同确认结算审定金额后，若审减金额大于送审金额的5%时，则超出送审金额5%部分的审减金额的审核服务费由承包人承担，即承包人应承担的审核费=（净审减额-送审额*5%）*5%，由发包人从承包人的工程价款中予以扣除。</w:t>
      </w:r>
    </w:p>
    <w:p w14:paraId="2424CC04">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3工程结算方法</w:t>
      </w:r>
    </w:p>
    <w:p w14:paraId="3EF242FE">
      <w:pPr>
        <w:spacing w:line="360" w:lineRule="auto"/>
        <w:ind w:firstLine="420" w:firstLineChars="200"/>
        <w:jc w:val="left"/>
        <w:rPr>
          <w:rFonts w:ascii="宋体" w:hAnsi="宋体" w:cs="仿宋"/>
          <w:b/>
          <w:bCs/>
          <w:color w:val="000000" w:themeColor="text1"/>
          <w:szCs w:val="21"/>
          <w:highlight w:val="none"/>
          <w14:textFill>
            <w14:solidFill>
              <w14:schemeClr w14:val="tx1"/>
            </w14:solidFill>
          </w14:textFill>
        </w:rPr>
      </w:pPr>
      <w:r>
        <w:rPr>
          <w:rFonts w:hint="eastAsia" w:ascii="宋体" w:hAnsi="宋体" w:cs="仿宋"/>
          <w:b/>
          <w:bCs/>
          <w:color w:val="000000" w:themeColor="text1"/>
          <w:szCs w:val="21"/>
          <w:highlight w:val="none"/>
          <w14:textFill>
            <w14:solidFill>
              <w14:schemeClr w14:val="tx1"/>
            </w14:solidFill>
          </w14:textFill>
        </w:rPr>
        <w:t>1、非固定综合单价工程结算办法约定：</w:t>
      </w:r>
    </w:p>
    <w:p w14:paraId="70035CA5">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工程开工前，承包人应编制完整的施工方案（图纸）、施工说明、施工组织措施、预算书等材料提交建设单位审核、备案（开工前，后勤保障处提交一份经过确认的上述资料至审计处备案），建设单位提出的合理化建设，承包人应对方案和预算进行必要的优化。承包人应客观、如实编制工程预算书，该预算价作为暂定合同价。如发现承包人故意不按实际编制预算，故意增减工程量，虚报材料价格等情况，则发包人有权选择其他施工单位。工程施工过程中，承包人应严格按照经确认的施工方案（图纸）、施工说明、施工组织措施、预算书等资料内容及要求进行施工。如因特殊情况需要变更，应按照《广西师范大学修缮工程管理办法》内有关变更规定执行。</w:t>
      </w:r>
      <w:r>
        <w:rPr>
          <w:rFonts w:hint="eastAsia" w:ascii="宋体" w:hAnsi="宋体" w:cs="仿宋"/>
          <w:color w:val="000000" w:themeColor="text1"/>
          <w:szCs w:val="21"/>
          <w:highlight w:val="none"/>
          <w:u w:val="single"/>
          <w14:textFill>
            <w14:solidFill>
              <w14:schemeClr w14:val="tx1"/>
            </w14:solidFill>
          </w14:textFill>
        </w:rPr>
        <w:t>结算时，变更、签证等原因增加的造价原则上不得超过合同金额的10%且不能超过工程立项金额。</w:t>
      </w:r>
      <w:r>
        <w:rPr>
          <w:rFonts w:hint="eastAsia" w:ascii="宋体" w:hAnsi="宋体" w:cs="仿宋"/>
          <w:color w:val="000000" w:themeColor="text1"/>
          <w:szCs w:val="21"/>
          <w:highlight w:val="none"/>
          <w14:textFill>
            <w14:solidFill>
              <w14:schemeClr w14:val="tx1"/>
            </w14:solidFill>
          </w14:textFill>
        </w:rPr>
        <w:t>工程完工后，承包人应按专用条款14.2提交完整结算资料。承包人按实际完成工程量，套用广西现行的消耗量定额（房屋建筑、装饰2013、安装2015、市政2014）及配套的相关规定进行结算，浮动费率取中值（安全文明施工费按规定）；材料价桉施工期间桂林市造价信息的平均价计取，信息价上没有的则双方询价确定（询价部分不下浮）；</w:t>
      </w:r>
      <w:r>
        <w:rPr>
          <w:rFonts w:hint="eastAsia" w:ascii="宋体" w:hAnsi="宋体" w:cs="仿宋"/>
          <w:color w:val="000000" w:themeColor="text1"/>
          <w:szCs w:val="21"/>
          <w:highlight w:val="none"/>
          <w:u w:val="single"/>
          <w14:textFill>
            <w14:solidFill>
              <w14:schemeClr w14:val="tx1"/>
            </w14:solidFill>
          </w14:textFill>
        </w:rPr>
        <w:t>最终结算总价=按现行定额计算（管理费、利润取中值）的总价×（1-   ）。</w:t>
      </w:r>
      <w:r>
        <w:rPr>
          <w:rFonts w:hint="eastAsia" w:ascii="宋体" w:hAnsi="宋体" w:cs="仿宋"/>
          <w:color w:val="000000" w:themeColor="text1"/>
          <w:szCs w:val="21"/>
          <w:highlight w:val="none"/>
          <w14:textFill>
            <w14:solidFill>
              <w14:schemeClr w14:val="tx1"/>
            </w14:solidFill>
          </w14:textFill>
        </w:rPr>
        <w:t>对于不能套定额的内容，由双方协商确定。承包人在开工前提交的预算文件，结算时，发包人可作为重要的参考依据，承包人应予以认可。</w:t>
      </w:r>
    </w:p>
    <w:p w14:paraId="24710FB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s="仿宋"/>
          <w:b/>
          <w:bCs/>
          <w:color w:val="000000" w:themeColor="text1"/>
          <w:szCs w:val="21"/>
          <w:highlight w:val="none"/>
          <w14:textFill>
            <w14:solidFill>
              <w14:schemeClr w14:val="tx1"/>
            </w14:solidFill>
          </w14:textFill>
        </w:rPr>
        <w:t>固定综合单价工程结算办法约定：</w:t>
      </w:r>
    </w:p>
    <w:p w14:paraId="08BACEB6">
      <w:pPr>
        <w:spacing w:after="120" w:line="360" w:lineRule="auto"/>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承包人应严格按照发包人给予的施工方案（图纸）、招标控制价及清单等资料内容及要求进行施工，如因特殊情况需要变更，应按照《广西师范大学修缮工程管理办法》和专用条款10.4内有关变更规定执行。</w:t>
      </w:r>
      <w:r>
        <w:rPr>
          <w:rFonts w:hint="eastAsia" w:ascii="宋体" w:hAnsi="宋体" w:cs="仿宋"/>
          <w:color w:val="000000" w:themeColor="text1"/>
          <w:szCs w:val="21"/>
          <w:highlight w:val="none"/>
          <w:u w:val="single"/>
          <w14:textFill>
            <w14:solidFill>
              <w14:schemeClr w14:val="tx1"/>
            </w14:solidFill>
          </w14:textFill>
        </w:rPr>
        <w:t>结算时，变更、签证等原因增加的造价原则上不得超过合同金额的10%且不能超过工程立项金额。</w:t>
      </w:r>
      <w:r>
        <w:rPr>
          <w:rFonts w:hint="eastAsia" w:ascii="宋体" w:hAnsi="宋体" w:cs="仿宋"/>
          <w:color w:val="000000" w:themeColor="text1"/>
          <w:szCs w:val="21"/>
          <w:highlight w:val="none"/>
          <w14:textFill>
            <w14:solidFill>
              <w14:schemeClr w14:val="tx1"/>
            </w14:solidFill>
          </w14:textFill>
        </w:rPr>
        <w:t>工程完工后，承包人应按专用条款14.2提交完整结算资料，承包人按实际完成工程量计量。</w:t>
      </w:r>
    </w:p>
    <w:p w14:paraId="209A05CA">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14.4 最终结清</w:t>
      </w:r>
    </w:p>
    <w:p w14:paraId="5C78C8A2">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14.4.1 最终结清申请单</w:t>
      </w:r>
    </w:p>
    <w:p w14:paraId="75D26A96">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承包人提交最终结清申请单的份数：</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一式四份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09E8CC2">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承包人提交最终结算申请单的期限：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31498E7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14.4.2 最终结清证书和支付</w:t>
      </w:r>
    </w:p>
    <w:p w14:paraId="0FC6E51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（1）发包人完成最终结清申请单的</w:t>
      </w:r>
      <w:r>
        <w:rPr>
          <w:rFonts w:hint="eastAsia" w:ascii="宋体" w:hAnsi="宋体"/>
          <w:color w:val="000000" w:themeColor="text1"/>
          <w:szCs w:val="21"/>
          <w:highlight w:val="none"/>
          <w14:textFill>
            <w14:solidFill>
              <w14:schemeClr w14:val="tx1"/>
            </w14:solidFill>
          </w14:textFill>
        </w:rPr>
        <w:t>审批</w:t>
      </w:r>
      <w:r>
        <w:rPr>
          <w:rFonts w:ascii="宋体" w:hAnsi="宋体"/>
          <w:color w:val="000000" w:themeColor="text1"/>
          <w:szCs w:val="21"/>
          <w:highlight w:val="none"/>
          <w14:textFill>
            <w14:solidFill>
              <w14:schemeClr w14:val="tx1"/>
            </w14:solidFill>
          </w14:textFill>
        </w:rPr>
        <w:t>并颁发最终结清证书的期限：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2FA27E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（2）发包人完成支付的期限：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bookmarkEnd w:id="827"/>
    <w:bookmarkEnd w:id="828"/>
    <w:bookmarkEnd w:id="829"/>
    <w:bookmarkEnd w:id="830"/>
    <w:bookmarkEnd w:id="831"/>
    <w:bookmarkEnd w:id="832"/>
    <w:bookmarkEnd w:id="833"/>
    <w:bookmarkEnd w:id="839"/>
    <w:p w14:paraId="7AB8A983">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842" w:name="_Toc351203647"/>
      <w:bookmarkStart w:id="843" w:name="_Toc267251483"/>
      <w:bookmarkStart w:id="844" w:name="_Toc267251482"/>
      <w:bookmarkStart w:id="845" w:name="_Toc267251484"/>
      <w:bookmarkStart w:id="846" w:name="_Toc267251485"/>
      <w:bookmarkStart w:id="847" w:name="_Toc267251490"/>
      <w:bookmarkStart w:id="848" w:name="_Toc267251486"/>
      <w:bookmarkStart w:id="849" w:name="_Toc267251489"/>
      <w:bookmarkStart w:id="850" w:name="_Toc267251488"/>
      <w:bookmarkStart w:id="851" w:name="_Toc267251496"/>
      <w:bookmarkStart w:id="852" w:name="_Toc267251503"/>
      <w:bookmarkStart w:id="853" w:name="_Toc267251501"/>
      <w:bookmarkStart w:id="854" w:name="_Toc267251495"/>
      <w:bookmarkStart w:id="855" w:name="_Toc267251499"/>
      <w:bookmarkStart w:id="856" w:name="_Toc267251497"/>
      <w:bookmarkStart w:id="857" w:name="_Toc267251494"/>
      <w:bookmarkStart w:id="858" w:name="_Toc267251492"/>
      <w:bookmarkStart w:id="859" w:name="_Toc267251493"/>
      <w:bookmarkStart w:id="860" w:name="_Toc267251502"/>
      <w:bookmarkStart w:id="861" w:name="_Toc267251498"/>
      <w:bookmarkStart w:id="862" w:name="_Toc267251491"/>
      <w:bookmarkStart w:id="863" w:name="_Toc267251504"/>
      <w:bookmarkStart w:id="864" w:name="_Toc267251506"/>
      <w:bookmarkStart w:id="865" w:name="_Toc267251507"/>
      <w:bookmarkStart w:id="866" w:name="_Toc267251508"/>
      <w:bookmarkStart w:id="867" w:name="_Toc267251513"/>
      <w:bookmarkStart w:id="868" w:name="_Toc267251515"/>
      <w:bookmarkStart w:id="869" w:name="_Toc267251511"/>
      <w:bookmarkStart w:id="870" w:name="_Toc267251509"/>
      <w:bookmarkStart w:id="871" w:name="_Toc267251510"/>
      <w:bookmarkStart w:id="872" w:name="_Toc267251514"/>
      <w:r>
        <w:rPr>
          <w:rFonts w:ascii="宋体" w:hAnsi="宋体"/>
          <w:b w:val="0"/>
          <w:color w:val="000000" w:themeColor="text1"/>
          <w:szCs w:val="21"/>
          <w:highlight w:val="none"/>
          <w14:textFill>
            <w14:solidFill>
              <w14:schemeClr w14:val="tx1"/>
            </w14:solidFill>
          </w14:textFill>
        </w:rPr>
        <w:t>15. 缺陷责任期与保修</w:t>
      </w:r>
      <w:bookmarkEnd w:id="842"/>
    </w:p>
    <w:p w14:paraId="236E108D">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缺陷责任期</w:t>
      </w:r>
      <w:bookmarkEnd w:id="843"/>
    </w:p>
    <w:p w14:paraId="2A129876">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缺陷责任期的具体期限：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24个月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D94F6D6">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质量保证金</w:t>
      </w:r>
    </w:p>
    <w:p w14:paraId="03E8B9D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关于是否扣留质量保证金的约定：按</w:t>
      </w:r>
      <w:r>
        <w:rPr>
          <w:rFonts w:hint="eastAsia" w:ascii="宋体" w:hAnsi="宋体"/>
          <w:color w:val="000000" w:themeColor="text1"/>
          <w:szCs w:val="21"/>
          <w:highlight w:val="none"/>
          <w:u w:val="single"/>
          <w14:textFill>
            <w14:solidFill>
              <w14:schemeClr w14:val="tx1"/>
            </w14:solidFill>
          </w14:textFill>
        </w:rPr>
        <w:t xml:space="preserve">工程价款结算总金额的3%作为质保金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在工程项目竣工前，承包人按专用合同条款第3.7条提供履约担保的，发包人不得同时预留工程质量保证金。</w:t>
      </w:r>
    </w:p>
    <w:p w14:paraId="06550B44">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承包人提供</w:t>
      </w:r>
      <w:r>
        <w:rPr>
          <w:rFonts w:ascii="宋体" w:hAnsi="宋体"/>
          <w:color w:val="000000" w:themeColor="text1"/>
          <w:szCs w:val="21"/>
          <w:highlight w:val="none"/>
          <w14:textFill>
            <w14:solidFill>
              <w14:schemeClr w14:val="tx1"/>
            </w14:solidFill>
          </w14:textFill>
        </w:rPr>
        <w:t>质量保证金的</w:t>
      </w:r>
      <w:r>
        <w:rPr>
          <w:rFonts w:hint="eastAsia" w:ascii="宋体" w:hAnsi="宋体"/>
          <w:color w:val="000000" w:themeColor="text1"/>
          <w:szCs w:val="21"/>
          <w:highlight w:val="none"/>
          <w14:textFill>
            <w14:solidFill>
              <w14:schemeClr w14:val="tx1"/>
            </w14:solidFill>
          </w14:textFill>
        </w:rPr>
        <w:t>方</w:t>
      </w:r>
      <w:r>
        <w:rPr>
          <w:rFonts w:ascii="宋体" w:hAnsi="宋体"/>
          <w:color w:val="000000" w:themeColor="text1"/>
          <w:szCs w:val="21"/>
          <w:highlight w:val="none"/>
          <w14:textFill>
            <w14:solidFill>
              <w14:schemeClr w14:val="tx1"/>
            </w14:solidFill>
          </w14:textFill>
        </w:rPr>
        <w:t>式</w:t>
      </w:r>
    </w:p>
    <w:p w14:paraId="1EEE944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质量保证金采用以下第</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2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种方式：</w:t>
      </w:r>
    </w:p>
    <w:p w14:paraId="53DD6EA6">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（1）质量保证金保函，保证金额为：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065E7365">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全额</w:t>
      </w:r>
      <w:r>
        <w:rPr>
          <w:rFonts w:ascii="宋体" w:hAnsi="宋体"/>
          <w:color w:val="000000" w:themeColor="text1"/>
          <w:kern w:val="0"/>
          <w:szCs w:val="21"/>
          <w:highlight w:val="none"/>
          <w14:textFill>
            <w14:solidFill>
              <w14:schemeClr w14:val="tx1"/>
            </w14:solidFill>
          </w14:textFill>
        </w:rPr>
        <w:t>工程款的</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5E44488">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（3）其他</w:t>
      </w:r>
      <w:r>
        <w:rPr>
          <w:rFonts w:hint="eastAsia" w:ascii="宋体" w:hAnsi="宋体"/>
          <w:color w:val="000000" w:themeColor="text1"/>
          <w:kern w:val="0"/>
          <w:szCs w:val="21"/>
          <w:highlight w:val="none"/>
          <w14:textFill>
            <w14:solidFill>
              <w14:schemeClr w14:val="tx1"/>
            </w14:solidFill>
          </w14:textFill>
        </w:rPr>
        <w:t>方</w:t>
      </w:r>
      <w:r>
        <w:rPr>
          <w:rFonts w:ascii="宋体" w:hAnsi="宋体"/>
          <w:color w:val="000000" w:themeColor="text1"/>
          <w:kern w:val="0"/>
          <w:szCs w:val="21"/>
          <w:highlight w:val="none"/>
          <w14:textFill>
            <w14:solidFill>
              <w14:schemeClr w14:val="tx1"/>
            </w14:solidFill>
          </w14:textFill>
        </w:rPr>
        <w:t>式:</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6D7E64B">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.2 质量保证金的扣留 </w:t>
      </w:r>
    </w:p>
    <w:p w14:paraId="3164A58D">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质量保证金的扣留采取以下第</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2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种方式：</w:t>
      </w:r>
    </w:p>
    <w:p w14:paraId="34C3BD89">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（1）在支付工程进度款时逐次扣留，在此情形下，质量保证金的计算基数不包括预付款的支付、扣回以及价格调整的金额；</w:t>
      </w:r>
    </w:p>
    <w:p w14:paraId="0D0AAB3D">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（2）工程竣工结算时一次性扣留质量保证金；</w:t>
      </w:r>
    </w:p>
    <w:p w14:paraId="261EFB6E">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（3）其他扣留方式:</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C3FBAC0">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关于质量保证金的补充约定：</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工程竣工结算时一次性扣留质量保证金，质保期间如无质量问题或其他违约扣款，</w:t>
      </w:r>
      <w:r>
        <w:rPr>
          <w:rFonts w:hint="eastAsia" w:ascii="宋体" w:hAnsi="宋体" w:cs="仿宋"/>
          <w:color w:val="000000" w:themeColor="text1"/>
          <w:szCs w:val="21"/>
          <w:highlight w:val="none"/>
          <w:u w:val="single"/>
          <w:lang w:val="zh-CN"/>
          <w14:textFill>
            <w14:solidFill>
              <w14:schemeClr w14:val="tx1"/>
            </w14:solidFill>
          </w14:textFill>
        </w:rPr>
        <w:t>待</w:t>
      </w:r>
      <w:r>
        <w:rPr>
          <w:rFonts w:hint="eastAsia" w:ascii="宋体" w:hAnsi="宋体" w:cs="仿宋"/>
          <w:color w:val="000000" w:themeColor="text1"/>
          <w:szCs w:val="21"/>
          <w:highlight w:val="none"/>
          <w:u w:val="single"/>
          <w14:textFill>
            <w14:solidFill>
              <w14:schemeClr w14:val="tx1"/>
            </w14:solidFill>
          </w14:textFill>
        </w:rPr>
        <w:t>质保</w:t>
      </w:r>
      <w:r>
        <w:rPr>
          <w:rFonts w:hint="eastAsia" w:ascii="宋体" w:hAnsi="宋体" w:cs="仿宋"/>
          <w:color w:val="000000" w:themeColor="text1"/>
          <w:szCs w:val="21"/>
          <w:highlight w:val="none"/>
          <w:u w:val="single"/>
          <w:lang w:val="zh-CN"/>
          <w14:textFill>
            <w14:solidFill>
              <w14:schemeClr w14:val="tx1"/>
            </w14:solidFill>
          </w14:textFill>
        </w:rPr>
        <w:t>期满后的14天内一次性支付给承包方（不计息</w:t>
      </w:r>
      <w:r>
        <w:rPr>
          <w:rFonts w:hint="eastAsia" w:ascii="宋体" w:hAnsi="宋体" w:cs="宋体"/>
          <w:color w:val="000000" w:themeColor="text1"/>
          <w:szCs w:val="21"/>
          <w:highlight w:val="none"/>
          <w:u w:val="single"/>
          <w:lang w:val="zh-CN"/>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bookmarkEnd w:id="844"/>
    <w:bookmarkEnd w:id="845"/>
    <w:p w14:paraId="5E840E0B">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保修</w:t>
      </w:r>
    </w:p>
    <w:bookmarkEnd w:id="846"/>
    <w:p w14:paraId="6D7B146F">
      <w:pPr>
        <w:spacing w:line="360" w:lineRule="auto"/>
        <w:ind w:firstLine="409" w:firstLineChars="195"/>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.1 保修责任</w:t>
      </w:r>
    </w:p>
    <w:p w14:paraId="037C97DB">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工程保修期为：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详见工程质量保修书</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EEB2ECA">
      <w:pPr>
        <w:spacing w:line="360" w:lineRule="auto"/>
        <w:ind w:firstLine="409" w:firstLineChars="195"/>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修复通知</w:t>
      </w:r>
    </w:p>
    <w:p w14:paraId="2E626484">
      <w:pPr>
        <w:spacing w:line="360" w:lineRule="auto"/>
        <w:ind w:firstLine="420" w:firstLineChars="200"/>
        <w:jc w:val="left"/>
        <w:rPr>
          <w:rFonts w:ascii="宋体" w:hAnsi="宋体" w:cs="仿宋"/>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承包人收到保修通知并到达工程现场的合理时间：</w:t>
      </w:r>
      <w:r>
        <w:rPr>
          <w:rFonts w:hint="eastAsia" w:ascii="宋体" w:hAnsi="宋体" w:cs="仿宋"/>
          <w:color w:val="000000" w:themeColor="text1"/>
          <w:kern w:val="0"/>
          <w:szCs w:val="21"/>
          <w:highlight w:val="none"/>
          <w:u w:val="single"/>
          <w14:textFill>
            <w14:solidFill>
              <w14:schemeClr w14:val="tx1"/>
            </w14:solidFill>
          </w14:textFill>
        </w:rPr>
        <w:t>1、承包人应当在接到保修通知之日起24小时内派人保修。发生紧急抢修事故的，承包人在接到事故通知后，应当立即到达事故现场抢修。承包人不在约定期限内派人维修的，发包人可以委托他人修理，所产生的费用由承包人承担从工程质保金中扣除，不足部分发包人有权向承包人追索。2、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3、质量保修完成后，由发包人组织验收。4、保修费用由造成质量缺陷的责任方承担 。</w:t>
      </w:r>
    </w:p>
    <w:bookmarkEnd w:id="847"/>
    <w:bookmarkEnd w:id="848"/>
    <w:bookmarkEnd w:id="849"/>
    <w:bookmarkEnd w:id="850"/>
    <w:p w14:paraId="6638DD28">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873" w:name="_Toc351203648"/>
      <w:bookmarkStart w:id="874" w:name="_Toc280868717"/>
      <w:bookmarkStart w:id="875" w:name="_Toc280868718"/>
      <w:r>
        <w:rPr>
          <w:rFonts w:ascii="宋体" w:hAnsi="宋体"/>
          <w:b w:val="0"/>
          <w:color w:val="000000" w:themeColor="text1"/>
          <w:szCs w:val="21"/>
          <w:highlight w:val="none"/>
          <w14:textFill>
            <w14:solidFill>
              <w14:schemeClr w14:val="tx1"/>
            </w14:solidFill>
          </w14:textFill>
        </w:rPr>
        <w:t>16. 违约</w:t>
      </w:r>
      <w:bookmarkEnd w:id="873"/>
    </w:p>
    <w:p w14:paraId="6AF8D82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 发包人违约</w:t>
      </w:r>
    </w:p>
    <w:p w14:paraId="5454732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16.1.1发包人违约的情形</w:t>
      </w:r>
    </w:p>
    <w:p w14:paraId="476F2622">
      <w:pPr>
        <w:spacing w:line="360" w:lineRule="auto"/>
        <w:ind w:left="1050" w:hanging="1050" w:hangingChars="5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发包人违约的其他情形：</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按通用条款执行，无特殊约定</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DE909EC">
      <w:pPr>
        <w:spacing w:line="360" w:lineRule="auto"/>
        <w:ind w:left="1050" w:hanging="1050" w:hangingChars="5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16.1.2 发包人违约的责任</w:t>
      </w:r>
    </w:p>
    <w:p w14:paraId="6B68EC33">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发包人违约责任的承担方式和计算方法：</w:t>
      </w:r>
    </w:p>
    <w:p w14:paraId="2734C194">
      <w:pPr>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（1）因发包人原因未能在计划开工日期前7天内下达开工通知的违约责任：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工期顺延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9A2E9F3">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（2）因发包人原因未能按合同约定支付合同价款的违约责任：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承包人按发包人结清款项资料要求提供全套合格资料后，因发包人原因未能按合同约定支付合同价款的，</w:t>
      </w:r>
      <w:r>
        <w:rPr>
          <w:rFonts w:hint="eastAsia" w:ascii="宋体" w:hAnsi="宋体" w:cs="仿宋"/>
          <w:color w:val="000000" w:themeColor="text1"/>
          <w:kern w:val="0"/>
          <w:szCs w:val="21"/>
          <w:highlight w:val="none"/>
          <w:u w:val="single"/>
          <w14:textFill>
            <w14:solidFill>
              <w14:schemeClr w14:val="tx1"/>
            </w14:solidFill>
          </w14:textFill>
        </w:rPr>
        <w:t>按实际</w:t>
      </w:r>
      <w:r>
        <w:rPr>
          <w:rFonts w:hint="eastAsia" w:ascii="宋体" w:hAnsi="宋体" w:cs="仿宋"/>
          <w:color w:val="000000" w:themeColor="text1"/>
          <w:szCs w:val="21"/>
          <w:highlight w:val="none"/>
          <w:u w:val="single"/>
          <w14:textFill>
            <w14:solidFill>
              <w14:schemeClr w14:val="tx1"/>
            </w14:solidFill>
          </w14:textFill>
        </w:rPr>
        <w:t>延误时间和应付未付工程款的万分之四计算违约金支付给承包人，延期支付时间在两个月内，承包人不得再以此为理由停工或放慢施工进度拖延工期。延期支付时间超过两个月的，承包人可以停工</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DCF583F">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）发包人提供的材料、工程设备的规格、数量或质量不符合合同约定，或因发包人原因导致交货日期延误或交货地点变更等情况的违约责任：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工期顺延</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F8A6651">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）因发包人违反合同约定造成暂停施工的违约责任：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工期顺延，造成损失的双方另行协商</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778F8D0">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16.1.3 因发包人违约解除合同</w:t>
      </w:r>
    </w:p>
    <w:p w14:paraId="2FADD228">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承包人按16.1.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发包人违约的情形</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约定暂停施工满</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60</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天后发包人仍不纠正其违约行为并致使合同目的不能实现的，承包人有权解除合同。</w:t>
      </w:r>
    </w:p>
    <w:p w14:paraId="2E42505D">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16.2 承包人违约</w:t>
      </w:r>
    </w:p>
    <w:p w14:paraId="093F9563">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16.2.1 承包人违约的情形</w:t>
      </w:r>
    </w:p>
    <w:p w14:paraId="1C172081">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承包人违约的其他情形：</w:t>
      </w:r>
    </w:p>
    <w:p w14:paraId="3650447E">
      <w:pPr>
        <w:autoSpaceDE w:val="0"/>
        <w:autoSpaceDN w:val="0"/>
        <w:adjustRightInd w:val="0"/>
        <w:spacing w:line="360" w:lineRule="auto"/>
        <w:ind w:firstLine="420" w:firstLineChars="200"/>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在合同履行过程中发生的下列情形，属于承包人违约：</w:t>
      </w:r>
    </w:p>
    <w:p w14:paraId="318AF7BD">
      <w:pPr>
        <w:autoSpaceDE w:val="0"/>
        <w:autoSpaceDN w:val="0"/>
        <w:adjustRightInd w:val="0"/>
        <w:spacing w:line="360" w:lineRule="auto"/>
        <w:ind w:firstLine="420" w:firstLineChars="200"/>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（1）承包人违反合同约定进行转包或违法分包的；</w:t>
      </w:r>
    </w:p>
    <w:p w14:paraId="45444DD0">
      <w:pPr>
        <w:autoSpaceDE w:val="0"/>
        <w:autoSpaceDN w:val="0"/>
        <w:adjustRightInd w:val="0"/>
        <w:spacing w:line="360" w:lineRule="auto"/>
        <w:ind w:firstLine="420" w:firstLineChars="200"/>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（2）承包人违反合同约定采购和使用不合格的材料和工程设备的；</w:t>
      </w:r>
    </w:p>
    <w:p w14:paraId="34F1E115">
      <w:pPr>
        <w:autoSpaceDE w:val="0"/>
        <w:autoSpaceDN w:val="0"/>
        <w:adjustRightInd w:val="0"/>
        <w:spacing w:line="360" w:lineRule="auto"/>
        <w:ind w:firstLine="420" w:firstLineChars="200"/>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（3）因承包人原因导致工程质量不符合合同要求的；</w:t>
      </w:r>
    </w:p>
    <w:p w14:paraId="06A0A321">
      <w:pPr>
        <w:autoSpaceDE w:val="0"/>
        <w:autoSpaceDN w:val="0"/>
        <w:adjustRightInd w:val="0"/>
        <w:spacing w:line="360" w:lineRule="auto"/>
        <w:ind w:firstLine="420" w:firstLineChars="200"/>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（4）承包人违反通用第8.9款〔材料与设备专用要求〕的约定，未经批准，私自将已按照合同约定进入施工现场的材料或设备撤离施工现场的；</w:t>
      </w:r>
    </w:p>
    <w:p w14:paraId="2C15D5C7">
      <w:pPr>
        <w:autoSpaceDE w:val="0"/>
        <w:autoSpaceDN w:val="0"/>
        <w:adjustRightInd w:val="0"/>
        <w:spacing w:line="360" w:lineRule="auto"/>
        <w:ind w:firstLine="420" w:firstLineChars="200"/>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（5）承包人未能按施工进度计划及时完成合同约定的工作，造成工期延误的；</w:t>
      </w:r>
    </w:p>
    <w:p w14:paraId="72F5B446">
      <w:pPr>
        <w:autoSpaceDE w:val="0"/>
        <w:autoSpaceDN w:val="0"/>
        <w:adjustRightInd w:val="0"/>
        <w:spacing w:line="360" w:lineRule="auto"/>
        <w:ind w:firstLine="420" w:firstLineChars="200"/>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（6）承包人在缺陷责任期及保修期内，未能在合理期限对工程缺陷进行修复，或拒绝按发包人要求进行修复的；</w:t>
      </w:r>
    </w:p>
    <w:p w14:paraId="1A92036E">
      <w:pPr>
        <w:autoSpaceDE w:val="0"/>
        <w:autoSpaceDN w:val="0"/>
        <w:adjustRightInd w:val="0"/>
        <w:spacing w:line="360" w:lineRule="auto"/>
        <w:ind w:firstLine="420" w:firstLineChars="200"/>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（7）承包人明确表示或者以其行为表明不履行合同主要义务的；</w:t>
      </w:r>
    </w:p>
    <w:p w14:paraId="2E29A30A">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（8）承包人未能按照合同约定履行其他义务的。</w:t>
      </w:r>
    </w:p>
    <w:p w14:paraId="048BA646">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16.2.2承包人违约的责任</w:t>
      </w:r>
    </w:p>
    <w:p w14:paraId="60183E55">
      <w:pPr>
        <w:spacing w:line="360" w:lineRule="auto"/>
        <w:ind w:left="1226" w:leftChars="284" w:hanging="630" w:hangingChars="3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承包人违约责任的承担方式和计算方法：</w:t>
      </w:r>
    </w:p>
    <w:p w14:paraId="44B68D77">
      <w:pPr>
        <w:numPr>
          <w:ilvl w:val="0"/>
          <w:numId w:val="11"/>
        </w:numPr>
        <w:spacing w:line="360" w:lineRule="auto"/>
        <w:ind w:left="1050" w:leftChars="200" w:hanging="630" w:hangingChars="3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承包人未按本合同通用条款第16.2.1（2）、（3）条内容完</w:t>
      </w:r>
    </w:p>
    <w:p w14:paraId="4A035FCA">
      <w:pPr>
        <w:spacing w:line="360" w:lineRule="auto"/>
        <w:ind w:left="-210" w:leftChars="-1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成的，承包人必须在发包人规定的时间内无条件返工处理，修复至符合工程质量要求并承担相关费用，返工期间工期不予顺延。且每发生一次，承包人应按照工程签约合同价的10%向发包人支付违约金并承担由此给发包人或第三人造成的一切损失，并及时更换合格的材料和工程设备，如因此造成工期延误的，还需按照合同约定的因承包人原因导致工期延误的违约责任处理。此种违约行为如发生两次以上（含两次）的，发包人有权解除合同，并处承包人本合同签约价10%的违约金，承包人还需赔偿由此给发包人或第三人造成的全部损失。正常修补整改一次免责，第二次修补开始收违约金。</w:t>
      </w:r>
    </w:p>
    <w:p w14:paraId="172DFB74">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承包人有本合同通用条款第16.2.1（6）条情形的，或经监理人检验修复质量不合格而承包人拒绝再进行修补的，发包人可另行派人维修，按维修金额的1.2倍从质量保修金扣除，不足部分发包人有权向承包人另行追偿。</w:t>
      </w:r>
    </w:p>
    <w:p w14:paraId="170DF85B">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（3）承包人有本专用合同条款3.2、3.3条违约责任的，发包人有权扣除承包人的违约金。违约金金额均在承包人的工程支付款内扣除。</w:t>
      </w:r>
    </w:p>
    <w:p w14:paraId="4696BFE6">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（4）因承包人原因逾期竣工的，每拖延一天工期按合同约定总价款的万分之四向发包人支付违约金。 误期时间从合同规定竣工日期起直到全部合同工程或相应工程的全部移交竣工报告的批准日期之间的天数（不足一日的按一日计算），逾期超过28天的，发包人有权选择单方解除本合同，并要求承包人支付工程签约合同价的10%作为惩罚性违约金，同时承包人应全额赔偿发包人损失。</w:t>
      </w:r>
    </w:p>
    <w:p w14:paraId="0183BDC7">
      <w:pPr>
        <w:spacing w:line="360" w:lineRule="auto"/>
        <w:ind w:firstLine="420" w:firstLineChars="200"/>
        <w:jc w:val="lef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5）因承包人原因连续停工达7天以上（含7天）或累计停工达10天以上（含10天），或以停工方式对待合同履行纠纷的，发包人有权解除合同，并处承包人工程签约合同价10%的违约金，承包人还需赔偿由此给发包人或第三人造成的全部损失。</w:t>
      </w:r>
    </w:p>
    <w:p w14:paraId="0FA8DD34">
      <w:pPr>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（6）承包人未能按本合同约定按时交付完整的竣工资料或结算资料，每逾期一天按照200元的标准向发包方支付违约金，同时承包方还应承担由此给发包方造成的全部损失。</w:t>
      </w:r>
    </w:p>
    <w:p w14:paraId="12BE3D48">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16.2.3 因承包人违约解除合同</w:t>
      </w:r>
    </w:p>
    <w:p w14:paraId="61FDDE3A">
      <w:pPr>
        <w:spacing w:line="360" w:lineRule="auto"/>
        <w:ind w:firstLine="420" w:firstLineChars="200"/>
        <w:rPr>
          <w:rFonts w:ascii="宋体" w:hAnsi="宋体" w:cs="仿宋"/>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关于承包人违约解除合同的特别约定：</w:t>
      </w:r>
      <w:r>
        <w:rPr>
          <w:rFonts w:hint="eastAsia" w:ascii="宋体" w:hAnsi="宋体" w:cs="仿宋"/>
          <w:color w:val="000000" w:themeColor="text1"/>
          <w:kern w:val="0"/>
          <w:szCs w:val="21"/>
          <w:highlight w:val="none"/>
          <w:u w:val="single"/>
          <w14:textFill>
            <w14:solidFill>
              <w14:schemeClr w14:val="tx1"/>
            </w14:solidFill>
          </w14:textFill>
        </w:rPr>
        <w:t>发包人行使合同解除权无行使期限限制；合同解除后承包人应立即退场，退场标准参照13.6.1的规定执行，承包人逾期退场的按每天5000元的标准向发包人支付违约金；承包人有违反以下情况之一的，发包人有权解除合同，且处承包人本合同签约合同价10%的违约金。</w:t>
      </w:r>
    </w:p>
    <w:p w14:paraId="22C7C3B4">
      <w:pPr>
        <w:spacing w:line="360" w:lineRule="auto"/>
        <w:ind w:firstLine="420" w:firstLineChars="200"/>
        <w:rPr>
          <w:rFonts w:ascii="宋体" w:hAnsi="宋体" w:cs="仿宋"/>
          <w:color w:val="000000" w:themeColor="text1"/>
          <w:kern w:val="0"/>
          <w:szCs w:val="21"/>
          <w:highlight w:val="none"/>
          <w:u w:val="single"/>
          <w14:textFill>
            <w14:solidFill>
              <w14:schemeClr w14:val="tx1"/>
            </w14:solidFill>
          </w14:textFill>
        </w:rPr>
      </w:pPr>
      <w:r>
        <w:rPr>
          <w:rFonts w:hint="eastAsia" w:ascii="宋体" w:hAnsi="宋体" w:cs="仿宋"/>
          <w:color w:val="000000" w:themeColor="text1"/>
          <w:kern w:val="0"/>
          <w:szCs w:val="21"/>
          <w:highlight w:val="none"/>
          <w:u w:val="single"/>
          <w14:textFill>
            <w14:solidFill>
              <w14:schemeClr w14:val="tx1"/>
            </w14:solidFill>
          </w14:textFill>
        </w:rPr>
        <w:t>(1)承包人无正当理由不按开工通知的要求及时进场组织施工和不按签订协议书时商定的进度计划有效地开展施工准备，造成工期延误的；</w:t>
      </w:r>
    </w:p>
    <w:p w14:paraId="2B620CE2">
      <w:pPr>
        <w:spacing w:line="360" w:lineRule="auto"/>
        <w:ind w:firstLine="420" w:firstLineChars="200"/>
        <w:rPr>
          <w:rFonts w:ascii="宋体" w:hAnsi="宋体" w:cs="仿宋"/>
          <w:color w:val="000000" w:themeColor="text1"/>
          <w:kern w:val="0"/>
          <w:szCs w:val="21"/>
          <w:highlight w:val="none"/>
          <w:u w:val="single"/>
          <w14:textFill>
            <w14:solidFill>
              <w14:schemeClr w14:val="tx1"/>
            </w14:solidFill>
          </w14:textFill>
        </w:rPr>
      </w:pPr>
      <w:r>
        <w:rPr>
          <w:rFonts w:hint="eastAsia" w:ascii="宋体" w:hAnsi="宋体" w:cs="仿宋"/>
          <w:color w:val="000000" w:themeColor="text1"/>
          <w:kern w:val="0"/>
          <w:szCs w:val="21"/>
          <w:highlight w:val="none"/>
          <w:u w:val="single"/>
          <w14:textFill>
            <w14:solidFill>
              <w14:schemeClr w14:val="tx1"/>
            </w14:solidFill>
          </w14:textFill>
        </w:rPr>
        <w:t>(2)承包人违反本合同通用条款第3.5条规定私自将合同或合同的任何部分或任何权利转让给其他人，或私自将工程或工程的一部分违法分包出去的；</w:t>
      </w:r>
    </w:p>
    <w:p w14:paraId="1E0B41FD">
      <w:pPr>
        <w:spacing w:line="360" w:lineRule="auto"/>
        <w:ind w:firstLine="420" w:firstLineChars="200"/>
        <w:rPr>
          <w:rFonts w:ascii="宋体" w:hAnsi="宋体" w:cs="仿宋"/>
          <w:color w:val="000000" w:themeColor="text1"/>
          <w:kern w:val="0"/>
          <w:szCs w:val="21"/>
          <w:highlight w:val="none"/>
          <w:u w:val="single"/>
          <w14:textFill>
            <w14:solidFill>
              <w14:schemeClr w14:val="tx1"/>
            </w14:solidFill>
          </w14:textFill>
        </w:rPr>
      </w:pPr>
      <w:r>
        <w:rPr>
          <w:rFonts w:hint="eastAsia" w:ascii="宋体" w:hAnsi="宋体" w:cs="仿宋"/>
          <w:color w:val="000000" w:themeColor="text1"/>
          <w:kern w:val="0"/>
          <w:szCs w:val="21"/>
          <w:highlight w:val="none"/>
          <w:u w:val="single"/>
          <w14:textFill>
            <w14:solidFill>
              <w14:schemeClr w14:val="tx1"/>
            </w14:solidFill>
          </w14:textFill>
        </w:rPr>
        <w:t>(3)由于承包人原因拒绝按合同进度计划及时完成合同规定的工程，而又未采取有效措施赶上进度，造成工期延误的；</w:t>
      </w:r>
    </w:p>
    <w:p w14:paraId="0B51C88F">
      <w:pPr>
        <w:spacing w:line="360" w:lineRule="auto"/>
        <w:ind w:firstLine="420" w:firstLineChars="200"/>
        <w:rPr>
          <w:rFonts w:ascii="宋体" w:hAnsi="宋体" w:cs="仿宋"/>
          <w:color w:val="000000" w:themeColor="text1"/>
          <w:kern w:val="0"/>
          <w:szCs w:val="21"/>
          <w:highlight w:val="none"/>
          <w:u w:val="single"/>
          <w14:textFill>
            <w14:solidFill>
              <w14:schemeClr w14:val="tx1"/>
            </w14:solidFill>
          </w14:textFill>
        </w:rPr>
      </w:pPr>
      <w:r>
        <w:rPr>
          <w:rFonts w:hint="eastAsia" w:ascii="宋体" w:hAnsi="宋体" w:cs="仿宋"/>
          <w:color w:val="000000" w:themeColor="text1"/>
          <w:kern w:val="0"/>
          <w:szCs w:val="21"/>
          <w:highlight w:val="none"/>
          <w:u w:val="single"/>
          <w14:textFill>
            <w14:solidFill>
              <w14:schemeClr w14:val="tx1"/>
            </w14:solidFill>
          </w14:textFill>
        </w:rPr>
        <w:t>(5)承包人否认合同有效或拒绝履行合同规定的承包人义务，或由于法律、财务等原因导致承包人无法继续履行或实质上已停止履行合同的义务的；</w:t>
      </w:r>
    </w:p>
    <w:p w14:paraId="69A330F2">
      <w:pPr>
        <w:spacing w:line="360" w:lineRule="auto"/>
        <w:ind w:firstLine="420" w:firstLineChars="200"/>
        <w:rPr>
          <w:rFonts w:ascii="宋体" w:hAnsi="宋体" w:cs="仿宋"/>
          <w:color w:val="000000" w:themeColor="text1"/>
          <w:kern w:val="0"/>
          <w:szCs w:val="21"/>
          <w:highlight w:val="none"/>
          <w:u w:val="single"/>
          <w14:textFill>
            <w14:solidFill>
              <w14:schemeClr w14:val="tx1"/>
            </w14:solidFill>
          </w14:textFill>
        </w:rPr>
      </w:pPr>
      <w:r>
        <w:rPr>
          <w:rFonts w:hint="eastAsia" w:ascii="宋体" w:hAnsi="宋体" w:cs="仿宋"/>
          <w:color w:val="000000" w:themeColor="text1"/>
          <w:kern w:val="0"/>
          <w:szCs w:val="21"/>
          <w:highlight w:val="none"/>
          <w:u w:val="single"/>
          <w14:textFill>
            <w14:solidFill>
              <w14:schemeClr w14:val="tx1"/>
            </w14:solidFill>
          </w14:textFill>
        </w:rPr>
        <w:t>(6)合同签订之日起30日内，承包人无法按合同规定及投标文件的承诺进场经发包人现场工程师认可的全部人员和机械的；</w:t>
      </w:r>
    </w:p>
    <w:p w14:paraId="043A139D">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u w:val="single"/>
          <w14:textFill>
            <w14:solidFill>
              <w14:schemeClr w14:val="tx1"/>
            </w14:solidFill>
          </w14:textFill>
        </w:rPr>
        <w:t>（7）承包人转包工程给他人施工的；承包人明显无法完成工程任务的，经合理宽限期内仍无改善的；承包人破产导致无法继续完成剩余工作的。如因以上原因发包人提出解除合同的，承包人应在接到解除合同通知15天内无条件退场并清场，如不按时退场和清场，发包人有权按合同总额的10%向承包人收取违约金。解除合同后，双方按已完成工程量的80%办理结算</w:t>
      </w:r>
      <w:r>
        <w:rPr>
          <w:rFonts w:hint="eastAsia" w:ascii="宋体" w:hAnsi="宋体" w:cs="仿宋"/>
          <w:color w:val="000000" w:themeColor="text1"/>
          <w:kern w:val="0"/>
          <w:szCs w:val="21"/>
          <w:highlight w:val="none"/>
          <w14:textFill>
            <w14:solidFill>
              <w14:schemeClr w14:val="tx1"/>
            </w14:solidFill>
          </w14:textFill>
        </w:rPr>
        <w:t>。</w:t>
      </w:r>
    </w:p>
    <w:p w14:paraId="6E46CBE4">
      <w:pPr>
        <w:spacing w:before="120" w:after="120"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w:t>
      </w:r>
      <w:r>
        <w:rPr>
          <w:rFonts w:hint="eastAsia" w:ascii="宋体" w:hAnsi="宋体"/>
          <w:color w:val="000000" w:themeColor="text1"/>
          <w:kern w:val="0"/>
          <w:szCs w:val="21"/>
          <w:highlight w:val="none"/>
          <w14:textFill>
            <w14:solidFill>
              <w14:schemeClr w14:val="tx1"/>
            </w14:solidFill>
          </w14:textFill>
        </w:rPr>
        <w:t>继续</w:t>
      </w:r>
      <w:r>
        <w:rPr>
          <w:rFonts w:ascii="宋体" w:hAnsi="宋体"/>
          <w:color w:val="000000" w:themeColor="text1"/>
          <w:kern w:val="0"/>
          <w:szCs w:val="21"/>
          <w:highlight w:val="none"/>
          <w14:textFill>
            <w14:solidFill>
              <w14:schemeClr w14:val="tx1"/>
            </w14:solidFill>
          </w14:textFill>
        </w:rPr>
        <w:t>使用承包人在施工现场的材料、设备、临时工程、承包人文件和由承包人或以其名义编制的其他文件</w:t>
      </w:r>
      <w:r>
        <w:rPr>
          <w:rFonts w:hint="eastAsia" w:ascii="宋体" w:hAnsi="宋体"/>
          <w:color w:val="000000" w:themeColor="text1"/>
          <w:kern w:val="0"/>
          <w:szCs w:val="21"/>
          <w:highlight w:val="none"/>
          <w14:textFill>
            <w14:solidFill>
              <w14:schemeClr w14:val="tx1"/>
            </w14:solidFill>
          </w14:textFill>
        </w:rPr>
        <w:t>的费用承担方式</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 xml:space="preserve">              发包人按实际发生费用承担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6CDC4126">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876" w:name="_Toc351203649"/>
      <w:r>
        <w:rPr>
          <w:rFonts w:ascii="宋体" w:hAnsi="宋体"/>
          <w:b w:val="0"/>
          <w:color w:val="000000" w:themeColor="text1"/>
          <w:szCs w:val="21"/>
          <w:highlight w:val="none"/>
          <w14:textFill>
            <w14:solidFill>
              <w14:schemeClr w14:val="tx1"/>
            </w14:solidFill>
          </w14:textFill>
        </w:rPr>
        <w:t>17. 不可抗力</w:t>
      </w:r>
      <w:bookmarkEnd w:id="876"/>
      <w:r>
        <w:rPr>
          <w:rFonts w:ascii="宋体" w:hAnsi="宋体"/>
          <w:b w:val="0"/>
          <w:color w:val="000000" w:themeColor="text1"/>
          <w:szCs w:val="21"/>
          <w:highlight w:val="none"/>
          <w14:textFill>
            <w14:solidFill>
              <w14:schemeClr w14:val="tx1"/>
            </w14:solidFill>
          </w14:textFill>
        </w:rPr>
        <w:t xml:space="preserve"> </w:t>
      </w:r>
      <w:bookmarkEnd w:id="874"/>
    </w:p>
    <w:p w14:paraId="50CD621D">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17.1 不可抗力的确认</w:t>
      </w:r>
    </w:p>
    <w:p w14:paraId="7E6D584E">
      <w:pPr>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除通用合同条款约定的不可抗力事件之外，视为不可抗力的其他情形：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无法预见的政府政策变动，依法承担</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D1388B6">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因不可抗力解除合同</w:t>
      </w:r>
    </w:p>
    <w:p w14:paraId="099BCCB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合同解除后，发包人应在商定或确定发包人应支付款项后</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按通用条款，无特殊约定30天内</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完成款项的支付。</w:t>
      </w:r>
    </w:p>
    <w:p w14:paraId="59F0390E">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877" w:name="_Toc351203650"/>
      <w:r>
        <w:rPr>
          <w:rFonts w:ascii="宋体" w:hAnsi="宋体"/>
          <w:b w:val="0"/>
          <w:color w:val="000000" w:themeColor="text1"/>
          <w:szCs w:val="21"/>
          <w:highlight w:val="none"/>
          <w14:textFill>
            <w14:solidFill>
              <w14:schemeClr w14:val="tx1"/>
            </w14:solidFill>
          </w14:textFill>
        </w:rPr>
        <w:t>18. 保险</w:t>
      </w:r>
      <w:bookmarkEnd w:id="877"/>
    </w:p>
    <w:bookmarkEnd w:id="875"/>
    <w:p w14:paraId="306F3093">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18.1 工程保险</w:t>
      </w:r>
    </w:p>
    <w:p w14:paraId="5736073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关于工程保险的特别约定：</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同通用条款</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BCE802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其他保险</w:t>
      </w:r>
    </w:p>
    <w:p w14:paraId="2D793C98">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关于其他保险的约定：</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s="仿宋"/>
          <w:color w:val="000000" w:themeColor="text1"/>
          <w:kern w:val="0"/>
          <w:szCs w:val="21"/>
          <w:highlight w:val="none"/>
          <w:u w:val="single"/>
          <w14:textFill>
            <w14:solidFill>
              <w14:schemeClr w14:val="tx1"/>
            </w14:solidFill>
          </w14:textFill>
        </w:rPr>
        <w:t xml:space="preserve"> 承包人根据市建协字【2009】3号文须缴纳建筑工伤保险费（意外伤害险）</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8EF7328">
      <w:pPr>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承包人是否应为其施工设备等办理财产保险：</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按桂林市相关规定，由承包人办理建筑工程工伤保险、安装工程工伤保险，费用由承包人承担</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0277199">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18.</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 xml:space="preserve"> 通知义务</w:t>
      </w:r>
    </w:p>
    <w:p w14:paraId="2207B11C">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关于变更保险合同时的通知义务的约定：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51874523">
      <w:pPr>
        <w:pStyle w:val="5"/>
        <w:spacing w:line="360" w:lineRule="exact"/>
        <w:rPr>
          <w:rFonts w:ascii="宋体" w:hAnsi="宋体" w:cs="仿宋"/>
          <w:bCs w:val="0"/>
          <w:color w:val="000000" w:themeColor="text1"/>
          <w:szCs w:val="21"/>
          <w:highlight w:val="none"/>
          <w14:textFill>
            <w14:solidFill>
              <w14:schemeClr w14:val="tx1"/>
            </w14:solidFill>
          </w14:textFill>
        </w:rPr>
      </w:pPr>
      <w:r>
        <w:rPr>
          <w:rFonts w:ascii="宋体" w:hAnsi="宋体"/>
          <w:bCs w:val="0"/>
          <w:color w:val="000000" w:themeColor="text1"/>
          <w:szCs w:val="21"/>
          <w:highlight w:val="none"/>
          <w14:textFill>
            <w14:solidFill>
              <w14:schemeClr w14:val="tx1"/>
            </w14:solidFill>
          </w14:textFill>
        </w:rPr>
        <w:t>19.</w:t>
      </w:r>
      <w:r>
        <w:rPr>
          <w:rFonts w:hint="eastAsia" w:ascii="宋体" w:hAnsi="宋体" w:cs="仿宋"/>
          <w:bCs w:val="0"/>
          <w:color w:val="000000" w:themeColor="text1"/>
          <w:szCs w:val="21"/>
          <w:highlight w:val="none"/>
          <w14:textFill>
            <w14:solidFill>
              <w14:schemeClr w14:val="tx1"/>
            </w14:solidFill>
          </w14:textFill>
        </w:rPr>
        <w:t xml:space="preserve"> </w:t>
      </w:r>
      <w:r>
        <w:rPr>
          <w:rFonts w:hint="eastAsia" w:ascii="宋体" w:hAnsi="宋体" w:cs="宋体"/>
          <w:bCs w:val="0"/>
          <w:color w:val="000000" w:themeColor="text1"/>
          <w:szCs w:val="21"/>
          <w:highlight w:val="none"/>
          <w14:textFill>
            <w14:solidFill>
              <w14:schemeClr w14:val="tx1"/>
            </w14:solidFill>
          </w14:textFill>
        </w:rPr>
        <w:t>索赔</w:t>
      </w:r>
    </w:p>
    <w:p w14:paraId="7D614D0C">
      <w:pPr>
        <w:pStyle w:val="5"/>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s="仿宋"/>
          <w:b w:val="0"/>
          <w:color w:val="000000" w:themeColor="text1"/>
          <w:szCs w:val="21"/>
          <w:highlight w:val="none"/>
          <w14:textFill>
            <w14:solidFill>
              <w14:schemeClr w14:val="tx1"/>
            </w14:solidFill>
          </w14:textFill>
        </w:rPr>
        <w:t>删除通用合同条款第19.1款、19.2款、19.3款当中的所有默示内容。</w:t>
      </w:r>
    </w:p>
    <w:bookmarkEnd w:id="851"/>
    <w:bookmarkEnd w:id="852"/>
    <w:bookmarkEnd w:id="853"/>
    <w:bookmarkEnd w:id="854"/>
    <w:bookmarkEnd w:id="855"/>
    <w:bookmarkEnd w:id="856"/>
    <w:bookmarkEnd w:id="857"/>
    <w:bookmarkEnd w:id="858"/>
    <w:bookmarkEnd w:id="859"/>
    <w:bookmarkEnd w:id="860"/>
    <w:bookmarkEnd w:id="861"/>
    <w:bookmarkEnd w:id="862"/>
    <w:p w14:paraId="2A0AEED0">
      <w:pPr>
        <w:pStyle w:val="5"/>
        <w:spacing w:before="120" w:after="120" w:line="360" w:lineRule="auto"/>
        <w:rPr>
          <w:rFonts w:ascii="宋体" w:hAnsi="宋体"/>
          <w:b w:val="0"/>
          <w:color w:val="000000" w:themeColor="text1"/>
          <w:szCs w:val="21"/>
          <w:highlight w:val="none"/>
          <w14:textFill>
            <w14:solidFill>
              <w14:schemeClr w14:val="tx1"/>
            </w14:solidFill>
          </w14:textFill>
        </w:rPr>
      </w:pPr>
      <w:bookmarkStart w:id="878" w:name="_Toc351203651"/>
      <w:r>
        <w:rPr>
          <w:rFonts w:ascii="宋体" w:hAnsi="宋体"/>
          <w:b w:val="0"/>
          <w:color w:val="000000" w:themeColor="text1"/>
          <w:szCs w:val="21"/>
          <w:highlight w:val="none"/>
          <w14:textFill>
            <w14:solidFill>
              <w14:schemeClr w14:val="tx1"/>
            </w14:solidFill>
          </w14:textFill>
        </w:rPr>
        <w:t>20. 争议解决</w:t>
      </w:r>
      <w:bookmarkEnd w:id="878"/>
    </w:p>
    <w:bookmarkEnd w:id="863"/>
    <w:bookmarkEnd w:id="864"/>
    <w:p w14:paraId="10F70261">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争</w:t>
      </w:r>
      <w:bookmarkEnd w:id="865"/>
      <w:r>
        <w:rPr>
          <w:rFonts w:ascii="宋体" w:hAnsi="宋体"/>
          <w:color w:val="000000" w:themeColor="text1"/>
          <w:szCs w:val="21"/>
          <w:highlight w:val="none"/>
          <w14:textFill>
            <w14:solidFill>
              <w14:schemeClr w14:val="tx1"/>
            </w14:solidFill>
          </w14:textFill>
        </w:rPr>
        <w:t>议评审</w:t>
      </w:r>
    </w:p>
    <w:p w14:paraId="75039CED">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合同当事人是否同意将工程争议提交争议评审小组决</w:t>
      </w:r>
      <w:r>
        <w:rPr>
          <w:rFonts w:hint="eastAsia" w:ascii="宋体" w:hAnsi="宋体"/>
          <w:color w:val="000000" w:themeColor="text1"/>
          <w:szCs w:val="21"/>
          <w:highlight w:val="none"/>
          <w14:textFill>
            <w14:solidFill>
              <w14:schemeClr w14:val="tx1"/>
            </w14:solidFill>
          </w14:textFill>
        </w:rPr>
        <w:t>定：</w:t>
      </w:r>
      <w:r>
        <w:rPr>
          <w:rFonts w:hint="eastAsia" w:ascii="宋体" w:hAnsi="宋体"/>
          <w:color w:val="000000" w:themeColor="text1"/>
          <w:szCs w:val="21"/>
          <w:highlight w:val="none"/>
          <w:u w:val="single"/>
          <w14:textFill>
            <w14:solidFill>
              <w14:schemeClr w14:val="tx1"/>
            </w14:solidFill>
          </w14:textFill>
        </w:rPr>
        <w:t xml:space="preserve">  无   </w:t>
      </w:r>
      <w:r>
        <w:rPr>
          <w:rFonts w:hint="eastAsia" w:ascii="宋体" w:hAnsi="宋体"/>
          <w:color w:val="000000" w:themeColor="text1"/>
          <w:szCs w:val="21"/>
          <w:highlight w:val="none"/>
          <w14:textFill>
            <w14:solidFill>
              <w14:schemeClr w14:val="tx1"/>
            </w14:solidFill>
          </w14:textFill>
        </w:rPr>
        <w:t xml:space="preserve">。  </w:t>
      </w:r>
    </w:p>
    <w:p w14:paraId="1C20A05E">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 争议评审小组的确定</w:t>
      </w:r>
    </w:p>
    <w:p w14:paraId="687CEC53">
      <w:pPr>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争议评审小组成员的确定：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DB3A3BA">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选定争议评审员的期限：</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8805D9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争议评审小组成员的报酬承担方式：</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4D3DEA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其他事项的约定：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0987DB03">
      <w:pPr>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20.</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.2 争议评审小组的决定</w:t>
      </w:r>
    </w:p>
    <w:p w14:paraId="290C441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合同当事人关于本项的约定：</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无</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4D0DF11B">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仲裁或诉讼</w:t>
      </w:r>
      <w:bookmarkEnd w:id="866"/>
    </w:p>
    <w:p w14:paraId="0BFBAA3A">
      <w:pPr>
        <w:spacing w:after="120"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因合同及合同有关事项发生的争议，按下列第</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2</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种方式</w:t>
      </w:r>
      <w:r>
        <w:rPr>
          <w:rFonts w:hint="eastAsia" w:ascii="宋体" w:hAnsi="宋体"/>
          <w:color w:val="000000" w:themeColor="text1"/>
          <w:szCs w:val="21"/>
          <w:highlight w:val="none"/>
          <w14:textFill>
            <w14:solidFill>
              <w14:schemeClr w14:val="tx1"/>
            </w14:solidFill>
          </w14:textFill>
        </w:rPr>
        <w:t>解</w:t>
      </w:r>
      <w:r>
        <w:rPr>
          <w:rFonts w:ascii="宋体" w:hAnsi="宋体"/>
          <w:color w:val="000000" w:themeColor="text1"/>
          <w:szCs w:val="21"/>
          <w:highlight w:val="none"/>
          <w14:textFill>
            <w14:solidFill>
              <w14:schemeClr w14:val="tx1"/>
            </w14:solidFill>
          </w14:textFill>
        </w:rPr>
        <w:t>决：</w:t>
      </w:r>
    </w:p>
    <w:p w14:paraId="3B940BF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（1）向</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仲裁委员会申请仲裁；</w:t>
      </w:r>
    </w:p>
    <w:p w14:paraId="6342D325">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（2）向</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项目所在地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人民法院起诉。</w:t>
      </w:r>
      <w:bookmarkEnd w:id="867"/>
      <w:bookmarkEnd w:id="868"/>
      <w:bookmarkEnd w:id="869"/>
      <w:bookmarkEnd w:id="870"/>
      <w:bookmarkEnd w:id="871"/>
      <w:bookmarkEnd w:id="872"/>
    </w:p>
    <w:p w14:paraId="41DCA9A5">
      <w:pPr>
        <w:spacing w:line="360" w:lineRule="auto"/>
        <w:ind w:firstLine="420" w:firstLineChars="200"/>
        <w:outlineLvl w:val="0"/>
        <w:rPr>
          <w:rFonts w:ascii="宋体" w:hAnsi="宋体" w:cs="宋体"/>
          <w:b/>
          <w:bCs/>
          <w:color w:val="000000" w:themeColor="text1"/>
          <w:szCs w:val="21"/>
          <w:highlight w:val="none"/>
          <w14:textFill>
            <w14:solidFill>
              <w14:schemeClr w14:val="tx1"/>
            </w14:solidFill>
          </w14:textFill>
        </w:rPr>
      </w:pPr>
      <w:bookmarkStart w:id="879" w:name="_Toc21828"/>
      <w:r>
        <w:rPr>
          <w:rFonts w:ascii="宋体" w:hAnsi="宋体"/>
          <w:b/>
          <w:bCs/>
          <w:color w:val="000000" w:themeColor="text1"/>
          <w:szCs w:val="21"/>
          <w:highlight w:val="none"/>
          <w14:textFill>
            <w14:solidFill>
              <w14:schemeClr w14:val="tx1"/>
            </w14:solidFill>
          </w14:textFill>
        </w:rPr>
        <w:t>21.</w:t>
      </w:r>
      <w:r>
        <w:rPr>
          <w:rFonts w:hint="eastAsia" w:ascii="宋体" w:hAnsi="宋体" w:cs="宋体"/>
          <w:b/>
          <w:bCs/>
          <w:color w:val="000000" w:themeColor="text1"/>
          <w:szCs w:val="21"/>
          <w:highlight w:val="none"/>
          <w14:textFill>
            <w14:solidFill>
              <w14:schemeClr w14:val="tx1"/>
            </w14:solidFill>
          </w14:textFill>
        </w:rPr>
        <w:t xml:space="preserve"> 补充条款</w:t>
      </w:r>
      <w:bookmarkEnd w:id="879"/>
    </w:p>
    <w:p w14:paraId="5EF04D26">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80" w:name="_Toc8185"/>
      <w:r>
        <w:rPr>
          <w:rFonts w:hint="eastAsia" w:ascii="宋体" w:hAnsi="宋体" w:cs="仿宋"/>
          <w:color w:val="000000" w:themeColor="text1"/>
          <w:szCs w:val="21"/>
          <w:highlight w:val="none"/>
          <w14:textFill>
            <w14:solidFill>
              <w14:schemeClr w14:val="tx1"/>
            </w14:solidFill>
          </w14:textFill>
        </w:rPr>
        <w:t>21.1进场后，承包人的项目经理和项目管理结构及施工现场人员必须与本合同中项目经理简历表及相关人员一致，否则发包人有权终止合同，另行选择施工队伍。本工程必须是具有承包人独立自营完成，工程不得转包和分包。如一经发现转包和分包，发包人有权终止合同，另行选择施工队伍，原施工队伍无条件退出现场，并承担由此引起的一切责任，其他违约责任按专用合同条款16.2.3（2）约定处理。</w:t>
      </w:r>
      <w:bookmarkEnd w:id="880"/>
      <w:r>
        <w:rPr>
          <w:rFonts w:hint="eastAsia" w:ascii="宋体" w:hAnsi="宋体" w:cs="仿宋"/>
          <w:color w:val="000000" w:themeColor="text1"/>
          <w:szCs w:val="21"/>
          <w:highlight w:val="none"/>
          <w14:textFill>
            <w14:solidFill>
              <w14:schemeClr w14:val="tx1"/>
            </w14:solidFill>
          </w14:textFill>
        </w:rPr>
        <w:t xml:space="preserve"> </w:t>
      </w:r>
    </w:p>
    <w:p w14:paraId="205F6F14">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81" w:name="_Toc19839"/>
      <w:r>
        <w:rPr>
          <w:rFonts w:hint="eastAsia" w:ascii="宋体" w:hAnsi="宋体" w:cs="仿宋"/>
          <w:color w:val="000000" w:themeColor="text1"/>
          <w:szCs w:val="21"/>
          <w:highlight w:val="none"/>
          <w14:textFill>
            <w14:solidFill>
              <w14:schemeClr w14:val="tx1"/>
            </w14:solidFill>
          </w14:textFill>
        </w:rPr>
        <w:t>21.2承包人在承包工程期间因承包人原因所发生的一切责任事故，均由承包人承担经济责任和法律责任。</w:t>
      </w:r>
      <w:bookmarkEnd w:id="881"/>
    </w:p>
    <w:p w14:paraId="7FC4325C">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82" w:name="_Toc3948"/>
      <w:r>
        <w:rPr>
          <w:rFonts w:hint="eastAsia" w:ascii="宋体" w:hAnsi="宋体" w:cs="仿宋"/>
          <w:color w:val="000000" w:themeColor="text1"/>
          <w:szCs w:val="21"/>
          <w:highlight w:val="none"/>
          <w14:textFill>
            <w14:solidFill>
              <w14:schemeClr w14:val="tx1"/>
            </w14:solidFill>
          </w14:textFill>
        </w:rPr>
        <w:t>21.3施工过程中承包人应处理好与工程所在地及其周边群众的关系，避免造成施工干扰，由于承包人原因造成的经济损失与工期延误由承包人负责，发包人不予赔偿费用与顺延工期。</w:t>
      </w:r>
      <w:bookmarkEnd w:id="882"/>
    </w:p>
    <w:p w14:paraId="2D1F05ED">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83" w:name="_Toc20442"/>
      <w:r>
        <w:rPr>
          <w:rFonts w:hint="eastAsia" w:ascii="宋体" w:hAnsi="宋体" w:cs="仿宋"/>
          <w:color w:val="000000" w:themeColor="text1"/>
          <w:szCs w:val="21"/>
          <w:highlight w:val="none"/>
          <w14:textFill>
            <w14:solidFill>
              <w14:schemeClr w14:val="tx1"/>
            </w14:solidFill>
          </w14:textFill>
        </w:rPr>
        <w:t>21.4承包人违约有以下情形之一者，发包人有权采取合同规定的以下措施处理，并视情节轻重从应付款项中扣除承包人应支付的违约金。</w:t>
      </w:r>
      <w:bookmarkEnd w:id="883"/>
      <w:r>
        <w:rPr>
          <w:rFonts w:hint="eastAsia" w:ascii="宋体" w:hAnsi="宋体" w:cs="仿宋"/>
          <w:color w:val="000000" w:themeColor="text1"/>
          <w:szCs w:val="21"/>
          <w:highlight w:val="none"/>
          <w14:textFill>
            <w14:solidFill>
              <w14:schemeClr w14:val="tx1"/>
            </w14:solidFill>
          </w14:textFill>
        </w:rPr>
        <w:t xml:space="preserve">  </w:t>
      </w:r>
    </w:p>
    <w:p w14:paraId="1E9853F7">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84" w:name="_Toc2780"/>
      <w:r>
        <w:rPr>
          <w:rFonts w:hint="eastAsia" w:ascii="宋体" w:hAnsi="宋体" w:cs="仿宋"/>
          <w:color w:val="000000" w:themeColor="text1"/>
          <w:szCs w:val="21"/>
          <w:highlight w:val="none"/>
          <w14:textFill>
            <w14:solidFill>
              <w14:schemeClr w14:val="tx1"/>
            </w14:solidFill>
          </w14:textFill>
        </w:rPr>
        <w:t>21.4.1承包人如有违法或分包现象（其中包括冒充承包人下属单位的挂靠单位，凭口头协议参与施工的分包人，及其他暗分包个体户），一经发现核实，发包人将采取驱逐该分包人措施，并扣除违约金，违约金金额为该项目分包总额的10％～20％（由发包人视情节严重而定）。</w:t>
      </w:r>
      <w:bookmarkEnd w:id="884"/>
      <w:r>
        <w:rPr>
          <w:rFonts w:hint="eastAsia" w:ascii="宋体" w:hAnsi="宋体" w:cs="仿宋"/>
          <w:color w:val="000000" w:themeColor="text1"/>
          <w:szCs w:val="21"/>
          <w:highlight w:val="none"/>
          <w14:textFill>
            <w14:solidFill>
              <w14:schemeClr w14:val="tx1"/>
            </w14:solidFill>
          </w14:textFill>
        </w:rPr>
        <w:t xml:space="preserve"> </w:t>
      </w:r>
    </w:p>
    <w:p w14:paraId="146F2594">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85" w:name="_Toc30756"/>
      <w:r>
        <w:rPr>
          <w:rFonts w:hint="eastAsia" w:ascii="宋体" w:hAnsi="宋体" w:cs="仿宋"/>
          <w:color w:val="000000" w:themeColor="text1"/>
          <w:szCs w:val="21"/>
          <w:highlight w:val="none"/>
          <w14:textFill>
            <w14:solidFill>
              <w14:schemeClr w14:val="tx1"/>
            </w14:solidFill>
          </w14:textFill>
        </w:rPr>
        <w:t>21.4.2未经发包人和监理工程师（如果有）审查批准，施工期间内承包人调走主要施工技术人员（包括项目经理、技术负责人），经发现不及时调回的，或虽然批准调换项目经理而影响施工进度和质量的扣除违约金2000元。该项目经理、技术负责人有以下行为的：①未按施工图或经审批的施工方案施工，②有安全隐患，③检验批质量检测不合格，④现场打架斗殴、赌博等违法行为，发包人将要求承包人支付违约金3000元/次，情节严重的发包人有权解除合同。</w:t>
      </w:r>
      <w:bookmarkEnd w:id="885"/>
    </w:p>
    <w:p w14:paraId="206823F6">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86" w:name="_Toc23503"/>
      <w:r>
        <w:rPr>
          <w:rFonts w:hint="eastAsia" w:ascii="宋体" w:hAnsi="宋体" w:cs="仿宋"/>
          <w:color w:val="000000" w:themeColor="text1"/>
          <w:szCs w:val="21"/>
          <w:highlight w:val="none"/>
          <w14:textFill>
            <w14:solidFill>
              <w14:schemeClr w14:val="tx1"/>
            </w14:solidFill>
          </w14:textFill>
        </w:rPr>
        <w:t>21.4.3所有以上扣除违约金金额均在承包人的工程进度款内扣除。</w:t>
      </w:r>
      <w:bookmarkEnd w:id="886"/>
      <w:r>
        <w:rPr>
          <w:rFonts w:hint="eastAsia" w:ascii="宋体" w:hAnsi="宋体" w:cs="仿宋"/>
          <w:color w:val="000000" w:themeColor="text1"/>
          <w:szCs w:val="21"/>
          <w:highlight w:val="none"/>
          <w14:textFill>
            <w14:solidFill>
              <w14:schemeClr w14:val="tx1"/>
            </w14:solidFill>
          </w14:textFill>
        </w:rPr>
        <w:t xml:space="preserve">   </w:t>
      </w:r>
    </w:p>
    <w:p w14:paraId="5FF36FA4">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87" w:name="_Toc23285"/>
      <w:r>
        <w:rPr>
          <w:rFonts w:hint="eastAsia" w:ascii="宋体" w:hAnsi="宋体" w:cs="仿宋"/>
          <w:color w:val="000000" w:themeColor="text1"/>
          <w:szCs w:val="21"/>
          <w:highlight w:val="none"/>
          <w14:textFill>
            <w14:solidFill>
              <w14:schemeClr w14:val="tx1"/>
            </w14:solidFill>
          </w14:textFill>
        </w:rPr>
        <w:t>21.5承包人自行解决工程在施工过程中所发生的民事、行政、刑事纠纷，由此产生的相关法律法规问题，发包人不负责，但因承包人原因造成发包人、第三人损失的，承包人需全额赔偿损失。</w:t>
      </w:r>
      <w:bookmarkEnd w:id="887"/>
    </w:p>
    <w:p w14:paraId="30F44E55">
      <w:pPr>
        <w:spacing w:line="360" w:lineRule="auto"/>
        <w:ind w:firstLine="420" w:firstLineChars="200"/>
        <w:outlineLvl w:val="0"/>
        <w:rPr>
          <w:rFonts w:ascii="宋体" w:hAnsi="宋体"/>
          <w:color w:val="000000" w:themeColor="text1"/>
          <w:szCs w:val="21"/>
          <w:highlight w:val="none"/>
          <w14:textFill>
            <w14:solidFill>
              <w14:schemeClr w14:val="tx1"/>
            </w14:solidFill>
          </w14:textFill>
        </w:rPr>
      </w:pPr>
      <w:bookmarkStart w:id="888" w:name="_Toc6401"/>
      <w:r>
        <w:rPr>
          <w:rFonts w:hint="eastAsia" w:ascii="宋体" w:hAnsi="宋体" w:cs="仿宋"/>
          <w:color w:val="000000" w:themeColor="text1"/>
          <w:szCs w:val="21"/>
          <w:highlight w:val="none"/>
          <w14:textFill>
            <w14:solidFill>
              <w14:schemeClr w14:val="tx1"/>
            </w14:solidFill>
          </w14:textFill>
        </w:rPr>
        <w:t>21.6承包人报送的结算总价与有资质的造价机构审核后经发包人、承包人确认的结算审定价若审减金额大于送审价5%时，则超出送审价5%部分审减额的审核服务费由承包人承担，审核服务费按《广西壮族自治区物价局关于我区工程造价咨询服务收费标准》执行。如项目结算符合财政投资评审范围，承包人应按照广西壮族自治区财政厅财政投资评审中心要求提交结算评审资料，以财政部门评审要求为准。</w:t>
      </w:r>
      <w:bookmarkEnd w:id="888"/>
    </w:p>
    <w:p w14:paraId="1B510AB1">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89" w:name="_Toc16017"/>
      <w:r>
        <w:rPr>
          <w:rFonts w:hint="eastAsia" w:ascii="宋体" w:hAnsi="宋体" w:cs="仿宋"/>
          <w:color w:val="000000" w:themeColor="text1"/>
          <w:szCs w:val="21"/>
          <w:highlight w:val="none"/>
          <w14:textFill>
            <w14:solidFill>
              <w14:schemeClr w14:val="tx1"/>
            </w14:solidFill>
          </w14:textFill>
        </w:rPr>
        <w:t>21.7 承包人在竣工验收或者交付使用前，应做好对施工现场的安全管理及防范措施，加强对施工人员的安全教育，如在施工现场或者施工人员发生安全事故，所有法律责任由承包人承担，并赔偿一切损失。同时，承包人发生下列情况的，应向甲方支付违约金：</w:t>
      </w:r>
      <w:bookmarkEnd w:id="889"/>
    </w:p>
    <w:p w14:paraId="45926154">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90" w:name="_Toc14390"/>
      <w:r>
        <w:rPr>
          <w:rFonts w:hint="eastAsia" w:ascii="宋体" w:hAnsi="宋体" w:cs="仿宋"/>
          <w:color w:val="000000" w:themeColor="text1"/>
          <w:szCs w:val="21"/>
          <w:highlight w:val="none"/>
          <w14:textFill>
            <w14:solidFill>
              <w14:schemeClr w14:val="tx1"/>
            </w14:solidFill>
          </w14:textFill>
        </w:rPr>
        <w:t>1.事故引起当地公安部门出警的，每次支付2万元违约金；</w:t>
      </w:r>
      <w:bookmarkEnd w:id="890"/>
    </w:p>
    <w:p w14:paraId="69E263AB">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91" w:name="_Toc12282"/>
      <w:r>
        <w:rPr>
          <w:rFonts w:hint="eastAsia" w:ascii="宋体" w:hAnsi="宋体" w:cs="仿宋"/>
          <w:color w:val="000000" w:themeColor="text1"/>
          <w:szCs w:val="21"/>
          <w:highlight w:val="none"/>
          <w14:textFill>
            <w14:solidFill>
              <w14:schemeClr w14:val="tx1"/>
            </w14:solidFill>
          </w14:textFill>
        </w:rPr>
        <w:t>2.事故被桂林市县、区级政府相关行政部门通报，每次支付3万元违约金；</w:t>
      </w:r>
      <w:bookmarkEnd w:id="891"/>
    </w:p>
    <w:p w14:paraId="382F483D">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92" w:name="_Toc28556"/>
      <w:r>
        <w:rPr>
          <w:rFonts w:hint="eastAsia" w:ascii="宋体" w:hAnsi="宋体" w:cs="仿宋"/>
          <w:color w:val="000000" w:themeColor="text1"/>
          <w:szCs w:val="21"/>
          <w:highlight w:val="none"/>
          <w14:textFill>
            <w14:solidFill>
              <w14:schemeClr w14:val="tx1"/>
            </w14:solidFill>
          </w14:textFill>
        </w:rPr>
        <w:t>3.事故被桂林市政府及其相关部门通报的，每次支付5万元违约金：</w:t>
      </w:r>
      <w:bookmarkEnd w:id="892"/>
    </w:p>
    <w:p w14:paraId="3E58207D">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93" w:name="_Toc32106"/>
      <w:r>
        <w:rPr>
          <w:rFonts w:hint="eastAsia" w:ascii="宋体" w:hAnsi="宋体" w:cs="仿宋"/>
          <w:color w:val="000000" w:themeColor="text1"/>
          <w:szCs w:val="21"/>
          <w:highlight w:val="none"/>
          <w14:textFill>
            <w14:solidFill>
              <w14:schemeClr w14:val="tx1"/>
            </w14:solidFill>
          </w14:textFill>
        </w:rPr>
        <w:t>4.事故被广西壮族自治区政府及其相关部门通报的，每次支付10万元违约金。</w:t>
      </w:r>
      <w:bookmarkEnd w:id="893"/>
    </w:p>
    <w:p w14:paraId="0EEF7397">
      <w:pPr>
        <w:spacing w:line="360" w:lineRule="auto"/>
        <w:ind w:firstLine="420" w:firstLineChars="200"/>
        <w:outlineLvl w:val="0"/>
        <w:rPr>
          <w:rFonts w:ascii="宋体" w:hAnsi="宋体" w:cs="仿宋"/>
          <w:color w:val="000000" w:themeColor="text1"/>
          <w:szCs w:val="21"/>
          <w:highlight w:val="none"/>
          <w14:textFill>
            <w14:solidFill>
              <w14:schemeClr w14:val="tx1"/>
            </w14:solidFill>
          </w14:textFill>
        </w:rPr>
      </w:pPr>
      <w:bookmarkStart w:id="894" w:name="_Toc27266"/>
      <w:r>
        <w:rPr>
          <w:rFonts w:hint="eastAsia" w:ascii="宋体" w:hAnsi="宋体" w:cs="仿宋"/>
          <w:color w:val="000000" w:themeColor="text1"/>
          <w:szCs w:val="21"/>
          <w:highlight w:val="none"/>
          <w14:textFill>
            <w14:solidFill>
              <w14:schemeClr w14:val="tx1"/>
            </w14:solidFill>
          </w14:textFill>
        </w:rPr>
        <w:t>如因发生事故给发包人造成其他经济损失的，承包人应当予以赔偿。</w:t>
      </w:r>
      <w:bookmarkEnd w:id="894"/>
    </w:p>
    <w:p w14:paraId="32502889">
      <w:pPr>
        <w:pStyle w:val="3"/>
        <w:spacing w:before="0" w:after="0" w:line="360" w:lineRule="auto"/>
        <w:ind w:firstLine="210" w:firstLineChars="100"/>
        <w:rPr>
          <w:rFonts w:ascii="宋体" w:hAnsi="宋体"/>
          <w:color w:val="000000" w:themeColor="text1"/>
          <w:sz w:val="21"/>
          <w:szCs w:val="21"/>
          <w:highlight w:val="none"/>
          <w14:textFill>
            <w14:solidFill>
              <w14:schemeClr w14:val="tx1"/>
            </w14:solidFill>
          </w14:textFill>
        </w:rPr>
      </w:pPr>
      <w:bookmarkStart w:id="895" w:name="_Toc10705"/>
      <w:r>
        <w:rPr>
          <w:rFonts w:hint="eastAsia" w:ascii="宋体" w:hAnsi="宋体" w:cs="仿宋"/>
          <w:b w:val="0"/>
          <w:color w:val="000000" w:themeColor="text1"/>
          <w:sz w:val="21"/>
          <w:szCs w:val="21"/>
          <w:highlight w:val="none"/>
          <w14:textFill>
            <w14:solidFill>
              <w14:schemeClr w14:val="tx1"/>
            </w14:solidFill>
          </w14:textFill>
        </w:rPr>
        <w:t>21.8承包人接到发包人进场通知后3天内组织进场，每延迟一天，按500元/天支付违约金，延迟超过10天，甲方有权取消其中标人资格或解除合同；</w:t>
      </w:r>
      <w:bookmarkEnd w:id="895"/>
    </w:p>
    <w:p w14:paraId="22DDF0DC">
      <w:pPr>
        <w:spacing w:line="360" w:lineRule="auto"/>
        <w:ind w:firstLine="420" w:firstLineChars="200"/>
        <w:jc w:val="left"/>
        <w:rPr>
          <w:rFonts w:ascii="宋体" w:hAnsi="宋体"/>
          <w:b/>
          <w:color w:val="000000" w:themeColor="text1"/>
          <w:szCs w:val="21"/>
          <w:highlight w:val="none"/>
          <w14:textFill>
            <w14:solidFill>
              <w14:schemeClr w14:val="tx1"/>
            </w14:solidFill>
          </w14:textFill>
        </w:rPr>
      </w:pPr>
      <w:bookmarkStart w:id="896" w:name="_Toc351203652"/>
      <w:r>
        <w:rPr>
          <w:rFonts w:ascii="宋体" w:hAnsi="宋体"/>
          <w:b/>
          <w:color w:val="000000" w:themeColor="text1"/>
          <w:szCs w:val="21"/>
          <w:highlight w:val="none"/>
          <w14:textFill>
            <w14:solidFill>
              <w14:schemeClr w14:val="tx1"/>
            </w14:solidFill>
          </w14:textFill>
        </w:rPr>
        <w:t>附件</w:t>
      </w:r>
      <w:bookmarkEnd w:id="896"/>
    </w:p>
    <w:p w14:paraId="02516664">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专用合同条款附件：</w:t>
      </w:r>
    </w:p>
    <w:p w14:paraId="6F84A6AC">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附件</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：工程质量保修书</w:t>
      </w:r>
    </w:p>
    <w:p w14:paraId="1925D171">
      <w:pPr>
        <w:spacing w:line="440" w:lineRule="exact"/>
        <w:rPr>
          <w:rFonts w:ascii="宋体" w:hAnsi="宋体"/>
          <w:b/>
          <w:color w:val="000000" w:themeColor="text1"/>
          <w:szCs w:val="21"/>
          <w:highlight w:val="none"/>
          <w14:textFill>
            <w14:solidFill>
              <w14:schemeClr w14:val="tx1"/>
            </w14:solidFill>
          </w14:textFill>
        </w:rPr>
        <w:sectPr>
          <w:footerReference r:id="rId7" w:type="first"/>
          <w:pgSz w:w="11906" w:h="16838"/>
          <w:pgMar w:top="1418" w:right="1531" w:bottom="1418" w:left="1554" w:header="851" w:footer="992" w:gutter="0"/>
          <w:cols w:space="708" w:num="1"/>
          <w:titlePg/>
          <w:docGrid w:type="linesAndChars" w:linePitch="312" w:charSpace="0"/>
        </w:sectPr>
      </w:pPr>
    </w:p>
    <w:p w14:paraId="2C0AD054">
      <w:pPr>
        <w:spacing w:line="440" w:lineRule="exact"/>
        <w:rPr>
          <w:rFonts w:ascii="宋体" w:hAnsi="宋体"/>
          <w:color w:val="000000" w:themeColor="text1"/>
          <w:szCs w:val="21"/>
          <w:highlight w:val="none"/>
          <w14:textFill>
            <w14:solidFill>
              <w14:schemeClr w14:val="tx1"/>
            </w14:solidFill>
          </w14:textFill>
        </w:rPr>
      </w:pPr>
    </w:p>
    <w:p w14:paraId="223F343F">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附</w:t>
      </w:r>
      <w:bookmarkStart w:id="897" w:name="_Toc267261693"/>
      <w:bookmarkStart w:id="898" w:name="_Toc296346727"/>
      <w:bookmarkStart w:id="899" w:name="_Toc296503226"/>
      <w:bookmarkStart w:id="900" w:name="_Toc296944565"/>
      <w:bookmarkStart w:id="901" w:name="_Toc296891054"/>
      <w:bookmarkStart w:id="902" w:name="_Toc296891266"/>
      <w:bookmarkStart w:id="903" w:name="_Toc296347225"/>
      <w:r>
        <w:rPr>
          <w:rFonts w:ascii="宋体" w:hAnsi="宋体"/>
          <w:color w:val="000000" w:themeColor="text1"/>
          <w:szCs w:val="21"/>
          <w:highlight w:val="none"/>
          <w14:textFill>
            <w14:solidFill>
              <w14:schemeClr w14:val="tx1"/>
            </w14:solidFill>
          </w14:textFill>
        </w:rPr>
        <w:t>件</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bookmarkEnd w:id="897"/>
      <w:bookmarkEnd w:id="898"/>
      <w:bookmarkEnd w:id="899"/>
      <w:bookmarkEnd w:id="900"/>
      <w:bookmarkEnd w:id="901"/>
      <w:bookmarkEnd w:id="902"/>
      <w:bookmarkEnd w:id="903"/>
      <w:r>
        <w:rPr>
          <w:rFonts w:ascii="宋体" w:hAnsi="宋体"/>
          <w:color w:val="000000" w:themeColor="text1"/>
          <w:szCs w:val="21"/>
          <w:highlight w:val="none"/>
          <w14:textFill>
            <w14:solidFill>
              <w14:schemeClr w14:val="tx1"/>
            </w14:solidFill>
          </w14:textFill>
        </w:rPr>
        <w:t xml:space="preserve">    </w:t>
      </w:r>
    </w:p>
    <w:p w14:paraId="542E33DC">
      <w:pPr>
        <w:spacing w:before="120" w:beforeLines="50" w:after="120" w:afterLines="50" w:line="44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工程质量保修书</w:t>
      </w:r>
    </w:p>
    <w:p w14:paraId="4D59F4F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发包人（全称）：</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广西师范大学</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6E5587EC">
      <w:pPr>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承包人（全称）：</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p>
    <w:p w14:paraId="65410BF9">
      <w:pPr>
        <w:spacing w:line="440" w:lineRule="exact"/>
        <w:rPr>
          <w:rFonts w:ascii="宋体" w:hAnsi="宋体"/>
          <w:color w:val="000000" w:themeColor="text1"/>
          <w:szCs w:val="21"/>
          <w:highlight w:val="none"/>
          <w14:textFill>
            <w14:solidFill>
              <w14:schemeClr w14:val="tx1"/>
            </w14:solidFill>
          </w14:textFill>
        </w:rPr>
      </w:pPr>
    </w:p>
    <w:p w14:paraId="79A71FDB">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（工程全称）签订工程质量保修书。</w:t>
      </w:r>
    </w:p>
    <w:p w14:paraId="01E4C9EB">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一、工程质量保修范围和内容</w:t>
      </w:r>
    </w:p>
    <w:p w14:paraId="330A6666">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34CEBF17">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pacing w:val="1"/>
          <w:szCs w:val="21"/>
          <w:highlight w:val="none"/>
          <w:u w:val="single"/>
          <w14:textFill>
            <w14:solidFill>
              <w14:schemeClr w14:val="tx1"/>
            </w14:solidFill>
          </w14:textFill>
        </w:rPr>
        <w:t>承包人工程承包范围内施工图所有</w:t>
      </w:r>
      <w:r>
        <w:rPr>
          <w:rFonts w:hint="eastAsia" w:ascii="宋体" w:hAnsi="宋体" w:cs="仿宋"/>
          <w:color w:val="000000" w:themeColor="text1"/>
          <w:spacing w:val="-1"/>
          <w:szCs w:val="21"/>
          <w:highlight w:val="none"/>
          <w:u w:val="single"/>
          <w14:textFill>
            <w14:solidFill>
              <w14:schemeClr w14:val="tx1"/>
            </w14:solidFill>
          </w14:textFill>
        </w:rPr>
        <w:t>内容及实际</w:t>
      </w:r>
      <w:r>
        <w:rPr>
          <w:rFonts w:hint="eastAsia" w:ascii="宋体" w:hAnsi="宋体" w:cs="仿宋"/>
          <w:color w:val="000000" w:themeColor="text1"/>
          <w:szCs w:val="21"/>
          <w:highlight w:val="none"/>
          <w:u w:val="single"/>
          <w14:textFill>
            <w14:solidFill>
              <w14:schemeClr w14:val="tx1"/>
            </w14:solidFill>
          </w14:textFill>
        </w:rPr>
        <w:t>施工的所有内容</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66B19211">
      <w:pPr>
        <w:spacing w:line="360" w:lineRule="auto"/>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w:t>
      </w:r>
      <w:r>
        <w:rPr>
          <w:rFonts w:ascii="宋体" w:hAnsi="宋体"/>
          <w:color w:val="000000" w:themeColor="text1"/>
          <w:szCs w:val="21"/>
          <w:highlight w:val="none"/>
          <w14:textFill>
            <w14:solidFill>
              <w14:schemeClr w14:val="tx1"/>
            </w14:solidFill>
          </w14:textFill>
        </w:rPr>
        <w:t>二、质量保修期</w:t>
      </w:r>
    </w:p>
    <w:p w14:paraId="332C047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根据《建设工程质量管理条例》及有关规定，工程的质量保修期如下：</w:t>
      </w:r>
    </w:p>
    <w:p w14:paraId="0E364437">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02F146D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屋面防水工程、有防水要求的卫生间、房间和外墙面的防渗</w:t>
      </w:r>
      <w:r>
        <w:rPr>
          <w:rFonts w:hint="eastAsia" w:ascii="宋体" w:hAnsi="宋体"/>
          <w:color w:val="000000" w:themeColor="text1"/>
          <w:szCs w:val="21"/>
          <w:highlight w:val="none"/>
          <w14:textFill>
            <w14:solidFill>
              <w14:schemeClr w14:val="tx1"/>
            </w14:solidFill>
          </w14:textFill>
        </w:rPr>
        <w:t xml:space="preserve">     为</w:t>
      </w:r>
      <w:r>
        <w:rPr>
          <w:rFonts w:hint="eastAsia" w:ascii="宋体" w:hAnsi="宋体"/>
          <w:color w:val="000000" w:themeColor="text1"/>
          <w:szCs w:val="21"/>
          <w:highlight w:val="none"/>
          <w:u w:val="single"/>
          <w14:textFill>
            <w14:solidFill>
              <w14:schemeClr w14:val="tx1"/>
            </w14:solidFill>
          </w14:textFill>
        </w:rPr>
        <w:t xml:space="preserve">    伍    </w:t>
      </w:r>
      <w:r>
        <w:rPr>
          <w:rFonts w:ascii="宋体" w:hAnsi="宋体"/>
          <w:color w:val="000000" w:themeColor="text1"/>
          <w:szCs w:val="21"/>
          <w:highlight w:val="none"/>
          <w14:textFill>
            <w14:solidFill>
              <w14:schemeClr w14:val="tx1"/>
            </w14:solidFill>
          </w14:textFill>
        </w:rPr>
        <w:t>年；</w:t>
      </w:r>
    </w:p>
    <w:p w14:paraId="14FB6FA3">
      <w:pPr>
        <w:spacing w:line="360" w:lineRule="auto"/>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装修工程为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贰</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p>
    <w:p w14:paraId="4EB5F1F1">
      <w:pPr>
        <w:spacing w:line="360" w:lineRule="auto"/>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电气管线、给排水管道、设备安装工程为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贰</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p>
    <w:p w14:paraId="66842AA4">
      <w:pPr>
        <w:spacing w:line="360" w:lineRule="auto"/>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供热与供冷系统为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贰</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个采暖期、供冷期；</w:t>
      </w:r>
    </w:p>
    <w:p w14:paraId="47A500D8">
      <w:pPr>
        <w:spacing w:line="360" w:lineRule="auto"/>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住宅小区内的给排水设施、道路等配套工程为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贰</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p>
    <w:p w14:paraId="6498C219">
      <w:pPr>
        <w:spacing w:line="360" w:lineRule="auto"/>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其他项目保修期限约定如下：</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在没有明文规定下，参照建设工程质量保修条例，双方协商为设计规定的该工程的合理使用年限内保修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6A07C86">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质量保修期自工程竣工验收合格之日起计算。</w:t>
      </w:r>
    </w:p>
    <w:p w14:paraId="7B7AEB9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三、缺陷责任期</w:t>
      </w:r>
    </w:p>
    <w:p w14:paraId="04D4460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工程缺陷责任期为</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24</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个月，缺陷责任期自工程</w:t>
      </w:r>
      <w:r>
        <w:rPr>
          <w:rFonts w:hint="eastAsia" w:ascii="宋体" w:hAnsi="宋体"/>
          <w:color w:val="000000" w:themeColor="text1"/>
          <w:szCs w:val="21"/>
          <w:highlight w:val="none"/>
          <w14:textFill>
            <w14:solidFill>
              <w14:schemeClr w14:val="tx1"/>
            </w14:solidFill>
          </w14:textFill>
        </w:rPr>
        <w:t>实际竣工</w:t>
      </w:r>
      <w:r>
        <w:rPr>
          <w:rFonts w:ascii="宋体" w:hAnsi="宋体"/>
          <w:color w:val="000000" w:themeColor="text1"/>
          <w:szCs w:val="21"/>
          <w:highlight w:val="none"/>
          <w14:textFill>
            <w14:solidFill>
              <w14:schemeClr w14:val="tx1"/>
            </w14:solidFill>
          </w14:textFill>
        </w:rPr>
        <w:t>之日起计算。单位工程先于全部工程进行验收，单位工程缺陷责任期自单位工程验收合格之日起算。</w:t>
      </w:r>
    </w:p>
    <w:p w14:paraId="4642FB98">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四、质量保修责任</w:t>
      </w:r>
    </w:p>
    <w:p w14:paraId="45BDF800">
      <w:pPr>
        <w:spacing w:line="360" w:lineRule="auto"/>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属于保修范围、内容的项目，承包人应当在接到保修通知之日起</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天内派人保修。承包人不在约定期限内派人保修的，发包人可以委托他人修理。</w:t>
      </w:r>
    </w:p>
    <w:p w14:paraId="31BFFD66">
      <w:pPr>
        <w:spacing w:line="360" w:lineRule="auto"/>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发生紧急事故需抢修的，承包人在接到事故通知后，应当立即到达事故现场抢修。</w:t>
      </w:r>
    </w:p>
    <w:p w14:paraId="3FEFCDB2">
      <w:pPr>
        <w:spacing w:line="360" w:lineRule="auto"/>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5E6B776">
      <w:pPr>
        <w:spacing w:line="360" w:lineRule="auto"/>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质量保修完成后，由发包人组织验收。</w:t>
      </w:r>
    </w:p>
    <w:p w14:paraId="7401ED35">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五、保修费用</w:t>
      </w:r>
    </w:p>
    <w:p w14:paraId="7D2EE97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保修费用由造成质量缺陷的责任方承担。</w:t>
      </w:r>
      <w:r>
        <w:rPr>
          <w:rFonts w:hint="eastAsia" w:ascii="宋体" w:hAnsi="宋体"/>
          <w:color w:val="000000" w:themeColor="text1"/>
          <w:szCs w:val="21"/>
          <w:highlight w:val="none"/>
          <w14:textFill>
            <w14:solidFill>
              <w14:schemeClr w14:val="tx1"/>
            </w14:solidFill>
          </w14:textFill>
        </w:rPr>
        <w:t>如承包人在接到修理通知后三日内不履行修理责任，发包人有权安排其他施工单位修理，所产生的修理费用从承包人质量保证金中支出。</w:t>
      </w:r>
    </w:p>
    <w:p w14:paraId="13C7F162">
      <w:pPr>
        <w:spacing w:line="360" w:lineRule="auto"/>
        <w:jc w:val="left"/>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、双方约定的其他工程质量保修事项：</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本工程双方约定质保金按工程审定总价的3%扣留，质保期满后</w:t>
      </w:r>
      <w:r>
        <w:rPr>
          <w:rFonts w:hint="eastAsia" w:ascii="宋体" w:hAnsi="宋体" w:cs="仿宋"/>
          <w:color w:val="000000" w:themeColor="text1"/>
          <w:szCs w:val="21"/>
          <w:highlight w:val="none"/>
          <w:u w:val="single"/>
          <w14:textFill>
            <w14:solidFill>
              <w14:schemeClr w14:val="tx1"/>
            </w14:solidFill>
          </w14:textFill>
        </w:rPr>
        <w:t xml:space="preserve"> 14 天内， 视保修情况，无息退还承包人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p>
    <w:p w14:paraId="7BF048F5">
      <w:pPr>
        <w:spacing w:line="360" w:lineRule="auto"/>
        <w:ind w:firstLine="399" w:firstLineChars="19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4FD90716">
      <w:pPr>
        <w:spacing w:line="360" w:lineRule="auto"/>
        <w:ind w:firstLine="420"/>
        <w:rPr>
          <w:rFonts w:ascii="宋体" w:hAnsi="宋体"/>
          <w:color w:val="000000" w:themeColor="text1"/>
          <w:szCs w:val="21"/>
          <w:highlight w:val="none"/>
          <w14:textFill>
            <w14:solidFill>
              <w14:schemeClr w14:val="tx1"/>
            </w14:solidFill>
          </w14:textFill>
        </w:rPr>
      </w:pPr>
    </w:p>
    <w:p w14:paraId="6232019E">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发包人(公章)：</w:t>
      </w:r>
      <w:r>
        <w:rPr>
          <w:rFonts w:ascii="宋体" w:hAnsi="宋体"/>
          <w:color w:val="000000" w:themeColor="text1"/>
          <w:szCs w:val="21"/>
          <w:highlight w:val="none"/>
          <w:u w:val="single"/>
          <w14:textFill>
            <w14:solidFill>
              <w14:schemeClr w14:val="tx1"/>
            </w14:solidFill>
          </w14:textFill>
        </w:rPr>
        <w:t xml:space="preserve">  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承包人(公章)：</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3440DAEC">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  址：</w:t>
      </w:r>
      <w:r>
        <w:rPr>
          <w:rFonts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地  址：</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42917D56">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法定代表人(签字)：</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法定代表人(签字)：</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5475E134">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委托代理人(签字)：</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委托代理人(签字)：</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4953D3FE">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  话：</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电  话：</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13ACE7B6">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  真：</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传  真：</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2F007C4E">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开户银行：</w:t>
      </w:r>
      <w:r>
        <w:rPr>
          <w:rFonts w:hint="eastAsia" w:ascii="宋体" w:hAnsi="宋体" w:cs="仿宋"/>
          <w:color w:val="000000" w:themeColor="text1"/>
          <w:szCs w:val="21"/>
          <w:highlight w:val="none"/>
          <w:u w:val="single"/>
          <w14:textFill>
            <w14:solidFill>
              <w14:schemeClr w14:val="tx1"/>
            </w14:solidFill>
          </w14:textFill>
        </w:rPr>
        <w:t>中国工商银行桂林市</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开户银行：</w:t>
      </w:r>
      <w:r>
        <w:rPr>
          <w:rFonts w:ascii="宋体" w:hAnsi="宋体"/>
          <w:color w:val="000000" w:themeColor="text1"/>
          <w:szCs w:val="21"/>
          <w:highlight w:val="none"/>
          <w:u w:val="single"/>
          <w14:textFill>
            <w14:solidFill>
              <w14:schemeClr w14:val="tx1"/>
            </w14:solidFill>
          </w14:textFill>
        </w:rPr>
        <w:t xml:space="preserve">   </w:t>
      </w:r>
    </w:p>
    <w:p w14:paraId="11257F2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single"/>
          <w14:textFill>
            <w14:solidFill>
              <w14:schemeClr w14:val="tx1"/>
            </w14:solidFill>
          </w14:textFill>
        </w:rPr>
        <w:t xml:space="preserve">高新技术开发区支行 </w:t>
      </w:r>
    </w:p>
    <w:p w14:paraId="7C9DF01F">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账  号：</w:t>
      </w:r>
      <w:r>
        <w:rPr>
          <w:rFonts w:ascii="宋体" w:hAnsi="宋体"/>
          <w:color w:val="000000" w:themeColor="text1"/>
          <w:szCs w:val="21"/>
          <w:highlight w:val="none"/>
          <w:u w:val="single"/>
          <w14:textFill>
            <w14:solidFill>
              <w14:schemeClr w14:val="tx1"/>
            </w14:solidFill>
          </w14:textFill>
        </w:rPr>
        <w:t></w:t>
      </w:r>
      <w:r>
        <w:rPr>
          <w:rFonts w:hint="eastAsia" w:ascii="宋体" w:hAnsi="宋体" w:cs="仿宋"/>
          <w:color w:val="000000" w:themeColor="text1"/>
          <w:szCs w:val="21"/>
          <w:highlight w:val="none"/>
          <w:u w:val="single"/>
          <w14:textFill>
            <w14:solidFill>
              <w14:schemeClr w14:val="tx1"/>
            </w14:solidFill>
          </w14:textFill>
        </w:rPr>
        <w:t>2103215109264004618</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账</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号：</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p w14:paraId="6462DF6B">
      <w:pPr>
        <w:outlineLvl w:val="0"/>
        <w:rPr>
          <w:rFonts w:ascii="宋体" w:hAnsi="宋体"/>
          <w:color w:val="000000" w:themeColor="text1"/>
          <w:szCs w:val="21"/>
          <w:highlight w:val="none"/>
          <w14:textFill>
            <w14:solidFill>
              <w14:schemeClr w14:val="tx1"/>
            </w14:solidFill>
          </w14:textFill>
        </w:rPr>
      </w:pPr>
      <w:bookmarkStart w:id="904" w:name="_Toc14349"/>
      <w:r>
        <w:rPr>
          <w:rFonts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s="仿宋"/>
          <w:color w:val="000000" w:themeColor="text1"/>
          <w:szCs w:val="21"/>
          <w:highlight w:val="none"/>
          <w:u w:val="single"/>
          <w14:textFill>
            <w14:solidFill>
              <w14:schemeClr w14:val="tx1"/>
            </w14:solidFill>
          </w14:textFill>
        </w:rPr>
        <w:t>541004</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w:t>
      </w:r>
      <w:bookmarkEnd w:id="904"/>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bookmarkStart w:id="905" w:name="_Toc296891268"/>
      <w:bookmarkStart w:id="906" w:name="_Toc267261699"/>
      <w:bookmarkStart w:id="907" w:name="_Toc296944567"/>
      <w:bookmarkStart w:id="908" w:name="_Toc296891056"/>
      <w:bookmarkStart w:id="909" w:name="_Toc296346729"/>
      <w:bookmarkStart w:id="910" w:name="_Toc296503228"/>
      <w:bookmarkStart w:id="911" w:name="_Toc296347227"/>
      <w:r>
        <w:rPr>
          <w:rFonts w:ascii="宋体" w:hAnsi="宋体"/>
          <w:color w:val="000000" w:themeColor="text1"/>
          <w:szCs w:val="21"/>
          <w:highlight w:val="none"/>
          <w14:textFill>
            <w14:solidFill>
              <w14:schemeClr w14:val="tx1"/>
            </w14:solidFill>
          </w14:textFill>
        </w:rPr>
        <w:t xml:space="preserve"> </w:t>
      </w:r>
      <w:bookmarkEnd w:id="905"/>
      <w:bookmarkEnd w:id="906"/>
      <w:bookmarkEnd w:id="907"/>
      <w:bookmarkEnd w:id="908"/>
      <w:bookmarkEnd w:id="909"/>
      <w:bookmarkEnd w:id="910"/>
      <w:bookmarkEnd w:id="911"/>
      <w:r>
        <w:rPr>
          <w:rFonts w:ascii="宋体" w:hAnsi="宋体"/>
          <w:color w:val="000000" w:themeColor="text1"/>
          <w:szCs w:val="21"/>
          <w:highlight w:val="none"/>
          <w14:textFill>
            <w14:solidFill>
              <w14:schemeClr w14:val="tx1"/>
            </w14:solidFill>
          </w14:textFill>
        </w:rPr>
        <w:t xml:space="preserve">  </w:t>
      </w:r>
    </w:p>
    <w:p w14:paraId="49659FCB">
      <w:pPr>
        <w:pStyle w:val="69"/>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br w:type="page"/>
      </w:r>
    </w:p>
    <w:p w14:paraId="517E85C4">
      <w:pPr>
        <w:jc w:val="center"/>
        <w:outlineLvl w:val="0"/>
        <w:rPr>
          <w:rFonts w:ascii="华文中宋" w:hAnsi="华文中宋" w:eastAsia="华文中宋" w:cs="华文中宋"/>
          <w:b/>
          <w:bCs/>
          <w:color w:val="000000" w:themeColor="text1"/>
          <w:sz w:val="32"/>
          <w:szCs w:val="32"/>
          <w:highlight w:val="none"/>
          <w14:textFill>
            <w14:solidFill>
              <w14:schemeClr w14:val="tx1"/>
            </w14:solidFill>
          </w14:textFill>
        </w:rPr>
      </w:pPr>
      <w:bookmarkStart w:id="912" w:name="_Toc18699"/>
      <w:r>
        <w:rPr>
          <w:rFonts w:hint="eastAsia" w:ascii="华文中宋" w:hAnsi="华文中宋" w:eastAsia="华文中宋" w:cs="华文中宋"/>
          <w:b/>
          <w:bCs/>
          <w:color w:val="000000" w:themeColor="text1"/>
          <w:sz w:val="32"/>
          <w:szCs w:val="32"/>
          <w:highlight w:val="none"/>
          <w14:textFill>
            <w14:solidFill>
              <w14:schemeClr w14:val="tx1"/>
            </w14:solidFill>
          </w14:textFill>
        </w:rPr>
        <w:t xml:space="preserve">第六章  </w:t>
      </w:r>
      <w:bookmarkEnd w:id="318"/>
      <w:bookmarkEnd w:id="319"/>
      <w:bookmarkStart w:id="913" w:name="_Toc13185"/>
      <w:r>
        <w:rPr>
          <w:rFonts w:hint="eastAsia" w:ascii="华文中宋" w:hAnsi="华文中宋" w:eastAsia="华文中宋" w:cs="华文中宋"/>
          <w:b/>
          <w:bCs/>
          <w:color w:val="000000" w:themeColor="text1"/>
          <w:sz w:val="32"/>
          <w:szCs w:val="32"/>
          <w:highlight w:val="none"/>
          <w14:textFill>
            <w14:solidFill>
              <w14:schemeClr w14:val="tx1"/>
            </w14:solidFill>
          </w14:textFill>
        </w:rPr>
        <w:t>响应文件（格式）</w:t>
      </w:r>
      <w:bookmarkEnd w:id="320"/>
      <w:bookmarkEnd w:id="321"/>
      <w:bookmarkEnd w:id="912"/>
      <w:bookmarkEnd w:id="913"/>
    </w:p>
    <w:p w14:paraId="71131D1E">
      <w:pPr>
        <w:rPr>
          <w:rFonts w:ascii="宋体" w:hAnsi="宋体" w:cs="宋体"/>
          <w:color w:val="000000" w:themeColor="text1"/>
          <w:highlight w:val="none"/>
          <w14:textFill>
            <w14:solidFill>
              <w14:schemeClr w14:val="tx1"/>
            </w14:solidFill>
          </w14:textFill>
        </w:rPr>
      </w:pPr>
    </w:p>
    <w:p w14:paraId="0DE54840">
      <w:pPr>
        <w:pStyle w:val="27"/>
        <w:outlineLvl w:val="1"/>
        <w:rPr>
          <w:rFonts w:hAnsi="宋体" w:cs="宋体"/>
          <w:b/>
          <w:color w:val="000000" w:themeColor="text1"/>
          <w:sz w:val="32"/>
          <w:highlight w:val="none"/>
          <w14:textFill>
            <w14:solidFill>
              <w14:schemeClr w14:val="tx1"/>
            </w14:solidFill>
          </w14:textFill>
        </w:rPr>
      </w:pPr>
      <w:bookmarkStart w:id="914" w:name="_Toc32435"/>
      <w:bookmarkStart w:id="915" w:name="_Toc18351"/>
      <w:bookmarkStart w:id="916" w:name="_Toc497927069"/>
      <w:bookmarkStart w:id="917" w:name="_Toc21496"/>
      <w:bookmarkStart w:id="918" w:name="_Toc17005"/>
      <w:r>
        <w:rPr>
          <w:rFonts w:hint="eastAsia" w:hAnsi="宋体" w:cs="宋体"/>
          <w:b/>
          <w:color w:val="000000" w:themeColor="text1"/>
          <w:sz w:val="32"/>
          <w:highlight w:val="none"/>
          <w14:textFill>
            <w14:solidFill>
              <w14:schemeClr w14:val="tx1"/>
            </w14:solidFill>
          </w14:textFill>
        </w:rPr>
        <w:t>一、响应文件标记</w:t>
      </w:r>
      <w:bookmarkEnd w:id="914"/>
      <w:bookmarkEnd w:id="915"/>
      <w:bookmarkEnd w:id="916"/>
      <w:bookmarkEnd w:id="917"/>
      <w:bookmarkEnd w:id="918"/>
    </w:p>
    <w:p w14:paraId="35EC274E">
      <w:pPr>
        <w:adjustRightInd w:val="0"/>
        <w:snapToGrid w:val="0"/>
        <w:rPr>
          <w:rFonts w:ascii="宋体" w:hAnsi="宋体" w:cs="宋体"/>
          <w:b/>
          <w:color w:val="000000" w:themeColor="text1"/>
          <w:sz w:val="44"/>
          <w:szCs w:val="44"/>
          <w:highlight w:val="none"/>
          <w14:textFill>
            <w14:solidFill>
              <w14:schemeClr w14:val="tx1"/>
            </w14:solidFill>
          </w14:textFill>
        </w:rPr>
      </w:pPr>
    </w:p>
    <w:p w14:paraId="2F41D2DE">
      <w:pPr>
        <w:pStyle w:val="365"/>
        <w:rPr>
          <w:rFonts w:ascii="宋体" w:hAnsi="宋体" w:cs="宋体"/>
          <w:color w:val="000000" w:themeColor="text1"/>
          <w:highlight w:val="none"/>
          <w14:textFill>
            <w14:solidFill>
              <w14:schemeClr w14:val="tx1"/>
            </w14:solidFill>
          </w14:textFill>
        </w:rPr>
      </w:pPr>
    </w:p>
    <w:p w14:paraId="3A606020">
      <w:pPr>
        <w:snapToGrid w:val="0"/>
        <w:spacing w:before="120" w:beforeLines="50" w:after="5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响 应 文 件</w:t>
      </w:r>
    </w:p>
    <w:p w14:paraId="19FBBB51">
      <w:pPr>
        <w:snapToGrid w:val="0"/>
        <w:spacing w:before="120" w:beforeLines="50" w:after="50"/>
        <w:ind w:firstLine="480" w:firstLineChars="15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w:t>
      </w:r>
    </w:p>
    <w:p w14:paraId="596B9EE6">
      <w:pPr>
        <w:snapToGrid w:val="0"/>
        <w:spacing w:before="120" w:beforeLines="50" w:after="50"/>
        <w:ind w:firstLine="422" w:firstLineChars="150"/>
        <w:rPr>
          <w:rFonts w:ascii="宋体" w:hAnsi="宋体" w:cs="宋体"/>
          <w:b/>
          <w:color w:val="000000" w:themeColor="text1"/>
          <w:sz w:val="28"/>
          <w:szCs w:val="28"/>
          <w:highlight w:val="none"/>
          <w14:textFill>
            <w14:solidFill>
              <w14:schemeClr w14:val="tx1"/>
            </w14:solidFill>
          </w14:textFill>
        </w:rPr>
      </w:pPr>
    </w:p>
    <w:p w14:paraId="2AD6CC28">
      <w:pPr>
        <w:snapToGrid w:val="0"/>
        <w:spacing w:before="120" w:beforeLines="50" w:after="50"/>
        <w:ind w:firstLine="422" w:firstLineChars="150"/>
        <w:rPr>
          <w:rFonts w:ascii="宋体" w:hAnsi="宋体" w:cs="宋体"/>
          <w:b/>
          <w:color w:val="000000" w:themeColor="text1"/>
          <w:sz w:val="28"/>
          <w:szCs w:val="28"/>
          <w:highlight w:val="none"/>
          <w14:textFill>
            <w14:solidFill>
              <w14:schemeClr w14:val="tx1"/>
            </w14:solidFill>
          </w14:textFill>
        </w:rPr>
      </w:pPr>
    </w:p>
    <w:p w14:paraId="3700910B">
      <w:pPr>
        <w:snapToGrid w:val="0"/>
        <w:spacing w:before="120" w:beforeLines="50" w:after="50"/>
        <w:ind w:firstLine="2249" w:firstLineChars="800"/>
        <w:rPr>
          <w:rFonts w:ascii="宋体" w:hAnsi="宋体" w:cs="宋体"/>
          <w:b/>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项目名称：</w:t>
      </w:r>
      <w:r>
        <w:rPr>
          <w:rFonts w:hint="eastAsia" w:ascii="宋体" w:hAnsi="宋体" w:cs="宋体"/>
          <w:b/>
          <w:bCs/>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18"/>
          <w:szCs w:val="18"/>
          <w:highlight w:val="none"/>
          <w14:textFill>
            <w14:solidFill>
              <w14:schemeClr w14:val="tx1"/>
            </w14:solidFill>
          </w14:textFill>
        </w:rPr>
        <w:t xml:space="preserve">  </w:t>
      </w:r>
    </w:p>
    <w:p w14:paraId="111F90B9">
      <w:pPr>
        <w:snapToGrid w:val="0"/>
        <w:spacing w:before="120" w:beforeLines="50" w:after="50"/>
        <w:ind w:firstLine="2704" w:firstLineChars="962"/>
        <w:rPr>
          <w:rFonts w:ascii="宋体" w:hAnsi="宋体" w:cs="宋体"/>
          <w:b/>
          <w:color w:val="000000" w:themeColor="text1"/>
          <w:sz w:val="28"/>
          <w:szCs w:val="28"/>
          <w:highlight w:val="none"/>
          <w14:textFill>
            <w14:solidFill>
              <w14:schemeClr w14:val="tx1"/>
            </w14:solidFill>
          </w14:textFill>
        </w:rPr>
      </w:pPr>
    </w:p>
    <w:p w14:paraId="3FAE8216">
      <w:pPr>
        <w:snapToGrid w:val="0"/>
        <w:spacing w:before="120" w:beforeLines="50" w:after="50"/>
        <w:ind w:firstLine="2249" w:firstLineChars="8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color w:val="000000" w:themeColor="text1"/>
          <w:sz w:val="28"/>
          <w:szCs w:val="28"/>
          <w:highlight w:val="none"/>
          <w:u w:val="single"/>
          <w14:textFill>
            <w14:solidFill>
              <w14:schemeClr w14:val="tx1"/>
            </w14:solidFill>
          </w14:textFill>
        </w:rPr>
        <w:t xml:space="preserve">                       </w:t>
      </w:r>
    </w:p>
    <w:p w14:paraId="32B9E8D5">
      <w:pPr>
        <w:rPr>
          <w:rFonts w:ascii="宋体" w:hAnsi="宋体" w:cs="宋体"/>
          <w:b/>
          <w:color w:val="000000" w:themeColor="text1"/>
          <w:highlight w:val="none"/>
          <w14:textFill>
            <w14:solidFill>
              <w14:schemeClr w14:val="tx1"/>
            </w14:solidFill>
          </w14:textFill>
        </w:rPr>
      </w:pPr>
    </w:p>
    <w:p w14:paraId="11F578A3">
      <w:pPr>
        <w:spacing w:line="400" w:lineRule="exact"/>
        <w:ind w:firstLine="2704" w:firstLineChars="962"/>
        <w:rPr>
          <w:rFonts w:ascii="宋体" w:hAnsi="宋体" w:cs="宋体"/>
          <w:b/>
          <w:color w:val="000000" w:themeColor="text1"/>
          <w:sz w:val="28"/>
          <w:szCs w:val="28"/>
          <w:highlight w:val="none"/>
          <w14:textFill>
            <w14:solidFill>
              <w14:schemeClr w14:val="tx1"/>
            </w14:solidFill>
          </w14:textFill>
        </w:rPr>
      </w:pPr>
    </w:p>
    <w:p w14:paraId="053FA686">
      <w:pPr>
        <w:pStyle w:val="365"/>
        <w:rPr>
          <w:rFonts w:ascii="宋体" w:hAnsi="宋体" w:cs="宋体"/>
          <w:b/>
          <w:color w:val="000000" w:themeColor="text1"/>
          <w:sz w:val="28"/>
          <w:szCs w:val="28"/>
          <w:highlight w:val="none"/>
          <w14:textFill>
            <w14:solidFill>
              <w14:schemeClr w14:val="tx1"/>
            </w14:solidFill>
          </w14:textFill>
        </w:rPr>
      </w:pPr>
    </w:p>
    <w:p w14:paraId="1C9FF287">
      <w:pPr>
        <w:pStyle w:val="365"/>
        <w:rPr>
          <w:rFonts w:ascii="宋体" w:hAnsi="宋体" w:cs="宋体"/>
          <w:b/>
          <w:color w:val="000000" w:themeColor="text1"/>
          <w:sz w:val="28"/>
          <w:szCs w:val="28"/>
          <w:highlight w:val="none"/>
          <w14:textFill>
            <w14:solidFill>
              <w14:schemeClr w14:val="tx1"/>
            </w14:solidFill>
          </w14:textFill>
        </w:rPr>
      </w:pPr>
    </w:p>
    <w:p w14:paraId="2D394C1F">
      <w:pPr>
        <w:pStyle w:val="365"/>
        <w:rPr>
          <w:rFonts w:ascii="宋体" w:hAnsi="宋体" w:cs="宋体"/>
          <w:b/>
          <w:color w:val="000000" w:themeColor="text1"/>
          <w:sz w:val="28"/>
          <w:szCs w:val="28"/>
          <w:highlight w:val="none"/>
          <w14:textFill>
            <w14:solidFill>
              <w14:schemeClr w14:val="tx1"/>
            </w14:solidFill>
          </w14:textFill>
        </w:rPr>
      </w:pPr>
    </w:p>
    <w:p w14:paraId="39776350">
      <w:pPr>
        <w:snapToGrid w:val="0"/>
        <w:spacing w:before="120" w:beforeLines="50" w:after="50"/>
        <w:ind w:firstLine="2249" w:firstLineChars="800"/>
        <w:rPr>
          <w:rFonts w:ascii="宋体" w:hAnsi="宋体" w:cs="宋体"/>
          <w:b/>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采购代理机构：</w:t>
      </w:r>
      <w:r>
        <w:rPr>
          <w:rFonts w:hint="eastAsia" w:ascii="宋体" w:hAnsi="宋体" w:cs="宋体"/>
          <w:b/>
          <w:color w:val="000000" w:themeColor="text1"/>
          <w:sz w:val="28"/>
          <w:szCs w:val="28"/>
          <w:highlight w:val="none"/>
          <w:u w:val="single"/>
          <w14:textFill>
            <w14:solidFill>
              <w14:schemeClr w14:val="tx1"/>
            </w14:solidFill>
          </w14:textFill>
        </w:rPr>
        <w:t xml:space="preserve">  </w:t>
      </w:r>
      <w:r>
        <w:rPr>
          <w:rFonts w:ascii="宋体" w:hAnsi="宋体" w:cs="宋体"/>
          <w:b/>
          <w:color w:val="000000" w:themeColor="text1"/>
          <w:sz w:val="28"/>
          <w:szCs w:val="28"/>
          <w:highlight w:val="none"/>
          <w:u w:val="single"/>
          <w14:textFill>
            <w14:solidFill>
              <w14:schemeClr w14:val="tx1"/>
            </w14:solidFill>
          </w14:textFill>
        </w:rPr>
        <w:t xml:space="preserve">                </w:t>
      </w:r>
      <w:r>
        <w:rPr>
          <w:rFonts w:hint="eastAsia" w:ascii="宋体" w:hAnsi="宋体" w:cs="宋体"/>
          <w:b/>
          <w:color w:val="000000" w:themeColor="text1"/>
          <w:sz w:val="28"/>
          <w:szCs w:val="28"/>
          <w:highlight w:val="none"/>
          <w:u w:val="single"/>
          <w14:textFill>
            <w14:solidFill>
              <w14:schemeClr w14:val="tx1"/>
            </w14:solidFill>
          </w14:textFill>
        </w:rPr>
        <w:t xml:space="preserve">   </w:t>
      </w:r>
    </w:p>
    <w:p w14:paraId="5B5813D2">
      <w:pPr>
        <w:pStyle w:val="365"/>
        <w:rPr>
          <w:color w:val="000000" w:themeColor="text1"/>
          <w:highlight w:val="none"/>
          <w14:textFill>
            <w14:solidFill>
              <w14:schemeClr w14:val="tx1"/>
            </w14:solidFill>
          </w14:textFill>
        </w:rPr>
      </w:pPr>
    </w:p>
    <w:p w14:paraId="405603BC">
      <w:pPr>
        <w:pStyle w:val="21"/>
        <w:spacing w:line="440" w:lineRule="exact"/>
        <w:ind w:left="900" w:hanging="480" w:hangingChars="200"/>
        <w:rPr>
          <w:rFonts w:ascii="宋体" w:hAnsi="宋体" w:cs="宋体"/>
          <w:bCs/>
          <w:color w:val="000000" w:themeColor="text1"/>
          <w:sz w:val="24"/>
          <w:highlight w:val="none"/>
          <w14:textFill>
            <w14:solidFill>
              <w14:schemeClr w14:val="tx1"/>
            </w14:solidFill>
          </w14:textFill>
        </w:rPr>
      </w:pPr>
    </w:p>
    <w:p w14:paraId="4873C7C7">
      <w:pPr>
        <w:pStyle w:val="21"/>
        <w:spacing w:line="440" w:lineRule="exact"/>
        <w:ind w:left="899" w:leftChars="428" w:firstLine="0" w:firstLineChars="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磋商供应商[公章(CA签章)、自然人除外]:</w:t>
      </w:r>
    </w:p>
    <w:p w14:paraId="311E5D0F">
      <w:pPr>
        <w:pStyle w:val="21"/>
        <w:spacing w:line="440" w:lineRule="exact"/>
        <w:ind w:left="899" w:leftChars="428" w:firstLine="0" w:firstLineChars="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法定代表人、负责人、自然人或相应的委托代理人签字[或盖章(CA签章)](属自然人的应在签名处加盖大拇指指印或个人 CA签章)</w:t>
      </w:r>
      <w:r>
        <w:rPr>
          <w:rFonts w:hint="eastAsia" w:ascii="宋体" w:hAnsi="宋体" w:cs="宋体"/>
          <w:bCs/>
          <w:color w:val="000000" w:themeColor="text1"/>
          <w:sz w:val="24"/>
          <w:highlight w:val="none"/>
          <w:lang w:eastAsia="zh-CN"/>
          <w14:textFill>
            <w14:solidFill>
              <w14:schemeClr w14:val="tx1"/>
            </w14:solidFill>
          </w14:textFill>
        </w:rPr>
        <w:t>：</w:t>
      </w:r>
    </w:p>
    <w:p w14:paraId="1110C755">
      <w:pPr>
        <w:pStyle w:val="21"/>
        <w:spacing w:line="440" w:lineRule="exact"/>
        <w:ind w:left="899" w:leftChars="428" w:firstLine="0" w:firstLineChars="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联系电话:</w:t>
      </w:r>
    </w:p>
    <w:p w14:paraId="3B3EEC90">
      <w:pPr>
        <w:pStyle w:val="21"/>
        <w:spacing w:line="440" w:lineRule="exact"/>
        <w:ind w:left="899" w:leftChars="428" w:firstLine="0" w:firstLineChars="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 xml:space="preserve">    月  日</w:t>
      </w:r>
    </w:p>
    <w:p w14:paraId="01CBCE32">
      <w:pPr>
        <w:pStyle w:val="21"/>
        <w:spacing w:line="440" w:lineRule="exact"/>
        <w:ind w:left="900" w:hanging="480" w:hangingChars="200"/>
        <w:rPr>
          <w:rFonts w:ascii="宋体" w:hAnsi="宋体" w:cs="宋体"/>
          <w:bCs/>
          <w:color w:val="000000" w:themeColor="text1"/>
          <w:sz w:val="24"/>
          <w:highlight w:val="none"/>
          <w14:textFill>
            <w14:solidFill>
              <w14:schemeClr w14:val="tx1"/>
            </w14:solidFill>
          </w14:textFill>
        </w:rPr>
      </w:pPr>
    </w:p>
    <w:p w14:paraId="5002A168">
      <w:pPr>
        <w:pStyle w:val="21"/>
        <w:spacing w:line="440" w:lineRule="exact"/>
        <w:ind w:left="900" w:hanging="480" w:hangingChars="200"/>
        <w:rPr>
          <w:rFonts w:ascii="宋体" w:hAnsi="宋体" w:cs="宋体"/>
          <w:bCs/>
          <w:color w:val="000000" w:themeColor="text1"/>
          <w:sz w:val="24"/>
          <w:highlight w:val="none"/>
          <w14:textFill>
            <w14:solidFill>
              <w14:schemeClr w14:val="tx1"/>
            </w14:solidFill>
          </w14:textFill>
        </w:rPr>
      </w:pPr>
    </w:p>
    <w:p w14:paraId="485DFDDA">
      <w:pPr>
        <w:pStyle w:val="21"/>
        <w:spacing w:line="440" w:lineRule="exact"/>
        <w:ind w:left="900" w:hanging="480" w:hangingChars="200"/>
        <w:rPr>
          <w:rFonts w:ascii="宋体" w:hAnsi="宋体" w:cs="宋体"/>
          <w:bCs/>
          <w:color w:val="000000" w:themeColor="text1"/>
          <w:sz w:val="24"/>
          <w:highlight w:val="none"/>
          <w14:textFill>
            <w14:solidFill>
              <w14:schemeClr w14:val="tx1"/>
            </w14:solidFill>
          </w14:textFill>
        </w:rPr>
      </w:pPr>
    </w:p>
    <w:p w14:paraId="2193CC17">
      <w:pPr>
        <w:outlineLvl w:val="1"/>
        <w:rPr>
          <w:rFonts w:ascii="宋体" w:hAnsi="宋体" w:cs="宋体"/>
          <w:b/>
          <w:bCs/>
          <w:color w:val="000000" w:themeColor="text1"/>
          <w:sz w:val="32"/>
          <w:szCs w:val="32"/>
          <w:highlight w:val="none"/>
          <w14:textFill>
            <w14:solidFill>
              <w14:schemeClr w14:val="tx1"/>
            </w14:solidFill>
          </w14:textFill>
        </w:rPr>
      </w:pPr>
      <w:bookmarkStart w:id="919" w:name="_Toc497927070"/>
      <w:bookmarkStart w:id="920" w:name="_Toc21615"/>
      <w:bookmarkStart w:id="921" w:name="_Toc19430"/>
      <w:r>
        <w:rPr>
          <w:rFonts w:hint="eastAsia" w:ascii="宋体" w:hAnsi="宋体" w:cs="宋体"/>
          <w:b/>
          <w:bCs/>
          <w:color w:val="000000" w:themeColor="text1"/>
          <w:sz w:val="32"/>
          <w:szCs w:val="32"/>
          <w:highlight w:val="none"/>
          <w14:textFill>
            <w14:solidFill>
              <w14:schemeClr w14:val="tx1"/>
            </w14:solidFill>
          </w14:textFill>
        </w:rPr>
        <w:br w:type="page"/>
      </w:r>
      <w:bookmarkStart w:id="922" w:name="_Toc12538"/>
      <w:bookmarkStart w:id="923" w:name="_Toc29409"/>
      <w:r>
        <w:rPr>
          <w:rFonts w:hint="eastAsia" w:ascii="宋体" w:hAnsi="宋体" w:cs="宋体"/>
          <w:b/>
          <w:bCs/>
          <w:color w:val="000000" w:themeColor="text1"/>
          <w:sz w:val="32"/>
          <w:szCs w:val="32"/>
          <w:highlight w:val="none"/>
          <w14:textFill>
            <w14:solidFill>
              <w14:schemeClr w14:val="tx1"/>
            </w14:solidFill>
          </w14:textFill>
        </w:rPr>
        <w:t>二、响应文件组成</w:t>
      </w:r>
      <w:bookmarkEnd w:id="919"/>
      <w:bookmarkEnd w:id="920"/>
      <w:bookmarkEnd w:id="921"/>
      <w:bookmarkEnd w:id="922"/>
      <w:bookmarkEnd w:id="923"/>
    </w:p>
    <w:p w14:paraId="3B342A83">
      <w:pPr>
        <w:pStyle w:val="20"/>
        <w:rPr>
          <w:rFonts w:ascii="宋体" w:hAnsi="宋体" w:cs="宋体"/>
          <w:color w:val="000000" w:themeColor="text1"/>
          <w:highlight w:val="none"/>
          <w14:textFill>
            <w14:solidFill>
              <w14:schemeClr w14:val="tx1"/>
            </w14:solidFill>
          </w14:textFill>
        </w:rPr>
      </w:pPr>
    </w:p>
    <w:p w14:paraId="0655B6D4">
      <w:pPr>
        <w:pStyle w:val="20"/>
        <w:rPr>
          <w:rFonts w:ascii="宋体" w:hAnsi="宋体" w:cs="宋体"/>
          <w:b/>
          <w:bCs/>
          <w:color w:val="000000" w:themeColor="text1"/>
          <w:sz w:val="28"/>
          <w:szCs w:val="28"/>
          <w:highlight w:val="none"/>
          <w14:textFill>
            <w14:solidFill>
              <w14:schemeClr w14:val="tx1"/>
            </w14:solidFill>
          </w14:textFill>
        </w:rPr>
      </w:pPr>
    </w:p>
    <w:p w14:paraId="74A55334">
      <w:pPr>
        <w:numPr>
          <w:ilvl w:val="0"/>
          <w:numId w:val="12"/>
        </w:numPr>
        <w:spacing w:line="400" w:lineRule="exact"/>
        <w:ind w:firstLine="568" w:firstLineChars="20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资格性响应证明材料</w:t>
      </w:r>
    </w:p>
    <w:p w14:paraId="074FE166">
      <w:pPr>
        <w:pStyle w:val="20"/>
        <w:rPr>
          <w:rFonts w:ascii="宋体" w:hAnsi="宋体" w:cs="宋体"/>
          <w:b/>
          <w:bCs/>
          <w:color w:val="000000" w:themeColor="text1"/>
          <w:sz w:val="28"/>
          <w:szCs w:val="28"/>
          <w:highlight w:val="none"/>
          <w14:textFill>
            <w14:solidFill>
              <w14:schemeClr w14:val="tx1"/>
            </w14:solidFill>
          </w14:textFill>
        </w:rPr>
      </w:pPr>
    </w:p>
    <w:p w14:paraId="353F096A">
      <w:pPr>
        <w:pStyle w:val="20"/>
        <w:rPr>
          <w:rFonts w:ascii="宋体" w:hAnsi="宋体" w:cs="宋体"/>
          <w:b/>
          <w:bCs/>
          <w:color w:val="000000" w:themeColor="text1"/>
          <w:sz w:val="28"/>
          <w:szCs w:val="28"/>
          <w:highlight w:val="none"/>
          <w14:textFill>
            <w14:solidFill>
              <w14:schemeClr w14:val="tx1"/>
            </w14:solidFill>
          </w14:textFill>
        </w:rPr>
      </w:pPr>
    </w:p>
    <w:p w14:paraId="042DEBC0">
      <w:pPr>
        <w:numPr>
          <w:ilvl w:val="0"/>
          <w:numId w:val="12"/>
        </w:numPr>
        <w:spacing w:line="400" w:lineRule="exact"/>
        <w:ind w:firstLine="568" w:firstLineChars="20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符合性响应证明材料</w:t>
      </w:r>
    </w:p>
    <w:p w14:paraId="168299A1">
      <w:pPr>
        <w:pStyle w:val="20"/>
        <w:rPr>
          <w:rFonts w:ascii="宋体" w:hAnsi="宋体" w:cs="宋体"/>
          <w:b/>
          <w:bCs/>
          <w:color w:val="000000" w:themeColor="text1"/>
          <w:sz w:val="28"/>
          <w:szCs w:val="28"/>
          <w:highlight w:val="none"/>
          <w14:textFill>
            <w14:solidFill>
              <w14:schemeClr w14:val="tx1"/>
            </w14:solidFill>
          </w14:textFill>
        </w:rPr>
      </w:pPr>
    </w:p>
    <w:p w14:paraId="594A752E">
      <w:pPr>
        <w:pStyle w:val="20"/>
        <w:rPr>
          <w:rFonts w:ascii="宋体" w:hAnsi="宋体" w:cs="宋体"/>
          <w:b/>
          <w:bCs/>
          <w:color w:val="000000" w:themeColor="text1"/>
          <w:sz w:val="28"/>
          <w:szCs w:val="28"/>
          <w:highlight w:val="none"/>
          <w14:textFill>
            <w14:solidFill>
              <w14:schemeClr w14:val="tx1"/>
            </w14:solidFill>
          </w14:textFill>
        </w:rPr>
      </w:pPr>
    </w:p>
    <w:p w14:paraId="4CBC360B">
      <w:pPr>
        <w:numPr>
          <w:ilvl w:val="0"/>
          <w:numId w:val="12"/>
        </w:numPr>
        <w:spacing w:line="400" w:lineRule="exact"/>
        <w:ind w:firstLine="568" w:firstLineChars="20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其他有效证明材料</w:t>
      </w:r>
    </w:p>
    <w:p w14:paraId="3C834B37">
      <w:pPr>
        <w:pStyle w:val="365"/>
        <w:rPr>
          <w:rFonts w:ascii="宋体" w:hAnsi="宋体" w:cs="宋体"/>
          <w:color w:val="000000" w:themeColor="text1"/>
          <w:highlight w:val="none"/>
          <w14:textFill>
            <w14:solidFill>
              <w14:schemeClr w14:val="tx1"/>
            </w14:solidFill>
          </w14:textFill>
        </w:rPr>
      </w:pPr>
    </w:p>
    <w:p w14:paraId="71BC5732">
      <w:pPr>
        <w:tabs>
          <w:tab w:val="left" w:pos="5040"/>
        </w:tabs>
        <w:spacing w:line="400" w:lineRule="exact"/>
        <w:rPr>
          <w:rFonts w:ascii="宋体" w:hAnsi="宋体" w:cs="宋体"/>
          <w:color w:val="000000" w:themeColor="text1"/>
          <w:szCs w:val="21"/>
          <w:highlight w:val="none"/>
          <w14:textFill>
            <w14:solidFill>
              <w14:schemeClr w14:val="tx1"/>
            </w14:solidFill>
          </w14:textFill>
        </w:rPr>
      </w:pPr>
    </w:p>
    <w:p w14:paraId="5724D419">
      <w:pPr>
        <w:pStyle w:val="365"/>
        <w:rPr>
          <w:rFonts w:ascii="宋体" w:hAnsi="宋体" w:cs="宋体"/>
          <w:color w:val="000000" w:themeColor="text1"/>
          <w:szCs w:val="21"/>
          <w:highlight w:val="none"/>
          <w14:textFill>
            <w14:solidFill>
              <w14:schemeClr w14:val="tx1"/>
            </w14:solidFill>
          </w14:textFill>
        </w:rPr>
      </w:pPr>
    </w:p>
    <w:p w14:paraId="569BB050">
      <w:pPr>
        <w:pStyle w:val="365"/>
        <w:rPr>
          <w:rFonts w:ascii="宋体" w:hAnsi="宋体" w:cs="宋体"/>
          <w:color w:val="000000" w:themeColor="text1"/>
          <w:szCs w:val="21"/>
          <w:highlight w:val="none"/>
          <w14:textFill>
            <w14:solidFill>
              <w14:schemeClr w14:val="tx1"/>
            </w14:solidFill>
          </w14:textFill>
        </w:rPr>
      </w:pPr>
    </w:p>
    <w:p w14:paraId="6237713E">
      <w:pPr>
        <w:pStyle w:val="365"/>
        <w:rPr>
          <w:rFonts w:ascii="宋体" w:hAnsi="宋体" w:cs="宋体"/>
          <w:color w:val="000000" w:themeColor="text1"/>
          <w:szCs w:val="21"/>
          <w:highlight w:val="none"/>
          <w14:textFill>
            <w14:solidFill>
              <w14:schemeClr w14:val="tx1"/>
            </w14:solidFill>
          </w14:textFill>
        </w:rPr>
      </w:pPr>
    </w:p>
    <w:p w14:paraId="6C320CF8">
      <w:pPr>
        <w:pStyle w:val="365"/>
        <w:rPr>
          <w:rFonts w:ascii="宋体" w:hAnsi="宋体" w:cs="宋体"/>
          <w:color w:val="000000" w:themeColor="text1"/>
          <w:szCs w:val="21"/>
          <w:highlight w:val="none"/>
          <w14:textFill>
            <w14:solidFill>
              <w14:schemeClr w14:val="tx1"/>
            </w14:solidFill>
          </w14:textFill>
        </w:rPr>
      </w:pPr>
    </w:p>
    <w:p w14:paraId="0867FC7C">
      <w:pPr>
        <w:tabs>
          <w:tab w:val="left" w:pos="3570"/>
        </w:tabs>
        <w:spacing w:line="400" w:lineRule="exact"/>
        <w:jc w:val="center"/>
        <w:outlineLvl w:val="1"/>
        <w:rPr>
          <w:rFonts w:ascii="华文中宋" w:hAnsi="华文中宋" w:eastAsia="华文中宋" w:cs="华文中宋"/>
          <w:b/>
          <w:bCs/>
          <w:color w:val="000000" w:themeColor="text1"/>
          <w:sz w:val="30"/>
          <w:szCs w:val="30"/>
          <w:highlight w:val="none"/>
          <w14:textFill>
            <w14:solidFill>
              <w14:schemeClr w14:val="tx1"/>
            </w14:solidFill>
          </w14:textFill>
        </w:rPr>
      </w:pPr>
      <w:bookmarkStart w:id="924" w:name="_Toc11067"/>
      <w:bookmarkStart w:id="925" w:name="_Toc497927071"/>
      <w:bookmarkStart w:id="926" w:name="_Toc7185"/>
      <w:r>
        <w:rPr>
          <w:rFonts w:hint="eastAsia" w:ascii="宋体" w:hAnsi="宋体" w:cs="宋体"/>
          <w:color w:val="000000" w:themeColor="text1"/>
          <w:sz w:val="32"/>
          <w:szCs w:val="32"/>
          <w:highlight w:val="none"/>
          <w14:textFill>
            <w14:solidFill>
              <w14:schemeClr w14:val="tx1"/>
            </w14:solidFill>
          </w14:textFill>
        </w:rPr>
        <w:br w:type="page"/>
      </w:r>
      <w:bookmarkStart w:id="927" w:name="_Toc12268"/>
      <w:bookmarkStart w:id="928" w:name="_Toc26280"/>
      <w:r>
        <w:rPr>
          <w:rFonts w:hint="eastAsia" w:ascii="华文中宋" w:hAnsi="华文中宋" w:eastAsia="华文中宋" w:cs="华文中宋"/>
          <w:b/>
          <w:bCs/>
          <w:color w:val="000000" w:themeColor="text1"/>
          <w:sz w:val="30"/>
          <w:szCs w:val="30"/>
          <w:highlight w:val="none"/>
          <w14:textFill>
            <w14:solidFill>
              <w14:schemeClr w14:val="tx1"/>
            </w14:solidFill>
          </w14:textFill>
        </w:rPr>
        <w:t>（一）资格性响应证明材料目录</w:t>
      </w:r>
      <w:bookmarkEnd w:id="924"/>
      <w:bookmarkEnd w:id="925"/>
      <w:bookmarkEnd w:id="926"/>
      <w:bookmarkEnd w:id="927"/>
      <w:bookmarkEnd w:id="928"/>
    </w:p>
    <w:p w14:paraId="738D36A8">
      <w:pPr>
        <w:rPr>
          <w:rFonts w:ascii="宋体" w:hAnsi="宋体" w:cs="宋体"/>
          <w:color w:val="000000" w:themeColor="text1"/>
          <w:highlight w:val="none"/>
          <w14:textFill>
            <w14:solidFill>
              <w14:schemeClr w14:val="tx1"/>
            </w14:solidFill>
          </w14:textFill>
        </w:rPr>
      </w:pPr>
    </w:p>
    <w:p w14:paraId="1239D60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（1）供应商相应的法定代表人、负责人、自然人有效身份证正反两面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3B311A6C">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（2）供应商的授权委托书原件、委托代理人有效身份证正反面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以及由县级以上（含县级）社会养老保险经办机构出具的供应商为委托代理人交纳的响应文件递交截止时间前半年内任意连续二个月社保证明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（委托代理时必须提供）。</w:t>
      </w:r>
      <w:r>
        <w:rPr>
          <w:rFonts w:hint="eastAsia" w:ascii="宋体" w:hAnsi="宋体" w:cs="宋体"/>
          <w:color w:val="000000" w:themeColor="text1"/>
          <w:szCs w:val="21"/>
          <w:highlight w:val="none"/>
          <w14:textFill>
            <w14:solidFill>
              <w14:schemeClr w14:val="tx1"/>
            </w14:solidFill>
          </w14:textFill>
        </w:rPr>
        <w:t>除供应商为以下三种情形的：</w:t>
      </w:r>
    </w:p>
    <w:p w14:paraId="4ED40F1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2847B8D7">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39574153">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③如委托代理人为免缴纳社保人员，提供免缴纳社保的证明材料</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2E8CB519">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）供应商参加政府采购活动前3年内在经营活动中没有重大违法记录及有关信用信息的书面声明</w:t>
      </w:r>
      <w:r>
        <w:rPr>
          <w:rFonts w:hint="eastAsia" w:ascii="宋体" w:hAnsi="宋体" w:cs="宋体"/>
          <w:b/>
          <w:bCs/>
          <w:color w:val="000000" w:themeColor="text1"/>
          <w:szCs w:val="21"/>
          <w:highlight w:val="none"/>
          <w14:textFill>
            <w14:solidFill>
              <w14:schemeClr w14:val="tx1"/>
            </w14:solidFill>
          </w14:textFill>
        </w:rPr>
        <w:t>（必须提供）；</w:t>
      </w:r>
    </w:p>
    <w:p w14:paraId="2E018D8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b/>
          <w:bCs/>
          <w:color w:val="000000" w:themeColor="text1"/>
          <w:szCs w:val="21"/>
          <w:highlight w:val="none"/>
          <w14:textFill>
            <w14:solidFill>
              <w14:schemeClr w14:val="tx1"/>
            </w14:solidFill>
          </w14:textFill>
        </w:rPr>
        <w:t>（必须提供，自然人除外）；</w:t>
      </w:r>
    </w:p>
    <w:p w14:paraId="2F72749E">
      <w:pPr>
        <w:spacing w:line="44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CD76DC0">
      <w:pPr>
        <w:spacing w:line="440" w:lineRule="exact"/>
        <w:ind w:left="21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）供应商有效的资质证书扫描件，项目经理有效的注册建造师证书及安全生产考核合格证书(B类)扫描件，项目经理无在建工程承诺书（格式自拟）</w:t>
      </w:r>
      <w:r>
        <w:rPr>
          <w:rFonts w:hint="eastAsia" w:ascii="宋体" w:hAnsi="宋体" w:cs="宋体"/>
          <w:b/>
          <w:bCs/>
          <w:color w:val="000000" w:themeColor="text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568BECAA">
      <w:pPr>
        <w:spacing w:line="440" w:lineRule="exact"/>
        <w:ind w:left="21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供应商2023年</w:t>
      </w:r>
      <w:r>
        <w:rPr>
          <w:rFonts w:hint="eastAsia" w:ascii="宋体" w:hAnsi="宋体" w:cs="宋体"/>
          <w:bCs/>
          <w:color w:val="000000" w:themeColor="text1"/>
          <w:kern w:val="0"/>
          <w:szCs w:val="21"/>
          <w:highlight w:val="none"/>
          <w:lang w:eastAsia="zh-CN"/>
          <w14:textFill>
            <w14:solidFill>
              <w14:schemeClr w14:val="tx1"/>
            </w14:solidFill>
          </w14:textFill>
        </w:rPr>
        <w:t>以来任意一年度的</w:t>
      </w:r>
      <w:r>
        <w:rPr>
          <w:rFonts w:hint="eastAsia" w:ascii="宋体" w:hAnsi="宋体" w:cs="宋体"/>
          <w:bCs/>
          <w:color w:val="000000" w:themeColor="text1"/>
          <w:kern w:val="0"/>
          <w:szCs w:val="21"/>
          <w:highlight w:val="none"/>
          <w14:textFill>
            <w14:solidFill>
              <w14:schemeClr w14:val="tx1"/>
            </w14:solidFill>
          </w14:textFill>
        </w:rPr>
        <w:t>财务状况报告</w:t>
      </w:r>
      <w:r>
        <w:rPr>
          <w:rFonts w:hint="eastAsia" w:ascii="宋体" w:hAnsi="宋体" w:cs="宋体"/>
          <w:b/>
          <w:bCs/>
          <w:color w:val="000000" w:themeColor="text1"/>
          <w:szCs w:val="21"/>
          <w:highlight w:val="none"/>
          <w14:textFill>
            <w14:solidFill>
              <w14:schemeClr w14:val="tx1"/>
            </w14:solidFill>
          </w14:textFill>
        </w:rPr>
        <w:t>（必须提供，</w:t>
      </w:r>
      <w:r>
        <w:rPr>
          <w:rFonts w:ascii="宋体" w:hAnsi="宋体" w:cs="宋体"/>
          <w:b/>
          <w:bCs/>
          <w:color w:val="000000" w:themeColor="text1"/>
          <w:szCs w:val="21"/>
          <w:highlight w:val="none"/>
          <w14:textFill>
            <w14:solidFill>
              <w14:schemeClr w14:val="tx1"/>
            </w14:solidFill>
          </w14:textFill>
        </w:rPr>
        <w:t>可</w:t>
      </w:r>
      <w:r>
        <w:rPr>
          <w:rFonts w:hint="eastAsia" w:ascii="宋体" w:hAnsi="宋体" w:cs="宋体"/>
          <w:b/>
          <w:bCs/>
          <w:color w:val="000000" w:themeColor="text1"/>
          <w:szCs w:val="21"/>
          <w:highlight w:val="none"/>
          <w14:textFill>
            <w14:solidFill>
              <w14:schemeClr w14:val="tx1"/>
            </w14:solidFill>
          </w14:textFill>
        </w:rPr>
        <w:t>以是磋商供应商</w:t>
      </w:r>
      <w:r>
        <w:rPr>
          <w:rFonts w:ascii="宋体" w:hAnsi="宋体" w:cs="宋体"/>
          <w:b/>
          <w:bCs/>
          <w:color w:val="000000" w:themeColor="text1"/>
          <w:szCs w:val="21"/>
          <w:highlight w:val="none"/>
          <w14:textFill>
            <w14:solidFill>
              <w14:schemeClr w14:val="tx1"/>
            </w14:solidFill>
          </w14:textFill>
        </w:rPr>
        <w:t>自行编制也可</w:t>
      </w:r>
      <w:r>
        <w:rPr>
          <w:rFonts w:hint="eastAsia" w:ascii="宋体" w:hAnsi="宋体" w:cs="宋体"/>
          <w:b/>
          <w:bCs/>
          <w:color w:val="000000" w:themeColor="text1"/>
          <w:szCs w:val="21"/>
          <w:highlight w:val="none"/>
          <w14:textFill>
            <w14:solidFill>
              <w14:schemeClr w14:val="tx1"/>
            </w14:solidFill>
          </w14:textFill>
        </w:rPr>
        <w:t>是</w:t>
      </w:r>
      <w:r>
        <w:rPr>
          <w:rFonts w:ascii="宋体" w:hAnsi="宋体" w:cs="宋体"/>
          <w:b/>
          <w:bCs/>
          <w:color w:val="000000" w:themeColor="text1"/>
          <w:szCs w:val="21"/>
          <w:highlight w:val="none"/>
          <w14:textFill>
            <w14:solidFill>
              <w14:schemeClr w14:val="tx1"/>
            </w14:solidFill>
          </w14:textFill>
        </w:rPr>
        <w:t>通过</w:t>
      </w:r>
      <w:r>
        <w:rPr>
          <w:rFonts w:hint="eastAsia" w:ascii="宋体" w:hAnsi="宋体" w:cs="宋体"/>
          <w:b/>
          <w:bCs/>
          <w:color w:val="000000" w:themeColor="text1"/>
          <w:szCs w:val="21"/>
          <w:highlight w:val="none"/>
          <w14:textFill>
            <w14:solidFill>
              <w14:schemeClr w14:val="tx1"/>
            </w14:solidFill>
          </w14:textFill>
        </w:rPr>
        <w:t>第三方</w:t>
      </w:r>
      <w:r>
        <w:rPr>
          <w:rFonts w:ascii="宋体" w:hAnsi="宋体" w:cs="宋体"/>
          <w:b/>
          <w:bCs/>
          <w:color w:val="000000" w:themeColor="text1"/>
          <w:szCs w:val="21"/>
          <w:highlight w:val="none"/>
          <w14:textFill>
            <w14:solidFill>
              <w14:schemeClr w14:val="tx1"/>
            </w14:solidFill>
          </w14:textFill>
        </w:rPr>
        <w:t>审计公司编制，如为自行编制至少须提供现金流量表、负债表及利润表</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134F1245">
      <w:pPr>
        <w:spacing w:line="440" w:lineRule="exact"/>
        <w:ind w:left="210"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供应商截止响应文件递交截止时间前半年内任意一个月或任一季度依法缴纳税收的证明材料[增值税缴纳发票(税收完税证明)或企业所得税完税证明或税务部门出具的免税证明]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b/>
          <w:bCs/>
          <w:color w:val="000000" w:themeColor="text1"/>
          <w:szCs w:val="21"/>
          <w:highlight w:val="none"/>
          <w14:textFill>
            <w14:solidFill>
              <w14:schemeClr w14:val="tx1"/>
            </w14:solidFill>
          </w14:textFill>
        </w:rPr>
        <w:t>（必须提供）。</w:t>
      </w:r>
    </w:p>
    <w:p w14:paraId="4C426C42">
      <w:pPr>
        <w:spacing w:line="440" w:lineRule="exact"/>
        <w:ind w:left="210" w:firstLine="420"/>
        <w:rPr>
          <w:rFonts w:ascii="宋体" w:hAnsi="宋体" w:cs="宋体"/>
          <w:b/>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000000" w:themeColor="text1"/>
          <w:szCs w:val="21"/>
          <w:highlight w:val="none"/>
          <w14:textFill>
            <w14:solidFill>
              <w14:schemeClr w14:val="tx1"/>
            </w14:solidFill>
          </w14:textFill>
        </w:rPr>
        <w:t>（必须提供）</w:t>
      </w:r>
    </w:p>
    <w:p w14:paraId="6C2E9889">
      <w:pPr>
        <w:pStyle w:val="6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竞标保证金交纳证明</w:t>
      </w:r>
      <w:r>
        <w:rPr>
          <w:rFonts w:hint="eastAsia"/>
          <w:color w:val="000000" w:themeColor="text1"/>
          <w:sz w:val="21"/>
          <w:szCs w:val="21"/>
          <w:highlight w:val="none"/>
          <w:lang w:eastAsia="zh-CN"/>
          <w14:textFill>
            <w14:solidFill>
              <w14:schemeClr w14:val="tx1"/>
            </w14:solidFill>
          </w14:textFill>
        </w:rPr>
        <w:t>扫描件</w:t>
      </w:r>
      <w:r>
        <w:rPr>
          <w:rFonts w:hint="eastAsia"/>
          <w:color w:val="000000" w:themeColor="text1"/>
          <w:sz w:val="2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（必须提供）</w:t>
      </w:r>
    </w:p>
    <w:p w14:paraId="30F2F3D8">
      <w:pPr>
        <w:pStyle w:val="23"/>
        <w:rPr>
          <w:rFonts w:ascii="宋体" w:hAnsi="宋体" w:cs="宋体"/>
          <w:b/>
          <w:color w:val="000000" w:themeColor="text1"/>
          <w:sz w:val="28"/>
          <w:szCs w:val="28"/>
          <w:highlight w:val="none"/>
          <w14:textFill>
            <w14:solidFill>
              <w14:schemeClr w14:val="tx1"/>
            </w14:solidFill>
          </w14:textFill>
        </w:rPr>
      </w:pPr>
    </w:p>
    <w:p w14:paraId="54C48041">
      <w:pPr>
        <w:spacing w:line="44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0EEEB7F4">
      <w:pPr>
        <w:spacing w:line="440" w:lineRule="atLeast"/>
        <w:outlineLvl w:val="1"/>
        <w:rPr>
          <w:rFonts w:hint="eastAsia" w:ascii="宋体" w:hAnsi="宋体" w:cs="宋体"/>
          <w:b/>
          <w:color w:val="000000" w:themeColor="text1"/>
          <w:sz w:val="28"/>
          <w:szCs w:val="28"/>
          <w:highlight w:val="none"/>
          <w14:textFill>
            <w14:solidFill>
              <w14:schemeClr w14:val="tx1"/>
            </w14:solidFill>
          </w14:textFill>
        </w:rPr>
      </w:pPr>
      <w:bookmarkStart w:id="929" w:name="_Toc28594"/>
      <w:bookmarkStart w:id="930" w:name="_Toc6697"/>
      <w:bookmarkStart w:id="931" w:name="_Toc22703"/>
      <w:bookmarkStart w:id="932" w:name="_Toc4819"/>
      <w:bookmarkStart w:id="933" w:name="_Toc19265"/>
    </w:p>
    <w:p w14:paraId="38E49948">
      <w:pPr>
        <w:spacing w:line="440" w:lineRule="atLeast"/>
        <w:outlineLvl w:val="1"/>
        <w:rPr>
          <w:rFonts w:ascii="宋体" w:hAnsi="宋体" w:cs="宋体"/>
          <w:b/>
          <w:color w:val="000000" w:themeColor="text1"/>
          <w:sz w:val="28"/>
          <w:szCs w:val="28"/>
          <w:highlight w:val="none"/>
          <w14:textFill>
            <w14:solidFill>
              <w14:schemeClr w14:val="tx1"/>
            </w14:solidFill>
          </w14:textFill>
        </w:rPr>
      </w:pPr>
      <w:bookmarkStart w:id="934" w:name="_Toc11038"/>
      <w:r>
        <w:rPr>
          <w:rFonts w:hint="eastAsia" w:ascii="宋体" w:hAnsi="宋体" w:cs="宋体"/>
          <w:b/>
          <w:color w:val="000000" w:themeColor="text1"/>
          <w:sz w:val="28"/>
          <w:szCs w:val="28"/>
          <w:highlight w:val="none"/>
          <w14:textFill>
            <w14:solidFill>
              <w14:schemeClr w14:val="tx1"/>
            </w14:solidFill>
          </w14:textFill>
        </w:rPr>
        <w:t>1.供应商相应的法定代表人、负责人、自然人有效身份证正反两面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cs="宋体"/>
          <w:b/>
          <w:color w:val="000000" w:themeColor="text1"/>
          <w:sz w:val="28"/>
          <w:szCs w:val="28"/>
          <w:highlight w:val="none"/>
          <w14:textFill>
            <w14:solidFill>
              <w14:schemeClr w14:val="tx1"/>
            </w14:solidFill>
          </w14:textFill>
        </w:rPr>
        <w:t>（必须提供）；</w:t>
      </w:r>
      <w:bookmarkEnd w:id="929"/>
      <w:bookmarkEnd w:id="930"/>
      <w:bookmarkEnd w:id="931"/>
      <w:bookmarkEnd w:id="932"/>
      <w:bookmarkEnd w:id="933"/>
      <w:bookmarkEnd w:id="934"/>
    </w:p>
    <w:p w14:paraId="18CF3A58">
      <w:pPr>
        <w:spacing w:line="440" w:lineRule="atLeast"/>
        <w:rPr>
          <w:color w:val="000000" w:themeColor="text1"/>
          <w:highlight w:val="none"/>
          <w14:textFill>
            <w14:solidFill>
              <w14:schemeClr w14:val="tx1"/>
            </w14:solidFill>
          </w14:textFill>
        </w:rPr>
      </w:pPr>
    </w:p>
    <w:p w14:paraId="3070E8F5">
      <w:pPr>
        <w:rPr>
          <w:color w:val="000000" w:themeColor="text1"/>
          <w:highlight w:val="none"/>
          <w14:textFill>
            <w14:solidFill>
              <w14:schemeClr w14:val="tx1"/>
            </w14:solidFill>
          </w14:textFill>
        </w:rPr>
      </w:pPr>
    </w:p>
    <w:p w14:paraId="7917C3AB">
      <w:pPr>
        <w:spacing w:line="440" w:lineRule="atLeast"/>
        <w:rPr>
          <w:rFonts w:ascii="宋体" w:hAnsi="宋体" w:cs="宋体"/>
          <w:b/>
          <w:color w:val="000000" w:themeColor="text1"/>
          <w:sz w:val="28"/>
          <w:szCs w:val="28"/>
          <w:highlight w:val="none"/>
          <w14:textFill>
            <w14:solidFill>
              <w14:schemeClr w14:val="tx1"/>
            </w14:solidFill>
          </w14:textFill>
        </w:rPr>
      </w:pPr>
    </w:p>
    <w:p w14:paraId="624342E7">
      <w:pPr>
        <w:spacing w:line="440" w:lineRule="atLeast"/>
        <w:rPr>
          <w:rFonts w:ascii="宋体" w:hAnsi="宋体" w:cs="宋体"/>
          <w:b/>
          <w:color w:val="000000" w:themeColor="text1"/>
          <w:sz w:val="28"/>
          <w:szCs w:val="28"/>
          <w:highlight w:val="none"/>
          <w14:textFill>
            <w14:solidFill>
              <w14:schemeClr w14:val="tx1"/>
            </w14:solidFill>
          </w14:textFill>
        </w:rPr>
      </w:pPr>
    </w:p>
    <w:p w14:paraId="2913108F">
      <w:pPr>
        <w:spacing w:line="440" w:lineRule="atLeast"/>
        <w:rPr>
          <w:rFonts w:ascii="宋体" w:hAnsi="宋体" w:cs="宋体"/>
          <w:b/>
          <w:color w:val="000000" w:themeColor="text1"/>
          <w:sz w:val="28"/>
          <w:szCs w:val="28"/>
          <w:highlight w:val="none"/>
          <w14:textFill>
            <w14:solidFill>
              <w14:schemeClr w14:val="tx1"/>
            </w14:solidFill>
          </w14:textFill>
        </w:rPr>
      </w:pPr>
    </w:p>
    <w:p w14:paraId="1E0269FB">
      <w:pPr>
        <w:spacing w:line="440" w:lineRule="atLeast"/>
        <w:rPr>
          <w:rFonts w:ascii="宋体" w:hAnsi="宋体" w:cs="宋体"/>
          <w:b/>
          <w:color w:val="000000" w:themeColor="text1"/>
          <w:sz w:val="28"/>
          <w:szCs w:val="28"/>
          <w:highlight w:val="none"/>
          <w14:textFill>
            <w14:solidFill>
              <w14:schemeClr w14:val="tx1"/>
            </w14:solidFill>
          </w14:textFill>
        </w:rPr>
      </w:pPr>
    </w:p>
    <w:p w14:paraId="10052166">
      <w:pPr>
        <w:spacing w:line="440" w:lineRule="atLeast"/>
        <w:outlineLvl w:val="1"/>
        <w:rPr>
          <w:rFonts w:ascii="宋体" w:hAnsi="宋体" w:cs="宋体"/>
          <w:b/>
          <w:color w:val="000000" w:themeColor="text1"/>
          <w:sz w:val="28"/>
          <w:szCs w:val="28"/>
          <w:highlight w:val="none"/>
          <w14:textFill>
            <w14:solidFill>
              <w14:schemeClr w14:val="tx1"/>
            </w14:solidFill>
          </w14:textFill>
        </w:rPr>
      </w:pPr>
      <w:bookmarkStart w:id="935" w:name="_Toc1213"/>
      <w:bookmarkStart w:id="936" w:name="_Toc29198"/>
      <w:bookmarkStart w:id="937" w:name="_Toc16573"/>
      <w:bookmarkStart w:id="938" w:name="_Toc15990"/>
      <w:bookmarkStart w:id="939" w:name="_Toc3592"/>
      <w:bookmarkStart w:id="940" w:name="_Toc12492"/>
      <w:r>
        <w:rPr>
          <w:rFonts w:hint="eastAsia" w:ascii="宋体" w:hAnsi="宋体" w:cs="宋体"/>
          <w:b/>
          <w:color w:val="000000" w:themeColor="text1"/>
          <w:sz w:val="28"/>
          <w:szCs w:val="28"/>
          <w:highlight w:val="none"/>
          <w14:textFill>
            <w14:solidFill>
              <w14:schemeClr w14:val="tx1"/>
            </w14:solidFill>
          </w14:textFill>
        </w:rPr>
        <w:t>2.供应商的授权委托书原件、委托代理人有效身份证正反面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cs="宋体"/>
          <w:b/>
          <w:color w:val="000000" w:themeColor="text1"/>
          <w:sz w:val="28"/>
          <w:szCs w:val="28"/>
          <w:highlight w:val="none"/>
          <w14:textFill>
            <w14:solidFill>
              <w14:schemeClr w14:val="tx1"/>
            </w14:solidFill>
          </w14:textFill>
        </w:rPr>
        <w:t>以及由县级以上（含县级）社会养老保险经办机构出具的供应商为委托代理人交纳的响应文件递交截止时间前半年内任意连续二个月社保证明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cs="宋体"/>
          <w:b/>
          <w:color w:val="000000" w:themeColor="text1"/>
          <w:sz w:val="28"/>
          <w:szCs w:val="28"/>
          <w:highlight w:val="none"/>
          <w14:textFill>
            <w14:solidFill>
              <w14:schemeClr w14:val="tx1"/>
            </w14:solidFill>
          </w14:textFill>
        </w:rPr>
        <w:t>（委托代理时必须提供）。除供应商为以下三种情形的：</w:t>
      </w:r>
      <w:bookmarkEnd w:id="935"/>
      <w:bookmarkEnd w:id="936"/>
      <w:bookmarkEnd w:id="937"/>
      <w:bookmarkEnd w:id="938"/>
      <w:bookmarkEnd w:id="939"/>
      <w:bookmarkEnd w:id="940"/>
    </w:p>
    <w:p w14:paraId="4308FE82">
      <w:pPr>
        <w:spacing w:line="44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代替社保证明</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w:t>
      </w:r>
    </w:p>
    <w:p w14:paraId="25271D3C">
      <w:pPr>
        <w:spacing w:line="44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或事业单位机构为其发放工资的工资条</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代替社保证明</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w:t>
      </w:r>
    </w:p>
    <w:p w14:paraId="4861EFC3">
      <w:pPr>
        <w:spacing w:line="44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（3）如委托代理人为免缴纳社保人员，提供免缴纳社保的证明材料</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及供应商与委托代理人签订的劳动合同</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代替社保证明</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w:t>
      </w:r>
    </w:p>
    <w:p w14:paraId="77F3563A">
      <w:pPr>
        <w:spacing w:line="44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【属自然人的应提供由县级以上（含县级）社会养老保险经办机构出具的自然人本人及委托代理人所交纳的响应文件递交截止时间前半年内任意连续二个月社保证明</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】（委托代理时必须提供）</w:t>
      </w:r>
    </w:p>
    <w:p w14:paraId="6B4E2910">
      <w:pPr>
        <w:spacing w:line="440" w:lineRule="atLeast"/>
        <w:rPr>
          <w:rFonts w:ascii="宋体" w:hAnsi="宋体" w:cs="宋体"/>
          <w:b/>
          <w:color w:val="000000" w:themeColor="text1"/>
          <w:sz w:val="28"/>
          <w:szCs w:val="28"/>
          <w:highlight w:val="none"/>
          <w14:textFill>
            <w14:solidFill>
              <w14:schemeClr w14:val="tx1"/>
            </w14:solidFill>
          </w14:textFill>
        </w:rPr>
      </w:pPr>
    </w:p>
    <w:p w14:paraId="2566C5DA">
      <w:pPr>
        <w:spacing w:line="440" w:lineRule="atLeast"/>
        <w:rPr>
          <w:rFonts w:ascii="宋体" w:hAnsi="宋体" w:cs="宋体"/>
          <w:b/>
          <w:color w:val="000000" w:themeColor="text1"/>
          <w:sz w:val="28"/>
          <w:szCs w:val="28"/>
          <w:highlight w:val="none"/>
          <w14:textFill>
            <w14:solidFill>
              <w14:schemeClr w14:val="tx1"/>
            </w14:solidFill>
          </w14:textFill>
        </w:rPr>
      </w:pPr>
    </w:p>
    <w:p w14:paraId="5E9E30DF">
      <w:pPr>
        <w:spacing w:line="440" w:lineRule="atLeast"/>
        <w:rPr>
          <w:rFonts w:ascii="宋体" w:hAnsi="宋体" w:cs="宋体"/>
          <w:b/>
          <w:color w:val="000000" w:themeColor="text1"/>
          <w:sz w:val="28"/>
          <w:szCs w:val="28"/>
          <w:highlight w:val="none"/>
          <w14:textFill>
            <w14:solidFill>
              <w14:schemeClr w14:val="tx1"/>
            </w14:solidFill>
          </w14:textFill>
        </w:rPr>
      </w:pPr>
    </w:p>
    <w:p w14:paraId="0D130109">
      <w:pPr>
        <w:pStyle w:val="27"/>
        <w:rPr>
          <w:rFonts w:hint="eastAsia" w:hAnsi="宋体" w:cs="宋体"/>
          <w:b/>
          <w:color w:val="000000" w:themeColor="text1"/>
          <w:sz w:val="32"/>
          <w:highlight w:val="none"/>
          <w14:textFill>
            <w14:solidFill>
              <w14:schemeClr w14:val="tx1"/>
            </w14:solidFill>
          </w14:textFill>
        </w:rPr>
      </w:pPr>
    </w:p>
    <w:p w14:paraId="05E10A75">
      <w:pPr>
        <w:rPr>
          <w:rFonts w:hint="eastAsia"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br w:type="page"/>
      </w:r>
    </w:p>
    <w:p w14:paraId="51971194">
      <w:pPr>
        <w:pStyle w:val="27"/>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 xml:space="preserve">附件：            </w:t>
      </w:r>
    </w:p>
    <w:p w14:paraId="77EDB499">
      <w:pPr>
        <w:pStyle w:val="12"/>
        <w:ind w:left="2940" w:firstLine="1606" w:firstLineChars="500"/>
        <w:rPr>
          <w:color w:val="000000" w:themeColor="text1"/>
          <w:highlight w:val="none"/>
          <w14:textFill>
            <w14:solidFill>
              <w14:schemeClr w14:val="tx1"/>
            </w14:solidFill>
          </w14:textFill>
        </w:rPr>
      </w:pPr>
      <w:bookmarkStart w:id="941" w:name="_Toc964_WPSOffice_Level1"/>
      <w:bookmarkStart w:id="942" w:name="_Toc5420_WPSOffice_Level1"/>
      <w:r>
        <w:rPr>
          <w:rFonts w:hint="eastAsia" w:hAnsi="宋体" w:cs="宋体"/>
          <w:b/>
          <w:color w:val="000000" w:themeColor="text1"/>
          <w:sz w:val="32"/>
          <w:highlight w:val="none"/>
          <w14:textFill>
            <w14:solidFill>
              <w14:schemeClr w14:val="tx1"/>
            </w14:solidFill>
          </w14:textFill>
        </w:rPr>
        <w:t>授权委托书</w:t>
      </w:r>
      <w:bookmarkEnd w:id="941"/>
      <w:bookmarkEnd w:id="942"/>
    </w:p>
    <w:p w14:paraId="2587EE10">
      <w:pPr>
        <w:pStyle w:val="27"/>
        <w:rPr>
          <w:rFonts w:hAnsi="宋体" w:cs="宋体"/>
          <w:color w:val="000000" w:themeColor="text1"/>
          <w:highlight w:val="none"/>
          <w14:textFill>
            <w14:solidFill>
              <w14:schemeClr w14:val="tx1"/>
            </w14:solidFill>
          </w14:textFill>
        </w:rPr>
      </w:pPr>
    </w:p>
    <w:p w14:paraId="7E86D218">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14:paraId="331812FE">
      <w:pPr>
        <w:spacing w:line="400" w:lineRule="exact"/>
        <w:rPr>
          <w:rFonts w:ascii="宋体" w:hAnsi="宋体" w:cs="宋体"/>
          <w:color w:val="000000" w:themeColor="text1"/>
          <w:szCs w:val="21"/>
          <w:highlight w:val="none"/>
          <w14:textFill>
            <w14:solidFill>
              <w14:schemeClr w14:val="tx1"/>
            </w14:solidFill>
          </w14:textFill>
        </w:rPr>
      </w:pPr>
    </w:p>
    <w:p w14:paraId="1CE67A66">
      <w:pPr>
        <w:pStyle w:val="27"/>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我</w:t>
      </w:r>
      <w:r>
        <w:rPr>
          <w:rFonts w:hint="eastAsia" w:hAnsi="宋体" w:cs="宋体"/>
          <w:color w:val="000000" w:themeColor="text1"/>
          <w:kern w:val="0"/>
          <w:highlight w:val="none"/>
          <w:u w:val="single"/>
          <w14:textFill>
            <w14:solidFill>
              <w14:schemeClr w14:val="tx1"/>
            </w14:solidFill>
          </w14:textFill>
        </w:rPr>
        <w:t xml:space="preserve">              </w:t>
      </w:r>
      <w:r>
        <w:rPr>
          <w:rFonts w:hint="eastAsia" w:hAnsi="宋体" w:cs="宋体"/>
          <w:color w:val="000000" w:themeColor="text1"/>
          <w:kern w:val="0"/>
          <w:highlight w:val="none"/>
          <w14:textFill>
            <w14:solidFill>
              <w14:schemeClr w14:val="tx1"/>
            </w14:solidFill>
          </w14:textFill>
        </w:rPr>
        <w:t>（姓名）系</w:t>
      </w:r>
      <w:r>
        <w:rPr>
          <w:rFonts w:hint="eastAsia" w:hAnsi="宋体" w:cs="宋体"/>
          <w:color w:val="000000" w:themeColor="text1"/>
          <w:kern w:val="0"/>
          <w:highlight w:val="none"/>
          <w:u w:val="single"/>
          <w14:textFill>
            <w14:solidFill>
              <w14:schemeClr w14:val="tx1"/>
            </w14:solidFill>
          </w14:textFill>
        </w:rPr>
        <w:t xml:space="preserve">                              </w:t>
      </w:r>
      <w:r>
        <w:rPr>
          <w:rFonts w:hint="eastAsia" w:hAnsi="宋体" w:cs="宋体"/>
          <w:color w:val="000000" w:themeColor="text1"/>
          <w:kern w:val="0"/>
          <w:highlight w:val="none"/>
          <w14:textFill>
            <w14:solidFill>
              <w14:schemeClr w14:val="tx1"/>
            </w14:solidFill>
          </w14:textFill>
        </w:rPr>
        <w:t>（供应商名称）的法定代表人（负责人），现授权委托本单位在职职工</w:t>
      </w:r>
      <w:r>
        <w:rPr>
          <w:rFonts w:hint="eastAsia" w:hAnsi="宋体" w:cs="宋体"/>
          <w:color w:val="000000" w:themeColor="text1"/>
          <w:kern w:val="0"/>
          <w:highlight w:val="none"/>
          <w:u w:val="single"/>
          <w14:textFill>
            <w14:solidFill>
              <w14:schemeClr w14:val="tx1"/>
            </w14:solidFill>
          </w14:textFill>
        </w:rPr>
        <w:t xml:space="preserve">            </w:t>
      </w:r>
      <w:r>
        <w:rPr>
          <w:rFonts w:hint="eastAsia" w:hAnsi="宋体" w:cs="宋体"/>
          <w:color w:val="000000" w:themeColor="text1"/>
          <w:kern w:val="0"/>
          <w:highlight w:val="none"/>
          <w14:textFill>
            <w14:solidFill>
              <w14:schemeClr w14:val="tx1"/>
            </w14:solidFill>
          </w14:textFill>
        </w:rPr>
        <w:t>（姓 名）以我公司名义参加</w:t>
      </w:r>
      <w:r>
        <w:rPr>
          <w:rFonts w:hint="eastAsia" w:hAnsi="宋体" w:cs="宋体"/>
          <w:color w:val="000000" w:themeColor="text1"/>
          <w:kern w:val="0"/>
          <w:highlight w:val="none"/>
          <w:u w:val="single"/>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 xml:space="preserve">（项目名称及项目编号）        </w:t>
      </w:r>
      <w:r>
        <w:rPr>
          <w:rFonts w:hint="eastAsia" w:hAnsi="宋体" w:cs="宋体"/>
          <w:color w:val="000000" w:themeColor="text1"/>
          <w:highlight w:val="none"/>
          <w14:textFill>
            <w14:solidFill>
              <w14:schemeClr w14:val="tx1"/>
            </w14:solidFill>
          </w14:textFill>
        </w:rPr>
        <w:t>项目的磋商活动，并代表我方全权办理针对上述项目的磋商、签约等具体事务和签署相关文件。</w:t>
      </w:r>
    </w:p>
    <w:p w14:paraId="1D74E523">
      <w:pPr>
        <w:pStyle w:val="27"/>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我方对被授权人的签字事项负全部责任。</w:t>
      </w:r>
    </w:p>
    <w:p w14:paraId="24A14F02">
      <w:pPr>
        <w:pStyle w:val="27"/>
        <w:spacing w:line="400" w:lineRule="exact"/>
        <w:ind w:firstLine="420" w:firstLineChars="2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授权委托代理期限：从</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月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日起至</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月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日止。</w:t>
      </w:r>
    </w:p>
    <w:p w14:paraId="172289F7">
      <w:pPr>
        <w:pStyle w:val="27"/>
        <w:spacing w:line="400" w:lineRule="exact"/>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14:paraId="63A085B5">
      <w:pPr>
        <w:spacing w:line="400" w:lineRule="exact"/>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代理人无转委托权,特此委托。 </w:t>
      </w:r>
    </w:p>
    <w:p w14:paraId="4C86CF8C">
      <w:pPr>
        <w:spacing w:line="400" w:lineRule="exact"/>
        <w:ind w:firstLine="420" w:firstLineChars="200"/>
        <w:rPr>
          <w:rFonts w:ascii="宋体" w:hAnsi="宋体" w:cs="宋体"/>
          <w:color w:val="000000" w:themeColor="text1"/>
          <w:kern w:val="0"/>
          <w:highlight w:val="none"/>
          <w14:textFill>
            <w14:solidFill>
              <w14:schemeClr w14:val="tx1"/>
            </w14:solidFill>
          </w14:textFill>
        </w:rPr>
      </w:pPr>
    </w:p>
    <w:p w14:paraId="0379D1B5">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我已在下面签字，以资证明。</w:t>
      </w:r>
    </w:p>
    <w:p w14:paraId="003A5E35">
      <w:pPr>
        <w:spacing w:line="400" w:lineRule="exact"/>
        <w:ind w:firstLine="420" w:firstLineChars="200"/>
        <w:rPr>
          <w:rFonts w:ascii="宋体" w:hAnsi="宋体" w:cs="宋体"/>
          <w:color w:val="000000" w:themeColor="text1"/>
          <w:szCs w:val="21"/>
          <w:highlight w:val="none"/>
          <w14:textFill>
            <w14:solidFill>
              <w14:schemeClr w14:val="tx1"/>
            </w14:solidFill>
          </w14:textFill>
        </w:rPr>
      </w:pPr>
    </w:p>
    <w:p w14:paraId="02F18E59">
      <w:pPr>
        <w:spacing w:line="400" w:lineRule="exact"/>
        <w:ind w:firstLine="420" w:firstLineChars="200"/>
        <w:rPr>
          <w:rFonts w:ascii="宋体" w:hAnsi="宋体" w:cs="宋体"/>
          <w:color w:val="000000" w:themeColor="text1"/>
          <w:szCs w:val="21"/>
          <w:highlight w:val="none"/>
          <w14:textFill>
            <w14:solidFill>
              <w14:schemeClr w14:val="tx1"/>
            </w14:solidFill>
          </w14:textFill>
        </w:rPr>
      </w:pPr>
    </w:p>
    <w:p w14:paraId="6D70E887">
      <w:pPr>
        <w:snapToGrid w:val="0"/>
        <w:spacing w:line="400" w:lineRule="exact"/>
        <w:ind w:firstLine="4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磋商供应商[公章（CA签章）]：</w:t>
      </w:r>
      <w:r>
        <w:rPr>
          <w:rFonts w:hint="eastAsia" w:ascii="宋体" w:hAnsi="宋体" w:cs="宋体"/>
          <w:color w:val="000000" w:themeColor="text1"/>
          <w:szCs w:val="21"/>
          <w:highlight w:val="none"/>
          <w:u w:val="single"/>
          <w14:textFill>
            <w14:solidFill>
              <w14:schemeClr w14:val="tx1"/>
            </w14:solidFill>
          </w14:textFill>
        </w:rPr>
        <w:t xml:space="preserve">                                   </w:t>
      </w:r>
    </w:p>
    <w:p w14:paraId="6A37D3D8">
      <w:pPr>
        <w:snapToGrid w:val="0"/>
        <w:spacing w:line="400" w:lineRule="exact"/>
        <w:ind w:firstLine="420"/>
        <w:rPr>
          <w:rFonts w:ascii="宋体" w:hAnsi="宋体" w:cs="宋体"/>
          <w:color w:val="000000" w:themeColor="text1"/>
          <w:szCs w:val="21"/>
          <w:highlight w:val="none"/>
          <w14:textFill>
            <w14:solidFill>
              <w14:schemeClr w14:val="tx1"/>
            </w14:solidFill>
          </w14:textFill>
        </w:rPr>
      </w:pPr>
    </w:p>
    <w:p w14:paraId="7AD8021E">
      <w:pPr>
        <w:snapToGrid w:val="0"/>
        <w:spacing w:line="40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法定代表人（负责人）签字（或个人CA签章）：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7E54A3F7">
      <w:pPr>
        <w:pStyle w:val="20"/>
        <w:rPr>
          <w:rFonts w:ascii="宋体" w:hAnsi="宋体" w:cs="宋体"/>
          <w:color w:val="000000" w:themeColor="text1"/>
          <w:highlight w:val="none"/>
          <w14:textFill>
            <w14:solidFill>
              <w14:schemeClr w14:val="tx1"/>
            </w14:solidFill>
          </w14:textFill>
        </w:rPr>
      </w:pPr>
    </w:p>
    <w:p w14:paraId="377A7153">
      <w:pPr>
        <w:spacing w:line="44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附：供应商的授权委托书原件、委托代理人有效身份证正反面</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以及由县级以上（含县级）社会养老保险经办机构出具的供应商为委托代理人交纳的响应文件递交截止时间前半年内任意连续二个月社保证明</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，除供应商为以下三种情形的：</w:t>
      </w:r>
    </w:p>
    <w:p w14:paraId="47995916">
      <w:pPr>
        <w:spacing w:line="44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代替社保证明</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w:t>
      </w:r>
    </w:p>
    <w:p w14:paraId="559708C3">
      <w:pPr>
        <w:spacing w:line="44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或事业单位机构为其发放工资的工资条</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代替社保证明</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w:t>
      </w:r>
    </w:p>
    <w:p w14:paraId="29F2D240">
      <w:pPr>
        <w:spacing w:line="44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（3）如委托代理人为免缴纳社保人员，提供免缴纳社保的证明材料</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及供应商与委托代理人签订的劳动合同</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代替社保证明</w:t>
      </w:r>
      <w:r>
        <w:rPr>
          <w:rFonts w:hint="eastAsia" w:ascii="宋体" w:hAnsi="宋体" w:cs="宋体"/>
          <w:b/>
          <w:color w:val="000000" w:themeColor="text1"/>
          <w:szCs w:val="21"/>
          <w:highlight w:val="none"/>
          <w:lang w:eastAsia="zh-CN"/>
          <w14:textFill>
            <w14:solidFill>
              <w14:schemeClr w14:val="tx1"/>
            </w14:solidFill>
          </w14:textFill>
        </w:rPr>
        <w:t>扫描件</w:t>
      </w:r>
      <w:r>
        <w:rPr>
          <w:rFonts w:hint="eastAsia" w:ascii="宋体" w:hAnsi="宋体" w:cs="宋体"/>
          <w:b/>
          <w:color w:val="000000" w:themeColor="text1"/>
          <w:szCs w:val="21"/>
          <w:highlight w:val="none"/>
          <w14:textFill>
            <w14:solidFill>
              <w14:schemeClr w14:val="tx1"/>
            </w14:solidFill>
          </w14:textFill>
        </w:rPr>
        <w:t>。</w:t>
      </w:r>
    </w:p>
    <w:p w14:paraId="0C224905">
      <w:pPr>
        <w:spacing w:line="400" w:lineRule="exact"/>
        <w:outlineLvl w:val="1"/>
        <w:rPr>
          <w:rFonts w:ascii="宋体" w:hAnsi="宋体" w:cs="宋体"/>
          <w:b/>
          <w:bCs/>
          <w:color w:val="000000" w:themeColor="text1"/>
          <w:sz w:val="28"/>
          <w:szCs w:val="28"/>
          <w:highlight w:val="none"/>
          <w14:textFill>
            <w14:solidFill>
              <w14:schemeClr w14:val="tx1"/>
            </w14:solidFill>
          </w14:textFill>
        </w:rPr>
      </w:pPr>
    </w:p>
    <w:p w14:paraId="3C6CFBB3">
      <w:pPr>
        <w:spacing w:line="400" w:lineRule="exact"/>
        <w:outlineLvl w:val="1"/>
        <w:rPr>
          <w:rFonts w:ascii="宋体" w:hAnsi="宋体" w:cs="宋体"/>
          <w:b/>
          <w:bCs/>
          <w:color w:val="000000" w:themeColor="text1"/>
          <w:sz w:val="28"/>
          <w:szCs w:val="28"/>
          <w:highlight w:val="none"/>
          <w14:textFill>
            <w14:solidFill>
              <w14:schemeClr w14:val="tx1"/>
            </w14:solidFill>
          </w14:textFill>
        </w:rPr>
      </w:pPr>
    </w:p>
    <w:p w14:paraId="2412D575">
      <w:pPr>
        <w:spacing w:line="400" w:lineRule="exact"/>
        <w:outlineLvl w:val="1"/>
        <w:rPr>
          <w:rFonts w:ascii="宋体" w:hAnsi="宋体" w:cs="宋体"/>
          <w:b/>
          <w:bCs/>
          <w:color w:val="000000" w:themeColor="text1"/>
          <w:sz w:val="28"/>
          <w:szCs w:val="28"/>
          <w:highlight w:val="none"/>
          <w14:textFill>
            <w14:solidFill>
              <w14:schemeClr w14:val="tx1"/>
            </w14:solidFill>
          </w14:textFill>
        </w:rPr>
      </w:pPr>
    </w:p>
    <w:p w14:paraId="0EC3AB4B">
      <w:pPr>
        <w:pStyle w:val="20"/>
        <w:rPr>
          <w:rFonts w:ascii="宋体" w:hAnsi="宋体" w:cs="宋体"/>
          <w:b/>
          <w:color w:val="000000" w:themeColor="text1"/>
          <w:szCs w:val="21"/>
          <w:highlight w:val="none"/>
          <w14:textFill>
            <w14:solidFill>
              <w14:schemeClr w14:val="tx1"/>
            </w14:solidFill>
          </w14:textFill>
        </w:rPr>
      </w:pPr>
    </w:p>
    <w:p w14:paraId="2EF17142">
      <w:pPr>
        <w:pStyle w:val="20"/>
        <w:rPr>
          <w:rFonts w:ascii="宋体" w:hAnsi="宋体" w:cs="宋体"/>
          <w:b/>
          <w:color w:val="000000" w:themeColor="text1"/>
          <w:szCs w:val="21"/>
          <w:highlight w:val="none"/>
          <w14:textFill>
            <w14:solidFill>
              <w14:schemeClr w14:val="tx1"/>
            </w14:solidFill>
          </w14:textFill>
        </w:rPr>
      </w:pPr>
    </w:p>
    <w:p w14:paraId="0018341F">
      <w:pPr>
        <w:rPr>
          <w:rFonts w:hint="eastAsia" w:ascii="宋体" w:hAnsi="宋体" w:cs="宋体"/>
          <w:b/>
          <w:color w:val="000000" w:themeColor="text1"/>
          <w:sz w:val="28"/>
          <w:szCs w:val="28"/>
          <w:highlight w:val="none"/>
          <w14:textFill>
            <w14:solidFill>
              <w14:schemeClr w14:val="tx1"/>
            </w14:solidFill>
          </w14:textFill>
        </w:rPr>
      </w:pPr>
      <w:bookmarkStart w:id="943" w:name="_Toc24664"/>
      <w:bookmarkStart w:id="944" w:name="_Toc27156"/>
      <w:bookmarkStart w:id="945" w:name="_Toc2683"/>
      <w:bookmarkStart w:id="946" w:name="_Toc2998"/>
      <w:bookmarkStart w:id="947" w:name="_Toc2550"/>
      <w:r>
        <w:rPr>
          <w:rFonts w:hint="eastAsia" w:ascii="宋体" w:hAnsi="宋体" w:cs="宋体"/>
          <w:b/>
          <w:color w:val="000000" w:themeColor="text1"/>
          <w:sz w:val="28"/>
          <w:szCs w:val="28"/>
          <w:highlight w:val="none"/>
          <w14:textFill>
            <w14:solidFill>
              <w14:schemeClr w14:val="tx1"/>
            </w14:solidFill>
          </w14:textFill>
        </w:rPr>
        <w:br w:type="page"/>
      </w:r>
    </w:p>
    <w:p w14:paraId="14B4C0DB">
      <w:pPr>
        <w:pStyle w:val="12"/>
        <w:ind w:left="0" w:leftChars="0"/>
        <w:outlineLvl w:val="1"/>
        <w:rPr>
          <w:rFonts w:ascii="宋体" w:hAnsi="宋体" w:cs="宋体"/>
          <w:b/>
          <w:color w:val="000000" w:themeColor="text1"/>
          <w:sz w:val="28"/>
          <w:szCs w:val="28"/>
          <w:highlight w:val="none"/>
          <w14:textFill>
            <w14:solidFill>
              <w14:schemeClr w14:val="tx1"/>
            </w14:solidFill>
          </w14:textFill>
        </w:rPr>
      </w:pPr>
      <w:bookmarkStart w:id="948" w:name="_Toc20284"/>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.供应商参加政府采购活动前3年内在经营活动中没有重大违法记录及有关信用信息的书面声明（必须提供）；</w:t>
      </w:r>
      <w:bookmarkEnd w:id="943"/>
      <w:bookmarkEnd w:id="944"/>
      <w:bookmarkEnd w:id="945"/>
      <w:bookmarkEnd w:id="946"/>
      <w:bookmarkEnd w:id="947"/>
      <w:bookmarkEnd w:id="948"/>
    </w:p>
    <w:p w14:paraId="3B5899A6">
      <w:pPr>
        <w:pStyle w:val="27"/>
        <w:spacing w:line="400" w:lineRule="exact"/>
        <w:ind w:left="420" w:leftChars="200" w:firstLine="157" w:firstLineChars="49"/>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 xml:space="preserve">                       </w:t>
      </w:r>
    </w:p>
    <w:p w14:paraId="613F0932">
      <w:pPr>
        <w:pStyle w:val="27"/>
        <w:spacing w:line="400" w:lineRule="exact"/>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附件：</w:t>
      </w:r>
    </w:p>
    <w:p w14:paraId="20D68917">
      <w:pPr>
        <w:pStyle w:val="27"/>
        <w:spacing w:line="400" w:lineRule="exact"/>
        <w:jc w:val="center"/>
        <w:rPr>
          <w:rFonts w:hAnsi="宋体" w:cs="宋体"/>
          <w:b/>
          <w:color w:val="000000" w:themeColor="text1"/>
          <w:sz w:val="32"/>
          <w:szCs w:val="32"/>
          <w:highlight w:val="none"/>
          <w14:textFill>
            <w14:solidFill>
              <w14:schemeClr w14:val="tx1"/>
            </w14:solidFill>
          </w14:textFill>
        </w:rPr>
      </w:pPr>
      <w:bookmarkStart w:id="949" w:name="_Toc30890_WPSOffice_Level1"/>
      <w:bookmarkStart w:id="950" w:name="_Toc30304_WPSOffice_Level1"/>
      <w:r>
        <w:rPr>
          <w:rFonts w:hint="eastAsia" w:hAnsi="宋体" w:cs="宋体"/>
          <w:b/>
          <w:color w:val="000000" w:themeColor="text1"/>
          <w:sz w:val="32"/>
          <w:szCs w:val="32"/>
          <w:highlight w:val="none"/>
          <w14:textFill>
            <w14:solidFill>
              <w14:schemeClr w14:val="tx1"/>
            </w14:solidFill>
          </w14:textFill>
        </w:rPr>
        <w:t>声   明</w:t>
      </w:r>
      <w:bookmarkEnd w:id="949"/>
      <w:bookmarkEnd w:id="950"/>
    </w:p>
    <w:p w14:paraId="69A5255A">
      <w:pPr>
        <w:pStyle w:val="27"/>
        <w:spacing w:line="400" w:lineRule="exact"/>
        <w:rPr>
          <w:rFonts w:hAnsi="宋体" w:cs="宋体"/>
          <w:b/>
          <w:color w:val="000000" w:themeColor="text1"/>
          <w:sz w:val="32"/>
          <w:szCs w:val="32"/>
          <w:highlight w:val="none"/>
          <w14:textFill>
            <w14:solidFill>
              <w14:schemeClr w14:val="tx1"/>
            </w14:solidFill>
          </w14:textFill>
        </w:rPr>
      </w:pPr>
    </w:p>
    <w:p w14:paraId="469944C0">
      <w:pPr>
        <w:pStyle w:val="27"/>
        <w:spacing w:line="400" w:lineRule="exact"/>
        <w:rPr>
          <w:rFonts w:hAnsi="宋体" w:cs="宋体"/>
          <w:color w:val="000000" w:themeColor="text1"/>
          <w:szCs w:val="21"/>
          <w:highlight w:val="none"/>
          <w:u w:val="singl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致</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p>
    <w:p w14:paraId="4649961D">
      <w:pPr>
        <w:rPr>
          <w:rFonts w:ascii="宋体" w:hAnsi="宋体" w:cs="宋体"/>
          <w:color w:val="000000" w:themeColor="text1"/>
          <w:szCs w:val="21"/>
          <w:highlight w:val="none"/>
          <w:u w:val="single"/>
          <w14:textFill>
            <w14:solidFill>
              <w14:schemeClr w14:val="tx1"/>
            </w14:solidFill>
          </w14:textFill>
        </w:rPr>
      </w:pPr>
    </w:p>
    <w:p w14:paraId="3177B56A">
      <w:pPr>
        <w:pStyle w:val="20"/>
        <w:rPr>
          <w:rFonts w:ascii="宋体" w:hAnsi="宋体" w:cs="宋体"/>
          <w:color w:val="000000" w:themeColor="text1"/>
          <w:highlight w:val="none"/>
          <w14:textFill>
            <w14:solidFill>
              <w14:schemeClr w14:val="tx1"/>
            </w14:solidFill>
          </w14:textFill>
        </w:rPr>
      </w:pPr>
    </w:p>
    <w:p w14:paraId="553539C1">
      <w:pPr>
        <w:pStyle w:val="27"/>
        <w:spacing w:line="4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BF45DBC">
      <w:pPr>
        <w:rPr>
          <w:rFonts w:ascii="宋体" w:hAnsi="宋体" w:cs="宋体"/>
          <w:color w:val="000000" w:themeColor="text1"/>
          <w:highlight w:val="none"/>
          <w14:textFill>
            <w14:solidFill>
              <w14:schemeClr w14:val="tx1"/>
            </w14:solidFill>
          </w14:textFill>
        </w:rPr>
      </w:pPr>
    </w:p>
    <w:p w14:paraId="5ABEE130">
      <w:pPr>
        <w:snapToGrid w:val="0"/>
        <w:spacing w:line="400" w:lineRule="exact"/>
        <w:ind w:firstLine="1890" w:firstLineChars="9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磋商供应商[公章(CA签章)，自然人签字或个人CA签章]：</w:t>
      </w:r>
      <w:r>
        <w:rPr>
          <w:rFonts w:hint="eastAsia" w:ascii="宋体" w:hAnsi="宋体" w:cs="宋体"/>
          <w:color w:val="000000" w:themeColor="text1"/>
          <w:szCs w:val="21"/>
          <w:highlight w:val="none"/>
          <w:u w:val="single"/>
          <w14:textFill>
            <w14:solidFill>
              <w14:schemeClr w14:val="tx1"/>
            </w14:solidFill>
          </w14:textFill>
        </w:rPr>
        <w:t xml:space="preserve">                                         </w:t>
      </w:r>
    </w:p>
    <w:p w14:paraId="71ABF817">
      <w:pPr>
        <w:pStyle w:val="27"/>
        <w:ind w:firstLine="3990" w:firstLineChars="1900"/>
        <w:rPr>
          <w:rFonts w:hAnsi="宋体" w:cs="宋体"/>
          <w:color w:val="000000" w:themeColor="text1"/>
          <w:highlight w:val="none"/>
          <w14:textFill>
            <w14:solidFill>
              <w14:schemeClr w14:val="tx1"/>
            </w14:solidFill>
          </w14:textFill>
        </w:rPr>
      </w:pPr>
    </w:p>
    <w:p w14:paraId="17A11DCE">
      <w:pPr>
        <w:pStyle w:val="27"/>
        <w:ind w:firstLine="3990" w:firstLineChars="19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          期：</w:t>
      </w:r>
      <w:r>
        <w:rPr>
          <w:rFonts w:hint="eastAsia" w:hAnsi="宋体" w:cs="宋体"/>
          <w:color w:val="000000" w:themeColor="text1"/>
          <w:highlight w:val="none"/>
          <w:u w:val="single"/>
          <w14:textFill>
            <w14:solidFill>
              <w14:schemeClr w14:val="tx1"/>
            </w14:solidFill>
          </w14:textFill>
        </w:rPr>
        <w:t xml:space="preserve">                            </w:t>
      </w:r>
    </w:p>
    <w:p w14:paraId="72D514A4">
      <w:pPr>
        <w:pStyle w:val="27"/>
        <w:spacing w:line="340" w:lineRule="exact"/>
        <w:rPr>
          <w:rFonts w:hAnsi="宋体" w:cs="宋体"/>
          <w:b/>
          <w:color w:val="000000" w:themeColor="text1"/>
          <w:sz w:val="28"/>
          <w:szCs w:val="28"/>
          <w:highlight w:val="none"/>
          <w14:textFill>
            <w14:solidFill>
              <w14:schemeClr w14:val="tx1"/>
            </w14:solidFill>
          </w14:textFill>
        </w:rPr>
      </w:pPr>
    </w:p>
    <w:p w14:paraId="4C6D1E0F">
      <w:pPr>
        <w:pStyle w:val="27"/>
        <w:spacing w:line="340" w:lineRule="exact"/>
        <w:rPr>
          <w:rFonts w:hAnsi="宋体" w:cs="宋体"/>
          <w:b/>
          <w:color w:val="000000" w:themeColor="text1"/>
          <w:sz w:val="28"/>
          <w:szCs w:val="28"/>
          <w:highlight w:val="none"/>
          <w14:textFill>
            <w14:solidFill>
              <w14:schemeClr w14:val="tx1"/>
            </w14:solidFill>
          </w14:textFill>
        </w:rPr>
      </w:pPr>
    </w:p>
    <w:p w14:paraId="609E6CCB">
      <w:pPr>
        <w:pStyle w:val="27"/>
        <w:spacing w:line="340" w:lineRule="exact"/>
        <w:rPr>
          <w:rFonts w:hAnsi="宋体" w:cs="宋体"/>
          <w:b/>
          <w:color w:val="000000" w:themeColor="text1"/>
          <w:sz w:val="28"/>
          <w:szCs w:val="28"/>
          <w:highlight w:val="none"/>
          <w14:textFill>
            <w14:solidFill>
              <w14:schemeClr w14:val="tx1"/>
            </w14:solidFill>
          </w14:textFill>
        </w:rPr>
      </w:pPr>
    </w:p>
    <w:p w14:paraId="28B2EA86">
      <w:pPr>
        <w:pStyle w:val="12"/>
        <w:ind w:left="0" w:leftChars="0"/>
        <w:outlineLvl w:val="1"/>
        <w:rPr>
          <w:rFonts w:ascii="宋体" w:hAnsi="宋体" w:cs="宋体"/>
          <w:b/>
          <w:color w:val="000000" w:themeColor="text1"/>
          <w:sz w:val="28"/>
          <w:szCs w:val="28"/>
          <w:highlight w:val="none"/>
          <w14:textFill>
            <w14:solidFill>
              <w14:schemeClr w14:val="tx1"/>
            </w14:solidFill>
          </w14:textFill>
        </w:rPr>
      </w:pPr>
      <w:bookmarkStart w:id="951" w:name="_Toc32703"/>
      <w:bookmarkStart w:id="952" w:name="_Toc28909"/>
      <w:bookmarkStart w:id="953" w:name="_Toc20796"/>
      <w:bookmarkStart w:id="954" w:name="_Toc20647"/>
      <w:bookmarkStart w:id="955" w:name="_Toc28801"/>
      <w:bookmarkStart w:id="956" w:name="_Toc11123"/>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t>.供应商的法人或者其他组织营业执照等证明文件</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cs="宋体"/>
          <w:b/>
          <w:color w:val="000000" w:themeColor="text1"/>
          <w:sz w:val="28"/>
          <w:szCs w:val="28"/>
          <w:highlight w:val="none"/>
          <w14:textFill>
            <w14:solidFill>
              <w14:schemeClr w14:val="tx1"/>
            </w14:solidFill>
          </w14:textFill>
        </w:rPr>
        <w:t>（必须提供，自然人除外）；</w:t>
      </w:r>
      <w:bookmarkEnd w:id="951"/>
      <w:bookmarkEnd w:id="952"/>
      <w:bookmarkEnd w:id="953"/>
      <w:bookmarkEnd w:id="954"/>
      <w:bookmarkEnd w:id="955"/>
      <w:bookmarkEnd w:id="956"/>
    </w:p>
    <w:p w14:paraId="33780923">
      <w:pPr>
        <w:tabs>
          <w:tab w:val="left" w:pos="1305"/>
        </w:tabs>
        <w:spacing w:line="340" w:lineRule="exact"/>
        <w:rPr>
          <w:rFonts w:ascii="宋体" w:hAnsi="宋体" w:cs="宋体"/>
          <w:b/>
          <w:color w:val="000000" w:themeColor="text1"/>
          <w:szCs w:val="21"/>
          <w:highlight w:val="none"/>
          <w14:textFill>
            <w14:solidFill>
              <w14:schemeClr w14:val="tx1"/>
            </w14:solidFill>
          </w14:textFill>
        </w:rPr>
      </w:pPr>
    </w:p>
    <w:p w14:paraId="1532EEC2">
      <w:pPr>
        <w:tabs>
          <w:tab w:val="left" w:pos="1305"/>
        </w:tabs>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F829465">
      <w:pPr>
        <w:rPr>
          <w:rFonts w:ascii="宋体" w:hAnsi="宋体" w:cs="宋体"/>
          <w:b/>
          <w:bCs/>
          <w:color w:val="000000" w:themeColor="text1"/>
          <w:sz w:val="28"/>
          <w:szCs w:val="28"/>
          <w:highlight w:val="none"/>
          <w14:textFill>
            <w14:solidFill>
              <w14:schemeClr w14:val="tx1"/>
            </w14:solidFill>
          </w14:textFill>
        </w:rPr>
      </w:pPr>
    </w:p>
    <w:p w14:paraId="6631E7C1">
      <w:pPr>
        <w:pStyle w:val="27"/>
        <w:spacing w:line="340" w:lineRule="exact"/>
        <w:rPr>
          <w:rFonts w:hAnsi="宋体" w:cs="宋体"/>
          <w:b/>
          <w:color w:val="000000" w:themeColor="text1"/>
          <w:sz w:val="28"/>
          <w:szCs w:val="28"/>
          <w:highlight w:val="none"/>
          <w14:textFill>
            <w14:solidFill>
              <w14:schemeClr w14:val="tx1"/>
            </w14:solidFill>
          </w14:textFill>
        </w:rPr>
      </w:pPr>
    </w:p>
    <w:p w14:paraId="26794A8B">
      <w:pPr>
        <w:rPr>
          <w:rFonts w:ascii="宋体" w:hAnsi="宋体" w:cs="宋体"/>
          <w:b/>
          <w:color w:val="000000" w:themeColor="text1"/>
          <w:sz w:val="28"/>
          <w:szCs w:val="28"/>
          <w:highlight w:val="none"/>
          <w14:textFill>
            <w14:solidFill>
              <w14:schemeClr w14:val="tx1"/>
            </w14:solidFill>
          </w14:textFill>
        </w:rPr>
      </w:pPr>
      <w:bookmarkStart w:id="957" w:name="_Toc28158"/>
      <w:bookmarkStart w:id="958" w:name="_Toc29194"/>
      <w:bookmarkStart w:id="959" w:name="_Toc12697"/>
      <w:bookmarkStart w:id="960" w:name="_Toc6956"/>
      <w:r>
        <w:rPr>
          <w:rFonts w:hint="eastAsia" w:ascii="宋体" w:hAnsi="宋体" w:cs="宋体"/>
          <w:b/>
          <w:color w:val="000000" w:themeColor="text1"/>
          <w:sz w:val="28"/>
          <w:szCs w:val="28"/>
          <w:highlight w:val="none"/>
          <w14:textFill>
            <w14:solidFill>
              <w14:schemeClr w14:val="tx1"/>
            </w14:solidFill>
          </w14:textFill>
        </w:rPr>
        <w:br w:type="page"/>
      </w:r>
    </w:p>
    <w:p w14:paraId="26D2308A">
      <w:pPr>
        <w:pStyle w:val="12"/>
        <w:ind w:left="0" w:leftChars="0"/>
        <w:outlineLvl w:val="1"/>
        <w:rPr>
          <w:rFonts w:ascii="宋体" w:hAnsi="宋体" w:cs="宋体"/>
          <w:b/>
          <w:color w:val="000000" w:themeColor="text1"/>
          <w:sz w:val="28"/>
          <w:szCs w:val="28"/>
          <w:highlight w:val="none"/>
          <w14:textFill>
            <w14:solidFill>
              <w14:schemeClr w14:val="tx1"/>
            </w14:solidFill>
          </w14:textFill>
        </w:rPr>
      </w:pPr>
      <w:bookmarkStart w:id="961" w:name="_Toc19732"/>
      <w:bookmarkStart w:id="962" w:name="_Toc24173"/>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cs="宋体"/>
          <w:b/>
          <w:color w:val="000000" w:themeColor="text1"/>
          <w:sz w:val="28"/>
          <w:szCs w:val="28"/>
          <w:highlight w:val="none"/>
          <w14:textFill>
            <w14:solidFill>
              <w14:schemeClr w14:val="tx1"/>
            </w14:solidFill>
          </w14:textFill>
        </w:rPr>
        <w:t>.供应商有效的资质证书扫描件，项目经理有效的注册建造师证书及安全生产考核合格证书(B类)扫描件，项目经理无在建工程承诺书（格式自拟）(必须提供)；</w:t>
      </w:r>
      <w:bookmarkEnd w:id="957"/>
      <w:bookmarkEnd w:id="958"/>
      <w:bookmarkEnd w:id="959"/>
      <w:bookmarkEnd w:id="960"/>
      <w:bookmarkEnd w:id="961"/>
      <w:bookmarkEnd w:id="962"/>
    </w:p>
    <w:p w14:paraId="72F7D922">
      <w:pPr>
        <w:pStyle w:val="12"/>
        <w:ind w:left="0" w:leftChars="0"/>
        <w:rPr>
          <w:color w:val="000000" w:themeColor="text1"/>
          <w:highlight w:val="none"/>
          <w14:textFill>
            <w14:solidFill>
              <w14:schemeClr w14:val="tx1"/>
            </w14:solidFill>
          </w14:textFill>
        </w:rPr>
      </w:pPr>
    </w:p>
    <w:p w14:paraId="546E5183">
      <w:pPr>
        <w:pStyle w:val="27"/>
        <w:spacing w:line="340" w:lineRule="exact"/>
        <w:jc w:val="left"/>
        <w:rPr>
          <w:rFonts w:hAnsi="宋体" w:cs="宋体"/>
          <w:b/>
          <w:color w:val="000000" w:themeColor="text1"/>
          <w:sz w:val="28"/>
          <w:szCs w:val="28"/>
          <w:highlight w:val="none"/>
          <w14:textFill>
            <w14:solidFill>
              <w14:schemeClr w14:val="tx1"/>
            </w14:solidFill>
          </w14:textFill>
        </w:rPr>
      </w:pPr>
    </w:p>
    <w:p w14:paraId="2B79BAF1">
      <w:pPr>
        <w:pStyle w:val="12"/>
        <w:ind w:left="0" w:leftChars="0"/>
        <w:jc w:val="left"/>
        <w:rPr>
          <w:rFonts w:ascii="宋体" w:hAnsi="宋体" w:cs="宋体"/>
          <w:b/>
          <w:color w:val="000000" w:themeColor="text1"/>
          <w:sz w:val="28"/>
          <w:szCs w:val="28"/>
          <w:highlight w:val="none"/>
          <w14:textFill>
            <w14:solidFill>
              <w14:schemeClr w14:val="tx1"/>
            </w14:solidFill>
          </w14:textFill>
        </w:rPr>
      </w:pPr>
    </w:p>
    <w:p w14:paraId="4D7691E9">
      <w:pPr>
        <w:jc w:val="left"/>
        <w:rPr>
          <w:rFonts w:ascii="宋体" w:hAnsi="宋体" w:cs="宋体"/>
          <w:b/>
          <w:color w:val="000000" w:themeColor="text1"/>
          <w:sz w:val="28"/>
          <w:szCs w:val="28"/>
          <w:highlight w:val="none"/>
          <w14:textFill>
            <w14:solidFill>
              <w14:schemeClr w14:val="tx1"/>
            </w14:solidFill>
          </w14:textFill>
        </w:rPr>
      </w:pPr>
    </w:p>
    <w:p w14:paraId="337AB8C6">
      <w:pPr>
        <w:jc w:val="left"/>
        <w:rPr>
          <w:rFonts w:ascii="宋体" w:hAnsi="宋体" w:cs="宋体"/>
          <w:b/>
          <w:color w:val="000000" w:themeColor="text1"/>
          <w:sz w:val="28"/>
          <w:szCs w:val="28"/>
          <w:highlight w:val="none"/>
          <w14:textFill>
            <w14:solidFill>
              <w14:schemeClr w14:val="tx1"/>
            </w14:solidFill>
          </w14:textFill>
        </w:rPr>
      </w:pPr>
      <w:bookmarkStart w:id="963" w:name="_Toc27290"/>
      <w:bookmarkStart w:id="964" w:name="_Toc16476"/>
      <w:bookmarkStart w:id="965" w:name="_Toc1162"/>
      <w:bookmarkStart w:id="966" w:name="_Toc31765"/>
    </w:p>
    <w:p w14:paraId="25C71ABE">
      <w:pPr>
        <w:jc w:val="left"/>
        <w:rPr>
          <w:rFonts w:ascii="宋体" w:hAnsi="宋体" w:cs="宋体"/>
          <w:b/>
          <w:color w:val="000000" w:themeColor="text1"/>
          <w:sz w:val="28"/>
          <w:szCs w:val="28"/>
          <w:highlight w:val="none"/>
          <w14:textFill>
            <w14:solidFill>
              <w14:schemeClr w14:val="tx1"/>
            </w14:solidFill>
          </w14:textFill>
        </w:rPr>
      </w:pPr>
    </w:p>
    <w:p w14:paraId="1EA32A5B">
      <w:pPr>
        <w:snapToGrid w:val="0"/>
        <w:jc w:val="left"/>
        <w:rPr>
          <w:color w:val="000000" w:themeColor="text1"/>
          <w:sz w:val="18"/>
          <w:szCs w:val="18"/>
          <w:highlight w:val="none"/>
          <w14:textFill>
            <w14:solidFill>
              <w14:schemeClr w14:val="tx1"/>
            </w14:solidFill>
          </w14:textFill>
        </w:rPr>
      </w:pPr>
    </w:p>
    <w:p w14:paraId="605B8F2F">
      <w:pPr>
        <w:spacing w:line="340" w:lineRule="exact"/>
        <w:jc w:val="left"/>
        <w:rPr>
          <w:rFonts w:ascii="宋体" w:hAnsi="宋体" w:cs="宋体"/>
          <w:b/>
          <w:color w:val="000000" w:themeColor="text1"/>
          <w:sz w:val="28"/>
          <w:szCs w:val="28"/>
          <w:highlight w:val="none"/>
          <w14:textFill>
            <w14:solidFill>
              <w14:schemeClr w14:val="tx1"/>
            </w14:solidFill>
          </w14:textFill>
        </w:rPr>
      </w:pPr>
    </w:p>
    <w:p w14:paraId="63A04910">
      <w:pPr>
        <w:pStyle w:val="12"/>
        <w:ind w:left="0" w:leftChars="0"/>
        <w:outlineLvl w:val="1"/>
        <w:rPr>
          <w:rFonts w:ascii="宋体" w:hAnsi="宋体" w:cs="宋体"/>
          <w:b/>
          <w:color w:val="000000" w:themeColor="text1"/>
          <w:sz w:val="28"/>
          <w:szCs w:val="28"/>
          <w:highlight w:val="none"/>
          <w14:textFill>
            <w14:solidFill>
              <w14:schemeClr w14:val="tx1"/>
            </w14:solidFill>
          </w14:textFill>
        </w:rPr>
      </w:pPr>
      <w:bookmarkStart w:id="967" w:name="_Toc3115"/>
      <w:bookmarkStart w:id="968" w:name="_Toc25618"/>
      <w:r>
        <w:rPr>
          <w:rFonts w:hint="eastAsia" w:ascii="宋体" w:hAnsi="宋体" w:cs="宋体"/>
          <w:b/>
          <w:color w:val="000000" w:themeColor="text1"/>
          <w:sz w:val="28"/>
          <w:szCs w:val="28"/>
          <w:highlight w:val="none"/>
          <w:lang w:val="en-US" w:eastAsia="zh-CN"/>
          <w14:textFill>
            <w14:solidFill>
              <w14:schemeClr w14:val="tx1"/>
            </w14:solidFill>
          </w14:textFill>
        </w:rPr>
        <w:t>6</w:t>
      </w:r>
      <w:r>
        <w:rPr>
          <w:rFonts w:hint="eastAsia" w:ascii="宋体" w:hAnsi="宋体" w:cs="宋体"/>
          <w:b/>
          <w:color w:val="000000" w:themeColor="text1"/>
          <w:sz w:val="28"/>
          <w:szCs w:val="28"/>
          <w:highlight w:val="none"/>
          <w14:textFill>
            <w14:solidFill>
              <w14:schemeClr w14:val="tx1"/>
            </w14:solidFill>
          </w14:textFill>
        </w:rPr>
        <w:t>.供应商2023年以来任意一年度的财务状况报告（必须提供，可以是磋商供应商自行编制也可是通过第三方审计公司编制，如为自行编制至少须提供现金流量表、负债表及利润表）；</w:t>
      </w:r>
      <w:bookmarkEnd w:id="963"/>
      <w:bookmarkEnd w:id="964"/>
      <w:bookmarkEnd w:id="965"/>
      <w:bookmarkEnd w:id="966"/>
      <w:bookmarkEnd w:id="967"/>
      <w:bookmarkEnd w:id="968"/>
    </w:p>
    <w:p w14:paraId="4031138E">
      <w:pPr>
        <w:ind w:left="2940" w:leftChars="1400"/>
        <w:rPr>
          <w:color w:val="000000" w:themeColor="text1"/>
          <w:highlight w:val="none"/>
          <w14:textFill>
            <w14:solidFill>
              <w14:schemeClr w14:val="tx1"/>
            </w14:solidFill>
          </w14:textFill>
        </w:rPr>
      </w:pPr>
      <w:bookmarkStart w:id="969" w:name="_Toc18342"/>
      <w:bookmarkStart w:id="970" w:name="_Toc21896"/>
      <w:bookmarkStart w:id="971" w:name="_Toc12791"/>
      <w:bookmarkStart w:id="972" w:name="_Toc10639"/>
    </w:p>
    <w:p w14:paraId="4534846C">
      <w:pPr>
        <w:spacing w:line="340" w:lineRule="exact"/>
        <w:jc w:val="left"/>
        <w:rPr>
          <w:rFonts w:ascii="宋体" w:hAnsi="宋体" w:cs="宋体"/>
          <w:b/>
          <w:color w:val="000000" w:themeColor="text1"/>
          <w:sz w:val="28"/>
          <w:szCs w:val="28"/>
          <w:highlight w:val="none"/>
          <w14:textFill>
            <w14:solidFill>
              <w14:schemeClr w14:val="tx1"/>
            </w14:solidFill>
          </w14:textFill>
        </w:rPr>
      </w:pPr>
    </w:p>
    <w:p w14:paraId="054FDAAF">
      <w:pPr>
        <w:jc w:val="left"/>
        <w:rPr>
          <w:rFonts w:ascii="宋体" w:hAnsi="宋体" w:cs="宋体"/>
          <w:b/>
          <w:color w:val="000000" w:themeColor="text1"/>
          <w:sz w:val="28"/>
          <w:szCs w:val="28"/>
          <w:highlight w:val="none"/>
          <w14:textFill>
            <w14:solidFill>
              <w14:schemeClr w14:val="tx1"/>
            </w14:solidFill>
          </w14:textFill>
        </w:rPr>
      </w:pPr>
    </w:p>
    <w:p w14:paraId="14B5AE16">
      <w:pPr>
        <w:jc w:val="left"/>
        <w:rPr>
          <w:rFonts w:ascii="宋体" w:hAnsi="宋体" w:cs="宋体"/>
          <w:b/>
          <w:color w:val="000000" w:themeColor="text1"/>
          <w:sz w:val="28"/>
          <w:szCs w:val="28"/>
          <w:highlight w:val="none"/>
          <w14:textFill>
            <w14:solidFill>
              <w14:schemeClr w14:val="tx1"/>
            </w14:solidFill>
          </w14:textFill>
        </w:rPr>
      </w:pPr>
    </w:p>
    <w:p w14:paraId="0A605243">
      <w:pPr>
        <w:snapToGrid w:val="0"/>
        <w:jc w:val="left"/>
        <w:rPr>
          <w:color w:val="000000" w:themeColor="text1"/>
          <w:sz w:val="18"/>
          <w:szCs w:val="18"/>
          <w:highlight w:val="none"/>
          <w14:textFill>
            <w14:solidFill>
              <w14:schemeClr w14:val="tx1"/>
            </w14:solidFill>
          </w14:textFill>
        </w:rPr>
      </w:pPr>
    </w:p>
    <w:p w14:paraId="4B74E189">
      <w:pPr>
        <w:spacing w:line="340" w:lineRule="exact"/>
        <w:jc w:val="left"/>
        <w:rPr>
          <w:rFonts w:ascii="宋体" w:hAnsi="宋体" w:cs="宋体"/>
          <w:b/>
          <w:color w:val="000000" w:themeColor="text1"/>
          <w:sz w:val="28"/>
          <w:szCs w:val="28"/>
          <w:highlight w:val="none"/>
          <w14:textFill>
            <w14:solidFill>
              <w14:schemeClr w14:val="tx1"/>
            </w14:solidFill>
          </w14:textFill>
        </w:rPr>
      </w:pPr>
    </w:p>
    <w:p w14:paraId="46875FA2">
      <w:pPr>
        <w:pStyle w:val="12"/>
        <w:ind w:left="0" w:leftChars="0"/>
        <w:outlineLvl w:val="1"/>
        <w:rPr>
          <w:rFonts w:ascii="宋体" w:hAnsi="宋体" w:cs="宋体"/>
          <w:b/>
          <w:color w:val="000000" w:themeColor="text1"/>
          <w:sz w:val="28"/>
          <w:szCs w:val="28"/>
          <w:highlight w:val="none"/>
          <w14:textFill>
            <w14:solidFill>
              <w14:schemeClr w14:val="tx1"/>
            </w14:solidFill>
          </w14:textFill>
        </w:rPr>
      </w:pPr>
      <w:bookmarkStart w:id="973" w:name="_Toc10118"/>
      <w:bookmarkStart w:id="974" w:name="_Toc22294"/>
      <w:r>
        <w:rPr>
          <w:rFonts w:hint="eastAsia" w:ascii="宋体" w:hAnsi="宋体" w:cs="宋体"/>
          <w:b/>
          <w:color w:val="000000" w:themeColor="text1"/>
          <w:sz w:val="28"/>
          <w:szCs w:val="28"/>
          <w:highlight w:val="none"/>
          <w:lang w:val="en-US" w:eastAsia="zh-CN"/>
          <w14:textFill>
            <w14:solidFill>
              <w14:schemeClr w14:val="tx1"/>
            </w14:solidFill>
          </w14:textFill>
        </w:rPr>
        <w:t>7</w:t>
      </w:r>
      <w:r>
        <w:rPr>
          <w:rFonts w:hint="eastAsia" w:ascii="宋体" w:hAnsi="宋体" w:cs="宋体"/>
          <w:b/>
          <w:color w:val="000000" w:themeColor="text1"/>
          <w:sz w:val="28"/>
          <w:szCs w:val="28"/>
          <w:highlight w:val="none"/>
          <w14:textFill>
            <w14:solidFill>
              <w14:schemeClr w14:val="tx1"/>
            </w14:solidFill>
          </w14:textFill>
        </w:rPr>
        <w:t>.供应商在磋商当天前近半年内任意一个月或任一季度依法缴纳税收的证明材料（增值税发票(税收完税证明)或企业所得税完税证明或税务部门出具的免税证明）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cs="宋体"/>
          <w:b/>
          <w:color w:val="000000" w:themeColor="text1"/>
          <w:sz w:val="28"/>
          <w:szCs w:val="28"/>
          <w:highlight w:val="none"/>
          <w14:textFill>
            <w14:solidFill>
              <w14:schemeClr w14:val="tx1"/>
            </w14:solidFill>
          </w14:textFill>
        </w:rPr>
        <w:t>（必须提供）。</w:t>
      </w:r>
      <w:bookmarkEnd w:id="969"/>
      <w:bookmarkEnd w:id="970"/>
      <w:bookmarkEnd w:id="971"/>
      <w:bookmarkEnd w:id="972"/>
      <w:bookmarkEnd w:id="973"/>
      <w:bookmarkEnd w:id="974"/>
    </w:p>
    <w:p w14:paraId="766BCF5A">
      <w:pPr>
        <w:rPr>
          <w:rFonts w:ascii="宋体" w:hAnsi="宋体" w:cs="宋体"/>
          <w:b/>
          <w:bCs/>
          <w:color w:val="000000" w:themeColor="text1"/>
          <w:sz w:val="32"/>
          <w:szCs w:val="32"/>
          <w:highlight w:val="none"/>
          <w14:textFill>
            <w14:solidFill>
              <w14:schemeClr w14:val="tx1"/>
            </w14:solidFill>
          </w14:textFill>
        </w:rPr>
      </w:pPr>
    </w:p>
    <w:p w14:paraId="5EA6CAC2">
      <w:pPr>
        <w:pStyle w:val="33"/>
        <w:rPr>
          <w:color w:val="000000" w:themeColor="text1"/>
          <w:highlight w:val="none"/>
          <w14:textFill>
            <w14:solidFill>
              <w14:schemeClr w14:val="tx1"/>
            </w14:solidFill>
          </w14:textFill>
        </w:rPr>
      </w:pPr>
    </w:p>
    <w:p w14:paraId="26C0308B">
      <w:pP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2DE5345E">
      <w:pPr>
        <w:pStyle w:val="12"/>
        <w:ind w:left="0" w:leftChars="0"/>
        <w:outlineLvl w:val="1"/>
        <w:rPr>
          <w:rFonts w:ascii="宋体" w:hAnsi="宋体" w:cs="宋体"/>
          <w:b/>
          <w:bCs/>
          <w:color w:val="000000" w:themeColor="text1"/>
          <w:sz w:val="32"/>
          <w:szCs w:val="32"/>
          <w:highlight w:val="none"/>
          <w14:textFill>
            <w14:solidFill>
              <w14:schemeClr w14:val="tx1"/>
            </w14:solidFill>
          </w14:textFill>
        </w:rPr>
      </w:pPr>
      <w:bookmarkStart w:id="975" w:name="_Toc18910"/>
      <w:bookmarkStart w:id="976" w:name="_Toc4895"/>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cs="宋体"/>
          <w:b/>
          <w:color w:val="000000" w:themeColor="text1"/>
          <w:sz w:val="28"/>
          <w:szCs w:val="28"/>
          <w:highlight w:val="none"/>
          <w14:textFill>
            <w14:solidFill>
              <w14:schemeClr w14:val="tx1"/>
            </w14:solidFill>
          </w14:textFill>
        </w:rPr>
        <w:t>.中小企业</w:t>
      </w:r>
      <w:r>
        <w:rPr>
          <w:rFonts w:hint="eastAsia" w:hAnsi="宋体" w:cs="宋体"/>
          <w:b/>
          <w:color w:val="000000" w:themeColor="text1"/>
          <w:sz w:val="28"/>
          <w:szCs w:val="28"/>
          <w:highlight w:val="none"/>
          <w14:textFill>
            <w14:solidFill>
              <w14:schemeClr w14:val="tx1"/>
            </w14:solidFill>
          </w14:textFill>
        </w:rPr>
        <w:t>声明</w:t>
      </w:r>
      <w:r>
        <w:rPr>
          <w:rFonts w:hint="eastAsia" w:ascii="宋体" w:hAnsi="宋体" w:cs="宋体"/>
          <w:b/>
          <w:color w:val="000000" w:themeColor="text1"/>
          <w:sz w:val="28"/>
          <w:szCs w:val="28"/>
          <w:highlight w:val="none"/>
          <w14:textFill>
            <w14:solidFill>
              <w14:schemeClr w14:val="tx1"/>
            </w14:solidFill>
          </w14:textFill>
        </w:rPr>
        <w:t>函或者残疾人福利性单位声明函（格式后附）或者供应商属于监狱企业的，提供由省级以上监狱管理局、戒毒管理局（含新疆生产建设兵团）出具的属于监狱企业的证明文件；（必须提供）</w:t>
      </w:r>
      <w:bookmarkEnd w:id="975"/>
      <w:bookmarkEnd w:id="976"/>
    </w:p>
    <w:p w14:paraId="5D222A30">
      <w:pPr>
        <w:rPr>
          <w:rFonts w:ascii="宋体" w:hAnsi="宋体" w:cs="宋体"/>
          <w:b/>
          <w:bCs/>
          <w:color w:val="000000" w:themeColor="text1"/>
          <w:sz w:val="32"/>
          <w:szCs w:val="32"/>
          <w:highlight w:val="none"/>
          <w14:textFill>
            <w14:solidFill>
              <w14:schemeClr w14:val="tx1"/>
            </w14:solidFill>
          </w14:textFill>
        </w:rPr>
      </w:pPr>
    </w:p>
    <w:p w14:paraId="186385F6">
      <w:pPr>
        <w:jc w:val="center"/>
        <w:outlineLvl w:val="1"/>
        <w:rPr>
          <w:rStyle w:val="271"/>
          <w:rFonts w:ascii="宋体" w:hAnsi="宋体" w:cs="宋体"/>
          <w:b/>
          <w:bCs/>
          <w:color w:val="000000" w:themeColor="text1"/>
          <w:kern w:val="0"/>
          <w:sz w:val="24"/>
          <w:highlight w:val="none"/>
          <w14:textFill>
            <w14:solidFill>
              <w14:schemeClr w14:val="tx1"/>
            </w14:solidFill>
          </w14:textFill>
        </w:rPr>
      </w:pPr>
      <w:bookmarkStart w:id="977" w:name="_Toc20326"/>
      <w:bookmarkStart w:id="978" w:name="_Toc20297"/>
      <w:bookmarkStart w:id="979" w:name="_Toc27491"/>
      <w:bookmarkStart w:id="980" w:name="_Toc16031"/>
      <w:bookmarkStart w:id="981" w:name="_Toc23913"/>
      <w:bookmarkStart w:id="982" w:name="_Toc22992"/>
      <w:bookmarkStart w:id="983" w:name="_Toc31988"/>
      <w:r>
        <w:rPr>
          <w:rStyle w:val="271"/>
          <w:rFonts w:hint="eastAsia" w:ascii="宋体" w:hAnsi="宋体" w:cs="宋体"/>
          <w:b/>
          <w:bCs/>
          <w:color w:val="000000" w:themeColor="text1"/>
          <w:kern w:val="0"/>
          <w:sz w:val="24"/>
          <w:highlight w:val="none"/>
          <w14:textFill>
            <w14:solidFill>
              <w14:schemeClr w14:val="tx1"/>
            </w14:solidFill>
          </w14:textFill>
        </w:rPr>
        <w:t>（1）</w:t>
      </w:r>
      <w:r>
        <w:rPr>
          <w:rStyle w:val="271"/>
          <w:rFonts w:ascii="宋体" w:hAnsi="宋体" w:cs="宋体"/>
          <w:b/>
          <w:bCs/>
          <w:color w:val="000000" w:themeColor="text1"/>
          <w:kern w:val="0"/>
          <w:sz w:val="24"/>
          <w:highlight w:val="none"/>
          <w14:textFill>
            <w14:solidFill>
              <w14:schemeClr w14:val="tx1"/>
            </w14:solidFill>
          </w14:textFill>
        </w:rPr>
        <w:t>中小企业声明函（</w:t>
      </w:r>
      <w:r>
        <w:rPr>
          <w:rStyle w:val="271"/>
          <w:rFonts w:hint="eastAsia" w:ascii="宋体" w:hAnsi="宋体" w:cs="宋体"/>
          <w:b/>
          <w:bCs/>
          <w:color w:val="000000" w:themeColor="text1"/>
          <w:kern w:val="0"/>
          <w:sz w:val="24"/>
          <w:highlight w:val="none"/>
          <w14:textFill>
            <w14:solidFill>
              <w14:schemeClr w14:val="tx1"/>
            </w14:solidFill>
          </w14:textFill>
        </w:rPr>
        <w:t>工程</w:t>
      </w:r>
      <w:r>
        <w:rPr>
          <w:rStyle w:val="271"/>
          <w:rFonts w:ascii="宋体" w:hAnsi="宋体" w:cs="宋体"/>
          <w:b/>
          <w:bCs/>
          <w:color w:val="000000" w:themeColor="text1"/>
          <w:kern w:val="0"/>
          <w:sz w:val="24"/>
          <w:highlight w:val="none"/>
          <w14:textFill>
            <w14:solidFill>
              <w14:schemeClr w14:val="tx1"/>
            </w14:solidFill>
          </w14:textFill>
        </w:rPr>
        <w:t>）</w:t>
      </w:r>
      <w:bookmarkEnd w:id="977"/>
      <w:bookmarkEnd w:id="978"/>
      <w:bookmarkEnd w:id="979"/>
      <w:bookmarkEnd w:id="980"/>
      <w:bookmarkEnd w:id="981"/>
      <w:r>
        <w:rPr>
          <w:rStyle w:val="271"/>
          <w:rFonts w:hint="eastAsia" w:ascii="宋体" w:hAnsi="宋体" w:cs="宋体"/>
          <w:b/>
          <w:bCs/>
          <w:color w:val="000000" w:themeColor="text1"/>
          <w:kern w:val="0"/>
          <w:sz w:val="24"/>
          <w:highlight w:val="none"/>
          <w14:textFill>
            <w14:solidFill>
              <w14:schemeClr w14:val="tx1"/>
            </w14:solidFill>
          </w14:textFill>
        </w:rPr>
        <w:t>（格式）</w:t>
      </w:r>
      <w:bookmarkEnd w:id="982"/>
      <w:bookmarkEnd w:id="983"/>
    </w:p>
    <w:p w14:paraId="59741BC1">
      <w:pPr>
        <w:spacing w:after="60" w:line="360" w:lineRule="atLeast"/>
        <w:ind w:left="63" w:leftChars="30" w:right="63" w:rightChars="30"/>
        <w:jc w:val="center"/>
        <w:rPr>
          <w:color w:val="000000" w:themeColor="text1"/>
          <w:kern w:val="0"/>
          <w:szCs w:val="21"/>
          <w:highlight w:val="none"/>
          <w14:textFill>
            <w14:solidFill>
              <w14:schemeClr w14:val="tx1"/>
            </w14:solidFill>
          </w14:textFill>
        </w:rPr>
      </w:pPr>
    </w:p>
    <w:p w14:paraId="436F2C09">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bCs/>
          <w:color w:val="000000" w:themeColor="text1"/>
          <w:sz w:val="24"/>
          <w:highlight w:val="none"/>
          <w:u w:val="single"/>
          <w14:textFill>
            <w14:solidFill>
              <w14:schemeClr w14:val="tx1"/>
            </w14:solidFill>
          </w14:textFill>
        </w:rPr>
        <w:t>（单位名称）</w:t>
      </w:r>
      <w:r>
        <w:rPr>
          <w:rFonts w:hint="eastAsia"/>
          <w:bCs/>
          <w:color w:val="000000" w:themeColor="text1"/>
          <w:sz w:val="24"/>
          <w:highlight w:val="none"/>
          <w14:textFill>
            <w14:solidFill>
              <w14:schemeClr w14:val="tx1"/>
            </w14:solidFill>
          </w14:textFill>
        </w:rPr>
        <w:t>的</w:t>
      </w:r>
      <w:r>
        <w:rPr>
          <w:rFonts w:hint="eastAsia"/>
          <w:bCs/>
          <w:color w:val="000000" w:themeColor="text1"/>
          <w:sz w:val="24"/>
          <w:highlight w:val="none"/>
          <w:u w:val="single"/>
          <w14:textFill>
            <w14:solidFill>
              <w14:schemeClr w14:val="tx1"/>
            </w14:solidFill>
          </w14:textFill>
        </w:rPr>
        <w:t>（项目名称）</w:t>
      </w:r>
      <w:r>
        <w:rPr>
          <w:rFonts w:hint="eastAsia"/>
          <w:bCs/>
          <w:color w:val="000000" w:themeColor="text1"/>
          <w:sz w:val="24"/>
          <w:highlight w:val="none"/>
          <w14:textFill>
            <w14:solidFill>
              <w14:schemeClr w14:val="tx1"/>
            </w14:solidFill>
          </w14:textFill>
        </w:rPr>
        <w:t>采购活动，工程的施工单位全部为符合政策要求的中小企业承接。相关企业（含联合体中的中小企业、签订分包意向协议的中小企业） 的具体情况如下：</w:t>
      </w:r>
    </w:p>
    <w:p w14:paraId="7F43D232">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w:t>
      </w:r>
      <w:r>
        <w:rPr>
          <w:rFonts w:hint="eastAsia"/>
          <w:bCs/>
          <w:color w:val="000000" w:themeColor="text1"/>
          <w:sz w:val="24"/>
          <w:highlight w:val="none"/>
          <w:u w:val="single"/>
          <w14:textFill>
            <w14:solidFill>
              <w14:schemeClr w14:val="tx1"/>
            </w14:solidFill>
          </w14:textFill>
        </w:rPr>
        <w:t>（标的名称）</w:t>
      </w:r>
      <w:r>
        <w:rPr>
          <w:rFonts w:hint="eastAsia"/>
          <w:bCs/>
          <w:color w:val="000000" w:themeColor="text1"/>
          <w:sz w:val="24"/>
          <w:highlight w:val="none"/>
          <w14:textFill>
            <w14:solidFill>
              <w14:schemeClr w14:val="tx1"/>
            </w14:solidFill>
          </w14:textFill>
        </w:rPr>
        <w:t>，属于</w:t>
      </w:r>
      <w:r>
        <w:rPr>
          <w:rFonts w:hint="eastAsia"/>
          <w:bCs/>
          <w:color w:val="000000" w:themeColor="text1"/>
          <w:sz w:val="24"/>
          <w:highlight w:val="none"/>
          <w:u w:val="single"/>
          <w14:textFill>
            <w14:solidFill>
              <w14:schemeClr w14:val="tx1"/>
            </w14:solidFill>
          </w14:textFill>
        </w:rPr>
        <w:t>（采购文件中明确的所属行业）</w:t>
      </w:r>
      <w:r>
        <w:rPr>
          <w:rFonts w:hint="eastAsia"/>
          <w:bCs/>
          <w:color w:val="000000" w:themeColor="text1"/>
          <w:sz w:val="24"/>
          <w:highlight w:val="none"/>
          <w14:textFill>
            <w14:solidFill>
              <w14:schemeClr w14:val="tx1"/>
            </w14:solidFill>
          </w14:textFill>
        </w:rPr>
        <w:t>行业；承建企业为</w:t>
      </w:r>
      <w:r>
        <w:rPr>
          <w:rFonts w:hint="eastAsia"/>
          <w:bCs/>
          <w:color w:val="000000" w:themeColor="text1"/>
          <w:sz w:val="24"/>
          <w:highlight w:val="none"/>
          <w:u w:val="single"/>
          <w14:textFill>
            <w14:solidFill>
              <w14:schemeClr w14:val="tx1"/>
            </w14:solidFill>
          </w14:textFill>
        </w:rPr>
        <w:t>（企业名称）</w:t>
      </w:r>
      <w:r>
        <w:rPr>
          <w:rFonts w:hint="eastAsia"/>
          <w:bCs/>
          <w:color w:val="000000" w:themeColor="text1"/>
          <w:sz w:val="24"/>
          <w:highlight w:val="none"/>
          <w14:textFill>
            <w14:solidFill>
              <w14:schemeClr w14:val="tx1"/>
            </w14:solidFill>
          </w14:textFill>
        </w:rPr>
        <w:t>，从业人员</w:t>
      </w:r>
      <w:r>
        <w:rPr>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人，营业收入为</w:t>
      </w:r>
      <w:r>
        <w:rPr>
          <w:rFonts w:hint="eastAsia"/>
          <w:bCs/>
          <w:color w:val="000000" w:themeColor="text1"/>
          <w:sz w:val="24"/>
          <w:highlight w:val="none"/>
          <w:u w:val="single"/>
          <w14:textFill>
            <w14:solidFill>
              <w14:schemeClr w14:val="tx1"/>
            </w14:solidFill>
          </w14:textFill>
        </w:rPr>
        <w:t xml:space="preserve"> </w:t>
      </w:r>
      <w:r>
        <w:rPr>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万元，资产总额为</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万元，属于</w:t>
      </w:r>
      <w:r>
        <w:rPr>
          <w:rFonts w:hint="eastAsia"/>
          <w:bCs/>
          <w:color w:val="000000" w:themeColor="text1"/>
          <w:sz w:val="24"/>
          <w:highlight w:val="none"/>
          <w:u w:val="single"/>
          <w14:textFill>
            <w14:solidFill>
              <w14:schemeClr w14:val="tx1"/>
            </w14:solidFill>
          </w14:textFill>
        </w:rPr>
        <w:t>（中型企业、小型企业、微型企业）</w:t>
      </w:r>
      <w:r>
        <w:rPr>
          <w:rFonts w:hint="eastAsia"/>
          <w:bCs/>
          <w:color w:val="000000" w:themeColor="text1"/>
          <w:sz w:val="24"/>
          <w:highlight w:val="none"/>
          <w14:textFill>
            <w14:solidFill>
              <w14:schemeClr w14:val="tx1"/>
            </w14:solidFill>
          </w14:textFill>
        </w:rPr>
        <w:t>；</w:t>
      </w:r>
    </w:p>
    <w:p w14:paraId="3F764AA3">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2.</w:t>
      </w:r>
      <w:r>
        <w:rPr>
          <w:rFonts w:hint="eastAsia"/>
          <w:bCs/>
          <w:color w:val="000000" w:themeColor="text1"/>
          <w:sz w:val="24"/>
          <w:highlight w:val="none"/>
          <w:u w:val="single"/>
          <w14:textFill>
            <w14:solidFill>
              <w14:schemeClr w14:val="tx1"/>
            </w14:solidFill>
          </w14:textFill>
        </w:rPr>
        <w:t>（标的名称）</w:t>
      </w:r>
      <w:r>
        <w:rPr>
          <w:rFonts w:hint="eastAsia"/>
          <w:bCs/>
          <w:color w:val="000000" w:themeColor="text1"/>
          <w:sz w:val="24"/>
          <w:highlight w:val="none"/>
          <w14:textFill>
            <w14:solidFill>
              <w14:schemeClr w14:val="tx1"/>
            </w14:solidFill>
          </w14:textFill>
        </w:rPr>
        <w:t>，属于</w:t>
      </w:r>
      <w:r>
        <w:rPr>
          <w:rFonts w:hint="eastAsia"/>
          <w:bCs/>
          <w:color w:val="000000" w:themeColor="text1"/>
          <w:sz w:val="24"/>
          <w:highlight w:val="none"/>
          <w:u w:val="single"/>
          <w14:textFill>
            <w14:solidFill>
              <w14:schemeClr w14:val="tx1"/>
            </w14:solidFill>
          </w14:textFill>
        </w:rPr>
        <w:t>（采购文件中明确的所属行业）</w:t>
      </w:r>
      <w:r>
        <w:rPr>
          <w:rFonts w:hint="eastAsia"/>
          <w:bCs/>
          <w:color w:val="000000" w:themeColor="text1"/>
          <w:sz w:val="24"/>
          <w:highlight w:val="none"/>
          <w14:textFill>
            <w14:solidFill>
              <w14:schemeClr w14:val="tx1"/>
            </w14:solidFill>
          </w14:textFill>
        </w:rPr>
        <w:t>行业；承建企业为</w:t>
      </w:r>
      <w:r>
        <w:rPr>
          <w:rFonts w:hint="eastAsia"/>
          <w:bCs/>
          <w:color w:val="000000" w:themeColor="text1"/>
          <w:sz w:val="24"/>
          <w:highlight w:val="none"/>
          <w:u w:val="single"/>
          <w14:textFill>
            <w14:solidFill>
              <w14:schemeClr w14:val="tx1"/>
            </w14:solidFill>
          </w14:textFill>
        </w:rPr>
        <w:t>（企业名称）</w:t>
      </w:r>
      <w:r>
        <w:rPr>
          <w:rFonts w:hint="eastAsia"/>
          <w:bCs/>
          <w:color w:val="000000" w:themeColor="text1"/>
          <w:sz w:val="24"/>
          <w:highlight w:val="none"/>
          <w14:textFill>
            <w14:solidFill>
              <w14:schemeClr w14:val="tx1"/>
            </w14:solidFill>
          </w14:textFill>
        </w:rPr>
        <w:t>，从业人员</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人，营业收入为</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万元，资产总额为</w:t>
      </w:r>
      <w:r>
        <w:rPr>
          <w:rFonts w:hint="eastAsia"/>
          <w:bCs/>
          <w:color w:val="000000" w:themeColor="text1"/>
          <w:sz w:val="24"/>
          <w:highlight w:val="none"/>
          <w:u w:val="single"/>
          <w14:textFill>
            <w14:solidFill>
              <w14:schemeClr w14:val="tx1"/>
            </w14:solidFill>
          </w14:textFill>
        </w:rPr>
        <w:t xml:space="preserve"> </w:t>
      </w:r>
      <w:r>
        <w:rPr>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万元，属于</w:t>
      </w:r>
      <w:r>
        <w:rPr>
          <w:rFonts w:hint="eastAsia"/>
          <w:bCs/>
          <w:color w:val="000000" w:themeColor="text1"/>
          <w:sz w:val="24"/>
          <w:highlight w:val="none"/>
          <w:u w:val="single"/>
          <w14:textFill>
            <w14:solidFill>
              <w14:schemeClr w14:val="tx1"/>
            </w14:solidFill>
          </w14:textFill>
        </w:rPr>
        <w:t>（中型企业、小型企业、微型企业）</w:t>
      </w:r>
      <w:r>
        <w:rPr>
          <w:rFonts w:hint="eastAsia"/>
          <w:bCs/>
          <w:color w:val="000000" w:themeColor="text1"/>
          <w:sz w:val="24"/>
          <w:highlight w:val="none"/>
          <w14:textFill>
            <w14:solidFill>
              <w14:schemeClr w14:val="tx1"/>
            </w14:solidFill>
          </w14:textFill>
        </w:rPr>
        <w:t>；</w:t>
      </w:r>
    </w:p>
    <w:p w14:paraId="4169C3CA">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p>
    <w:p w14:paraId="381A7D25">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C4C5C32">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5B4419D2">
      <w:pPr>
        <w:ind w:right="420" w:firstLine="6120" w:firstLineChars="2550"/>
        <w:rPr>
          <w:bCs/>
          <w:color w:val="000000" w:themeColor="text1"/>
          <w:sz w:val="24"/>
          <w:highlight w:val="none"/>
          <w14:textFill>
            <w14:solidFill>
              <w14:schemeClr w14:val="tx1"/>
            </w14:solidFill>
          </w14:textFill>
        </w:rPr>
      </w:pPr>
    </w:p>
    <w:p w14:paraId="32DA2368">
      <w:pPr>
        <w:spacing w:line="360" w:lineRule="auto"/>
        <w:ind w:firstLine="960" w:firstLineChars="4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供应商</w:t>
      </w:r>
      <w:r>
        <w:rPr>
          <w:rFonts w:ascii="Arial" w:hAnsi="Arial" w:cs="Arial"/>
          <w:color w:val="000000" w:themeColor="text1"/>
          <w:sz w:val="24"/>
          <w:highlight w:val="none"/>
          <w14:textFill>
            <w14:solidFill>
              <w14:schemeClr w14:val="tx1"/>
            </w14:solidFill>
          </w14:textFill>
        </w:rPr>
        <w:t>：</w:t>
      </w:r>
      <w:r>
        <w:rPr>
          <w:rFonts w:ascii="Arial" w:hAnsi="Arial" w:cs="Arial"/>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[公章（CA签章）]</w:t>
      </w:r>
    </w:p>
    <w:p w14:paraId="7D27C676">
      <w:pPr>
        <w:spacing w:line="340" w:lineRule="exact"/>
        <w:ind w:left="420"/>
        <w:jc w:val="center"/>
        <w:rPr>
          <w:color w:val="000000" w:themeColor="text1"/>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日期：</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w:t>
      </w:r>
    </w:p>
    <w:p w14:paraId="3D21DFD9">
      <w:pPr>
        <w:pStyle w:val="47"/>
        <w:spacing w:before="0" w:beforeAutospacing="0" w:after="0" w:afterAutospacing="0"/>
        <w:rPr>
          <w:b/>
          <w:color w:val="000000" w:themeColor="text1"/>
          <w:sz w:val="21"/>
          <w:szCs w:val="21"/>
          <w:highlight w:val="none"/>
          <w14:textFill>
            <w14:solidFill>
              <w14:schemeClr w14:val="tx1"/>
            </w14:solidFill>
          </w14:textFill>
        </w:rPr>
      </w:pPr>
    </w:p>
    <w:p w14:paraId="590755E4">
      <w:pPr>
        <w:pStyle w:val="47"/>
        <w:spacing w:before="0" w:beforeAutospacing="0" w:after="0" w:afterAutospacing="0"/>
        <w:rPr>
          <w:b/>
          <w:color w:val="000000" w:themeColor="text1"/>
          <w:sz w:val="21"/>
          <w:szCs w:val="21"/>
          <w:highlight w:val="none"/>
          <w14:textFill>
            <w14:solidFill>
              <w14:schemeClr w14:val="tx1"/>
            </w14:solidFill>
          </w14:textFill>
        </w:rPr>
      </w:pPr>
    </w:p>
    <w:p w14:paraId="3132AB14">
      <w:pPr>
        <w:pStyle w:val="47"/>
        <w:spacing w:before="0" w:beforeAutospacing="0" w:after="0" w:afterAutospacing="0"/>
        <w:rPr>
          <w:b/>
          <w:color w:val="000000" w:themeColor="text1"/>
          <w:sz w:val="21"/>
          <w:szCs w:val="21"/>
          <w:highlight w:val="none"/>
          <w14:textFill>
            <w14:solidFill>
              <w14:schemeClr w14:val="tx1"/>
            </w14:solidFill>
          </w14:textFill>
        </w:rPr>
      </w:pPr>
    </w:p>
    <w:p w14:paraId="3AF1828F">
      <w:pPr>
        <w:pStyle w:val="47"/>
        <w:spacing w:before="0" w:beforeAutospacing="0" w:after="0" w:afterAutospacing="0"/>
        <w:rPr>
          <w:b/>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注：供应商应按照中小微型企业划分标准按照《国家统计局关于印发《统计上大中小微型企业划分办法〔2017〕》的通知》（国统字〔2017〕213号）的划分标准进行如实申明，如提供虚假申明应依法承担相应法律责任。如成交人为中型、小型和微型企业的，成交结果将同时公告（或成交人的《中小企业声明函》，接受社会监督。</w:t>
      </w:r>
    </w:p>
    <w:p w14:paraId="216C368A">
      <w:pPr>
        <w:rPr>
          <w:rFonts w:ascii="宋体" w:hAnsi="宋体" w:cs="宋体"/>
          <w:b/>
          <w:bCs/>
          <w:iCs/>
          <w:color w:val="000000" w:themeColor="text1"/>
          <w:sz w:val="24"/>
          <w:highlight w:val="none"/>
          <w14:textFill>
            <w14:solidFill>
              <w14:schemeClr w14:val="tx1"/>
            </w14:solidFill>
          </w14:textFill>
        </w:rPr>
      </w:pPr>
    </w:p>
    <w:p w14:paraId="479B17FC">
      <w:pPr>
        <w:rPr>
          <w:rFonts w:ascii="宋体" w:hAnsi="宋体" w:cs="宋体"/>
          <w:b/>
          <w:color w:val="000000" w:themeColor="text1"/>
          <w:kern w:val="0"/>
          <w:sz w:val="24"/>
          <w:highlight w:val="none"/>
          <w14:textFill>
            <w14:solidFill>
              <w14:schemeClr w14:val="tx1"/>
            </w14:solidFill>
          </w14:textFill>
        </w:rPr>
      </w:pPr>
      <w:bookmarkStart w:id="984" w:name="_Toc20905"/>
      <w:bookmarkStart w:id="985" w:name="_Toc7068"/>
      <w:bookmarkStart w:id="986" w:name="_Toc13328"/>
      <w:bookmarkStart w:id="987" w:name="_Toc15783"/>
      <w:bookmarkStart w:id="988" w:name="OLE_LINK13"/>
      <w:bookmarkStart w:id="989" w:name="OLE_LINK14"/>
      <w:r>
        <w:rPr>
          <w:rFonts w:hint="eastAsia" w:ascii="宋体" w:hAnsi="宋体" w:cs="宋体"/>
          <w:b/>
          <w:color w:val="000000" w:themeColor="text1"/>
          <w:kern w:val="0"/>
          <w:sz w:val="24"/>
          <w:highlight w:val="none"/>
          <w14:textFill>
            <w14:solidFill>
              <w14:schemeClr w14:val="tx1"/>
            </w14:solidFill>
          </w14:textFill>
        </w:rPr>
        <w:br w:type="page"/>
      </w:r>
    </w:p>
    <w:p w14:paraId="6756DA52">
      <w:pPr>
        <w:spacing w:line="588" w:lineRule="exact"/>
        <w:jc w:val="center"/>
        <w:outlineLvl w:val="1"/>
        <w:rPr>
          <w:rFonts w:ascii="宋体" w:hAnsi="宋体" w:cs="宋体"/>
          <w:b/>
          <w:color w:val="000000" w:themeColor="text1"/>
          <w:kern w:val="0"/>
          <w:sz w:val="24"/>
          <w:highlight w:val="none"/>
          <w14:textFill>
            <w14:solidFill>
              <w14:schemeClr w14:val="tx1"/>
            </w14:solidFill>
          </w14:textFill>
        </w:rPr>
      </w:pPr>
      <w:bookmarkStart w:id="990" w:name="_Toc2170"/>
      <w:bookmarkStart w:id="991" w:name="_Toc3606"/>
      <w:r>
        <w:rPr>
          <w:rFonts w:hint="eastAsia" w:ascii="宋体" w:hAnsi="宋体" w:cs="宋体"/>
          <w:b/>
          <w:color w:val="000000" w:themeColor="text1"/>
          <w:kern w:val="0"/>
          <w:sz w:val="24"/>
          <w:highlight w:val="none"/>
          <w14:textFill>
            <w14:solidFill>
              <w14:schemeClr w14:val="tx1"/>
            </w14:solidFill>
          </w14:textFill>
        </w:rPr>
        <w:t>（2）残疾人福利性单位声明函（格式）</w:t>
      </w:r>
      <w:bookmarkEnd w:id="984"/>
      <w:bookmarkEnd w:id="985"/>
      <w:bookmarkEnd w:id="986"/>
      <w:bookmarkEnd w:id="987"/>
      <w:bookmarkEnd w:id="990"/>
      <w:bookmarkEnd w:id="991"/>
    </w:p>
    <w:bookmarkEnd w:id="988"/>
    <w:bookmarkEnd w:id="989"/>
    <w:p w14:paraId="4764408C">
      <w:pPr>
        <w:spacing w:line="588" w:lineRule="exact"/>
        <w:rPr>
          <w:rFonts w:ascii="宋体" w:hAnsi="宋体" w:cs="宋体"/>
          <w:b/>
          <w:color w:val="000000" w:themeColor="text1"/>
          <w:kern w:val="0"/>
          <w:szCs w:val="21"/>
          <w:highlight w:val="none"/>
          <w14:textFill>
            <w14:solidFill>
              <w14:schemeClr w14:val="tx1"/>
            </w14:solidFill>
          </w14:textFill>
        </w:rPr>
      </w:pPr>
    </w:p>
    <w:p w14:paraId="47518EDF">
      <w:pPr>
        <w:spacing w:line="588"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069314">
      <w:pPr>
        <w:spacing w:line="588"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本单位对上述声明的真实性负责。如有虚假，将依法承担相应责任。</w:t>
      </w:r>
    </w:p>
    <w:p w14:paraId="3698D353">
      <w:pPr>
        <w:spacing w:line="588"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51AF4BCF">
      <w:pPr>
        <w:widowControl/>
        <w:ind w:firstLine="2310" w:firstLineChars="1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磋商供应商[公章(CA签章)]：</w:t>
      </w:r>
      <w:r>
        <w:rPr>
          <w:rFonts w:hint="eastAsia" w:ascii="宋体" w:hAnsi="宋体" w:cs="宋体"/>
          <w:color w:val="000000" w:themeColor="text1"/>
          <w:szCs w:val="21"/>
          <w:highlight w:val="none"/>
          <w:u w:val="single"/>
          <w14:textFill>
            <w14:solidFill>
              <w14:schemeClr w14:val="tx1"/>
            </w14:solidFill>
          </w14:textFill>
        </w:rPr>
        <w:t xml:space="preserve">                                    </w:t>
      </w:r>
    </w:p>
    <w:p w14:paraId="1CFA617C">
      <w:pPr>
        <w:spacing w:line="300" w:lineRule="exact"/>
        <w:ind w:left="2940" w:leftChars="1400" w:firstLine="630" w:firstLineChars="300"/>
        <w:rPr>
          <w:rFonts w:ascii="宋体" w:hAnsi="宋体" w:cs="宋体"/>
          <w:color w:val="000000" w:themeColor="text1"/>
          <w:szCs w:val="22"/>
          <w:highlight w:val="none"/>
          <w14:textFill>
            <w14:solidFill>
              <w14:schemeClr w14:val="tx1"/>
            </w14:solidFill>
          </w14:textFill>
        </w:rPr>
      </w:pPr>
    </w:p>
    <w:p w14:paraId="3C5139A6">
      <w:pPr>
        <w:spacing w:line="340" w:lineRule="exact"/>
        <w:ind w:left="420"/>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u w:val="single"/>
          <w14:textFill>
            <w14:solidFill>
              <w14:schemeClr w14:val="tx1"/>
            </w14:solidFill>
          </w14:textFill>
        </w:rPr>
        <w:t xml:space="preserve">                         </w:t>
      </w:r>
    </w:p>
    <w:p w14:paraId="0A4A885A">
      <w:pPr>
        <w:rPr>
          <w:rFonts w:ascii="宋体" w:hAnsi="宋体" w:cs="宋体"/>
          <w:b/>
          <w:bCs/>
          <w:color w:val="000000" w:themeColor="text1"/>
          <w:sz w:val="32"/>
          <w:szCs w:val="32"/>
          <w:highlight w:val="none"/>
          <w14:textFill>
            <w14:solidFill>
              <w14:schemeClr w14:val="tx1"/>
            </w14:solidFill>
          </w14:textFill>
        </w:rPr>
      </w:pPr>
    </w:p>
    <w:p w14:paraId="0D0FFB52">
      <w:pPr>
        <w:rPr>
          <w:rFonts w:ascii="宋体" w:hAnsi="宋体" w:cs="宋体"/>
          <w:b/>
          <w:bCs/>
          <w:color w:val="000000" w:themeColor="text1"/>
          <w:sz w:val="32"/>
          <w:szCs w:val="32"/>
          <w:highlight w:val="none"/>
          <w14:textFill>
            <w14:solidFill>
              <w14:schemeClr w14:val="tx1"/>
            </w14:solidFill>
          </w14:textFill>
        </w:rPr>
      </w:pPr>
    </w:p>
    <w:p w14:paraId="6398BEC6">
      <w:pP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注：符合条件的残疾人福利性单位在参加政府采购活动时，应当提供《残疾人福利性单位声明函》，并对声明的真实性负责，成交结果将同时公告企业《残疾人福利性单位声明函》，接受社会监督】</w:t>
      </w:r>
    </w:p>
    <w:p w14:paraId="6C55A411">
      <w:pPr>
        <w:rPr>
          <w:rFonts w:ascii="宋体" w:hAnsi="宋体" w:cs="宋体"/>
          <w:b/>
          <w:bCs/>
          <w:color w:val="000000" w:themeColor="text1"/>
          <w:sz w:val="32"/>
          <w:szCs w:val="32"/>
          <w:highlight w:val="none"/>
          <w14:textFill>
            <w14:solidFill>
              <w14:schemeClr w14:val="tx1"/>
            </w14:solidFill>
          </w14:textFill>
        </w:rPr>
      </w:pPr>
    </w:p>
    <w:p w14:paraId="293E6759">
      <w:pPr>
        <w:pStyle w:val="69"/>
        <w:rPr>
          <w:color w:val="000000" w:themeColor="text1"/>
          <w:highlight w:val="none"/>
          <w14:textFill>
            <w14:solidFill>
              <w14:schemeClr w14:val="tx1"/>
            </w14:solidFill>
          </w14:textFill>
        </w:rPr>
      </w:pPr>
    </w:p>
    <w:p w14:paraId="496CAFC3">
      <w:pPr>
        <w:pStyle w:val="69"/>
        <w:rPr>
          <w:color w:val="000000" w:themeColor="text1"/>
          <w:highlight w:val="none"/>
          <w14:textFill>
            <w14:solidFill>
              <w14:schemeClr w14:val="tx1"/>
            </w14:solidFill>
          </w14:textFill>
        </w:rPr>
      </w:pPr>
    </w:p>
    <w:p w14:paraId="48F13F70">
      <w:pPr>
        <w:pStyle w:val="12"/>
        <w:ind w:left="0" w:leftChars="0"/>
        <w:outlineLvl w:val="1"/>
        <w:rPr>
          <w:rFonts w:ascii="宋体" w:hAnsi="宋体" w:cs="宋体"/>
          <w:b/>
          <w:color w:val="000000" w:themeColor="text1"/>
          <w:sz w:val="28"/>
          <w:szCs w:val="28"/>
          <w:highlight w:val="none"/>
          <w14:textFill>
            <w14:solidFill>
              <w14:schemeClr w14:val="tx1"/>
            </w14:solidFill>
          </w14:textFill>
        </w:rPr>
      </w:pPr>
      <w:bookmarkStart w:id="992" w:name="_Toc13692"/>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cs="宋体"/>
          <w:b/>
          <w:color w:val="000000" w:themeColor="text1"/>
          <w:sz w:val="28"/>
          <w:szCs w:val="28"/>
          <w:highlight w:val="none"/>
          <w14:textFill>
            <w14:solidFill>
              <w14:schemeClr w14:val="tx1"/>
            </w14:solidFill>
          </w14:textFill>
        </w:rPr>
        <w:t>、竞标保证金交纳证明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cs="宋体"/>
          <w:b/>
          <w:color w:val="000000" w:themeColor="text1"/>
          <w:sz w:val="28"/>
          <w:szCs w:val="28"/>
          <w:highlight w:val="none"/>
          <w14:textFill>
            <w14:solidFill>
              <w14:schemeClr w14:val="tx1"/>
            </w14:solidFill>
          </w14:textFill>
        </w:rPr>
        <w:t>；（必须提供）</w:t>
      </w:r>
      <w:bookmarkEnd w:id="992"/>
    </w:p>
    <w:p w14:paraId="3C832374">
      <w:pPr>
        <w:pStyle w:val="69"/>
        <w:rPr>
          <w:color w:val="000000" w:themeColor="text1"/>
          <w:highlight w:val="none"/>
          <w14:textFill>
            <w14:solidFill>
              <w14:schemeClr w14:val="tx1"/>
            </w14:solidFill>
          </w14:textFill>
        </w:rPr>
      </w:pPr>
    </w:p>
    <w:p w14:paraId="26875535">
      <w:pPr>
        <w:ind w:left="420"/>
        <w:jc w:val="center"/>
        <w:outlineLvl w:val="1"/>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bookmarkStart w:id="993" w:name="_Toc22183"/>
      <w:bookmarkStart w:id="994" w:name="_Toc6875"/>
      <w:r>
        <w:rPr>
          <w:rFonts w:hint="eastAsia" w:ascii="宋体" w:hAnsi="宋体" w:cs="宋体"/>
          <w:b/>
          <w:bCs/>
          <w:color w:val="000000" w:themeColor="text1"/>
          <w:sz w:val="32"/>
          <w:szCs w:val="32"/>
          <w:highlight w:val="none"/>
          <w14:textFill>
            <w14:solidFill>
              <w14:schemeClr w14:val="tx1"/>
            </w14:solidFill>
          </w14:textFill>
        </w:rPr>
        <w:t>（二）符合性响应证明材料目录</w:t>
      </w:r>
      <w:bookmarkEnd w:id="993"/>
      <w:bookmarkEnd w:id="994"/>
    </w:p>
    <w:p w14:paraId="1424852D">
      <w:pPr>
        <w:spacing w:line="440" w:lineRule="exact"/>
        <w:ind w:firstLine="420" w:firstLineChars="200"/>
        <w:rPr>
          <w:rFonts w:ascii="宋体" w:hAnsi="宋体" w:cs="宋体"/>
          <w:color w:val="000000" w:themeColor="text1"/>
          <w:szCs w:val="21"/>
          <w:highlight w:val="none"/>
          <w14:textFill>
            <w14:solidFill>
              <w14:schemeClr w14:val="tx1"/>
            </w14:solidFill>
          </w14:textFill>
        </w:rPr>
      </w:pPr>
      <w:bookmarkStart w:id="995" w:name="_Toc13958"/>
      <w:bookmarkStart w:id="996" w:name="_Toc6752"/>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）响应函（格式见附件）</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06F0557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工程报价汇总表</w:t>
      </w:r>
      <w:r>
        <w:rPr>
          <w:rFonts w:hint="eastAsia" w:ascii="宋体" w:hAnsi="宋体" w:cs="宋体"/>
          <w:color w:val="000000" w:themeColor="text1"/>
          <w:szCs w:val="21"/>
          <w:highlight w:val="none"/>
          <w14:textFill>
            <w14:solidFill>
              <w14:schemeClr w14:val="tx1"/>
            </w14:solidFill>
          </w14:textFill>
        </w:rPr>
        <w:t>（格式见附件）</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2B253FD9">
      <w:pPr>
        <w:spacing w:line="44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val="en-US" w:eastAsia="zh-CN"/>
          <w14:textFill>
            <w14:solidFill>
              <w14:schemeClr w14:val="tx1"/>
            </w14:solidFill>
          </w14:textFill>
        </w:rPr>
        <w:t>3</w:t>
      </w:r>
      <w:r>
        <w:rPr>
          <w:rFonts w:hint="eastAsia" w:ascii="宋体" w:hAnsi="宋体" w:cs="宋体"/>
          <w:bCs/>
          <w:color w:val="000000" w:themeColor="text1"/>
          <w:kern w:val="0"/>
          <w:szCs w:val="21"/>
          <w:highlight w:val="none"/>
          <w14:textFill>
            <w14:solidFill>
              <w14:schemeClr w14:val="tx1"/>
            </w14:solidFill>
          </w14:textFill>
        </w:rPr>
        <w:t>）已标价工程量清单</w:t>
      </w:r>
      <w:r>
        <w:rPr>
          <w:rFonts w:hint="eastAsia" w:ascii="宋体" w:hAnsi="宋体" w:cs="宋体"/>
          <w:b/>
          <w:color w:val="000000" w:themeColor="text1"/>
          <w:kern w:val="0"/>
          <w:szCs w:val="21"/>
          <w:highlight w:val="none"/>
          <w14:textFill>
            <w14:solidFill>
              <w14:schemeClr w14:val="tx1"/>
            </w14:solidFill>
          </w14:textFill>
        </w:rPr>
        <w:t>（必须提供）</w:t>
      </w:r>
      <w:r>
        <w:rPr>
          <w:rFonts w:hint="eastAsia" w:ascii="宋体" w:hAnsi="宋体" w:cs="宋体"/>
          <w:bCs/>
          <w:color w:val="000000" w:themeColor="text1"/>
          <w:kern w:val="0"/>
          <w:szCs w:val="21"/>
          <w:highlight w:val="none"/>
          <w14:textFill>
            <w14:solidFill>
              <w14:schemeClr w14:val="tx1"/>
            </w14:solidFill>
          </w14:textFill>
        </w:rPr>
        <w:t>；</w:t>
      </w:r>
    </w:p>
    <w:p w14:paraId="1DFBE79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）拟投入本工程主要施工管理人员表</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10987F67">
      <w:pPr>
        <w:spacing w:line="44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并一起提供由县级以上（含县级）社会养老保险经办机构出具的供应商为项目实施人员交纳的响应文件递交截止时间前半年内任意连续二个月社保证明</w:t>
      </w:r>
      <w:r>
        <w:rPr>
          <w:rFonts w:hint="eastAsia" w:ascii="宋体" w:hAnsi="宋体" w:cs="宋体"/>
          <w:b/>
          <w:bCs/>
          <w:color w:val="000000" w:themeColor="text1"/>
          <w:szCs w:val="21"/>
          <w:highlight w:val="none"/>
          <w:lang w:eastAsia="zh-CN"/>
          <w14:textFill>
            <w14:solidFill>
              <w14:schemeClr w14:val="tx1"/>
            </w14:solidFill>
          </w14:textFill>
        </w:rPr>
        <w:t>扫描件</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除供应商为以下三种情形的：</w:t>
      </w:r>
    </w:p>
    <w:p w14:paraId="3471CE73">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3083053A">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4C0BA9B2">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③如委托代理人为免缴纳社保人员，提供免缴纳社保的证明材料</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代替社保证明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cs="宋体"/>
          <w:color w:val="000000" w:themeColor="text1"/>
          <w:szCs w:val="21"/>
          <w:highlight w:val="none"/>
          <w14:textFill>
            <w14:solidFill>
              <w14:schemeClr w14:val="tx1"/>
            </w14:solidFill>
          </w14:textFill>
        </w:rPr>
        <w:t>。</w:t>
      </w:r>
    </w:p>
    <w:p w14:paraId="455C10FD">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担任本工程的项目经理简历表（应附相关证书、身份证</w:t>
      </w:r>
      <w:r>
        <w:rPr>
          <w:rFonts w:hint="eastAsia" w:ascii="宋体" w:hAnsi="宋体" w:cs="宋体"/>
          <w:bCs/>
          <w:color w:val="000000" w:themeColor="text1"/>
          <w:kern w:val="0"/>
          <w:szCs w:val="21"/>
          <w:highlight w:val="none"/>
          <w:lang w:eastAsia="zh-CN"/>
          <w14:textFill>
            <w14:solidFill>
              <w14:schemeClr w14:val="tx1"/>
            </w14:solidFill>
          </w14:textFill>
        </w:rPr>
        <w:t>扫描件</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1B9B609A">
      <w:pPr>
        <w:spacing w:line="44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施工组织设计方案</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1B930C7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工程完工服务承诺书</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6A04EB02">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kern w:val="0"/>
          <w:szCs w:val="21"/>
          <w:highlight w:val="none"/>
          <w14:textFill>
            <w14:solidFill>
              <w14:schemeClr w14:val="tx1"/>
            </w14:solidFill>
          </w14:textFill>
        </w:rPr>
        <w:t>农民工工资保障金交纳与使用承诺书</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color w:val="000000" w:themeColor="text1"/>
          <w:szCs w:val="21"/>
          <w:highlight w:val="none"/>
          <w14:textFill>
            <w14:solidFill>
              <w14:schemeClr w14:val="tx1"/>
            </w14:solidFill>
          </w14:textFill>
        </w:rPr>
        <w:t>；</w:t>
      </w:r>
    </w:p>
    <w:p w14:paraId="69C1653C">
      <w:pPr>
        <w:spacing w:line="44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val="en-US" w:eastAsia="zh-CN"/>
          <w14:textFill>
            <w14:solidFill>
              <w14:schemeClr w14:val="tx1"/>
            </w14:solidFill>
          </w14:textFill>
        </w:rPr>
        <w:t>9</w:t>
      </w:r>
      <w:r>
        <w:rPr>
          <w:rFonts w:hint="eastAsia" w:ascii="宋体" w:hAnsi="宋体" w:cs="宋体"/>
          <w:bCs/>
          <w:color w:val="000000" w:themeColor="text1"/>
          <w:kern w:val="0"/>
          <w:szCs w:val="21"/>
          <w:highlight w:val="none"/>
          <w14:textFill>
            <w14:solidFill>
              <w14:schemeClr w14:val="tx1"/>
            </w14:solidFill>
          </w14:textFill>
        </w:rPr>
        <w:t>）城乡清洁工程渣土清运承诺书</w:t>
      </w:r>
      <w:r>
        <w:rPr>
          <w:rFonts w:hint="eastAsia" w:ascii="宋体" w:hAnsi="宋体" w:cs="宋体"/>
          <w:b/>
          <w:bCs/>
          <w:color w:val="000000" w:themeColor="text1"/>
          <w:szCs w:val="21"/>
          <w:highlight w:val="none"/>
          <w14:textFill>
            <w14:solidFill>
              <w14:schemeClr w14:val="tx1"/>
            </w14:solidFill>
          </w14:textFill>
        </w:rPr>
        <w:t>（必须提供）</w:t>
      </w:r>
      <w:r>
        <w:rPr>
          <w:rFonts w:hint="eastAsia" w:ascii="宋体" w:hAnsi="宋体" w:cs="宋体"/>
          <w:bCs/>
          <w:color w:val="000000" w:themeColor="text1"/>
          <w:kern w:val="0"/>
          <w:szCs w:val="21"/>
          <w:highlight w:val="none"/>
          <w14:textFill>
            <w14:solidFill>
              <w14:schemeClr w14:val="tx1"/>
            </w14:solidFill>
          </w14:textFill>
        </w:rPr>
        <w:t>。</w:t>
      </w:r>
    </w:p>
    <w:bookmarkEnd w:id="995"/>
    <w:bookmarkEnd w:id="996"/>
    <w:p w14:paraId="502DEF61">
      <w:pPr>
        <w:spacing w:line="400" w:lineRule="exact"/>
        <w:ind w:left="420"/>
        <w:rPr>
          <w:rFonts w:ascii="宋体" w:hAnsi="宋体" w:cs="宋体"/>
          <w:color w:val="000000" w:themeColor="text1"/>
          <w:sz w:val="24"/>
          <w:highlight w:val="none"/>
          <w14:textFill>
            <w14:solidFill>
              <w14:schemeClr w14:val="tx1"/>
            </w14:solidFill>
          </w14:textFill>
        </w:rPr>
      </w:pPr>
    </w:p>
    <w:p w14:paraId="74897C75">
      <w:pPr>
        <w:pStyle w:val="365"/>
        <w:rPr>
          <w:rFonts w:ascii="宋体" w:hAnsi="宋体" w:cs="宋体"/>
          <w:color w:val="000000" w:themeColor="text1"/>
          <w:highlight w:val="none"/>
          <w14:textFill>
            <w14:solidFill>
              <w14:schemeClr w14:val="tx1"/>
            </w14:solidFill>
          </w14:textFill>
        </w:rPr>
      </w:pPr>
    </w:p>
    <w:p w14:paraId="3AB6F6B8">
      <w:pPr>
        <w:pStyle w:val="20"/>
        <w:rPr>
          <w:rFonts w:ascii="宋体" w:hAnsi="宋体" w:cs="宋体"/>
          <w:color w:val="000000" w:themeColor="text1"/>
          <w:highlight w:val="none"/>
          <w14:textFill>
            <w14:solidFill>
              <w14:schemeClr w14:val="tx1"/>
            </w14:solidFill>
          </w14:textFill>
        </w:rPr>
      </w:pPr>
    </w:p>
    <w:p w14:paraId="2F2FAB80">
      <w:pPr>
        <w:spacing w:line="400" w:lineRule="exact"/>
        <w:outlineLvl w:val="1"/>
        <w:rPr>
          <w:rFonts w:ascii="宋体" w:hAnsi="宋体" w:cs="宋体"/>
          <w:b/>
          <w:bCs/>
          <w:color w:val="000000" w:themeColor="text1"/>
          <w:sz w:val="28"/>
          <w:szCs w:val="28"/>
          <w:highlight w:val="none"/>
          <w14:textFill>
            <w14:solidFill>
              <w14:schemeClr w14:val="tx1"/>
            </w14:solidFill>
          </w14:textFill>
        </w:rPr>
      </w:pPr>
      <w:bookmarkStart w:id="997" w:name="_Toc12920"/>
      <w:bookmarkStart w:id="998" w:name="_Toc17617"/>
      <w:bookmarkStart w:id="999" w:name="_Toc497927072"/>
      <w:r>
        <w:rPr>
          <w:rFonts w:hint="eastAsia" w:ascii="宋体" w:hAnsi="宋体" w:cs="宋体"/>
          <w:b/>
          <w:bCs/>
          <w:color w:val="000000" w:themeColor="text1"/>
          <w:sz w:val="28"/>
          <w:szCs w:val="28"/>
          <w:highlight w:val="none"/>
          <w14:textFill>
            <w14:solidFill>
              <w14:schemeClr w14:val="tx1"/>
            </w14:solidFill>
          </w14:textFill>
        </w:rPr>
        <w:br w:type="page"/>
      </w:r>
      <w:bookmarkStart w:id="1000" w:name="_Toc4512"/>
      <w:bookmarkStart w:id="1001" w:name="_Toc15513"/>
      <w:bookmarkStart w:id="1002" w:name="_Toc7733"/>
      <w:bookmarkStart w:id="1003" w:name="_Toc22576"/>
      <w:bookmarkStart w:id="1004" w:name="_Toc15505"/>
    </w:p>
    <w:p w14:paraId="1BBC8993">
      <w:pPr>
        <w:spacing w:line="400" w:lineRule="exact"/>
        <w:outlineLvl w:val="1"/>
        <w:rPr>
          <w:rFonts w:ascii="宋体" w:hAnsi="宋体" w:cs="宋体"/>
          <w:b/>
          <w:bCs/>
          <w:color w:val="000000" w:themeColor="text1"/>
          <w:sz w:val="28"/>
          <w:szCs w:val="28"/>
          <w:highlight w:val="none"/>
          <w14:textFill>
            <w14:solidFill>
              <w14:schemeClr w14:val="tx1"/>
            </w14:solidFill>
          </w14:textFill>
        </w:rPr>
      </w:pPr>
      <w:bookmarkStart w:id="1005" w:name="_Toc21563"/>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.响应函（格式见附件）（必须提供）</w:t>
      </w:r>
      <w:bookmarkEnd w:id="997"/>
      <w:bookmarkEnd w:id="998"/>
      <w:bookmarkEnd w:id="999"/>
      <w:bookmarkEnd w:id="1000"/>
      <w:bookmarkEnd w:id="1001"/>
      <w:bookmarkEnd w:id="1002"/>
      <w:bookmarkEnd w:id="1003"/>
      <w:bookmarkEnd w:id="1004"/>
      <w:bookmarkEnd w:id="1005"/>
    </w:p>
    <w:p w14:paraId="1235F3E5">
      <w:pPr>
        <w:pStyle w:val="365"/>
        <w:rPr>
          <w:rFonts w:ascii="宋体" w:hAnsi="宋体" w:cs="宋体"/>
          <w:color w:val="000000" w:themeColor="text1"/>
          <w:highlight w:val="none"/>
          <w14:textFill>
            <w14:solidFill>
              <w14:schemeClr w14:val="tx1"/>
            </w14:solidFill>
          </w14:textFill>
        </w:rPr>
      </w:pPr>
    </w:p>
    <w:p w14:paraId="71EF8F4E">
      <w:pPr>
        <w:pStyle w:val="27"/>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附件：</w:t>
      </w:r>
    </w:p>
    <w:p w14:paraId="3FEE3D16">
      <w:pPr>
        <w:pStyle w:val="27"/>
        <w:ind w:firstLine="803" w:firstLineChars="250"/>
        <w:jc w:val="center"/>
        <w:rPr>
          <w:rFonts w:hAnsi="宋体" w:cs="宋体"/>
          <w:b/>
          <w:color w:val="000000" w:themeColor="text1"/>
          <w:sz w:val="32"/>
          <w:highlight w:val="none"/>
          <w14:textFill>
            <w14:solidFill>
              <w14:schemeClr w14:val="tx1"/>
            </w14:solidFill>
          </w14:textFill>
        </w:rPr>
      </w:pPr>
      <w:bookmarkStart w:id="1006" w:name="_Toc7273_WPSOffice_Level1"/>
      <w:bookmarkStart w:id="1007" w:name="_Toc17832_WPSOffice_Level1"/>
      <w:r>
        <w:rPr>
          <w:rFonts w:hint="eastAsia" w:hAnsi="宋体" w:cs="宋体"/>
          <w:b/>
          <w:color w:val="000000" w:themeColor="text1"/>
          <w:sz w:val="32"/>
          <w:highlight w:val="none"/>
          <w14:textFill>
            <w14:solidFill>
              <w14:schemeClr w14:val="tx1"/>
            </w14:solidFill>
          </w14:textFill>
        </w:rPr>
        <w:t>响 应 函 （格 式）</w:t>
      </w:r>
      <w:bookmarkEnd w:id="1006"/>
      <w:bookmarkEnd w:id="1007"/>
    </w:p>
    <w:p w14:paraId="5DE0CD41">
      <w:pPr>
        <w:spacing w:line="240" w:lineRule="exact"/>
        <w:jc w:val="center"/>
        <w:rPr>
          <w:rFonts w:ascii="宋体" w:hAnsi="宋体" w:cs="宋体"/>
          <w:color w:val="000000" w:themeColor="text1"/>
          <w:sz w:val="32"/>
          <w:highlight w:val="none"/>
          <w14:textFill>
            <w14:solidFill>
              <w14:schemeClr w14:val="tx1"/>
            </w14:solidFill>
          </w14:textFill>
        </w:rPr>
      </w:pPr>
    </w:p>
    <w:p w14:paraId="37794D77">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14:paraId="1016922D">
      <w:pPr>
        <w:pStyle w:val="27"/>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根据贵方</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项目竞争性磋商文件，项目编号：</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，签字代表</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（姓名）经正式授权并代表供应商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供应商单位名称），提交电子响应文件。</w:t>
      </w:r>
    </w:p>
    <w:p w14:paraId="0FC3E927">
      <w:pPr>
        <w:pStyle w:val="27"/>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据此函，签字代表宣布同意如下：</w:t>
      </w:r>
    </w:p>
    <w:p w14:paraId="1716185E">
      <w:pPr>
        <w:pStyle w:val="27"/>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按磋商文件采购需求和磋商报价表：</w:t>
      </w:r>
    </w:p>
    <w:p w14:paraId="3FD525D3">
      <w:pPr>
        <w:pStyle w:val="27"/>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按采购项目内容和报价表，总造价报价为(大写)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承诺工期</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；质量等级:</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p>
    <w:p w14:paraId="4CEF8C85">
      <w:pPr>
        <w:pStyle w:val="27"/>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2.我方承诺已具备磋商文件规定的供应商资格条件。</w:t>
      </w:r>
    </w:p>
    <w:p w14:paraId="387531B9">
      <w:pPr>
        <w:pStyle w:val="27"/>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3.我方已详细审核磋商文件，包括修改文件（如有的话）和有关附件，将自行承担因对全部磋商文件理解不正确或误解而产生的相应后果。</w:t>
      </w:r>
    </w:p>
    <w:p w14:paraId="0C623137">
      <w:pPr>
        <w:pStyle w:val="27"/>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 响应文件有效期为</w:t>
      </w:r>
      <w:r>
        <w:rPr>
          <w:rFonts w:hint="eastAsia" w:hAnsi="宋体" w:cs="宋体"/>
          <w:color w:val="000000" w:themeColor="text1"/>
          <w:szCs w:val="21"/>
          <w:highlight w:val="none"/>
          <w14:textFill>
            <w14:solidFill>
              <w14:schemeClr w14:val="tx1"/>
            </w14:solidFill>
          </w14:textFill>
        </w:rPr>
        <w:t>响应文件递交截止时间之日起90天。</w:t>
      </w:r>
    </w:p>
    <w:p w14:paraId="7C39DA98">
      <w:pPr>
        <w:pStyle w:val="27"/>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 如我方成交：</w:t>
      </w:r>
    </w:p>
    <w:p w14:paraId="3E1BEE40">
      <w:pPr>
        <w:pStyle w:val="27"/>
        <w:spacing w:line="4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（1）我方承诺在收到成交通知书后，在成交通知书规定的期限内与采购人签订合同。</w:t>
      </w:r>
    </w:p>
    <w:p w14:paraId="2691BF03">
      <w:pPr>
        <w:pStyle w:val="27"/>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（2）我方承诺按照磋商文件规定递交履约担保。</w:t>
      </w:r>
    </w:p>
    <w:p w14:paraId="7F3515AE">
      <w:pPr>
        <w:pStyle w:val="27"/>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（3）我方承诺本响应文件至本项目合同履行完毕止均保持有效，按磋商文件及政府采购法律、法规的规定履行合同责任和义务。</w:t>
      </w:r>
    </w:p>
    <w:p w14:paraId="48D987AC">
      <w:pPr>
        <w:pStyle w:val="27"/>
        <w:spacing w:line="4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与本项目有关的正式通讯地址为：</w:t>
      </w:r>
    </w:p>
    <w:p w14:paraId="19A447AE">
      <w:pPr>
        <w:rPr>
          <w:rFonts w:ascii="宋体" w:hAnsi="宋体" w:cs="宋体"/>
          <w:color w:val="000000" w:themeColor="text1"/>
          <w:szCs w:val="21"/>
          <w:highlight w:val="none"/>
          <w14:textFill>
            <w14:solidFill>
              <w14:schemeClr w14:val="tx1"/>
            </w14:solidFill>
          </w14:textFill>
        </w:rPr>
      </w:pPr>
    </w:p>
    <w:p w14:paraId="519F280B">
      <w:pPr>
        <w:pStyle w:val="27"/>
        <w:spacing w:line="400" w:lineRule="exact"/>
        <w:ind w:firstLine="42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地址：</w:t>
      </w:r>
      <w:r>
        <w:rPr>
          <w:rFonts w:hint="eastAsia" w:hAnsi="宋体" w:cs="宋体"/>
          <w:b/>
          <w:bCs/>
          <w:color w:val="000000" w:themeColor="text1"/>
          <w:szCs w:val="21"/>
          <w:highlight w:val="none"/>
          <w:u w:val="single"/>
          <w14:textFill>
            <w14:solidFill>
              <w14:schemeClr w14:val="tx1"/>
            </w14:solidFill>
          </w14:textFill>
        </w:rPr>
        <w:t xml:space="preserve">                                   </w:t>
      </w:r>
      <w:r>
        <w:rPr>
          <w:rFonts w:hint="eastAsia" w:hAnsi="宋体" w:cs="宋体"/>
          <w:b/>
          <w:bCs/>
          <w:color w:val="000000" w:themeColor="text1"/>
          <w:szCs w:val="21"/>
          <w:highlight w:val="none"/>
          <w14:textFill>
            <w14:solidFill>
              <w14:schemeClr w14:val="tx1"/>
            </w14:solidFill>
          </w14:textFill>
        </w:rPr>
        <w:t xml:space="preserve"> 邮编：</w:t>
      </w:r>
      <w:r>
        <w:rPr>
          <w:rFonts w:hint="eastAsia" w:hAnsi="宋体" w:cs="宋体"/>
          <w:b/>
          <w:bCs/>
          <w:color w:val="000000" w:themeColor="text1"/>
          <w:szCs w:val="21"/>
          <w:highlight w:val="none"/>
          <w:u w:val="single"/>
          <w14:textFill>
            <w14:solidFill>
              <w14:schemeClr w14:val="tx1"/>
            </w14:solidFill>
          </w14:textFill>
        </w:rPr>
        <w:t xml:space="preserve">          </w:t>
      </w:r>
      <w:r>
        <w:rPr>
          <w:rFonts w:hint="eastAsia" w:hAnsi="宋体" w:cs="宋体"/>
          <w:b/>
          <w:bCs/>
          <w:color w:val="000000" w:themeColor="text1"/>
          <w:szCs w:val="21"/>
          <w:highlight w:val="none"/>
          <w14:textFill>
            <w14:solidFill>
              <w14:schemeClr w14:val="tx1"/>
            </w14:solidFill>
          </w14:textFill>
        </w:rPr>
        <w:t xml:space="preserve">  </w:t>
      </w:r>
    </w:p>
    <w:p w14:paraId="753DB638">
      <w:pPr>
        <w:pStyle w:val="27"/>
        <w:spacing w:line="400" w:lineRule="exact"/>
        <w:ind w:firstLine="420"/>
        <w:rPr>
          <w:rFonts w:hAnsi="宋体" w:cs="宋体"/>
          <w:b/>
          <w:bCs/>
          <w:color w:val="000000" w:themeColor="text1"/>
          <w:szCs w:val="21"/>
          <w:highlight w:val="none"/>
          <w:u w:val="singl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电话、传真：</w:t>
      </w:r>
      <w:r>
        <w:rPr>
          <w:rFonts w:hint="eastAsia" w:hAnsi="宋体" w:cs="宋体"/>
          <w:b/>
          <w:bCs/>
          <w:color w:val="000000" w:themeColor="text1"/>
          <w:szCs w:val="21"/>
          <w:highlight w:val="none"/>
          <w:u w:val="single"/>
          <w14:textFill>
            <w14:solidFill>
              <w14:schemeClr w14:val="tx1"/>
            </w14:solidFill>
          </w14:textFill>
        </w:rPr>
        <w:t xml:space="preserve">                             </w:t>
      </w:r>
    </w:p>
    <w:p w14:paraId="0759C6D4">
      <w:pPr>
        <w:pStyle w:val="27"/>
        <w:spacing w:line="400" w:lineRule="exact"/>
        <w:ind w:firstLine="42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开户名称：</w:t>
      </w:r>
      <w:r>
        <w:rPr>
          <w:rFonts w:hint="eastAsia" w:hAnsi="宋体" w:cs="宋体"/>
          <w:b/>
          <w:bCs/>
          <w:color w:val="000000" w:themeColor="text1"/>
          <w:szCs w:val="21"/>
          <w:highlight w:val="none"/>
          <w:u w:val="single"/>
          <w14:textFill>
            <w14:solidFill>
              <w14:schemeClr w14:val="tx1"/>
            </w14:solidFill>
          </w14:textFill>
        </w:rPr>
        <w:t xml:space="preserve">                               </w:t>
      </w:r>
    </w:p>
    <w:p w14:paraId="365CF727">
      <w:pPr>
        <w:pStyle w:val="27"/>
        <w:spacing w:line="400" w:lineRule="exact"/>
        <w:ind w:firstLine="42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开户银行：</w:t>
      </w:r>
      <w:r>
        <w:rPr>
          <w:rFonts w:hint="eastAsia" w:hAnsi="宋体" w:cs="宋体"/>
          <w:b/>
          <w:bCs/>
          <w:color w:val="000000" w:themeColor="text1"/>
          <w:szCs w:val="21"/>
          <w:highlight w:val="none"/>
          <w:u w:val="single"/>
          <w14:textFill>
            <w14:solidFill>
              <w14:schemeClr w14:val="tx1"/>
            </w14:solidFill>
          </w14:textFill>
        </w:rPr>
        <w:t xml:space="preserve">                               </w:t>
      </w:r>
    </w:p>
    <w:p w14:paraId="416075D9">
      <w:pPr>
        <w:pStyle w:val="27"/>
        <w:spacing w:line="400" w:lineRule="exact"/>
        <w:ind w:firstLine="42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账号：</w:t>
      </w:r>
      <w:r>
        <w:rPr>
          <w:rFonts w:hint="eastAsia" w:hAnsi="宋体" w:cs="宋体"/>
          <w:b/>
          <w:bCs/>
          <w:color w:val="000000" w:themeColor="text1"/>
          <w:szCs w:val="21"/>
          <w:highlight w:val="none"/>
          <w:u w:val="single"/>
          <w14:textFill>
            <w14:solidFill>
              <w14:schemeClr w14:val="tx1"/>
            </w14:solidFill>
          </w14:textFill>
        </w:rPr>
        <w:t xml:space="preserve">                                   </w:t>
      </w:r>
    </w:p>
    <w:p w14:paraId="4FBD75E8">
      <w:pPr>
        <w:pStyle w:val="27"/>
        <w:spacing w:line="400" w:lineRule="exact"/>
        <w:ind w:firstLine="420"/>
        <w:rPr>
          <w:rFonts w:hAnsi="宋体" w:cs="宋体"/>
          <w:b/>
          <w:bCs/>
          <w:color w:val="000000" w:themeColor="text1"/>
          <w:szCs w:val="21"/>
          <w:highlight w:val="none"/>
          <w:u w:val="singl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供应商[公章(CA签章)、自然人除外]：</w:t>
      </w:r>
      <w:r>
        <w:rPr>
          <w:rFonts w:hint="eastAsia" w:hAnsi="宋体" w:cs="宋体"/>
          <w:b/>
          <w:bCs/>
          <w:color w:val="000000" w:themeColor="text1"/>
          <w:szCs w:val="21"/>
          <w:highlight w:val="none"/>
          <w:u w:val="single"/>
          <w14:textFill>
            <w14:solidFill>
              <w14:schemeClr w14:val="tx1"/>
            </w14:solidFill>
          </w14:textFill>
        </w:rPr>
        <w:t xml:space="preserve">                              </w:t>
      </w:r>
    </w:p>
    <w:p w14:paraId="4F1BD44D">
      <w:pPr>
        <w:pStyle w:val="27"/>
        <w:spacing w:line="400" w:lineRule="exact"/>
        <w:ind w:firstLine="420"/>
        <w:rPr>
          <w:rFonts w:hAnsi="宋体" w:cs="宋体"/>
          <w:b/>
          <w:bCs/>
          <w:color w:val="000000" w:themeColor="text1"/>
          <w:szCs w:val="21"/>
          <w:highlight w:val="none"/>
          <w:u w:val="singl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法定代表人、负责人、自然人或相应的委托代理人签字[或盖章(CA签章)]（属自然人的应在签名处加盖大拇指指印或个人CA签章）：</w:t>
      </w:r>
      <w:r>
        <w:rPr>
          <w:rFonts w:hint="eastAsia" w:hAnsi="宋体" w:cs="宋体"/>
          <w:b/>
          <w:bCs/>
          <w:color w:val="000000" w:themeColor="text1"/>
          <w:szCs w:val="21"/>
          <w:highlight w:val="none"/>
          <w:u w:val="single"/>
          <w14:textFill>
            <w14:solidFill>
              <w14:schemeClr w14:val="tx1"/>
            </w14:solidFill>
          </w14:textFill>
        </w:rPr>
        <w:t xml:space="preserve">              </w:t>
      </w:r>
    </w:p>
    <w:p w14:paraId="29785EBA">
      <w:pPr>
        <w:pStyle w:val="27"/>
        <w:spacing w:line="400" w:lineRule="exact"/>
        <w:ind w:firstLine="420"/>
        <w:rPr>
          <w:rFonts w:hAnsi="宋体" w:cs="宋体"/>
          <w:b/>
          <w:color w:val="000000" w:themeColor="text1"/>
          <w:sz w:val="28"/>
          <w:szCs w:val="28"/>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响应日期：</w:t>
      </w:r>
      <w:r>
        <w:rPr>
          <w:rFonts w:hint="eastAsia" w:hAnsi="宋体" w:cs="宋体"/>
          <w:b/>
          <w:bCs/>
          <w:color w:val="000000" w:themeColor="text1"/>
          <w:szCs w:val="21"/>
          <w:highlight w:val="none"/>
          <w:u w:val="single"/>
          <w14:textFill>
            <w14:solidFill>
              <w14:schemeClr w14:val="tx1"/>
            </w14:solidFill>
          </w14:textFill>
        </w:rPr>
        <w:t xml:space="preserve">                               </w:t>
      </w:r>
    </w:p>
    <w:p w14:paraId="500B3D66">
      <w:pPr>
        <w:rPr>
          <w:rFonts w:hAnsi="宋体" w:cs="宋体"/>
          <w:b/>
          <w:color w:val="000000" w:themeColor="text1"/>
          <w:sz w:val="28"/>
          <w:szCs w:val="28"/>
          <w:highlight w:val="none"/>
          <w14:textFill>
            <w14:solidFill>
              <w14:schemeClr w14:val="tx1"/>
            </w14:solidFill>
          </w14:textFill>
        </w:rPr>
      </w:pPr>
      <w:bookmarkStart w:id="1008" w:name="_Toc28417"/>
      <w:bookmarkStart w:id="1009" w:name="_Toc20211"/>
      <w:r>
        <w:rPr>
          <w:rFonts w:hint="eastAsia" w:hAnsi="宋体" w:cs="宋体"/>
          <w:b/>
          <w:color w:val="000000" w:themeColor="text1"/>
          <w:sz w:val="28"/>
          <w:szCs w:val="28"/>
          <w:highlight w:val="none"/>
          <w14:textFill>
            <w14:solidFill>
              <w14:schemeClr w14:val="tx1"/>
            </w14:solidFill>
          </w14:textFill>
        </w:rPr>
        <w:br w:type="page"/>
      </w:r>
    </w:p>
    <w:p w14:paraId="2CE0A3C3">
      <w:pPr>
        <w:spacing w:line="400" w:lineRule="exact"/>
        <w:outlineLvl w:val="1"/>
        <w:rPr>
          <w:rFonts w:ascii="宋体" w:hAnsi="宋体" w:cs="宋体"/>
          <w:color w:val="000000" w:themeColor="text1"/>
          <w:highlight w:val="none"/>
          <w14:textFill>
            <w14:solidFill>
              <w14:schemeClr w14:val="tx1"/>
            </w14:solidFill>
          </w14:textFill>
        </w:rPr>
      </w:pPr>
      <w:bookmarkStart w:id="1010" w:name="_Toc15542"/>
      <w:bookmarkStart w:id="1011" w:name="_Toc3465"/>
      <w:bookmarkStart w:id="1012" w:name="_Toc10518"/>
      <w:bookmarkStart w:id="1013" w:name="_Toc14102"/>
      <w:r>
        <w:rPr>
          <w:rFonts w:hint="eastAsia" w:hAnsi="宋体" w:cs="宋体"/>
          <w:b/>
          <w:color w:val="000000" w:themeColor="text1"/>
          <w:sz w:val="28"/>
          <w:szCs w:val="28"/>
          <w:highlight w:val="none"/>
          <w:lang w:val="en-US" w:eastAsia="zh-CN"/>
          <w14:textFill>
            <w14:solidFill>
              <w14:schemeClr w14:val="tx1"/>
            </w14:solidFill>
          </w14:textFill>
        </w:rPr>
        <w:t>2</w:t>
      </w:r>
      <w:r>
        <w:rPr>
          <w:rFonts w:hint="eastAsia" w:ascii="宋体" w:hAnsi="宋体" w:cs="宋体"/>
          <w:b/>
          <w:color w:val="000000" w:themeColor="text1"/>
          <w:sz w:val="28"/>
          <w:szCs w:val="28"/>
          <w:highlight w:val="none"/>
          <w14:textFill>
            <w14:solidFill>
              <w14:schemeClr w14:val="tx1"/>
            </w14:solidFill>
          </w14:textFill>
        </w:rPr>
        <w:t>.工程</w:t>
      </w:r>
      <w:r>
        <w:rPr>
          <w:rFonts w:hint="eastAsia" w:ascii="宋体" w:hAnsi="宋体" w:cs="宋体"/>
          <w:b/>
          <w:bCs/>
          <w:color w:val="000000" w:themeColor="text1"/>
          <w:sz w:val="28"/>
          <w:szCs w:val="28"/>
          <w:highlight w:val="none"/>
          <w14:textFill>
            <w14:solidFill>
              <w14:schemeClr w14:val="tx1"/>
            </w14:solidFill>
          </w14:textFill>
        </w:rPr>
        <w:t>报价</w:t>
      </w:r>
      <w:r>
        <w:rPr>
          <w:rFonts w:hint="eastAsia" w:ascii="宋体" w:hAnsi="宋体" w:cs="宋体"/>
          <w:b/>
          <w:color w:val="000000" w:themeColor="text1"/>
          <w:sz w:val="28"/>
          <w:szCs w:val="28"/>
          <w:highlight w:val="none"/>
          <w14:textFill>
            <w14:solidFill>
              <w14:schemeClr w14:val="tx1"/>
            </w14:solidFill>
          </w14:textFill>
        </w:rPr>
        <w:t>汇总表（必须提供）；</w:t>
      </w:r>
      <w:bookmarkEnd w:id="1008"/>
      <w:bookmarkEnd w:id="1009"/>
      <w:bookmarkEnd w:id="1010"/>
      <w:bookmarkEnd w:id="1011"/>
      <w:bookmarkEnd w:id="1012"/>
      <w:bookmarkEnd w:id="1013"/>
    </w:p>
    <w:p w14:paraId="39C4ADAF">
      <w:pPr>
        <w:pStyle w:val="27"/>
        <w:spacing w:line="320" w:lineRule="exact"/>
        <w:jc w:val="left"/>
        <w:rPr>
          <w:rFonts w:hAnsi="宋体" w:cs="宋体"/>
          <w:b/>
          <w:color w:val="000000" w:themeColor="text1"/>
          <w:sz w:val="28"/>
          <w:szCs w:val="28"/>
          <w:highlight w:val="none"/>
          <w14:textFill>
            <w14:solidFill>
              <w14:schemeClr w14:val="tx1"/>
            </w14:solidFill>
          </w14:textFill>
        </w:rPr>
      </w:pPr>
    </w:p>
    <w:p w14:paraId="14DED2DE">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工程报价汇总表（格式）</w:t>
      </w:r>
    </w:p>
    <w:p w14:paraId="0E73EC46">
      <w:pPr>
        <w:widowControl/>
        <w:jc w:val="center"/>
        <w:rPr>
          <w:rFonts w:ascii="宋体" w:hAnsi="宋体" w:cs="宋体"/>
          <w:color w:val="000000" w:themeColor="text1"/>
          <w:kern w:val="0"/>
          <w:sz w:val="24"/>
          <w:highlight w:val="none"/>
          <w14:textFill>
            <w14:solidFill>
              <w14:schemeClr w14:val="tx1"/>
            </w14:solidFill>
          </w14:textFill>
        </w:rPr>
      </w:pPr>
    </w:p>
    <w:p w14:paraId="0C58BAA4">
      <w:pPr>
        <w:widowControl/>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工程名称: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币种：人民币</w:t>
      </w:r>
    </w:p>
    <w:tbl>
      <w:tblPr>
        <w:tblStyle w:val="53"/>
        <w:tblW w:w="9184" w:type="dxa"/>
        <w:tblInd w:w="108" w:type="dxa"/>
        <w:tblLayout w:type="fixed"/>
        <w:tblCellMar>
          <w:top w:w="0" w:type="dxa"/>
          <w:left w:w="108" w:type="dxa"/>
          <w:bottom w:w="0" w:type="dxa"/>
          <w:right w:w="108" w:type="dxa"/>
        </w:tblCellMar>
      </w:tblPr>
      <w:tblGrid>
        <w:gridCol w:w="720"/>
        <w:gridCol w:w="5944"/>
        <w:gridCol w:w="2520"/>
      </w:tblGrid>
      <w:tr w14:paraId="76D4D5D9">
        <w:tblPrEx>
          <w:tblCellMar>
            <w:top w:w="0" w:type="dxa"/>
            <w:left w:w="108" w:type="dxa"/>
            <w:bottom w:w="0" w:type="dxa"/>
            <w:right w:w="108" w:type="dxa"/>
          </w:tblCellMar>
        </w:tblPrEx>
        <w:trPr>
          <w:trHeight w:val="724" w:hRule="atLeast"/>
        </w:trPr>
        <w:tc>
          <w:tcPr>
            <w:tcW w:w="720" w:type="dxa"/>
            <w:tcBorders>
              <w:top w:val="single" w:color="auto" w:sz="4" w:space="0"/>
              <w:left w:val="single" w:color="auto" w:sz="8" w:space="0"/>
              <w:bottom w:val="single" w:color="auto" w:sz="4" w:space="0"/>
              <w:right w:val="single" w:color="auto" w:sz="4" w:space="0"/>
            </w:tcBorders>
            <w:vAlign w:val="center"/>
          </w:tcPr>
          <w:p w14:paraId="4FC2D8DB">
            <w:pPr>
              <w:widowControl/>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一</w:t>
            </w:r>
          </w:p>
        </w:tc>
        <w:tc>
          <w:tcPr>
            <w:tcW w:w="5944" w:type="dxa"/>
            <w:tcBorders>
              <w:top w:val="single" w:color="auto" w:sz="8" w:space="0"/>
              <w:left w:val="nil"/>
              <w:bottom w:val="single" w:color="auto" w:sz="4" w:space="0"/>
              <w:right w:val="single" w:color="000000" w:sz="4" w:space="0"/>
            </w:tcBorders>
            <w:vAlign w:val="center"/>
          </w:tcPr>
          <w:p w14:paraId="587B9B4D">
            <w:pPr>
              <w:widowControl/>
              <w:spacing w:line="360" w:lineRule="exac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磋商总造价：</w:t>
            </w:r>
          </w:p>
        </w:tc>
        <w:tc>
          <w:tcPr>
            <w:tcW w:w="2520" w:type="dxa"/>
            <w:tcBorders>
              <w:top w:val="single" w:color="auto" w:sz="8" w:space="0"/>
              <w:left w:val="nil"/>
              <w:bottom w:val="single" w:color="auto" w:sz="4" w:space="0"/>
              <w:right w:val="single" w:color="auto" w:sz="8" w:space="0"/>
            </w:tcBorders>
            <w:vAlign w:val="center"/>
          </w:tcPr>
          <w:p w14:paraId="2BCCBD22">
            <w:pPr>
              <w:widowControl/>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（元）</w:t>
            </w:r>
          </w:p>
        </w:tc>
      </w:tr>
      <w:tr w14:paraId="479E55B8">
        <w:tblPrEx>
          <w:tblCellMar>
            <w:top w:w="0" w:type="dxa"/>
            <w:left w:w="108" w:type="dxa"/>
            <w:bottom w:w="0" w:type="dxa"/>
            <w:right w:w="108" w:type="dxa"/>
          </w:tblCellMar>
        </w:tblPrEx>
        <w:trPr>
          <w:trHeight w:val="859" w:hRule="atLeast"/>
        </w:trPr>
        <w:tc>
          <w:tcPr>
            <w:tcW w:w="6664" w:type="dxa"/>
            <w:gridSpan w:val="2"/>
            <w:tcBorders>
              <w:top w:val="single" w:color="auto" w:sz="4" w:space="0"/>
              <w:left w:val="single" w:color="auto" w:sz="8" w:space="0"/>
              <w:bottom w:val="single" w:color="auto" w:sz="4" w:space="0"/>
              <w:right w:val="single" w:color="auto" w:sz="4" w:space="0"/>
            </w:tcBorders>
            <w:vAlign w:val="center"/>
          </w:tcPr>
          <w:p w14:paraId="5CA72517">
            <w:pPr>
              <w:widowControl/>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承诺工期</w:t>
            </w:r>
          </w:p>
        </w:tc>
        <w:tc>
          <w:tcPr>
            <w:tcW w:w="2520" w:type="dxa"/>
            <w:tcBorders>
              <w:top w:val="nil"/>
              <w:left w:val="nil"/>
              <w:bottom w:val="single" w:color="auto" w:sz="4" w:space="0"/>
              <w:right w:val="single" w:color="auto" w:sz="8" w:space="0"/>
            </w:tcBorders>
            <w:vAlign w:val="center"/>
          </w:tcPr>
          <w:p w14:paraId="1CEFE7FD">
            <w:pPr>
              <w:widowControl/>
              <w:spacing w:line="360" w:lineRule="exact"/>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天（日历日）</w:t>
            </w:r>
          </w:p>
        </w:tc>
      </w:tr>
      <w:tr w14:paraId="626C3C34">
        <w:tblPrEx>
          <w:tblCellMar>
            <w:top w:w="0" w:type="dxa"/>
            <w:left w:w="108" w:type="dxa"/>
            <w:bottom w:w="0" w:type="dxa"/>
            <w:right w:w="108" w:type="dxa"/>
          </w:tblCellMar>
        </w:tblPrEx>
        <w:trPr>
          <w:trHeight w:val="779" w:hRule="atLeast"/>
        </w:trPr>
        <w:tc>
          <w:tcPr>
            <w:tcW w:w="6664" w:type="dxa"/>
            <w:gridSpan w:val="2"/>
            <w:tcBorders>
              <w:top w:val="single" w:color="auto" w:sz="4" w:space="0"/>
              <w:left w:val="single" w:color="auto" w:sz="8" w:space="0"/>
              <w:bottom w:val="single" w:color="auto" w:sz="4" w:space="0"/>
              <w:right w:val="single" w:color="auto" w:sz="4" w:space="0"/>
            </w:tcBorders>
            <w:vAlign w:val="center"/>
          </w:tcPr>
          <w:p w14:paraId="3BA88CE0">
            <w:pPr>
              <w:widowControl/>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承诺质量等级</w:t>
            </w:r>
          </w:p>
        </w:tc>
        <w:tc>
          <w:tcPr>
            <w:tcW w:w="2520" w:type="dxa"/>
            <w:tcBorders>
              <w:top w:val="nil"/>
              <w:left w:val="nil"/>
              <w:bottom w:val="single" w:color="auto" w:sz="4" w:space="0"/>
              <w:right w:val="single" w:color="auto" w:sz="8" w:space="0"/>
            </w:tcBorders>
            <w:vAlign w:val="center"/>
          </w:tcPr>
          <w:p w14:paraId="54F08579">
            <w:pPr>
              <w:widowControl/>
              <w:spacing w:line="360" w:lineRule="exact"/>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bl>
    <w:p w14:paraId="5FC715AB">
      <w:pPr>
        <w:spacing w:line="340" w:lineRule="exact"/>
        <w:rPr>
          <w:rFonts w:ascii="宋体" w:hAnsi="宋体" w:cs="宋体"/>
          <w:color w:val="000000" w:themeColor="text1"/>
          <w:szCs w:val="21"/>
          <w:highlight w:val="none"/>
          <w14:textFill>
            <w14:solidFill>
              <w14:schemeClr w14:val="tx1"/>
            </w14:solidFill>
          </w14:textFill>
        </w:rPr>
      </w:pPr>
    </w:p>
    <w:p w14:paraId="4927AD6C">
      <w:pPr>
        <w:spacing w:line="3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磋商供应商（CA签章，自然人除外）：</w:t>
      </w:r>
      <w:r>
        <w:rPr>
          <w:rFonts w:hint="eastAsia" w:ascii="宋体" w:hAnsi="宋体" w:cs="宋体"/>
          <w:color w:val="000000" w:themeColor="text1"/>
          <w:szCs w:val="21"/>
          <w:highlight w:val="none"/>
          <w:u w:val="single"/>
          <w14:textFill>
            <w14:solidFill>
              <w14:schemeClr w14:val="tx1"/>
            </w14:solidFill>
          </w14:textFill>
        </w:rPr>
        <w:t xml:space="preserve">                                        </w:t>
      </w:r>
    </w:p>
    <w:p w14:paraId="3FB1582F">
      <w:pPr>
        <w:spacing w:line="34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法定代表人、负责人、自然人或相应的委托代理人签字或个人CA签章（属自然人的应在签名处加盖食指指印或个人CA签章）：</w:t>
      </w:r>
      <w:r>
        <w:rPr>
          <w:rFonts w:hint="eastAsia" w:ascii="宋体" w:hAnsi="宋体" w:cs="宋体"/>
          <w:color w:val="000000" w:themeColor="text1"/>
          <w:szCs w:val="21"/>
          <w:highlight w:val="none"/>
          <w:u w:val="single"/>
          <w14:textFill>
            <w14:solidFill>
              <w14:schemeClr w14:val="tx1"/>
            </w14:solidFill>
          </w14:textFill>
        </w:rPr>
        <w:t xml:space="preserve">                                    </w:t>
      </w:r>
    </w:p>
    <w:p w14:paraId="4A398A5A">
      <w:pPr>
        <w:tabs>
          <w:tab w:val="left" w:pos="1305"/>
        </w:tabs>
        <w:spacing w:line="340" w:lineRule="exact"/>
        <w:rPr>
          <w:rFonts w:ascii="宋体" w:hAnsi="宋体" w:cs="宋体"/>
          <w:bCs/>
          <w:color w:val="000000" w:themeColor="text1"/>
          <w:szCs w:val="21"/>
          <w:highlight w:val="none"/>
          <w14:textFill>
            <w14:solidFill>
              <w14:schemeClr w14:val="tx1"/>
            </w14:solidFill>
          </w14:textFill>
        </w:rPr>
      </w:pPr>
    </w:p>
    <w:p w14:paraId="18124998">
      <w:pPr>
        <w:pStyle w:val="27"/>
        <w:spacing w:line="340" w:lineRule="exact"/>
        <w:rPr>
          <w:rFonts w:hAnsi="宋体" w:cs="宋体"/>
          <w:b/>
          <w:color w:val="000000" w:themeColor="text1"/>
          <w:sz w:val="28"/>
          <w:szCs w:val="28"/>
          <w:highlight w:val="none"/>
          <w14:textFill>
            <w14:solidFill>
              <w14:schemeClr w14:val="tx1"/>
            </w14:solidFill>
          </w14:textFill>
        </w:rPr>
      </w:pPr>
    </w:p>
    <w:p w14:paraId="5DDD007B">
      <w:pPr>
        <w:pStyle w:val="27"/>
        <w:spacing w:line="340" w:lineRule="exact"/>
        <w:rPr>
          <w:rFonts w:hAnsi="宋体" w:cs="宋体"/>
          <w:b/>
          <w:color w:val="000000" w:themeColor="text1"/>
          <w:sz w:val="28"/>
          <w:szCs w:val="28"/>
          <w:highlight w:val="none"/>
          <w14:textFill>
            <w14:solidFill>
              <w14:schemeClr w14:val="tx1"/>
            </w14:solidFill>
          </w14:textFill>
        </w:rPr>
      </w:pPr>
    </w:p>
    <w:p w14:paraId="22B35278">
      <w:pPr>
        <w:pStyle w:val="27"/>
        <w:spacing w:line="340" w:lineRule="exact"/>
        <w:rPr>
          <w:rFonts w:hAnsi="宋体" w:cs="宋体"/>
          <w:b/>
          <w:color w:val="000000" w:themeColor="text1"/>
          <w:sz w:val="28"/>
          <w:szCs w:val="28"/>
          <w:highlight w:val="none"/>
          <w14:textFill>
            <w14:solidFill>
              <w14:schemeClr w14:val="tx1"/>
            </w14:solidFill>
          </w14:textFill>
        </w:rPr>
      </w:pPr>
    </w:p>
    <w:p w14:paraId="1B7DDE5F">
      <w:pPr>
        <w:pStyle w:val="27"/>
        <w:spacing w:line="340" w:lineRule="exact"/>
        <w:rPr>
          <w:rFonts w:hAnsi="宋体" w:cs="宋体"/>
          <w:b/>
          <w:color w:val="000000" w:themeColor="text1"/>
          <w:sz w:val="28"/>
          <w:szCs w:val="28"/>
          <w:highlight w:val="none"/>
          <w14:textFill>
            <w14:solidFill>
              <w14:schemeClr w14:val="tx1"/>
            </w14:solidFill>
          </w14:textFill>
        </w:rPr>
      </w:pPr>
    </w:p>
    <w:p w14:paraId="123CA393">
      <w:pPr>
        <w:pStyle w:val="27"/>
        <w:spacing w:line="340" w:lineRule="exact"/>
        <w:rPr>
          <w:rFonts w:hAnsi="宋体" w:cs="宋体"/>
          <w:b/>
          <w:color w:val="000000" w:themeColor="text1"/>
          <w:sz w:val="28"/>
          <w:szCs w:val="28"/>
          <w:highlight w:val="none"/>
          <w14:textFill>
            <w14:solidFill>
              <w14:schemeClr w14:val="tx1"/>
            </w14:solidFill>
          </w14:textFill>
        </w:rPr>
      </w:pPr>
    </w:p>
    <w:p w14:paraId="3FE4522F">
      <w:pPr>
        <w:pStyle w:val="27"/>
        <w:spacing w:line="340" w:lineRule="exact"/>
        <w:rPr>
          <w:rFonts w:hAnsi="宋体" w:cs="宋体"/>
          <w:b/>
          <w:color w:val="000000" w:themeColor="text1"/>
          <w:sz w:val="28"/>
          <w:szCs w:val="28"/>
          <w:highlight w:val="none"/>
          <w14:textFill>
            <w14:solidFill>
              <w14:schemeClr w14:val="tx1"/>
            </w14:solidFill>
          </w14:textFill>
        </w:rPr>
      </w:pPr>
    </w:p>
    <w:p w14:paraId="2AB25C2D">
      <w:pPr>
        <w:spacing w:line="400" w:lineRule="exact"/>
        <w:outlineLvl w:val="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bookmarkStart w:id="1014" w:name="_Toc4209"/>
      <w:bookmarkStart w:id="1015" w:name="_Toc21686"/>
      <w:bookmarkStart w:id="1016" w:name="_Toc8996"/>
      <w:bookmarkStart w:id="1017" w:name="_Toc5788"/>
      <w:bookmarkStart w:id="1018" w:name="_Toc32015"/>
      <w:bookmarkStart w:id="1019" w:name="_Toc16195"/>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.标价</w:t>
      </w:r>
      <w:r>
        <w:rPr>
          <w:rFonts w:hint="eastAsia" w:ascii="宋体" w:hAnsi="宋体" w:cs="宋体"/>
          <w:b/>
          <w:bCs/>
          <w:color w:val="000000" w:themeColor="text1"/>
          <w:sz w:val="28"/>
          <w:szCs w:val="28"/>
          <w:highlight w:val="none"/>
          <w14:textFill>
            <w14:solidFill>
              <w14:schemeClr w14:val="tx1"/>
            </w14:solidFill>
          </w14:textFill>
        </w:rPr>
        <w:t>工程量</w:t>
      </w:r>
      <w:r>
        <w:rPr>
          <w:rFonts w:hint="eastAsia" w:ascii="宋体" w:hAnsi="宋体" w:cs="宋体"/>
          <w:b/>
          <w:color w:val="000000" w:themeColor="text1"/>
          <w:sz w:val="28"/>
          <w:szCs w:val="28"/>
          <w:highlight w:val="none"/>
          <w14:textFill>
            <w14:solidFill>
              <w14:schemeClr w14:val="tx1"/>
            </w14:solidFill>
          </w14:textFill>
        </w:rPr>
        <w:t>清单（必须提供）</w:t>
      </w:r>
      <w:bookmarkEnd w:id="1014"/>
      <w:bookmarkEnd w:id="1015"/>
      <w:bookmarkEnd w:id="1016"/>
      <w:bookmarkEnd w:id="1017"/>
      <w:bookmarkEnd w:id="1018"/>
      <w:bookmarkEnd w:id="1019"/>
    </w:p>
    <w:p w14:paraId="062D26A8">
      <w:pPr>
        <w:snapToGrid w:val="0"/>
        <w:ind w:firstLine="420"/>
        <w:jc w:val="right"/>
        <w:rPr>
          <w:rFonts w:ascii="宋体" w:hAnsi="宋体" w:cs="宋体"/>
          <w:color w:val="000000" w:themeColor="text1"/>
          <w:highlight w:val="none"/>
          <w14:textFill>
            <w14:solidFill>
              <w14:schemeClr w14:val="tx1"/>
            </w14:solidFill>
          </w14:textFill>
        </w:rPr>
      </w:pPr>
    </w:p>
    <w:p w14:paraId="1D375857">
      <w:pPr>
        <w:jc w:val="center"/>
        <w:rPr>
          <w:rFonts w:ascii="宋体" w:hAnsi="宋体" w:cs="宋体"/>
          <w:b/>
          <w:bCs/>
          <w:color w:val="000000" w:themeColor="text1"/>
          <w:sz w:val="24"/>
          <w:highlight w:val="none"/>
          <w14:textFill>
            <w14:solidFill>
              <w14:schemeClr w14:val="tx1"/>
            </w14:solidFill>
          </w14:textFill>
        </w:rPr>
      </w:pPr>
      <w:bookmarkStart w:id="1020" w:name="_Toc446943082"/>
      <w:bookmarkStart w:id="1021" w:name="_Toc271557289"/>
      <w:bookmarkStart w:id="1022" w:name="_Toc234659851"/>
      <w:bookmarkStart w:id="1023" w:name="_Toc394929435"/>
      <w:r>
        <w:rPr>
          <w:rFonts w:hint="eastAsia" w:ascii="宋体" w:hAnsi="宋体" w:cs="宋体"/>
          <w:b/>
          <w:bCs/>
          <w:color w:val="000000" w:themeColor="text1"/>
          <w:sz w:val="24"/>
          <w:highlight w:val="none"/>
          <w14:textFill>
            <w14:solidFill>
              <w14:schemeClr w14:val="tx1"/>
            </w14:solidFill>
          </w14:textFill>
        </w:rPr>
        <w:t>已标价工程量清单</w:t>
      </w:r>
      <w:bookmarkEnd w:id="1020"/>
      <w:bookmarkEnd w:id="1021"/>
      <w:bookmarkEnd w:id="1022"/>
      <w:bookmarkEnd w:id="1023"/>
    </w:p>
    <w:p w14:paraId="3E971DD1">
      <w:pPr>
        <w:ind w:firstLine="420"/>
        <w:jc w:val="center"/>
        <w:rPr>
          <w:rFonts w:ascii="宋体" w:hAnsi="宋体" w:cs="宋体"/>
          <w:color w:val="000000" w:themeColor="text1"/>
          <w:highlight w:val="none"/>
          <w14:textFill>
            <w14:solidFill>
              <w14:schemeClr w14:val="tx1"/>
            </w14:solidFill>
          </w14:textFill>
        </w:rPr>
      </w:pPr>
    </w:p>
    <w:p w14:paraId="4BBFCDA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供应商应按照第三章“工程量清单”的要求逐项填报工程量清单，包括工程量清单说明、磋商报价说明及工程量清单各项表格（采购人</w:t>
      </w:r>
      <w:r>
        <w:rPr>
          <w:rFonts w:hint="eastAsia" w:ascii="宋体" w:hAnsi="宋体" w:cs="宋体"/>
          <w:color w:val="000000" w:themeColor="text1"/>
          <w:highlight w:val="none"/>
          <w14:textFill>
            <w14:solidFill>
              <w14:schemeClr w14:val="tx1"/>
            </w14:solidFill>
          </w14:textFill>
        </w:rPr>
        <w:t>提供的工程量清单</w:t>
      </w:r>
      <w:r>
        <w:rPr>
          <w:rFonts w:hint="eastAsia" w:ascii="宋体" w:hAnsi="宋体" w:cs="宋体"/>
          <w:color w:val="000000" w:themeColor="text1"/>
          <w:szCs w:val="21"/>
          <w:highlight w:val="none"/>
          <w14:textFill>
            <w14:solidFill>
              <w14:schemeClr w14:val="tx1"/>
            </w14:solidFill>
          </w14:textFill>
        </w:rPr>
        <w:t>）。</w:t>
      </w:r>
    </w:p>
    <w:p w14:paraId="17427BDB">
      <w:pPr>
        <w:spacing w:line="340" w:lineRule="exact"/>
        <w:rPr>
          <w:rFonts w:ascii="宋体" w:hAnsi="宋体" w:cs="宋体"/>
          <w:color w:val="000000" w:themeColor="text1"/>
          <w:szCs w:val="21"/>
          <w:highlight w:val="none"/>
          <w14:textFill>
            <w14:solidFill>
              <w14:schemeClr w14:val="tx1"/>
            </w14:solidFill>
          </w14:textFill>
        </w:rPr>
      </w:pPr>
    </w:p>
    <w:p w14:paraId="49024844">
      <w:pPr>
        <w:spacing w:line="400" w:lineRule="exac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注：</w:t>
      </w:r>
      <w:r>
        <w:rPr>
          <w:rFonts w:hint="eastAsia" w:ascii="宋体" w:hAnsi="宋体" w:cs="宋体"/>
          <w:b/>
          <w:color w:val="000000" w:themeColor="text1"/>
          <w:sz w:val="24"/>
          <w:highlight w:val="none"/>
          <w14:textFill>
            <w14:solidFill>
              <w14:schemeClr w14:val="tx1"/>
            </w14:solidFill>
          </w14:textFill>
        </w:rPr>
        <w:t>当本清单由多页构成时，需逐页加盖磋商供应商公章（CA签章）（属自然人的须逐页签字或个人CA签章），否则磋商无效。</w:t>
      </w:r>
    </w:p>
    <w:p w14:paraId="4AB44911">
      <w:pPr>
        <w:pStyle w:val="20"/>
        <w:rPr>
          <w:rFonts w:ascii="宋体" w:hAnsi="宋体" w:cs="宋体"/>
          <w:color w:val="000000" w:themeColor="text1"/>
          <w:highlight w:val="none"/>
          <w14:textFill>
            <w14:solidFill>
              <w14:schemeClr w14:val="tx1"/>
            </w14:solidFill>
          </w14:textFill>
        </w:rPr>
      </w:pPr>
    </w:p>
    <w:p w14:paraId="7E43EC54">
      <w:pPr>
        <w:pStyle w:val="20"/>
        <w:rPr>
          <w:rFonts w:ascii="宋体" w:hAnsi="宋体" w:cs="宋体"/>
          <w:color w:val="000000" w:themeColor="text1"/>
          <w:highlight w:val="none"/>
          <w14:textFill>
            <w14:solidFill>
              <w14:schemeClr w14:val="tx1"/>
            </w14:solidFill>
          </w14:textFill>
        </w:rPr>
      </w:pPr>
    </w:p>
    <w:p w14:paraId="6F90476C">
      <w:pPr>
        <w:pStyle w:val="20"/>
        <w:rPr>
          <w:rFonts w:ascii="宋体" w:hAnsi="宋体" w:cs="宋体"/>
          <w:color w:val="000000" w:themeColor="text1"/>
          <w:highlight w:val="none"/>
          <w14:textFill>
            <w14:solidFill>
              <w14:schemeClr w14:val="tx1"/>
            </w14:solidFill>
          </w14:textFill>
        </w:rPr>
      </w:pPr>
    </w:p>
    <w:p w14:paraId="41A9F5EF">
      <w:pPr>
        <w:pStyle w:val="20"/>
        <w:rPr>
          <w:rFonts w:ascii="宋体" w:hAnsi="宋体" w:cs="宋体"/>
          <w:color w:val="000000" w:themeColor="text1"/>
          <w:highlight w:val="none"/>
          <w14:textFill>
            <w14:solidFill>
              <w14:schemeClr w14:val="tx1"/>
            </w14:solidFill>
          </w14:textFill>
        </w:rPr>
      </w:pPr>
    </w:p>
    <w:p w14:paraId="4CA75DA2">
      <w:pPr>
        <w:pStyle w:val="20"/>
        <w:rPr>
          <w:rFonts w:ascii="宋体" w:hAnsi="宋体" w:cs="宋体"/>
          <w:color w:val="000000" w:themeColor="text1"/>
          <w:highlight w:val="none"/>
          <w14:textFill>
            <w14:solidFill>
              <w14:schemeClr w14:val="tx1"/>
            </w14:solidFill>
          </w14:textFill>
        </w:rPr>
      </w:pPr>
    </w:p>
    <w:p w14:paraId="17A9CBE0">
      <w:pPr>
        <w:rPr>
          <w:rFonts w:ascii="宋体" w:hAnsi="宋体" w:cs="宋体"/>
          <w:color w:val="000000" w:themeColor="text1"/>
          <w:highlight w:val="none"/>
          <w14:textFill>
            <w14:solidFill>
              <w14:schemeClr w14:val="tx1"/>
            </w14:solidFill>
          </w14:textFill>
        </w:rPr>
      </w:pPr>
    </w:p>
    <w:p w14:paraId="5CB385AB">
      <w:pPr>
        <w:pStyle w:val="23"/>
        <w:rPr>
          <w:color w:val="000000" w:themeColor="text1"/>
          <w:highlight w:val="none"/>
          <w14:textFill>
            <w14:solidFill>
              <w14:schemeClr w14:val="tx1"/>
            </w14:solidFill>
          </w14:textFill>
        </w:rPr>
      </w:pPr>
    </w:p>
    <w:p w14:paraId="5078173B">
      <w:pPr>
        <w:spacing w:line="400" w:lineRule="exact"/>
        <w:outlineLvl w:val="1"/>
        <w:rPr>
          <w:rFonts w:ascii="宋体" w:hAnsi="宋体" w:cs="宋体"/>
          <w:b/>
          <w:bCs/>
          <w:iCs/>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bookmarkStart w:id="1024" w:name="_Toc13917"/>
      <w:bookmarkStart w:id="1025" w:name="_Toc26600"/>
      <w:bookmarkStart w:id="1026" w:name="_Toc8898"/>
      <w:bookmarkStart w:id="1027" w:name="_Toc22086"/>
      <w:bookmarkStart w:id="1028" w:name="_Toc24899"/>
      <w:bookmarkStart w:id="1029" w:name="_Toc15221"/>
      <w:r>
        <w:rPr>
          <w:rFonts w:hint="eastAsia" w:hAnsi="宋体" w:cs="宋体"/>
          <w:b/>
          <w:color w:val="000000" w:themeColor="text1"/>
          <w:sz w:val="28"/>
          <w:szCs w:val="28"/>
          <w:highlight w:val="none"/>
          <w:lang w:val="en-US" w:eastAsia="zh-CN"/>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t>.</w:t>
      </w:r>
      <w:r>
        <w:rPr>
          <w:rFonts w:hint="eastAsia" w:ascii="宋体" w:hAnsi="宋体" w:cs="宋体"/>
          <w:b/>
          <w:bCs/>
          <w:iCs/>
          <w:color w:val="000000" w:themeColor="text1"/>
          <w:sz w:val="28"/>
          <w:szCs w:val="28"/>
          <w:highlight w:val="none"/>
          <w14:textFill>
            <w14:solidFill>
              <w14:schemeClr w14:val="tx1"/>
            </w14:solidFill>
          </w14:textFill>
        </w:rPr>
        <w:t>拟</w:t>
      </w:r>
      <w:r>
        <w:rPr>
          <w:rFonts w:hint="eastAsia" w:ascii="宋体" w:hAnsi="宋体" w:cs="宋体"/>
          <w:b/>
          <w:bCs/>
          <w:color w:val="000000" w:themeColor="text1"/>
          <w:sz w:val="28"/>
          <w:szCs w:val="28"/>
          <w:highlight w:val="none"/>
          <w14:textFill>
            <w14:solidFill>
              <w14:schemeClr w14:val="tx1"/>
            </w14:solidFill>
          </w14:textFill>
        </w:rPr>
        <w:t>投入</w:t>
      </w:r>
      <w:r>
        <w:rPr>
          <w:rFonts w:hint="eastAsia" w:ascii="宋体" w:hAnsi="宋体" w:cs="宋体"/>
          <w:b/>
          <w:bCs/>
          <w:iCs/>
          <w:color w:val="000000" w:themeColor="text1"/>
          <w:sz w:val="28"/>
          <w:szCs w:val="28"/>
          <w:highlight w:val="none"/>
          <w14:textFill>
            <w14:solidFill>
              <w14:schemeClr w14:val="tx1"/>
            </w14:solidFill>
          </w14:textFill>
        </w:rPr>
        <w:t>本工程主要施工管理人员表（必须提供）；</w:t>
      </w:r>
      <w:bookmarkEnd w:id="1024"/>
      <w:bookmarkEnd w:id="1025"/>
      <w:bookmarkEnd w:id="1026"/>
      <w:bookmarkEnd w:id="1027"/>
      <w:bookmarkEnd w:id="1028"/>
      <w:bookmarkEnd w:id="1029"/>
    </w:p>
    <w:p w14:paraId="07AE7D46">
      <w:pPr>
        <w:spacing w:line="500" w:lineRule="exact"/>
        <w:jc w:val="center"/>
        <w:rPr>
          <w:rFonts w:ascii="宋体" w:hAnsi="宋体" w:cs="宋体"/>
          <w:b/>
          <w:color w:val="000000" w:themeColor="text1"/>
          <w:sz w:val="24"/>
          <w:highlight w:val="none"/>
          <w14:textFill>
            <w14:solidFill>
              <w14:schemeClr w14:val="tx1"/>
            </w14:solidFill>
          </w14:textFill>
        </w:rPr>
      </w:pPr>
    </w:p>
    <w:p w14:paraId="2C1DEAE0">
      <w:pPr>
        <w:spacing w:line="5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主要施工管理人员表</w:t>
      </w:r>
    </w:p>
    <w:p w14:paraId="185F7684">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tbl>
      <w:tblPr>
        <w:tblStyle w:val="5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6AFD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69515F58">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p>
        </w:tc>
        <w:tc>
          <w:tcPr>
            <w:tcW w:w="793" w:type="dxa"/>
            <w:tcBorders>
              <w:top w:val="single" w:color="auto" w:sz="4" w:space="0"/>
              <w:left w:val="single" w:color="auto" w:sz="4" w:space="0"/>
              <w:bottom w:val="single" w:color="auto" w:sz="4" w:space="0"/>
              <w:right w:val="single" w:color="auto" w:sz="4" w:space="0"/>
            </w:tcBorders>
            <w:vAlign w:val="center"/>
          </w:tcPr>
          <w:p w14:paraId="43D177D9">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tc>
        <w:tc>
          <w:tcPr>
            <w:tcW w:w="792" w:type="dxa"/>
            <w:tcBorders>
              <w:top w:val="single" w:color="auto" w:sz="4" w:space="0"/>
              <w:left w:val="single" w:color="auto" w:sz="4" w:space="0"/>
              <w:bottom w:val="single" w:color="auto" w:sz="4" w:space="0"/>
              <w:right w:val="single" w:color="auto" w:sz="4" w:space="0"/>
            </w:tcBorders>
            <w:vAlign w:val="center"/>
          </w:tcPr>
          <w:p w14:paraId="0C96E23D">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p>
        </w:tc>
        <w:tc>
          <w:tcPr>
            <w:tcW w:w="1447" w:type="dxa"/>
            <w:tcBorders>
              <w:top w:val="single" w:color="auto" w:sz="4" w:space="0"/>
              <w:left w:val="single" w:color="auto" w:sz="4" w:space="0"/>
              <w:bottom w:val="single" w:color="auto" w:sz="4" w:space="0"/>
              <w:right w:val="single" w:color="auto" w:sz="4" w:space="0"/>
            </w:tcBorders>
            <w:vAlign w:val="center"/>
          </w:tcPr>
          <w:p w14:paraId="05F754D6">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14:paraId="5E5B026B">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执业资格证号/上岗证号</w:t>
            </w:r>
          </w:p>
        </w:tc>
      </w:tr>
      <w:tr w14:paraId="5108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4BAEA0A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一、总部</w:t>
            </w:r>
          </w:p>
        </w:tc>
        <w:tc>
          <w:tcPr>
            <w:tcW w:w="793" w:type="dxa"/>
            <w:tcBorders>
              <w:top w:val="single" w:color="auto" w:sz="4" w:space="0"/>
              <w:left w:val="single" w:color="auto" w:sz="4" w:space="0"/>
              <w:bottom w:val="single" w:color="auto" w:sz="4" w:space="0"/>
              <w:right w:val="single" w:color="auto" w:sz="4" w:space="0"/>
            </w:tcBorders>
            <w:vAlign w:val="center"/>
          </w:tcPr>
          <w:p w14:paraId="4C13963E">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3ECD8490">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3D99A5D5">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679A7CD8">
            <w:pPr>
              <w:spacing w:line="360" w:lineRule="exact"/>
              <w:rPr>
                <w:rFonts w:ascii="宋体" w:hAnsi="宋体" w:cs="宋体"/>
                <w:color w:val="000000" w:themeColor="text1"/>
                <w:szCs w:val="21"/>
                <w:highlight w:val="none"/>
                <w14:textFill>
                  <w14:solidFill>
                    <w14:schemeClr w14:val="tx1"/>
                  </w14:solidFill>
                </w14:textFill>
              </w:rPr>
            </w:pPr>
          </w:p>
        </w:tc>
      </w:tr>
      <w:tr w14:paraId="4675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D519D6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14:paraId="4396EB02">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672C695D">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612F3506">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3FA044CE">
            <w:pPr>
              <w:spacing w:line="360" w:lineRule="exact"/>
              <w:rPr>
                <w:rFonts w:ascii="宋体" w:hAnsi="宋体" w:cs="宋体"/>
                <w:color w:val="000000" w:themeColor="text1"/>
                <w:szCs w:val="21"/>
                <w:highlight w:val="none"/>
                <w14:textFill>
                  <w14:solidFill>
                    <w14:schemeClr w14:val="tx1"/>
                  </w14:solidFill>
                </w14:textFill>
              </w:rPr>
            </w:pPr>
          </w:p>
        </w:tc>
      </w:tr>
      <w:tr w14:paraId="3F67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421F298C">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14:paraId="63F985A8">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45960307">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22D53744">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59E86661">
            <w:pPr>
              <w:spacing w:line="360" w:lineRule="exact"/>
              <w:rPr>
                <w:rFonts w:ascii="宋体" w:hAnsi="宋体" w:cs="宋体"/>
                <w:color w:val="000000" w:themeColor="text1"/>
                <w:szCs w:val="21"/>
                <w:highlight w:val="none"/>
                <w14:textFill>
                  <w14:solidFill>
                    <w14:schemeClr w14:val="tx1"/>
                  </w14:solidFill>
                </w14:textFill>
              </w:rPr>
            </w:pPr>
          </w:p>
        </w:tc>
      </w:tr>
      <w:tr w14:paraId="5715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633DF4F">
            <w:pPr>
              <w:spacing w:line="360" w:lineRule="exact"/>
              <w:rPr>
                <w:rFonts w:ascii="宋体" w:hAnsi="宋体" w:cs="宋体"/>
                <w:color w:val="000000" w:themeColor="text1"/>
                <w:szCs w:val="21"/>
                <w:highlight w:val="none"/>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vAlign w:val="center"/>
          </w:tcPr>
          <w:p w14:paraId="478B73D5">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2E54F2FD">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4187B7C3">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704F26FD">
            <w:pPr>
              <w:spacing w:line="360" w:lineRule="exact"/>
              <w:rPr>
                <w:rFonts w:ascii="宋体" w:hAnsi="宋体" w:cs="宋体"/>
                <w:color w:val="000000" w:themeColor="text1"/>
                <w:szCs w:val="21"/>
                <w:highlight w:val="none"/>
                <w14:textFill>
                  <w14:solidFill>
                    <w14:schemeClr w14:val="tx1"/>
                  </w14:solidFill>
                </w14:textFill>
              </w:rPr>
            </w:pPr>
          </w:p>
        </w:tc>
      </w:tr>
      <w:tr w14:paraId="655E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69D3ECFB">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二、现场</w:t>
            </w:r>
          </w:p>
        </w:tc>
        <w:tc>
          <w:tcPr>
            <w:tcW w:w="793" w:type="dxa"/>
            <w:tcBorders>
              <w:top w:val="single" w:color="auto" w:sz="4" w:space="0"/>
              <w:left w:val="single" w:color="auto" w:sz="4" w:space="0"/>
              <w:bottom w:val="single" w:color="auto" w:sz="4" w:space="0"/>
              <w:right w:val="single" w:color="auto" w:sz="4" w:space="0"/>
            </w:tcBorders>
            <w:vAlign w:val="center"/>
          </w:tcPr>
          <w:p w14:paraId="5284F866">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3F402C38">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2955347B">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6716B30C">
            <w:pPr>
              <w:spacing w:line="360" w:lineRule="exact"/>
              <w:rPr>
                <w:rFonts w:ascii="宋体" w:hAnsi="宋体" w:cs="宋体"/>
                <w:color w:val="000000" w:themeColor="text1"/>
                <w:szCs w:val="21"/>
                <w:highlight w:val="none"/>
                <w14:textFill>
                  <w14:solidFill>
                    <w14:schemeClr w14:val="tx1"/>
                  </w14:solidFill>
                </w14:textFill>
              </w:rPr>
            </w:pPr>
          </w:p>
        </w:tc>
      </w:tr>
      <w:tr w14:paraId="59B4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631A367">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1.项目经理</w:t>
            </w:r>
          </w:p>
        </w:tc>
        <w:tc>
          <w:tcPr>
            <w:tcW w:w="793" w:type="dxa"/>
            <w:tcBorders>
              <w:top w:val="single" w:color="auto" w:sz="4" w:space="0"/>
              <w:left w:val="single" w:color="auto" w:sz="4" w:space="0"/>
              <w:bottom w:val="single" w:color="auto" w:sz="4" w:space="0"/>
              <w:right w:val="single" w:color="auto" w:sz="4" w:space="0"/>
            </w:tcBorders>
            <w:vAlign w:val="center"/>
          </w:tcPr>
          <w:p w14:paraId="6501719F">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587D2284">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2B059CEF">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343221BE">
            <w:pPr>
              <w:spacing w:line="360" w:lineRule="exact"/>
              <w:rPr>
                <w:rFonts w:ascii="宋体" w:hAnsi="宋体" w:cs="宋体"/>
                <w:color w:val="000000" w:themeColor="text1"/>
                <w:szCs w:val="21"/>
                <w:highlight w:val="none"/>
                <w14:textFill>
                  <w14:solidFill>
                    <w14:schemeClr w14:val="tx1"/>
                  </w14:solidFill>
                </w14:textFill>
              </w:rPr>
            </w:pPr>
          </w:p>
        </w:tc>
      </w:tr>
      <w:tr w14:paraId="393B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5715F4C">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14:paraId="5844AFAD">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0E889823">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29683267">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5D0FA0F2">
            <w:pPr>
              <w:spacing w:line="360" w:lineRule="exact"/>
              <w:rPr>
                <w:rFonts w:ascii="宋体" w:hAnsi="宋体" w:cs="宋体"/>
                <w:color w:val="000000" w:themeColor="text1"/>
                <w:szCs w:val="21"/>
                <w:highlight w:val="none"/>
                <w14:textFill>
                  <w14:solidFill>
                    <w14:schemeClr w14:val="tx1"/>
                  </w14:solidFill>
                </w14:textFill>
              </w:rPr>
            </w:pPr>
          </w:p>
        </w:tc>
      </w:tr>
      <w:tr w14:paraId="5E0D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CCFFD5D">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14:paraId="4D3206D0">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0BD7D9F2">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4C615684">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00C5AF5A">
            <w:pPr>
              <w:spacing w:line="360" w:lineRule="exact"/>
              <w:rPr>
                <w:rFonts w:ascii="宋体" w:hAnsi="宋体" w:cs="宋体"/>
                <w:color w:val="000000" w:themeColor="text1"/>
                <w:szCs w:val="21"/>
                <w:highlight w:val="none"/>
                <w14:textFill>
                  <w14:solidFill>
                    <w14:schemeClr w14:val="tx1"/>
                  </w14:solidFill>
                </w14:textFill>
              </w:rPr>
            </w:pPr>
          </w:p>
        </w:tc>
      </w:tr>
      <w:tr w14:paraId="7AE4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8D0F270">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4.施工员</w:t>
            </w:r>
          </w:p>
        </w:tc>
        <w:tc>
          <w:tcPr>
            <w:tcW w:w="793" w:type="dxa"/>
            <w:tcBorders>
              <w:top w:val="single" w:color="auto" w:sz="4" w:space="0"/>
              <w:left w:val="single" w:color="auto" w:sz="4" w:space="0"/>
              <w:bottom w:val="single" w:color="auto" w:sz="4" w:space="0"/>
              <w:right w:val="single" w:color="auto" w:sz="4" w:space="0"/>
            </w:tcBorders>
            <w:vAlign w:val="center"/>
          </w:tcPr>
          <w:p w14:paraId="12DF919A">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288C0093">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29BC5711">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7AC5B98C">
            <w:pPr>
              <w:spacing w:line="360" w:lineRule="exact"/>
              <w:rPr>
                <w:rFonts w:ascii="宋体" w:hAnsi="宋体" w:cs="宋体"/>
                <w:color w:val="000000" w:themeColor="text1"/>
                <w:szCs w:val="21"/>
                <w:highlight w:val="none"/>
                <w14:textFill>
                  <w14:solidFill>
                    <w14:schemeClr w14:val="tx1"/>
                  </w14:solidFill>
                </w14:textFill>
              </w:rPr>
            </w:pPr>
          </w:p>
        </w:tc>
      </w:tr>
      <w:tr w14:paraId="39A8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D022A04">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5.质检（量）员</w:t>
            </w:r>
          </w:p>
        </w:tc>
        <w:tc>
          <w:tcPr>
            <w:tcW w:w="793" w:type="dxa"/>
            <w:tcBorders>
              <w:top w:val="single" w:color="auto" w:sz="4" w:space="0"/>
              <w:left w:val="single" w:color="auto" w:sz="4" w:space="0"/>
              <w:bottom w:val="single" w:color="auto" w:sz="4" w:space="0"/>
              <w:right w:val="single" w:color="auto" w:sz="4" w:space="0"/>
            </w:tcBorders>
            <w:vAlign w:val="center"/>
          </w:tcPr>
          <w:p w14:paraId="3ACE7EC8">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0A556446">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48C26F56">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3B086CB4">
            <w:pPr>
              <w:spacing w:line="360" w:lineRule="exact"/>
              <w:rPr>
                <w:rFonts w:ascii="宋体" w:hAnsi="宋体" w:cs="宋体"/>
                <w:color w:val="000000" w:themeColor="text1"/>
                <w:szCs w:val="21"/>
                <w:highlight w:val="none"/>
                <w14:textFill>
                  <w14:solidFill>
                    <w14:schemeClr w14:val="tx1"/>
                  </w14:solidFill>
                </w14:textFill>
              </w:rPr>
            </w:pPr>
          </w:p>
        </w:tc>
      </w:tr>
      <w:tr w14:paraId="5753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74B3B024">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14:paraId="254E86CD">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16833DD4">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0F9F8259">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2B464DDA">
            <w:pPr>
              <w:spacing w:line="360" w:lineRule="exact"/>
              <w:rPr>
                <w:rFonts w:ascii="宋体" w:hAnsi="宋体" w:cs="宋体"/>
                <w:color w:val="000000" w:themeColor="text1"/>
                <w:szCs w:val="21"/>
                <w:highlight w:val="none"/>
                <w14:textFill>
                  <w14:solidFill>
                    <w14:schemeClr w14:val="tx1"/>
                  </w14:solidFill>
                </w14:textFill>
              </w:rPr>
            </w:pPr>
          </w:p>
        </w:tc>
      </w:tr>
      <w:tr w14:paraId="56EB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39AFF1A">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7.材料员</w:t>
            </w:r>
          </w:p>
        </w:tc>
        <w:tc>
          <w:tcPr>
            <w:tcW w:w="793" w:type="dxa"/>
            <w:tcBorders>
              <w:top w:val="single" w:color="auto" w:sz="4" w:space="0"/>
              <w:left w:val="single" w:color="auto" w:sz="4" w:space="0"/>
              <w:bottom w:val="single" w:color="auto" w:sz="4" w:space="0"/>
              <w:right w:val="single" w:color="auto" w:sz="4" w:space="0"/>
            </w:tcBorders>
            <w:vAlign w:val="center"/>
          </w:tcPr>
          <w:p w14:paraId="42DE4837">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0C2DE601">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10FBE0F6">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00BFF744">
            <w:pPr>
              <w:spacing w:line="360" w:lineRule="exact"/>
              <w:rPr>
                <w:rFonts w:ascii="宋体" w:hAnsi="宋体" w:cs="宋体"/>
                <w:color w:val="000000" w:themeColor="text1"/>
                <w:szCs w:val="21"/>
                <w:highlight w:val="none"/>
                <w14:textFill>
                  <w14:solidFill>
                    <w14:schemeClr w14:val="tx1"/>
                  </w14:solidFill>
                </w14:textFill>
              </w:rPr>
            </w:pPr>
          </w:p>
        </w:tc>
      </w:tr>
      <w:tr w14:paraId="3678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B900061">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793" w:type="dxa"/>
            <w:tcBorders>
              <w:top w:val="single" w:color="auto" w:sz="4" w:space="0"/>
              <w:left w:val="single" w:color="auto" w:sz="4" w:space="0"/>
              <w:bottom w:val="single" w:color="auto" w:sz="4" w:space="0"/>
              <w:right w:val="single" w:color="auto" w:sz="4" w:space="0"/>
            </w:tcBorders>
            <w:vAlign w:val="center"/>
          </w:tcPr>
          <w:p w14:paraId="7632F779">
            <w:pPr>
              <w:spacing w:line="360" w:lineRule="exact"/>
              <w:rPr>
                <w:rFonts w:ascii="宋体" w:hAnsi="宋体" w:cs="宋体"/>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14:paraId="1D42E31E">
            <w:pPr>
              <w:spacing w:line="360" w:lineRule="exact"/>
              <w:rPr>
                <w:rFonts w:ascii="宋体" w:hAnsi="宋体" w:cs="宋体"/>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14:paraId="58108507">
            <w:pPr>
              <w:spacing w:line="360" w:lineRule="exact"/>
              <w:rPr>
                <w:rFonts w:ascii="宋体" w:hAnsi="宋体" w:cs="宋体"/>
                <w:color w:val="000000" w:themeColor="text1"/>
                <w:szCs w:val="21"/>
                <w:highlight w:val="none"/>
                <w14:textFill>
                  <w14:solidFill>
                    <w14:schemeClr w14:val="tx1"/>
                  </w14:solidFill>
                </w14:textFill>
              </w:rPr>
            </w:pPr>
          </w:p>
        </w:tc>
        <w:tc>
          <w:tcPr>
            <w:tcW w:w="3672" w:type="dxa"/>
            <w:tcBorders>
              <w:top w:val="single" w:color="auto" w:sz="4" w:space="0"/>
              <w:left w:val="single" w:color="auto" w:sz="4" w:space="0"/>
              <w:bottom w:val="single" w:color="auto" w:sz="4" w:space="0"/>
              <w:right w:val="single" w:color="auto" w:sz="4" w:space="0"/>
            </w:tcBorders>
            <w:vAlign w:val="center"/>
          </w:tcPr>
          <w:p w14:paraId="5BFA1FC7">
            <w:pPr>
              <w:spacing w:line="360" w:lineRule="exact"/>
              <w:rPr>
                <w:rFonts w:ascii="宋体" w:hAnsi="宋体" w:cs="宋体"/>
                <w:color w:val="000000" w:themeColor="text1"/>
                <w:szCs w:val="21"/>
                <w:highlight w:val="none"/>
                <w14:textFill>
                  <w14:solidFill>
                    <w14:schemeClr w14:val="tx1"/>
                  </w14:solidFill>
                </w14:textFill>
              </w:rPr>
            </w:pPr>
          </w:p>
        </w:tc>
      </w:tr>
    </w:tbl>
    <w:p w14:paraId="004E2225">
      <w:pPr>
        <w:spacing w:line="360" w:lineRule="exact"/>
        <w:rPr>
          <w:rFonts w:ascii="宋体" w:hAnsi="宋体" w:cs="宋体"/>
          <w:color w:val="000000" w:themeColor="text1"/>
          <w:spacing w:val="-2"/>
          <w:kern w:val="0"/>
          <w:szCs w:val="21"/>
          <w:highlight w:val="none"/>
          <w14:textFill>
            <w14:solidFill>
              <w14:schemeClr w14:val="tx1"/>
            </w14:solidFill>
          </w14:textFill>
        </w:rPr>
      </w:pPr>
      <w:r>
        <w:rPr>
          <w:rFonts w:hint="eastAsia" w:ascii="宋体" w:hAnsi="宋体" w:cs="宋体"/>
          <w:bCs/>
          <w:color w:val="000000" w:themeColor="text1"/>
          <w:spacing w:val="-2"/>
          <w:szCs w:val="21"/>
          <w:highlight w:val="none"/>
          <w14:textFill>
            <w14:solidFill>
              <w14:schemeClr w14:val="tx1"/>
            </w14:solidFill>
          </w14:textFill>
        </w:rPr>
        <w:t>注：人员配备</w:t>
      </w:r>
      <w:r>
        <w:rPr>
          <w:rFonts w:hint="eastAsia" w:ascii="宋体" w:hAnsi="宋体" w:cs="宋体"/>
          <w:color w:val="000000" w:themeColor="text1"/>
          <w:spacing w:val="-2"/>
          <w:szCs w:val="21"/>
          <w:highlight w:val="none"/>
          <w14:textFill>
            <w14:solidFill>
              <w14:schemeClr w14:val="tx1"/>
            </w14:solidFill>
          </w14:textFill>
        </w:rPr>
        <w:t>应按桂林市建设与规划委员会市建规〔2006〕270号文《关于调整建筑施工现场项目部管理的通知》的规定执行，须满足最低要求。</w:t>
      </w:r>
      <w:r>
        <w:rPr>
          <w:rFonts w:hint="eastAsia" w:ascii="宋体" w:hAnsi="宋体" w:cs="宋体"/>
          <w:color w:val="000000" w:themeColor="text1"/>
          <w:spacing w:val="-2"/>
          <w:kern w:val="0"/>
          <w:szCs w:val="21"/>
          <w:highlight w:val="none"/>
          <w14:textFill>
            <w14:solidFill>
              <w14:schemeClr w14:val="tx1"/>
            </w14:solidFill>
          </w14:textFill>
        </w:rPr>
        <w:t>其中，项目经理至少应附身份证</w:t>
      </w:r>
      <w:r>
        <w:rPr>
          <w:rFonts w:hint="eastAsia" w:ascii="宋体" w:hAnsi="宋体" w:cs="宋体"/>
          <w:color w:val="000000" w:themeColor="text1"/>
          <w:spacing w:val="-2"/>
          <w:kern w:val="0"/>
          <w:szCs w:val="21"/>
          <w:highlight w:val="none"/>
          <w:lang w:eastAsia="zh-CN"/>
          <w14:textFill>
            <w14:solidFill>
              <w14:schemeClr w14:val="tx1"/>
            </w14:solidFill>
          </w14:textFill>
        </w:rPr>
        <w:t>扫描件</w:t>
      </w:r>
      <w:r>
        <w:rPr>
          <w:rFonts w:hint="eastAsia" w:ascii="宋体" w:hAnsi="宋体" w:cs="宋体"/>
          <w:color w:val="000000" w:themeColor="text1"/>
          <w:spacing w:val="-2"/>
          <w:kern w:val="0"/>
          <w:szCs w:val="21"/>
          <w:highlight w:val="none"/>
          <w14:textFill>
            <w14:solidFill>
              <w14:schemeClr w14:val="tx1"/>
            </w14:solidFill>
          </w14:textFill>
        </w:rPr>
        <w:t>、建造师注册证书</w:t>
      </w:r>
      <w:r>
        <w:rPr>
          <w:rFonts w:hint="eastAsia" w:ascii="宋体" w:hAnsi="宋体" w:cs="宋体"/>
          <w:color w:val="000000" w:themeColor="text1"/>
          <w:spacing w:val="-2"/>
          <w:kern w:val="0"/>
          <w:szCs w:val="21"/>
          <w:highlight w:val="none"/>
          <w:lang w:eastAsia="zh-CN"/>
          <w14:textFill>
            <w14:solidFill>
              <w14:schemeClr w14:val="tx1"/>
            </w14:solidFill>
          </w14:textFill>
        </w:rPr>
        <w:t>扫描件</w:t>
      </w:r>
      <w:r>
        <w:rPr>
          <w:rFonts w:hint="eastAsia" w:ascii="宋体" w:hAnsi="宋体" w:cs="宋体"/>
          <w:color w:val="000000" w:themeColor="text1"/>
          <w:spacing w:val="-2"/>
          <w:kern w:val="0"/>
          <w:szCs w:val="21"/>
          <w:highlight w:val="none"/>
          <w14:textFill>
            <w14:solidFill>
              <w14:schemeClr w14:val="tx1"/>
            </w14:solidFill>
          </w14:textFill>
        </w:rPr>
        <w:t>、安全生产考核合格证书（B类）</w:t>
      </w:r>
      <w:r>
        <w:rPr>
          <w:rFonts w:hint="eastAsia" w:ascii="宋体" w:hAnsi="宋体" w:cs="宋体"/>
          <w:color w:val="000000" w:themeColor="text1"/>
          <w:spacing w:val="-2"/>
          <w:kern w:val="0"/>
          <w:szCs w:val="21"/>
          <w:highlight w:val="none"/>
          <w:lang w:eastAsia="zh-CN"/>
          <w14:textFill>
            <w14:solidFill>
              <w14:schemeClr w14:val="tx1"/>
            </w14:solidFill>
          </w14:textFill>
        </w:rPr>
        <w:t>扫描件</w:t>
      </w:r>
      <w:r>
        <w:rPr>
          <w:rFonts w:hint="eastAsia" w:ascii="宋体" w:hAnsi="宋体" w:cs="宋体"/>
          <w:color w:val="000000" w:themeColor="text1"/>
          <w:spacing w:val="-2"/>
          <w:kern w:val="0"/>
          <w:szCs w:val="21"/>
          <w:highlight w:val="none"/>
          <w14:textFill>
            <w14:solidFill>
              <w14:schemeClr w14:val="tx1"/>
            </w14:solidFill>
          </w14:textFill>
        </w:rPr>
        <w:t>；技术负责人应附身份证</w:t>
      </w:r>
      <w:r>
        <w:rPr>
          <w:rFonts w:hint="eastAsia" w:ascii="宋体" w:hAnsi="宋体" w:cs="宋体"/>
          <w:color w:val="000000" w:themeColor="text1"/>
          <w:spacing w:val="-2"/>
          <w:kern w:val="0"/>
          <w:szCs w:val="21"/>
          <w:highlight w:val="none"/>
          <w:lang w:eastAsia="zh-CN"/>
          <w14:textFill>
            <w14:solidFill>
              <w14:schemeClr w14:val="tx1"/>
            </w14:solidFill>
          </w14:textFill>
        </w:rPr>
        <w:t>扫描件</w:t>
      </w:r>
      <w:r>
        <w:rPr>
          <w:rFonts w:hint="eastAsia" w:ascii="宋体" w:hAnsi="宋体" w:cs="宋体"/>
          <w:color w:val="000000" w:themeColor="text1"/>
          <w:spacing w:val="-2"/>
          <w:kern w:val="0"/>
          <w:szCs w:val="21"/>
          <w:highlight w:val="none"/>
          <w14:textFill>
            <w14:solidFill>
              <w14:schemeClr w14:val="tx1"/>
            </w14:solidFill>
          </w14:textFill>
        </w:rPr>
        <w:t>、职称证</w:t>
      </w:r>
      <w:r>
        <w:rPr>
          <w:rFonts w:hint="eastAsia" w:ascii="宋体" w:hAnsi="宋体" w:cs="宋体"/>
          <w:color w:val="000000" w:themeColor="text1"/>
          <w:spacing w:val="-2"/>
          <w:kern w:val="0"/>
          <w:szCs w:val="21"/>
          <w:highlight w:val="none"/>
          <w:lang w:eastAsia="zh-CN"/>
          <w14:textFill>
            <w14:solidFill>
              <w14:schemeClr w14:val="tx1"/>
            </w14:solidFill>
          </w14:textFill>
        </w:rPr>
        <w:t>扫描件</w:t>
      </w:r>
      <w:r>
        <w:rPr>
          <w:rFonts w:hint="eastAsia" w:ascii="宋体" w:hAnsi="宋体" w:cs="宋体"/>
          <w:color w:val="000000" w:themeColor="text1"/>
          <w:spacing w:val="-2"/>
          <w:kern w:val="0"/>
          <w:szCs w:val="21"/>
          <w:highlight w:val="none"/>
          <w14:textFill>
            <w14:solidFill>
              <w14:schemeClr w14:val="tx1"/>
            </w14:solidFill>
          </w14:textFill>
        </w:rPr>
        <w:t>；专职安全生产管理人员至少应附身份证</w:t>
      </w:r>
      <w:r>
        <w:rPr>
          <w:rFonts w:hint="eastAsia" w:ascii="宋体" w:hAnsi="宋体" w:cs="宋体"/>
          <w:color w:val="000000" w:themeColor="text1"/>
          <w:spacing w:val="-2"/>
          <w:kern w:val="0"/>
          <w:szCs w:val="21"/>
          <w:highlight w:val="none"/>
          <w:lang w:eastAsia="zh-CN"/>
          <w14:textFill>
            <w14:solidFill>
              <w14:schemeClr w14:val="tx1"/>
            </w14:solidFill>
          </w14:textFill>
        </w:rPr>
        <w:t>扫描件</w:t>
      </w:r>
      <w:r>
        <w:rPr>
          <w:rFonts w:hint="eastAsia" w:ascii="宋体" w:hAnsi="宋体" w:cs="宋体"/>
          <w:color w:val="000000" w:themeColor="text1"/>
          <w:spacing w:val="-2"/>
          <w:kern w:val="0"/>
          <w:szCs w:val="21"/>
          <w:highlight w:val="none"/>
          <w14:textFill>
            <w14:solidFill>
              <w14:schemeClr w14:val="tx1"/>
            </w14:solidFill>
          </w14:textFill>
        </w:rPr>
        <w:t>、专职安全员安全生产考核合格证书（C类）</w:t>
      </w:r>
      <w:r>
        <w:rPr>
          <w:rFonts w:hint="eastAsia" w:ascii="宋体" w:hAnsi="宋体" w:cs="宋体"/>
          <w:color w:val="000000" w:themeColor="text1"/>
          <w:spacing w:val="-2"/>
          <w:kern w:val="0"/>
          <w:szCs w:val="21"/>
          <w:highlight w:val="none"/>
          <w:lang w:eastAsia="zh-CN"/>
          <w14:textFill>
            <w14:solidFill>
              <w14:schemeClr w14:val="tx1"/>
            </w14:solidFill>
          </w14:textFill>
        </w:rPr>
        <w:t>扫描件</w:t>
      </w:r>
      <w:r>
        <w:rPr>
          <w:rFonts w:hint="eastAsia" w:ascii="宋体" w:hAnsi="宋体" w:cs="宋体"/>
          <w:color w:val="000000" w:themeColor="text1"/>
          <w:spacing w:val="-2"/>
          <w:kern w:val="0"/>
          <w:szCs w:val="21"/>
          <w:highlight w:val="none"/>
          <w14:textFill>
            <w14:solidFill>
              <w14:schemeClr w14:val="tx1"/>
            </w14:solidFill>
          </w14:textFill>
        </w:rPr>
        <w:t>；其他主要人员（施工员、质检（量）员、材料员）应附执业证或上岗证书</w:t>
      </w:r>
      <w:r>
        <w:rPr>
          <w:rFonts w:hint="eastAsia" w:ascii="宋体" w:hAnsi="宋体" w:cs="宋体"/>
          <w:color w:val="000000" w:themeColor="text1"/>
          <w:spacing w:val="-2"/>
          <w:kern w:val="0"/>
          <w:szCs w:val="21"/>
          <w:highlight w:val="none"/>
          <w:lang w:eastAsia="zh-CN"/>
          <w14:textFill>
            <w14:solidFill>
              <w14:schemeClr w14:val="tx1"/>
            </w14:solidFill>
          </w14:textFill>
        </w:rPr>
        <w:t>扫描件</w:t>
      </w:r>
      <w:r>
        <w:rPr>
          <w:rFonts w:hint="eastAsia" w:ascii="宋体" w:hAnsi="宋体" w:cs="宋体"/>
          <w:color w:val="000000" w:themeColor="text1"/>
          <w:spacing w:val="-2"/>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同时还需提供社保部门出具供应商为项目管理机构成员（包含项目经理、技术负责人、专职安全员、施工员、质检（量）员、材料员）缴纳的响应文件递交截止时间前半年内任意连续二个月社保证明</w:t>
      </w:r>
      <w:r>
        <w:rPr>
          <w:rFonts w:hint="eastAsia" w:ascii="宋体" w:hAnsi="宋体" w:cs="宋体"/>
          <w:color w:val="000000" w:themeColor="text1"/>
          <w:kern w:val="0"/>
          <w:szCs w:val="21"/>
          <w:highlight w:val="none"/>
          <w:lang w:eastAsia="zh-CN"/>
          <w14:textFill>
            <w14:solidFill>
              <w14:schemeClr w14:val="tx1"/>
            </w14:solidFill>
          </w14:textFill>
        </w:rPr>
        <w:t>扫描件</w:t>
      </w:r>
      <w:r>
        <w:rPr>
          <w:rFonts w:hint="eastAsia" w:ascii="宋体" w:hAnsi="宋体" w:cs="宋体"/>
          <w:color w:val="000000" w:themeColor="text1"/>
          <w:kern w:val="0"/>
          <w:szCs w:val="21"/>
          <w:highlight w:val="none"/>
          <w14:textFill>
            <w14:solidFill>
              <w14:schemeClr w14:val="tx1"/>
            </w14:solidFill>
          </w14:textFill>
        </w:rPr>
        <w:t>。若为近期新聘员工的，以提供劳动合同证明材料</w:t>
      </w:r>
      <w:r>
        <w:rPr>
          <w:rFonts w:hint="eastAsia" w:ascii="宋体" w:hAnsi="宋体" w:cs="宋体"/>
          <w:color w:val="000000" w:themeColor="text1"/>
          <w:kern w:val="0"/>
          <w:szCs w:val="21"/>
          <w:highlight w:val="none"/>
          <w:lang w:eastAsia="zh-CN"/>
          <w14:textFill>
            <w14:solidFill>
              <w14:schemeClr w14:val="tx1"/>
            </w14:solidFill>
          </w14:textFill>
        </w:rPr>
        <w:t>扫描件</w:t>
      </w:r>
      <w:r>
        <w:rPr>
          <w:rFonts w:hint="eastAsia" w:ascii="宋体" w:hAnsi="宋体" w:cs="宋体"/>
          <w:color w:val="000000" w:themeColor="text1"/>
          <w:kern w:val="0"/>
          <w:szCs w:val="21"/>
          <w:highlight w:val="none"/>
          <w14:textFill>
            <w14:solidFill>
              <w14:schemeClr w14:val="tx1"/>
            </w14:solidFill>
          </w14:textFill>
        </w:rPr>
        <w:t>，若为退休员工则需提供退休证明及劳动合同为准，</w:t>
      </w:r>
      <w:r>
        <w:rPr>
          <w:rFonts w:hint="eastAsia" w:ascii="宋体" w:hAnsi="宋体" w:cs="宋体"/>
          <w:color w:val="000000" w:themeColor="text1"/>
          <w:spacing w:val="-2"/>
          <w:kern w:val="0"/>
          <w:szCs w:val="21"/>
          <w:highlight w:val="none"/>
          <w14:textFill>
            <w14:solidFill>
              <w14:schemeClr w14:val="tx1"/>
            </w14:solidFill>
          </w14:textFill>
        </w:rPr>
        <w:t>上述</w:t>
      </w:r>
      <w:r>
        <w:rPr>
          <w:rFonts w:hint="eastAsia" w:ascii="宋体" w:hAnsi="宋体" w:cs="宋体"/>
          <w:color w:val="000000" w:themeColor="text1"/>
          <w:spacing w:val="-2"/>
          <w:kern w:val="0"/>
          <w:szCs w:val="21"/>
          <w:highlight w:val="none"/>
          <w:lang w:eastAsia="zh-CN"/>
          <w14:textFill>
            <w14:solidFill>
              <w14:schemeClr w14:val="tx1"/>
            </w14:solidFill>
          </w14:textFill>
        </w:rPr>
        <w:t>扫描件</w:t>
      </w:r>
      <w:r>
        <w:rPr>
          <w:rFonts w:hint="eastAsia" w:ascii="宋体" w:hAnsi="宋体" w:cs="宋体"/>
          <w:color w:val="000000" w:themeColor="text1"/>
          <w:spacing w:val="-2"/>
          <w:kern w:val="0"/>
          <w:szCs w:val="21"/>
          <w:highlight w:val="none"/>
          <w14:textFill>
            <w14:solidFill>
              <w14:schemeClr w14:val="tx1"/>
            </w14:solidFill>
          </w14:textFill>
        </w:rPr>
        <w:t>均需加盖供应商公章。</w:t>
      </w:r>
    </w:p>
    <w:p w14:paraId="7A20A7E3">
      <w:pPr>
        <w:pStyle w:val="27"/>
        <w:spacing w:line="340" w:lineRule="exact"/>
        <w:jc w:val="center"/>
        <w:rPr>
          <w:rFonts w:hAnsi="宋体" w:cs="宋体"/>
          <w:b/>
          <w:color w:val="000000" w:themeColor="text1"/>
          <w:sz w:val="32"/>
          <w:szCs w:val="32"/>
          <w:highlight w:val="none"/>
          <w14:textFill>
            <w14:solidFill>
              <w14:schemeClr w14:val="tx1"/>
            </w14:solidFill>
          </w14:textFill>
        </w:rPr>
      </w:pPr>
    </w:p>
    <w:p w14:paraId="57E4D10E">
      <w:pPr>
        <w:pStyle w:val="12"/>
        <w:ind w:left="2940"/>
        <w:rPr>
          <w:color w:val="000000" w:themeColor="text1"/>
          <w:highlight w:val="none"/>
          <w14:textFill>
            <w14:solidFill>
              <w14:schemeClr w14:val="tx1"/>
            </w14:solidFill>
          </w14:textFill>
        </w:rPr>
      </w:pPr>
    </w:p>
    <w:p w14:paraId="1B06055A">
      <w:pPr>
        <w:snapToGrid w:val="0"/>
        <w:spacing w:line="360" w:lineRule="auto"/>
        <w:ind w:firstLine="1890" w:firstLineChars="9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磋商供应商[公章(CA签章)，自然人签字或个人CA签章]：</w:t>
      </w:r>
      <w:r>
        <w:rPr>
          <w:rFonts w:hint="eastAsia" w:ascii="宋体" w:hAnsi="宋体" w:cs="宋体"/>
          <w:color w:val="000000" w:themeColor="text1"/>
          <w:highlight w:val="none"/>
          <w:u w:val="single"/>
          <w14:textFill>
            <w14:solidFill>
              <w14:schemeClr w14:val="tx1"/>
            </w14:solidFill>
          </w14:textFill>
        </w:rPr>
        <w:t xml:space="preserve">               </w:t>
      </w:r>
    </w:p>
    <w:p w14:paraId="6CF1DC6C">
      <w:pPr>
        <w:snapToGrid w:val="0"/>
        <w:spacing w:line="360" w:lineRule="auto"/>
        <w:ind w:firstLine="1890" w:firstLineChars="9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u w:val="single"/>
          <w14:textFill>
            <w14:solidFill>
              <w14:schemeClr w14:val="tx1"/>
            </w14:solidFill>
          </w14:textFill>
        </w:rPr>
        <w:t xml:space="preserve">                            </w:t>
      </w:r>
    </w:p>
    <w:p w14:paraId="4A4A4F6C">
      <w:pPr>
        <w:pStyle w:val="20"/>
        <w:rPr>
          <w:rFonts w:ascii="宋体" w:hAnsi="宋体" w:cs="宋体"/>
          <w:b/>
          <w:bCs/>
          <w:color w:val="000000" w:themeColor="text1"/>
          <w:szCs w:val="21"/>
          <w:highlight w:val="none"/>
          <w14:textFill>
            <w14:solidFill>
              <w14:schemeClr w14:val="tx1"/>
            </w14:solidFill>
          </w14:textFill>
        </w:rPr>
      </w:pPr>
    </w:p>
    <w:p w14:paraId="267749F3">
      <w:pPr>
        <w:spacing w:line="400" w:lineRule="exact"/>
        <w:outlineLvl w:val="1"/>
        <w:rPr>
          <w:rFonts w:ascii="宋体"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bookmarkStart w:id="1030" w:name="_Toc21827"/>
      <w:bookmarkStart w:id="1031" w:name="_Toc9556"/>
      <w:bookmarkStart w:id="1032" w:name="_Toc16701"/>
      <w:bookmarkStart w:id="1033" w:name="_Toc24032"/>
      <w:bookmarkStart w:id="1034" w:name="_Toc791"/>
      <w:bookmarkStart w:id="1035" w:name="_Toc21475"/>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cs="宋体"/>
          <w:b/>
          <w:color w:val="000000" w:themeColor="text1"/>
          <w:sz w:val="28"/>
          <w:szCs w:val="28"/>
          <w:highlight w:val="none"/>
          <w14:textFill>
            <w14:solidFill>
              <w14:schemeClr w14:val="tx1"/>
            </w14:solidFill>
          </w14:textFill>
        </w:rPr>
        <w:t>.担任本工程的项目经理简历表（应附相关证书、身份证</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cs="宋体"/>
          <w:b/>
          <w:color w:val="000000" w:themeColor="text1"/>
          <w:sz w:val="28"/>
          <w:szCs w:val="28"/>
          <w:highlight w:val="none"/>
          <w14:textFill>
            <w14:solidFill>
              <w14:schemeClr w14:val="tx1"/>
            </w14:solidFill>
          </w14:textFill>
        </w:rPr>
        <w:t>）（必须提供）；</w:t>
      </w:r>
      <w:bookmarkEnd w:id="1030"/>
      <w:bookmarkEnd w:id="1031"/>
      <w:bookmarkEnd w:id="1032"/>
      <w:bookmarkEnd w:id="1033"/>
      <w:bookmarkEnd w:id="1034"/>
      <w:bookmarkEnd w:id="1035"/>
    </w:p>
    <w:p w14:paraId="02C03D4D">
      <w:pPr>
        <w:rPr>
          <w:rFonts w:ascii="宋体" w:hAnsi="宋体" w:cs="宋体"/>
          <w:color w:val="000000" w:themeColor="text1"/>
          <w:highlight w:val="none"/>
          <w14:textFill>
            <w14:solidFill>
              <w14:schemeClr w14:val="tx1"/>
            </w14:solidFill>
          </w14:textFill>
        </w:rPr>
      </w:pPr>
    </w:p>
    <w:p w14:paraId="2E0100BB">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担任本工程的项目经理简历表</w:t>
      </w:r>
    </w:p>
    <w:p w14:paraId="443EB96E">
      <w:pPr>
        <w:jc w:val="center"/>
        <w:rPr>
          <w:rFonts w:ascii="宋体" w:hAnsi="宋体" w:cs="宋体"/>
          <w:b/>
          <w:color w:val="000000" w:themeColor="text1"/>
          <w:sz w:val="32"/>
          <w:highlight w:val="none"/>
          <w14:textFill>
            <w14:solidFill>
              <w14:schemeClr w14:val="tx1"/>
            </w14:solidFill>
          </w14:textFill>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3202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tcPr>
          <w:p w14:paraId="0467AADE">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  名</w:t>
            </w:r>
          </w:p>
        </w:tc>
        <w:tc>
          <w:tcPr>
            <w:tcW w:w="1608" w:type="dxa"/>
            <w:tcBorders>
              <w:top w:val="single" w:color="auto" w:sz="8" w:space="0"/>
            </w:tcBorders>
          </w:tcPr>
          <w:p w14:paraId="59F87339">
            <w:pPr>
              <w:spacing w:line="440" w:lineRule="exact"/>
              <w:jc w:val="center"/>
              <w:rPr>
                <w:rFonts w:ascii="宋体" w:hAnsi="宋体" w:cs="宋体"/>
                <w:color w:val="000000" w:themeColor="text1"/>
                <w:highlight w:val="none"/>
                <w14:textFill>
                  <w14:solidFill>
                    <w14:schemeClr w14:val="tx1"/>
                  </w14:solidFill>
                </w14:textFill>
              </w:rPr>
            </w:pPr>
          </w:p>
        </w:tc>
        <w:tc>
          <w:tcPr>
            <w:tcW w:w="1072" w:type="dxa"/>
            <w:tcBorders>
              <w:top w:val="single" w:color="auto" w:sz="8" w:space="0"/>
            </w:tcBorders>
          </w:tcPr>
          <w:p w14:paraId="5A8896BE">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性  别</w:t>
            </w:r>
          </w:p>
        </w:tc>
        <w:tc>
          <w:tcPr>
            <w:tcW w:w="1072" w:type="dxa"/>
            <w:gridSpan w:val="3"/>
            <w:tcBorders>
              <w:top w:val="single" w:color="auto" w:sz="8" w:space="0"/>
            </w:tcBorders>
          </w:tcPr>
          <w:p w14:paraId="3E0C560A">
            <w:pPr>
              <w:spacing w:line="440" w:lineRule="exact"/>
              <w:jc w:val="center"/>
              <w:rPr>
                <w:rFonts w:ascii="宋体" w:hAnsi="宋体" w:cs="宋体"/>
                <w:color w:val="000000" w:themeColor="text1"/>
                <w:highlight w:val="none"/>
                <w14:textFill>
                  <w14:solidFill>
                    <w14:schemeClr w14:val="tx1"/>
                  </w14:solidFill>
                </w14:textFill>
              </w:rPr>
            </w:pPr>
          </w:p>
        </w:tc>
        <w:tc>
          <w:tcPr>
            <w:tcW w:w="1340" w:type="dxa"/>
            <w:gridSpan w:val="2"/>
            <w:tcBorders>
              <w:top w:val="single" w:color="auto" w:sz="8" w:space="0"/>
            </w:tcBorders>
          </w:tcPr>
          <w:p w14:paraId="2F0F62D3">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龄</w:t>
            </w:r>
          </w:p>
        </w:tc>
        <w:tc>
          <w:tcPr>
            <w:tcW w:w="2144" w:type="dxa"/>
            <w:gridSpan w:val="3"/>
            <w:tcBorders>
              <w:top w:val="single" w:color="auto" w:sz="8" w:space="0"/>
              <w:right w:val="single" w:color="auto" w:sz="8" w:space="0"/>
            </w:tcBorders>
          </w:tcPr>
          <w:p w14:paraId="29C618C8">
            <w:pPr>
              <w:spacing w:line="440" w:lineRule="exact"/>
              <w:jc w:val="center"/>
              <w:rPr>
                <w:rFonts w:ascii="宋体" w:hAnsi="宋体" w:cs="宋体"/>
                <w:color w:val="000000" w:themeColor="text1"/>
                <w:highlight w:val="none"/>
                <w14:textFill>
                  <w14:solidFill>
                    <w14:schemeClr w14:val="tx1"/>
                  </w14:solidFill>
                </w14:textFill>
              </w:rPr>
            </w:pPr>
          </w:p>
        </w:tc>
      </w:tr>
      <w:tr w14:paraId="269E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316ED574">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职  务</w:t>
            </w:r>
          </w:p>
        </w:tc>
        <w:tc>
          <w:tcPr>
            <w:tcW w:w="1608" w:type="dxa"/>
          </w:tcPr>
          <w:p w14:paraId="566F88D6">
            <w:pPr>
              <w:spacing w:line="440" w:lineRule="exact"/>
              <w:jc w:val="center"/>
              <w:rPr>
                <w:rFonts w:ascii="宋体" w:hAnsi="宋体" w:cs="宋体"/>
                <w:color w:val="000000" w:themeColor="text1"/>
                <w:highlight w:val="none"/>
                <w14:textFill>
                  <w14:solidFill>
                    <w14:schemeClr w14:val="tx1"/>
                  </w14:solidFill>
                </w14:textFill>
              </w:rPr>
            </w:pPr>
          </w:p>
        </w:tc>
        <w:tc>
          <w:tcPr>
            <w:tcW w:w="1072" w:type="dxa"/>
          </w:tcPr>
          <w:p w14:paraId="48442336">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职  称</w:t>
            </w:r>
          </w:p>
        </w:tc>
        <w:tc>
          <w:tcPr>
            <w:tcW w:w="1072" w:type="dxa"/>
            <w:gridSpan w:val="3"/>
          </w:tcPr>
          <w:p w14:paraId="48C22290">
            <w:pPr>
              <w:spacing w:line="440" w:lineRule="exact"/>
              <w:jc w:val="center"/>
              <w:rPr>
                <w:rFonts w:ascii="宋体" w:hAnsi="宋体" w:cs="宋体"/>
                <w:color w:val="000000" w:themeColor="text1"/>
                <w:highlight w:val="none"/>
                <w14:textFill>
                  <w14:solidFill>
                    <w14:schemeClr w14:val="tx1"/>
                  </w14:solidFill>
                </w14:textFill>
              </w:rPr>
            </w:pPr>
          </w:p>
        </w:tc>
        <w:tc>
          <w:tcPr>
            <w:tcW w:w="1340" w:type="dxa"/>
            <w:gridSpan w:val="2"/>
          </w:tcPr>
          <w:p w14:paraId="16E04C4C">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  历</w:t>
            </w:r>
          </w:p>
        </w:tc>
        <w:tc>
          <w:tcPr>
            <w:tcW w:w="2144" w:type="dxa"/>
            <w:gridSpan w:val="3"/>
            <w:tcBorders>
              <w:right w:val="single" w:color="auto" w:sz="8" w:space="0"/>
            </w:tcBorders>
          </w:tcPr>
          <w:p w14:paraId="07BC7BD1">
            <w:pPr>
              <w:spacing w:line="440" w:lineRule="exact"/>
              <w:jc w:val="center"/>
              <w:rPr>
                <w:rFonts w:ascii="宋体" w:hAnsi="宋体" w:cs="宋体"/>
                <w:color w:val="000000" w:themeColor="text1"/>
                <w:highlight w:val="none"/>
                <w14:textFill>
                  <w14:solidFill>
                    <w14:schemeClr w14:val="tx1"/>
                  </w14:solidFill>
                </w14:textFill>
              </w:rPr>
            </w:pPr>
          </w:p>
        </w:tc>
      </w:tr>
      <w:tr w14:paraId="2928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tcPr>
          <w:p w14:paraId="2E0E640F">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  业</w:t>
            </w:r>
          </w:p>
        </w:tc>
        <w:tc>
          <w:tcPr>
            <w:tcW w:w="2708" w:type="dxa"/>
            <w:gridSpan w:val="3"/>
          </w:tcPr>
          <w:p w14:paraId="40509587">
            <w:pPr>
              <w:spacing w:line="440" w:lineRule="exact"/>
              <w:rPr>
                <w:rFonts w:ascii="宋体" w:hAnsi="宋体" w:cs="宋体"/>
                <w:color w:val="000000" w:themeColor="text1"/>
                <w:highlight w:val="none"/>
                <w14:textFill>
                  <w14:solidFill>
                    <w14:schemeClr w14:val="tx1"/>
                  </w14:solidFill>
                </w14:textFill>
              </w:rPr>
            </w:pPr>
          </w:p>
        </w:tc>
        <w:tc>
          <w:tcPr>
            <w:tcW w:w="2880" w:type="dxa"/>
            <w:gridSpan w:val="5"/>
          </w:tcPr>
          <w:p w14:paraId="413F43CA">
            <w:pPr>
              <w:spacing w:line="4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从事项目经理或建造师年限</w:t>
            </w:r>
          </w:p>
        </w:tc>
        <w:tc>
          <w:tcPr>
            <w:tcW w:w="1648" w:type="dxa"/>
            <w:gridSpan w:val="2"/>
            <w:tcBorders>
              <w:right w:val="single" w:color="auto" w:sz="8" w:space="0"/>
            </w:tcBorders>
          </w:tcPr>
          <w:p w14:paraId="6D3B90F9">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(年)</w:t>
            </w:r>
          </w:p>
        </w:tc>
      </w:tr>
      <w:tr w14:paraId="358C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tcPr>
          <w:p w14:paraId="2B6BCD4B">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已完工程项目情况</w:t>
            </w:r>
          </w:p>
        </w:tc>
      </w:tr>
      <w:tr w14:paraId="046E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79F20571">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建设单位</w:t>
            </w:r>
          </w:p>
        </w:tc>
        <w:tc>
          <w:tcPr>
            <w:tcW w:w="1608" w:type="dxa"/>
          </w:tcPr>
          <w:p w14:paraId="52AF976C">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608" w:type="dxa"/>
            <w:gridSpan w:val="3"/>
          </w:tcPr>
          <w:p w14:paraId="162ADD0B">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建设规模</w:t>
            </w:r>
          </w:p>
        </w:tc>
        <w:tc>
          <w:tcPr>
            <w:tcW w:w="1608" w:type="dxa"/>
            <w:gridSpan w:val="2"/>
          </w:tcPr>
          <w:p w14:paraId="5A7B3909">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开、竣工日期</w:t>
            </w:r>
          </w:p>
        </w:tc>
        <w:tc>
          <w:tcPr>
            <w:tcW w:w="1206" w:type="dxa"/>
            <w:gridSpan w:val="3"/>
          </w:tcPr>
          <w:p w14:paraId="38527424">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工程质量</w:t>
            </w:r>
          </w:p>
        </w:tc>
        <w:tc>
          <w:tcPr>
            <w:tcW w:w="1206" w:type="dxa"/>
            <w:tcBorders>
              <w:right w:val="single" w:color="auto" w:sz="8" w:space="0"/>
            </w:tcBorders>
          </w:tcPr>
          <w:p w14:paraId="008EE1F4">
            <w:pPr>
              <w:spacing w:line="4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受奖情况</w:t>
            </w:r>
          </w:p>
        </w:tc>
      </w:tr>
      <w:tr w14:paraId="0E6E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24B0F98D">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tcPr>
          <w:p w14:paraId="2C168F47">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3"/>
          </w:tcPr>
          <w:p w14:paraId="7038BB3F">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2"/>
          </w:tcPr>
          <w:p w14:paraId="2DB0BEEB">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gridSpan w:val="3"/>
          </w:tcPr>
          <w:p w14:paraId="64F8B0EE">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tcBorders>
              <w:right w:val="single" w:color="auto" w:sz="8" w:space="0"/>
            </w:tcBorders>
          </w:tcPr>
          <w:p w14:paraId="16EE0531">
            <w:pPr>
              <w:spacing w:line="440" w:lineRule="exact"/>
              <w:jc w:val="center"/>
              <w:rPr>
                <w:rFonts w:ascii="宋体" w:hAnsi="宋体" w:cs="宋体"/>
                <w:color w:val="000000" w:themeColor="text1"/>
                <w:highlight w:val="none"/>
                <w14:textFill>
                  <w14:solidFill>
                    <w14:schemeClr w14:val="tx1"/>
                  </w14:solidFill>
                </w14:textFill>
              </w:rPr>
            </w:pPr>
          </w:p>
        </w:tc>
      </w:tr>
      <w:tr w14:paraId="1137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3BBE1864">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tcPr>
          <w:p w14:paraId="122A1AB3">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3"/>
          </w:tcPr>
          <w:p w14:paraId="5B759865">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2"/>
          </w:tcPr>
          <w:p w14:paraId="3D5DAC5F">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gridSpan w:val="3"/>
          </w:tcPr>
          <w:p w14:paraId="6C7765BA">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tcBorders>
              <w:right w:val="single" w:color="auto" w:sz="8" w:space="0"/>
            </w:tcBorders>
          </w:tcPr>
          <w:p w14:paraId="53799B00">
            <w:pPr>
              <w:spacing w:line="440" w:lineRule="exact"/>
              <w:jc w:val="center"/>
              <w:rPr>
                <w:rFonts w:ascii="宋体" w:hAnsi="宋体" w:cs="宋体"/>
                <w:color w:val="000000" w:themeColor="text1"/>
                <w:highlight w:val="none"/>
                <w14:textFill>
                  <w14:solidFill>
                    <w14:schemeClr w14:val="tx1"/>
                  </w14:solidFill>
                </w14:textFill>
              </w:rPr>
            </w:pPr>
          </w:p>
        </w:tc>
      </w:tr>
      <w:tr w14:paraId="0866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5192CD10">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tcPr>
          <w:p w14:paraId="24324F96">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3"/>
          </w:tcPr>
          <w:p w14:paraId="76AD9D19">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2"/>
          </w:tcPr>
          <w:p w14:paraId="7932C68B">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gridSpan w:val="3"/>
          </w:tcPr>
          <w:p w14:paraId="64BEC491">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tcBorders>
              <w:right w:val="single" w:color="auto" w:sz="8" w:space="0"/>
            </w:tcBorders>
          </w:tcPr>
          <w:p w14:paraId="4E63E135">
            <w:pPr>
              <w:spacing w:line="440" w:lineRule="exact"/>
              <w:jc w:val="center"/>
              <w:rPr>
                <w:rFonts w:ascii="宋体" w:hAnsi="宋体" w:cs="宋体"/>
                <w:color w:val="000000" w:themeColor="text1"/>
                <w:highlight w:val="none"/>
                <w14:textFill>
                  <w14:solidFill>
                    <w14:schemeClr w14:val="tx1"/>
                  </w14:solidFill>
                </w14:textFill>
              </w:rPr>
            </w:pPr>
          </w:p>
        </w:tc>
      </w:tr>
      <w:tr w14:paraId="1332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41FC0D70">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tcPr>
          <w:p w14:paraId="79FE889D">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3"/>
          </w:tcPr>
          <w:p w14:paraId="2672BA15">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2"/>
          </w:tcPr>
          <w:p w14:paraId="0745D89D">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gridSpan w:val="3"/>
          </w:tcPr>
          <w:p w14:paraId="5B0D865C">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tcBorders>
              <w:right w:val="single" w:color="auto" w:sz="8" w:space="0"/>
            </w:tcBorders>
          </w:tcPr>
          <w:p w14:paraId="50603688">
            <w:pPr>
              <w:spacing w:line="440" w:lineRule="exact"/>
              <w:jc w:val="center"/>
              <w:rPr>
                <w:rFonts w:ascii="宋体" w:hAnsi="宋体" w:cs="宋体"/>
                <w:color w:val="000000" w:themeColor="text1"/>
                <w:highlight w:val="none"/>
                <w14:textFill>
                  <w14:solidFill>
                    <w14:schemeClr w14:val="tx1"/>
                  </w14:solidFill>
                </w14:textFill>
              </w:rPr>
            </w:pPr>
          </w:p>
        </w:tc>
      </w:tr>
      <w:tr w14:paraId="038D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70E862E4">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tcPr>
          <w:p w14:paraId="4C29E366">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3"/>
          </w:tcPr>
          <w:p w14:paraId="4FF8A309">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2"/>
          </w:tcPr>
          <w:p w14:paraId="372B7D97">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gridSpan w:val="3"/>
          </w:tcPr>
          <w:p w14:paraId="1C018176">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tcBorders>
              <w:right w:val="single" w:color="auto" w:sz="8" w:space="0"/>
            </w:tcBorders>
          </w:tcPr>
          <w:p w14:paraId="084AA4A2">
            <w:pPr>
              <w:spacing w:line="440" w:lineRule="exact"/>
              <w:jc w:val="center"/>
              <w:rPr>
                <w:rFonts w:ascii="宋体" w:hAnsi="宋体" w:cs="宋体"/>
                <w:color w:val="000000" w:themeColor="text1"/>
                <w:highlight w:val="none"/>
                <w14:textFill>
                  <w14:solidFill>
                    <w14:schemeClr w14:val="tx1"/>
                  </w14:solidFill>
                </w14:textFill>
              </w:rPr>
            </w:pPr>
          </w:p>
        </w:tc>
      </w:tr>
      <w:tr w14:paraId="086D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6EAF68AE">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tcPr>
          <w:p w14:paraId="41038D29">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3"/>
          </w:tcPr>
          <w:p w14:paraId="15C4634F">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2"/>
          </w:tcPr>
          <w:p w14:paraId="71CBBCD0">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gridSpan w:val="3"/>
          </w:tcPr>
          <w:p w14:paraId="52FAE87E">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tcBorders>
              <w:right w:val="single" w:color="auto" w:sz="8" w:space="0"/>
            </w:tcBorders>
          </w:tcPr>
          <w:p w14:paraId="102076A2">
            <w:pPr>
              <w:spacing w:line="440" w:lineRule="exact"/>
              <w:jc w:val="center"/>
              <w:rPr>
                <w:rFonts w:ascii="宋体" w:hAnsi="宋体" w:cs="宋体"/>
                <w:color w:val="000000" w:themeColor="text1"/>
                <w:highlight w:val="none"/>
                <w14:textFill>
                  <w14:solidFill>
                    <w14:schemeClr w14:val="tx1"/>
                  </w14:solidFill>
                </w14:textFill>
              </w:rPr>
            </w:pPr>
          </w:p>
        </w:tc>
      </w:tr>
      <w:tr w14:paraId="0DEF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tcPr>
          <w:p w14:paraId="52D37A99">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tcPr>
          <w:p w14:paraId="61FC409B">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3"/>
          </w:tcPr>
          <w:p w14:paraId="484E24DD">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2"/>
          </w:tcPr>
          <w:p w14:paraId="55EB9A4B">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gridSpan w:val="3"/>
          </w:tcPr>
          <w:p w14:paraId="07ADB812">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tcBorders>
              <w:right w:val="single" w:color="auto" w:sz="8" w:space="0"/>
            </w:tcBorders>
          </w:tcPr>
          <w:p w14:paraId="25044D50">
            <w:pPr>
              <w:spacing w:line="440" w:lineRule="exact"/>
              <w:jc w:val="center"/>
              <w:rPr>
                <w:rFonts w:ascii="宋体" w:hAnsi="宋体" w:cs="宋体"/>
                <w:color w:val="000000" w:themeColor="text1"/>
                <w:highlight w:val="none"/>
                <w14:textFill>
                  <w14:solidFill>
                    <w14:schemeClr w14:val="tx1"/>
                  </w14:solidFill>
                </w14:textFill>
              </w:rPr>
            </w:pPr>
          </w:p>
        </w:tc>
      </w:tr>
      <w:tr w14:paraId="4495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tcPr>
          <w:p w14:paraId="53B6127D">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tcBorders>
              <w:bottom w:val="single" w:color="auto" w:sz="8" w:space="0"/>
            </w:tcBorders>
          </w:tcPr>
          <w:p w14:paraId="7373467C">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3"/>
            <w:tcBorders>
              <w:bottom w:val="single" w:color="auto" w:sz="8" w:space="0"/>
            </w:tcBorders>
          </w:tcPr>
          <w:p w14:paraId="1194494F">
            <w:pPr>
              <w:spacing w:line="440" w:lineRule="exact"/>
              <w:jc w:val="center"/>
              <w:rPr>
                <w:rFonts w:ascii="宋体" w:hAnsi="宋体" w:cs="宋体"/>
                <w:color w:val="000000" w:themeColor="text1"/>
                <w:highlight w:val="none"/>
                <w14:textFill>
                  <w14:solidFill>
                    <w14:schemeClr w14:val="tx1"/>
                  </w14:solidFill>
                </w14:textFill>
              </w:rPr>
            </w:pPr>
          </w:p>
        </w:tc>
        <w:tc>
          <w:tcPr>
            <w:tcW w:w="1608" w:type="dxa"/>
            <w:gridSpan w:val="2"/>
            <w:tcBorders>
              <w:bottom w:val="single" w:color="auto" w:sz="8" w:space="0"/>
            </w:tcBorders>
          </w:tcPr>
          <w:p w14:paraId="66D97943">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gridSpan w:val="3"/>
            <w:tcBorders>
              <w:bottom w:val="single" w:color="auto" w:sz="8" w:space="0"/>
            </w:tcBorders>
          </w:tcPr>
          <w:p w14:paraId="76257238">
            <w:pPr>
              <w:spacing w:line="440" w:lineRule="exact"/>
              <w:jc w:val="center"/>
              <w:rPr>
                <w:rFonts w:ascii="宋体" w:hAnsi="宋体" w:cs="宋体"/>
                <w:color w:val="000000" w:themeColor="text1"/>
                <w:highlight w:val="none"/>
                <w14:textFill>
                  <w14:solidFill>
                    <w14:schemeClr w14:val="tx1"/>
                  </w14:solidFill>
                </w14:textFill>
              </w:rPr>
            </w:pPr>
          </w:p>
        </w:tc>
        <w:tc>
          <w:tcPr>
            <w:tcW w:w="1206" w:type="dxa"/>
            <w:tcBorders>
              <w:bottom w:val="single" w:color="auto" w:sz="8" w:space="0"/>
              <w:right w:val="single" w:color="auto" w:sz="8" w:space="0"/>
            </w:tcBorders>
          </w:tcPr>
          <w:p w14:paraId="70B382E8">
            <w:pPr>
              <w:spacing w:line="440" w:lineRule="exact"/>
              <w:jc w:val="center"/>
              <w:rPr>
                <w:rFonts w:ascii="宋体" w:hAnsi="宋体" w:cs="宋体"/>
                <w:color w:val="000000" w:themeColor="text1"/>
                <w:highlight w:val="none"/>
                <w14:textFill>
                  <w14:solidFill>
                    <w14:schemeClr w14:val="tx1"/>
                  </w14:solidFill>
                </w14:textFill>
              </w:rPr>
            </w:pPr>
          </w:p>
        </w:tc>
      </w:tr>
    </w:tbl>
    <w:p w14:paraId="54C6939D">
      <w:pPr>
        <w:pStyle w:val="20"/>
        <w:rPr>
          <w:rFonts w:ascii="宋体" w:hAnsi="宋体" w:cs="宋体"/>
          <w:b/>
          <w:color w:val="000000" w:themeColor="text1"/>
          <w:sz w:val="24"/>
          <w:highlight w:val="none"/>
          <w14:textFill>
            <w14:solidFill>
              <w14:schemeClr w14:val="tx1"/>
            </w14:solidFill>
          </w14:textFill>
        </w:rPr>
      </w:pPr>
    </w:p>
    <w:p w14:paraId="60A3AB81">
      <w:pPr>
        <w:widowControl/>
        <w:ind w:firstLine="3092" w:firstLineChars="1100"/>
        <w:jc w:val="left"/>
        <w:rPr>
          <w:rFonts w:ascii="宋体" w:hAnsi="宋体" w:cs="宋体"/>
          <w:b/>
          <w:color w:val="000000" w:themeColor="text1"/>
          <w:kern w:val="0"/>
          <w:sz w:val="28"/>
          <w:szCs w:val="28"/>
          <w:highlight w:val="none"/>
          <w:lang w:bidi="ar"/>
          <w14:textFill>
            <w14:solidFill>
              <w14:schemeClr w14:val="tx1"/>
            </w14:solidFill>
          </w14:textFill>
        </w:rPr>
      </w:pPr>
    </w:p>
    <w:p w14:paraId="52C65491">
      <w:pPr>
        <w:widowControl/>
        <w:jc w:val="left"/>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磋商供应商[公章(CA签章)，自然人签字或个人CA签章]：</w:t>
      </w:r>
      <w:r>
        <w:rPr>
          <w:rFonts w:hint="eastAsia" w:ascii="宋体" w:hAnsi="宋体" w:cs="宋体"/>
          <w:b/>
          <w:bCs/>
          <w:color w:val="000000" w:themeColor="text1"/>
          <w:szCs w:val="21"/>
          <w:highlight w:val="none"/>
          <w:u w:val="single"/>
          <w14:textFill>
            <w14:solidFill>
              <w14:schemeClr w14:val="tx1"/>
            </w14:solidFill>
          </w14:textFill>
        </w:rPr>
        <w:t xml:space="preserve">                                 </w:t>
      </w:r>
    </w:p>
    <w:p w14:paraId="359D6C29">
      <w:pPr>
        <w:widowControl/>
        <w:jc w:val="left"/>
        <w:rPr>
          <w:rFonts w:ascii="宋体" w:hAnsi="宋体" w:cs="宋体"/>
          <w:b/>
          <w:bCs/>
          <w:color w:val="000000" w:themeColor="text1"/>
          <w:szCs w:val="21"/>
          <w:highlight w:val="none"/>
          <w14:textFill>
            <w14:solidFill>
              <w14:schemeClr w14:val="tx1"/>
            </w14:solidFill>
          </w14:textFill>
        </w:rPr>
      </w:pPr>
    </w:p>
    <w:p w14:paraId="797B45BA">
      <w:pPr>
        <w:snapToGrid w:val="0"/>
        <w:spacing w:line="300" w:lineRule="exact"/>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日          期：</w:t>
      </w:r>
      <w:r>
        <w:rPr>
          <w:rFonts w:hint="eastAsia" w:ascii="宋体" w:hAnsi="宋体" w:cs="宋体"/>
          <w:b/>
          <w:bCs/>
          <w:color w:val="000000" w:themeColor="text1"/>
          <w:highlight w:val="none"/>
          <w:u w:val="single"/>
          <w14:textFill>
            <w14:solidFill>
              <w14:schemeClr w14:val="tx1"/>
            </w14:solidFill>
          </w14:textFill>
        </w:rPr>
        <w:t xml:space="preserve">                              </w:t>
      </w:r>
    </w:p>
    <w:p w14:paraId="3FCF690E">
      <w:pPr>
        <w:snapToGrid w:val="0"/>
        <w:spacing w:line="300" w:lineRule="exact"/>
        <w:ind w:firstLine="3570" w:firstLineChars="1700"/>
        <w:rPr>
          <w:rFonts w:ascii="宋体" w:hAnsi="宋体" w:cs="宋体"/>
          <w:color w:val="000000" w:themeColor="text1"/>
          <w:highlight w:val="none"/>
          <w:u w:val="single"/>
          <w14:textFill>
            <w14:solidFill>
              <w14:schemeClr w14:val="tx1"/>
            </w14:solidFill>
          </w14:textFill>
        </w:rPr>
      </w:pPr>
    </w:p>
    <w:p w14:paraId="1CA91278">
      <w:pPr>
        <w:pStyle w:val="20"/>
        <w:rPr>
          <w:rFonts w:ascii="宋体" w:hAnsi="宋体" w:cs="宋体"/>
          <w:color w:val="000000" w:themeColor="text1"/>
          <w:highlight w:val="none"/>
          <w:u w:val="single"/>
          <w14:textFill>
            <w14:solidFill>
              <w14:schemeClr w14:val="tx1"/>
            </w14:solidFill>
          </w14:textFill>
        </w:rPr>
      </w:pPr>
    </w:p>
    <w:p w14:paraId="123E9FFF">
      <w:pPr>
        <w:pStyle w:val="20"/>
        <w:rPr>
          <w:rFonts w:ascii="宋体" w:hAnsi="宋体" w:cs="宋体"/>
          <w:color w:val="000000" w:themeColor="text1"/>
          <w:highlight w:val="none"/>
          <w:u w:val="single"/>
          <w14:textFill>
            <w14:solidFill>
              <w14:schemeClr w14:val="tx1"/>
            </w14:solidFill>
          </w14:textFill>
        </w:rPr>
      </w:pPr>
    </w:p>
    <w:p w14:paraId="11D1A363">
      <w:pPr>
        <w:pStyle w:val="20"/>
        <w:rPr>
          <w:rFonts w:ascii="宋体" w:hAnsi="宋体" w:cs="宋体"/>
          <w:b/>
          <w:bCs/>
          <w:color w:val="000000" w:themeColor="text1"/>
          <w:szCs w:val="21"/>
          <w:highlight w:val="none"/>
          <w14:textFill>
            <w14:solidFill>
              <w14:schemeClr w14:val="tx1"/>
            </w14:solidFill>
          </w14:textFill>
        </w:rPr>
      </w:pPr>
    </w:p>
    <w:p w14:paraId="76CB0829">
      <w:pPr>
        <w:rPr>
          <w:rFonts w:ascii="宋体" w:hAnsi="宋体" w:cs="宋体"/>
          <w:b/>
          <w:color w:val="000000" w:themeColor="text1"/>
          <w:sz w:val="28"/>
          <w:szCs w:val="28"/>
          <w:highlight w:val="none"/>
          <w14:textFill>
            <w14:solidFill>
              <w14:schemeClr w14:val="tx1"/>
            </w14:solidFill>
          </w14:textFill>
        </w:rPr>
      </w:pPr>
      <w:bookmarkStart w:id="1036" w:name="_Toc13064"/>
      <w:bookmarkStart w:id="1037" w:name="_Toc31920"/>
      <w:r>
        <w:rPr>
          <w:rFonts w:hint="eastAsia" w:ascii="宋体" w:hAnsi="宋体" w:cs="宋体"/>
          <w:b/>
          <w:color w:val="000000" w:themeColor="text1"/>
          <w:sz w:val="28"/>
          <w:szCs w:val="28"/>
          <w:highlight w:val="none"/>
          <w14:textFill>
            <w14:solidFill>
              <w14:schemeClr w14:val="tx1"/>
            </w14:solidFill>
          </w14:textFill>
        </w:rPr>
        <w:br w:type="page"/>
      </w:r>
    </w:p>
    <w:p w14:paraId="04924C70">
      <w:pPr>
        <w:spacing w:line="400" w:lineRule="exact"/>
        <w:outlineLvl w:val="1"/>
        <w:rPr>
          <w:rFonts w:ascii="宋体" w:hAnsi="宋体" w:cs="宋体"/>
          <w:b/>
          <w:color w:val="000000" w:themeColor="text1"/>
          <w:sz w:val="28"/>
          <w:szCs w:val="28"/>
          <w:highlight w:val="none"/>
          <w14:textFill>
            <w14:solidFill>
              <w14:schemeClr w14:val="tx1"/>
            </w14:solidFill>
          </w14:textFill>
        </w:rPr>
      </w:pPr>
      <w:bookmarkStart w:id="1038" w:name="_Toc9716"/>
      <w:bookmarkStart w:id="1039" w:name="_Toc4756"/>
      <w:bookmarkStart w:id="1040" w:name="_Toc10745"/>
      <w:bookmarkStart w:id="1041" w:name="_Toc16891"/>
      <w:r>
        <w:rPr>
          <w:rFonts w:hint="eastAsia" w:ascii="宋体" w:hAnsi="宋体" w:cs="宋体"/>
          <w:b/>
          <w:color w:val="000000" w:themeColor="text1"/>
          <w:sz w:val="28"/>
          <w:szCs w:val="28"/>
          <w:highlight w:val="none"/>
          <w:lang w:val="en-US" w:eastAsia="zh-CN"/>
          <w14:textFill>
            <w14:solidFill>
              <w14:schemeClr w14:val="tx1"/>
            </w14:solidFill>
          </w14:textFill>
        </w:rPr>
        <w:t>6</w:t>
      </w:r>
      <w:r>
        <w:rPr>
          <w:rFonts w:hint="eastAsia" w:ascii="宋体" w:hAnsi="宋体" w:cs="宋体"/>
          <w:b/>
          <w:color w:val="000000" w:themeColor="text1"/>
          <w:sz w:val="28"/>
          <w:szCs w:val="28"/>
          <w:highlight w:val="none"/>
          <w14:textFill>
            <w14:solidFill>
              <w14:schemeClr w14:val="tx1"/>
            </w14:solidFill>
          </w14:textFill>
        </w:rPr>
        <w:t>.施工组织设计方案（必须提供）；</w:t>
      </w:r>
      <w:bookmarkEnd w:id="1036"/>
      <w:bookmarkEnd w:id="1037"/>
      <w:bookmarkEnd w:id="1038"/>
      <w:bookmarkEnd w:id="1039"/>
      <w:bookmarkEnd w:id="1040"/>
      <w:bookmarkEnd w:id="1041"/>
    </w:p>
    <w:p w14:paraId="5F8EE1B2">
      <w:pPr>
        <w:snapToGrid w:val="0"/>
        <w:spacing w:line="400" w:lineRule="exact"/>
        <w:jc w:val="center"/>
        <w:rPr>
          <w:rFonts w:ascii="宋体" w:hAnsi="宋体" w:cs="宋体"/>
          <w:b/>
          <w:color w:val="000000" w:themeColor="text1"/>
          <w:sz w:val="24"/>
          <w:highlight w:val="none"/>
          <w14:textFill>
            <w14:solidFill>
              <w14:schemeClr w14:val="tx1"/>
            </w14:solidFill>
          </w14:textFill>
        </w:rPr>
      </w:pPr>
    </w:p>
    <w:p w14:paraId="6D06EF82">
      <w:pPr>
        <w:snapToGrid w:val="0"/>
        <w:spacing w:line="400" w:lineRule="exact"/>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施工组织设计方案（格式）</w:t>
      </w:r>
    </w:p>
    <w:p w14:paraId="38704EB2">
      <w:pPr>
        <w:snapToGrid w:val="0"/>
        <w:spacing w:line="400" w:lineRule="exact"/>
        <w:jc w:val="center"/>
        <w:rPr>
          <w:rFonts w:ascii="宋体" w:hAnsi="宋体" w:cs="宋体"/>
          <w:b/>
          <w:color w:val="000000" w:themeColor="text1"/>
          <w:sz w:val="28"/>
          <w:szCs w:val="28"/>
          <w:highlight w:val="none"/>
          <w14:textFill>
            <w14:solidFill>
              <w14:schemeClr w14:val="tx1"/>
            </w14:solidFill>
          </w14:textFill>
        </w:rPr>
      </w:pPr>
    </w:p>
    <w:p w14:paraId="727AC1BF">
      <w:pPr>
        <w:snapToGrid w:val="0"/>
        <w:spacing w:line="400" w:lineRule="exact"/>
        <w:jc w:val="center"/>
        <w:rPr>
          <w:rFonts w:ascii="宋体" w:hAnsi="宋体" w:cs="宋体"/>
          <w:color w:val="000000" w:themeColor="text1"/>
          <w:highlight w:val="none"/>
          <w14:textFill>
            <w14:solidFill>
              <w14:schemeClr w14:val="tx1"/>
            </w14:solidFill>
          </w14:textFill>
        </w:rPr>
      </w:pPr>
    </w:p>
    <w:p w14:paraId="206A35E2">
      <w:pPr>
        <w:pStyle w:val="320"/>
        <w:spacing w:line="300" w:lineRule="exact"/>
        <w:ind w:firstLine="42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供应商编制施工组织设计的要求：</w:t>
      </w:r>
    </w:p>
    <w:p w14:paraId="50B114B1">
      <w:pPr>
        <w:pStyle w:val="320"/>
        <w:spacing w:line="300" w:lineRule="exact"/>
        <w:ind w:firstLine="42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编制时应按以下章顺序采用文字并结合图表形式进行说明：</w:t>
      </w:r>
    </w:p>
    <w:p w14:paraId="5287F437">
      <w:pPr>
        <w:pStyle w:val="320"/>
        <w:numPr>
          <w:ilvl w:val="0"/>
          <w:numId w:val="13"/>
        </w:numPr>
        <w:spacing w:line="300" w:lineRule="exact"/>
        <w:ind w:firstLine="42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总体概述；</w:t>
      </w:r>
    </w:p>
    <w:p w14:paraId="135E994A">
      <w:pPr>
        <w:pStyle w:val="320"/>
        <w:numPr>
          <w:ilvl w:val="0"/>
          <w:numId w:val="13"/>
        </w:numPr>
        <w:spacing w:line="300" w:lineRule="exact"/>
        <w:ind w:firstLine="42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主要施工方法；</w:t>
      </w:r>
    </w:p>
    <w:p w14:paraId="4B3B7760">
      <w:pPr>
        <w:pStyle w:val="320"/>
        <w:numPr>
          <w:ilvl w:val="0"/>
          <w:numId w:val="13"/>
        </w:numPr>
        <w:spacing w:line="300" w:lineRule="exact"/>
        <w:ind w:firstLine="42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施工进度计划和各阶段进度的保证措施；</w:t>
      </w:r>
    </w:p>
    <w:p w14:paraId="534AAFF9">
      <w:pPr>
        <w:pStyle w:val="320"/>
        <w:numPr>
          <w:ilvl w:val="0"/>
          <w:numId w:val="13"/>
        </w:numPr>
        <w:spacing w:line="300" w:lineRule="exact"/>
        <w:ind w:firstLine="42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劳动力和材料投入计划及其保证措施；</w:t>
      </w:r>
    </w:p>
    <w:p w14:paraId="0D074128">
      <w:pPr>
        <w:pStyle w:val="320"/>
        <w:numPr>
          <w:ilvl w:val="0"/>
          <w:numId w:val="13"/>
        </w:numPr>
        <w:spacing w:line="300" w:lineRule="exact"/>
        <w:ind w:firstLine="42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施工平面布置和临时设施布置；</w:t>
      </w:r>
    </w:p>
    <w:p w14:paraId="2CBB4D78">
      <w:pPr>
        <w:pStyle w:val="320"/>
        <w:numPr>
          <w:ilvl w:val="0"/>
          <w:numId w:val="13"/>
        </w:numPr>
        <w:spacing w:line="300" w:lineRule="exact"/>
        <w:ind w:firstLine="42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关键施工技术、工艺及工程实施的重点、难点和解决方案；</w:t>
      </w:r>
    </w:p>
    <w:p w14:paraId="17C74152">
      <w:pPr>
        <w:pStyle w:val="320"/>
        <w:numPr>
          <w:ilvl w:val="0"/>
          <w:numId w:val="13"/>
        </w:numPr>
        <w:spacing w:line="300" w:lineRule="exact"/>
        <w:ind w:firstLine="42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安全文明施工措施；</w:t>
      </w:r>
    </w:p>
    <w:p w14:paraId="1D2B5CD5">
      <w:pPr>
        <w:pStyle w:val="320"/>
        <w:numPr>
          <w:ilvl w:val="0"/>
          <w:numId w:val="13"/>
        </w:numPr>
        <w:spacing w:line="300" w:lineRule="exact"/>
        <w:ind w:firstLine="42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质量保证与承诺；</w:t>
      </w:r>
    </w:p>
    <w:p w14:paraId="72F1F576">
      <w:pPr>
        <w:pStyle w:val="320"/>
        <w:numPr>
          <w:ilvl w:val="0"/>
          <w:numId w:val="13"/>
        </w:numPr>
        <w:spacing w:line="300" w:lineRule="exact"/>
        <w:ind w:firstLine="425"/>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新技术应用与承诺</w:t>
      </w:r>
    </w:p>
    <w:p w14:paraId="6B6BFEF1">
      <w:pPr>
        <w:pStyle w:val="320"/>
        <w:spacing w:line="300" w:lineRule="exact"/>
        <w:ind w:firstLine="42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2.  </w:t>
      </w:r>
      <w:r>
        <w:rPr>
          <w:rFonts w:hint="eastAsia" w:ascii="宋体" w:hAnsi="宋体"/>
          <w:color w:val="000000" w:themeColor="text1"/>
          <w:spacing w:val="-15"/>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施工组织设计除采用文字表述外可附下列图表，图表及格式要求附后。</w:t>
      </w:r>
    </w:p>
    <w:p w14:paraId="3D57278E">
      <w:pPr>
        <w:pStyle w:val="320"/>
        <w:spacing w:line="300" w:lineRule="exact"/>
        <w:ind w:firstLine="42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附表一</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spacing w:val="-1"/>
          <w:highlight w:val="none"/>
          <w14:textFill>
            <w14:solidFill>
              <w14:schemeClr w14:val="tx1"/>
            </w14:solidFill>
          </w14:textFill>
        </w:rPr>
        <w:t>拟</w:t>
      </w:r>
      <w:r>
        <w:rPr>
          <w:rFonts w:hint="eastAsia" w:ascii="宋体" w:hAnsi="宋体"/>
          <w:color w:val="000000" w:themeColor="text1"/>
          <w:highlight w:val="none"/>
          <w14:textFill>
            <w14:solidFill>
              <w14:schemeClr w14:val="tx1"/>
            </w14:solidFill>
          </w14:textFill>
        </w:rPr>
        <w:t>投入本项目的主要施工设备表</w:t>
      </w:r>
    </w:p>
    <w:p w14:paraId="5979DD18">
      <w:pPr>
        <w:pStyle w:val="320"/>
        <w:spacing w:line="300" w:lineRule="exact"/>
        <w:ind w:firstLine="42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附表二</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spacing w:val="-1"/>
          <w:highlight w:val="none"/>
          <w14:textFill>
            <w14:solidFill>
              <w14:schemeClr w14:val="tx1"/>
            </w14:solidFill>
          </w14:textFill>
        </w:rPr>
        <w:t>拟</w:t>
      </w:r>
      <w:r>
        <w:rPr>
          <w:rFonts w:hint="eastAsia" w:ascii="宋体" w:hAnsi="宋体"/>
          <w:color w:val="000000" w:themeColor="text1"/>
          <w:highlight w:val="none"/>
          <w14:textFill>
            <w14:solidFill>
              <w14:schemeClr w14:val="tx1"/>
            </w14:solidFill>
          </w14:textFill>
        </w:rPr>
        <w:t>配备本项目的试验和检测仪器设备表</w:t>
      </w:r>
    </w:p>
    <w:p w14:paraId="568176FA">
      <w:pPr>
        <w:pStyle w:val="320"/>
        <w:spacing w:line="300" w:lineRule="exact"/>
        <w:ind w:firstLine="42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附表三</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spacing w:val="-1"/>
          <w:highlight w:val="none"/>
          <w14:textFill>
            <w14:solidFill>
              <w14:schemeClr w14:val="tx1"/>
            </w14:solidFill>
          </w14:textFill>
        </w:rPr>
        <w:t>劳</w:t>
      </w:r>
      <w:r>
        <w:rPr>
          <w:rFonts w:hint="eastAsia" w:ascii="宋体" w:hAnsi="宋体"/>
          <w:color w:val="000000" w:themeColor="text1"/>
          <w:highlight w:val="none"/>
          <w14:textFill>
            <w14:solidFill>
              <w14:schemeClr w14:val="tx1"/>
            </w14:solidFill>
          </w14:textFill>
        </w:rPr>
        <w:t>动力计划表</w:t>
      </w:r>
    </w:p>
    <w:p w14:paraId="7C8E0912">
      <w:pPr>
        <w:pStyle w:val="320"/>
        <w:spacing w:line="300" w:lineRule="exact"/>
        <w:ind w:firstLine="42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附表四</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计划开、竣工日期和施工进度网络图或横道图</w:t>
      </w:r>
    </w:p>
    <w:p w14:paraId="1BBC6352">
      <w:pPr>
        <w:pStyle w:val="320"/>
        <w:spacing w:line="300" w:lineRule="exact"/>
        <w:ind w:firstLine="42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附表五</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spacing w:val="-1"/>
          <w:highlight w:val="none"/>
          <w14:textFill>
            <w14:solidFill>
              <w14:schemeClr w14:val="tx1"/>
            </w14:solidFill>
          </w14:textFill>
        </w:rPr>
        <w:t>施</w:t>
      </w:r>
      <w:r>
        <w:rPr>
          <w:rFonts w:hint="eastAsia" w:ascii="宋体" w:hAnsi="宋体"/>
          <w:color w:val="000000" w:themeColor="text1"/>
          <w:highlight w:val="none"/>
          <w14:textFill>
            <w14:solidFill>
              <w14:schemeClr w14:val="tx1"/>
            </w14:solidFill>
          </w14:textFill>
        </w:rPr>
        <w:t>工总平面图</w:t>
      </w:r>
    </w:p>
    <w:p w14:paraId="1DE57ABC">
      <w:pPr>
        <w:pStyle w:val="320"/>
        <w:spacing w:line="300" w:lineRule="exact"/>
        <w:ind w:firstLine="425"/>
        <w:rPr>
          <w:rFonts w:ascii="宋体" w:hAnsi="宋体"/>
          <w:color w:val="000000" w:themeColor="text1"/>
          <w:highlight w:val="none"/>
          <w14:textFill>
            <w14:solidFill>
              <w14:schemeClr w14:val="tx1"/>
            </w14:solidFill>
          </w14:textFill>
        </w:rPr>
      </w:pPr>
      <w:r>
        <w:rPr>
          <w:rFonts w:hint="eastAsia" w:ascii="宋体" w:hAnsi="宋体"/>
          <w:color w:val="000000" w:themeColor="text1"/>
          <w:position w:val="-2"/>
          <w:highlight w:val="none"/>
          <w14:textFill>
            <w14:solidFill>
              <w14:schemeClr w14:val="tx1"/>
            </w14:solidFill>
          </w14:textFill>
        </w:rPr>
        <w:t>附表六</w:t>
      </w:r>
      <w:r>
        <w:rPr>
          <w:rFonts w:hint="eastAsia" w:ascii="宋体" w:hAnsi="宋体"/>
          <w:color w:val="000000" w:themeColor="text1"/>
          <w:position w:val="-2"/>
          <w:highlight w:val="none"/>
          <w14:textFill>
            <w14:solidFill>
              <w14:schemeClr w14:val="tx1"/>
            </w14:solidFill>
          </w14:textFill>
        </w:rPr>
        <w:tab/>
      </w:r>
      <w:r>
        <w:rPr>
          <w:rFonts w:hint="eastAsia" w:ascii="宋体" w:hAnsi="宋体"/>
          <w:color w:val="000000" w:themeColor="text1"/>
          <w:spacing w:val="-1"/>
          <w:position w:val="-2"/>
          <w:highlight w:val="none"/>
          <w14:textFill>
            <w14:solidFill>
              <w14:schemeClr w14:val="tx1"/>
            </w14:solidFill>
          </w14:textFill>
        </w:rPr>
        <w:t>临</w:t>
      </w:r>
      <w:r>
        <w:rPr>
          <w:rFonts w:hint="eastAsia" w:ascii="宋体" w:hAnsi="宋体"/>
          <w:color w:val="000000" w:themeColor="text1"/>
          <w:position w:val="-2"/>
          <w:highlight w:val="none"/>
          <w14:textFill>
            <w14:solidFill>
              <w14:schemeClr w14:val="tx1"/>
            </w14:solidFill>
          </w14:textFill>
        </w:rPr>
        <w:t>时用地表</w:t>
      </w:r>
    </w:p>
    <w:p w14:paraId="6F0AE59F">
      <w:pPr>
        <w:rPr>
          <w:rFonts w:ascii="宋体" w:hAnsi="宋体" w:cs="宋体"/>
          <w:color w:val="000000" w:themeColor="text1"/>
          <w:highlight w:val="none"/>
          <w14:textFill>
            <w14:solidFill>
              <w14:schemeClr w14:val="tx1"/>
            </w14:solidFill>
          </w14:textFill>
        </w:rPr>
      </w:pPr>
      <w:bookmarkStart w:id="1042" w:name="_Toc483317224"/>
      <w:bookmarkStart w:id="1043" w:name="_Toc418751905"/>
      <w:bookmarkStart w:id="1044" w:name="_Toc418752351"/>
    </w:p>
    <w:p w14:paraId="25DD26FE">
      <w:pP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附表一：拟投入本项目的主要施工设备表</w:t>
      </w:r>
      <w:bookmarkEnd w:id="1042"/>
      <w:bookmarkEnd w:id="1043"/>
      <w:bookmarkEnd w:id="1044"/>
    </w:p>
    <w:tbl>
      <w:tblPr>
        <w:tblStyle w:val="53"/>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14:paraId="641D8342">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vAlign w:val="center"/>
          </w:tcPr>
          <w:p w14:paraId="6BAEB2AC">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1198" w:type="dxa"/>
            <w:tcBorders>
              <w:top w:val="single" w:color="000000" w:sz="4" w:space="0"/>
              <w:left w:val="nil"/>
              <w:bottom w:val="single" w:color="000000" w:sz="4" w:space="0"/>
              <w:right w:val="single" w:color="000000" w:sz="4" w:space="0"/>
            </w:tcBorders>
            <w:vAlign w:val="center"/>
          </w:tcPr>
          <w:p w14:paraId="2B01F913">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设备名称</w:t>
            </w:r>
          </w:p>
        </w:tc>
        <w:tc>
          <w:tcPr>
            <w:tcW w:w="839" w:type="dxa"/>
            <w:tcBorders>
              <w:top w:val="single" w:color="000000" w:sz="4" w:space="0"/>
              <w:left w:val="nil"/>
              <w:bottom w:val="single" w:color="000000" w:sz="4" w:space="0"/>
              <w:right w:val="single" w:color="000000" w:sz="4" w:space="0"/>
            </w:tcBorders>
            <w:vAlign w:val="center"/>
          </w:tcPr>
          <w:p w14:paraId="0CDA8875">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型号</w:t>
            </w:r>
          </w:p>
          <w:p w14:paraId="6DD734FC">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规格</w:t>
            </w:r>
          </w:p>
        </w:tc>
        <w:tc>
          <w:tcPr>
            <w:tcW w:w="1092" w:type="dxa"/>
            <w:tcBorders>
              <w:top w:val="single" w:color="000000" w:sz="4" w:space="0"/>
              <w:left w:val="nil"/>
              <w:bottom w:val="single" w:color="000000" w:sz="4" w:space="0"/>
              <w:right w:val="single" w:color="000000" w:sz="4" w:space="0"/>
            </w:tcBorders>
            <w:vAlign w:val="center"/>
          </w:tcPr>
          <w:p w14:paraId="54BA4C76">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数量</w:t>
            </w:r>
          </w:p>
        </w:tc>
        <w:tc>
          <w:tcPr>
            <w:tcW w:w="741" w:type="dxa"/>
            <w:tcBorders>
              <w:top w:val="single" w:color="000000" w:sz="4" w:space="0"/>
              <w:left w:val="nil"/>
              <w:bottom w:val="single" w:color="000000" w:sz="4" w:space="0"/>
              <w:right w:val="single" w:color="000000" w:sz="4" w:space="0"/>
            </w:tcBorders>
            <w:vAlign w:val="center"/>
          </w:tcPr>
          <w:p w14:paraId="69128E2D">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国别</w:t>
            </w:r>
          </w:p>
          <w:p w14:paraId="6F89B1D4">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产地</w:t>
            </w:r>
          </w:p>
        </w:tc>
        <w:tc>
          <w:tcPr>
            <w:tcW w:w="814" w:type="dxa"/>
            <w:tcBorders>
              <w:top w:val="single" w:color="000000" w:sz="4" w:space="0"/>
              <w:left w:val="nil"/>
              <w:bottom w:val="single" w:color="000000" w:sz="4" w:space="0"/>
              <w:right w:val="single" w:color="000000" w:sz="4" w:space="0"/>
            </w:tcBorders>
            <w:vAlign w:val="center"/>
          </w:tcPr>
          <w:p w14:paraId="0D5B2897">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制造</w:t>
            </w:r>
          </w:p>
          <w:p w14:paraId="2279D885">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年份</w:t>
            </w:r>
          </w:p>
        </w:tc>
        <w:tc>
          <w:tcPr>
            <w:tcW w:w="1337" w:type="dxa"/>
            <w:tcBorders>
              <w:top w:val="single" w:color="000000" w:sz="4" w:space="0"/>
              <w:left w:val="nil"/>
              <w:bottom w:val="single" w:color="000000" w:sz="4" w:space="0"/>
              <w:right w:val="single" w:color="000000" w:sz="4" w:space="0"/>
            </w:tcBorders>
            <w:vAlign w:val="center"/>
          </w:tcPr>
          <w:p w14:paraId="79E7BB5D">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额定功率</w:t>
            </w:r>
          </w:p>
          <w:p w14:paraId="6E47B77F">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（KW）</w:t>
            </w:r>
          </w:p>
        </w:tc>
        <w:tc>
          <w:tcPr>
            <w:tcW w:w="965" w:type="dxa"/>
            <w:tcBorders>
              <w:top w:val="single" w:color="000000" w:sz="4" w:space="0"/>
              <w:left w:val="nil"/>
              <w:bottom w:val="single" w:color="000000" w:sz="4" w:space="0"/>
              <w:right w:val="single" w:color="000000" w:sz="4" w:space="0"/>
            </w:tcBorders>
            <w:vAlign w:val="center"/>
          </w:tcPr>
          <w:p w14:paraId="4F03E485">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生产</w:t>
            </w:r>
          </w:p>
          <w:p w14:paraId="0D81FB14">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能力</w:t>
            </w:r>
          </w:p>
        </w:tc>
        <w:tc>
          <w:tcPr>
            <w:tcW w:w="1164" w:type="dxa"/>
            <w:tcBorders>
              <w:top w:val="single" w:color="000000" w:sz="4" w:space="0"/>
              <w:left w:val="nil"/>
              <w:bottom w:val="single" w:color="000000" w:sz="4" w:space="0"/>
              <w:right w:val="single" w:color="000000" w:sz="4" w:space="0"/>
            </w:tcBorders>
            <w:vAlign w:val="center"/>
          </w:tcPr>
          <w:p w14:paraId="7A63718C">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用于施</w:t>
            </w:r>
          </w:p>
          <w:p w14:paraId="770B0C85">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工部位</w:t>
            </w:r>
          </w:p>
        </w:tc>
        <w:tc>
          <w:tcPr>
            <w:tcW w:w="764" w:type="dxa"/>
            <w:tcBorders>
              <w:top w:val="single" w:color="000000" w:sz="4" w:space="0"/>
              <w:left w:val="nil"/>
              <w:bottom w:val="single" w:color="000000" w:sz="4" w:space="0"/>
              <w:right w:val="single" w:color="000000" w:sz="4" w:space="0"/>
            </w:tcBorders>
            <w:vAlign w:val="center"/>
          </w:tcPr>
          <w:p w14:paraId="4A40B29D">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r>
      <w:tr w14:paraId="701B89C9">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14:paraId="68467739">
            <w:pPr>
              <w:pStyle w:val="320"/>
              <w:rPr>
                <w:rFonts w:ascii="宋体" w:hAnsi="宋体"/>
                <w:color w:val="000000" w:themeColor="text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tcPr>
          <w:p w14:paraId="3C4527C7">
            <w:pPr>
              <w:pStyle w:val="320"/>
              <w:rPr>
                <w:rFonts w:ascii="宋体" w:hAnsi="宋体"/>
                <w:color w:val="000000" w:themeColor="text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tcPr>
          <w:p w14:paraId="1C1137F7">
            <w:pPr>
              <w:pStyle w:val="320"/>
              <w:rPr>
                <w:rFonts w:ascii="宋体" w:hAnsi="宋体"/>
                <w:color w:val="000000" w:themeColor="text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tcPr>
          <w:p w14:paraId="045FD42B">
            <w:pPr>
              <w:pStyle w:val="320"/>
              <w:rPr>
                <w:rFonts w:ascii="宋体" w:hAnsi="宋体"/>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tcPr>
          <w:p w14:paraId="1D1D5496">
            <w:pPr>
              <w:pStyle w:val="320"/>
              <w:rPr>
                <w:rFonts w:ascii="宋体" w:hAnsi="宋体"/>
                <w:color w:val="000000" w:themeColor="text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tcPr>
          <w:p w14:paraId="6F0476A6">
            <w:pPr>
              <w:pStyle w:val="320"/>
              <w:rPr>
                <w:rFonts w:ascii="宋体" w:hAnsi="宋体"/>
                <w:color w:val="000000" w:themeColor="text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tcPr>
          <w:p w14:paraId="33BCCF39">
            <w:pPr>
              <w:pStyle w:val="320"/>
              <w:rPr>
                <w:rFonts w:ascii="宋体" w:hAnsi="宋体"/>
                <w:color w:val="000000" w:themeColor="text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tcPr>
          <w:p w14:paraId="108FB035">
            <w:pPr>
              <w:pStyle w:val="320"/>
              <w:rPr>
                <w:rFonts w:ascii="宋体" w:hAnsi="宋体"/>
                <w:color w:val="000000" w:themeColor="text1"/>
                <w:highlight w:val="none"/>
                <w14:textFill>
                  <w14:solidFill>
                    <w14:schemeClr w14:val="tx1"/>
                  </w14:solidFill>
                </w14:textFill>
              </w:rPr>
            </w:pPr>
          </w:p>
        </w:tc>
        <w:tc>
          <w:tcPr>
            <w:tcW w:w="1164" w:type="dxa"/>
            <w:tcBorders>
              <w:top w:val="single" w:color="000000" w:sz="4" w:space="0"/>
              <w:left w:val="nil"/>
              <w:bottom w:val="single" w:color="000000" w:sz="4" w:space="0"/>
              <w:right w:val="single" w:color="000000" w:sz="4" w:space="0"/>
            </w:tcBorders>
          </w:tcPr>
          <w:p w14:paraId="1519C37A">
            <w:pPr>
              <w:pStyle w:val="320"/>
              <w:rPr>
                <w:rFonts w:ascii="宋体" w:hAnsi="宋体"/>
                <w:color w:val="000000" w:themeColor="text1"/>
                <w:highlight w:val="none"/>
                <w14:textFill>
                  <w14:solidFill>
                    <w14:schemeClr w14:val="tx1"/>
                  </w14:solidFill>
                </w14:textFill>
              </w:rPr>
            </w:pPr>
          </w:p>
        </w:tc>
        <w:tc>
          <w:tcPr>
            <w:tcW w:w="764" w:type="dxa"/>
            <w:tcBorders>
              <w:top w:val="single" w:color="000000" w:sz="4" w:space="0"/>
              <w:left w:val="nil"/>
              <w:bottom w:val="single" w:color="000000" w:sz="4" w:space="0"/>
              <w:right w:val="single" w:color="000000" w:sz="4" w:space="0"/>
            </w:tcBorders>
          </w:tcPr>
          <w:p w14:paraId="25C93AD5">
            <w:pPr>
              <w:pStyle w:val="320"/>
              <w:rPr>
                <w:rFonts w:ascii="宋体" w:hAnsi="宋体"/>
                <w:color w:val="000000" w:themeColor="text1"/>
                <w:highlight w:val="none"/>
                <w14:textFill>
                  <w14:solidFill>
                    <w14:schemeClr w14:val="tx1"/>
                  </w14:solidFill>
                </w14:textFill>
              </w:rPr>
            </w:pPr>
          </w:p>
        </w:tc>
      </w:tr>
      <w:tr w14:paraId="5DA97C59">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14:paraId="643E5641">
            <w:pPr>
              <w:pStyle w:val="320"/>
              <w:rPr>
                <w:rFonts w:ascii="宋体" w:hAnsi="宋体"/>
                <w:color w:val="000000" w:themeColor="text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tcPr>
          <w:p w14:paraId="2D78A316">
            <w:pPr>
              <w:pStyle w:val="320"/>
              <w:rPr>
                <w:rFonts w:ascii="宋体" w:hAnsi="宋体"/>
                <w:color w:val="000000" w:themeColor="text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tcPr>
          <w:p w14:paraId="574C0180">
            <w:pPr>
              <w:pStyle w:val="320"/>
              <w:rPr>
                <w:rFonts w:ascii="宋体" w:hAnsi="宋体"/>
                <w:color w:val="000000" w:themeColor="text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tcPr>
          <w:p w14:paraId="0322CB20">
            <w:pPr>
              <w:pStyle w:val="320"/>
              <w:rPr>
                <w:rFonts w:ascii="宋体" w:hAnsi="宋体"/>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tcPr>
          <w:p w14:paraId="57E77D6E">
            <w:pPr>
              <w:pStyle w:val="320"/>
              <w:rPr>
                <w:rFonts w:ascii="宋体" w:hAnsi="宋体"/>
                <w:color w:val="000000" w:themeColor="text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tcPr>
          <w:p w14:paraId="16FDC9A2">
            <w:pPr>
              <w:pStyle w:val="320"/>
              <w:rPr>
                <w:rFonts w:ascii="宋体" w:hAnsi="宋体"/>
                <w:color w:val="000000" w:themeColor="text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tcPr>
          <w:p w14:paraId="6922CF52">
            <w:pPr>
              <w:pStyle w:val="320"/>
              <w:rPr>
                <w:rFonts w:ascii="宋体" w:hAnsi="宋体"/>
                <w:color w:val="000000" w:themeColor="text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tcPr>
          <w:p w14:paraId="159AC077">
            <w:pPr>
              <w:pStyle w:val="320"/>
              <w:rPr>
                <w:rFonts w:ascii="宋体" w:hAnsi="宋体"/>
                <w:color w:val="000000" w:themeColor="text1"/>
                <w:highlight w:val="none"/>
                <w14:textFill>
                  <w14:solidFill>
                    <w14:schemeClr w14:val="tx1"/>
                  </w14:solidFill>
                </w14:textFill>
              </w:rPr>
            </w:pPr>
          </w:p>
        </w:tc>
        <w:tc>
          <w:tcPr>
            <w:tcW w:w="1164" w:type="dxa"/>
            <w:tcBorders>
              <w:top w:val="single" w:color="000000" w:sz="4" w:space="0"/>
              <w:left w:val="nil"/>
              <w:bottom w:val="single" w:color="000000" w:sz="4" w:space="0"/>
              <w:right w:val="single" w:color="000000" w:sz="4" w:space="0"/>
            </w:tcBorders>
          </w:tcPr>
          <w:p w14:paraId="719904E9">
            <w:pPr>
              <w:pStyle w:val="320"/>
              <w:rPr>
                <w:rFonts w:ascii="宋体" w:hAnsi="宋体"/>
                <w:color w:val="000000" w:themeColor="text1"/>
                <w:highlight w:val="none"/>
                <w14:textFill>
                  <w14:solidFill>
                    <w14:schemeClr w14:val="tx1"/>
                  </w14:solidFill>
                </w14:textFill>
              </w:rPr>
            </w:pPr>
          </w:p>
        </w:tc>
        <w:tc>
          <w:tcPr>
            <w:tcW w:w="764" w:type="dxa"/>
            <w:tcBorders>
              <w:top w:val="single" w:color="000000" w:sz="4" w:space="0"/>
              <w:left w:val="nil"/>
              <w:bottom w:val="single" w:color="000000" w:sz="4" w:space="0"/>
              <w:right w:val="single" w:color="000000" w:sz="4" w:space="0"/>
            </w:tcBorders>
          </w:tcPr>
          <w:p w14:paraId="34F1B9D0">
            <w:pPr>
              <w:pStyle w:val="320"/>
              <w:rPr>
                <w:rFonts w:ascii="宋体" w:hAnsi="宋体"/>
                <w:color w:val="000000" w:themeColor="text1"/>
                <w:highlight w:val="none"/>
                <w14:textFill>
                  <w14:solidFill>
                    <w14:schemeClr w14:val="tx1"/>
                  </w14:solidFill>
                </w14:textFill>
              </w:rPr>
            </w:pPr>
          </w:p>
        </w:tc>
      </w:tr>
      <w:tr w14:paraId="01478D11">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14:paraId="16F2C01D">
            <w:pPr>
              <w:pStyle w:val="320"/>
              <w:rPr>
                <w:rFonts w:ascii="宋体" w:hAnsi="宋体"/>
                <w:color w:val="000000" w:themeColor="text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tcPr>
          <w:p w14:paraId="23CA72D7">
            <w:pPr>
              <w:pStyle w:val="320"/>
              <w:rPr>
                <w:rFonts w:ascii="宋体" w:hAnsi="宋体"/>
                <w:color w:val="000000" w:themeColor="text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tcPr>
          <w:p w14:paraId="32BF47A2">
            <w:pPr>
              <w:pStyle w:val="320"/>
              <w:rPr>
                <w:rFonts w:ascii="宋体" w:hAnsi="宋体"/>
                <w:color w:val="000000" w:themeColor="text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tcPr>
          <w:p w14:paraId="7EC79030">
            <w:pPr>
              <w:pStyle w:val="320"/>
              <w:rPr>
                <w:rFonts w:ascii="宋体" w:hAnsi="宋体"/>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tcPr>
          <w:p w14:paraId="36313C4C">
            <w:pPr>
              <w:pStyle w:val="320"/>
              <w:rPr>
                <w:rFonts w:ascii="宋体" w:hAnsi="宋体"/>
                <w:color w:val="000000" w:themeColor="text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tcPr>
          <w:p w14:paraId="1F8494DA">
            <w:pPr>
              <w:pStyle w:val="320"/>
              <w:rPr>
                <w:rFonts w:ascii="宋体" w:hAnsi="宋体"/>
                <w:color w:val="000000" w:themeColor="text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tcPr>
          <w:p w14:paraId="6EE150ED">
            <w:pPr>
              <w:pStyle w:val="320"/>
              <w:rPr>
                <w:rFonts w:ascii="宋体" w:hAnsi="宋体"/>
                <w:color w:val="000000" w:themeColor="text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tcPr>
          <w:p w14:paraId="05F275EA">
            <w:pPr>
              <w:pStyle w:val="320"/>
              <w:rPr>
                <w:rFonts w:ascii="宋体" w:hAnsi="宋体"/>
                <w:color w:val="000000" w:themeColor="text1"/>
                <w:highlight w:val="none"/>
                <w14:textFill>
                  <w14:solidFill>
                    <w14:schemeClr w14:val="tx1"/>
                  </w14:solidFill>
                </w14:textFill>
              </w:rPr>
            </w:pPr>
          </w:p>
        </w:tc>
        <w:tc>
          <w:tcPr>
            <w:tcW w:w="1164" w:type="dxa"/>
            <w:tcBorders>
              <w:top w:val="single" w:color="000000" w:sz="4" w:space="0"/>
              <w:left w:val="nil"/>
              <w:bottom w:val="single" w:color="000000" w:sz="4" w:space="0"/>
              <w:right w:val="single" w:color="000000" w:sz="4" w:space="0"/>
            </w:tcBorders>
          </w:tcPr>
          <w:p w14:paraId="5A8B8918">
            <w:pPr>
              <w:pStyle w:val="320"/>
              <w:rPr>
                <w:rFonts w:ascii="宋体" w:hAnsi="宋体"/>
                <w:color w:val="000000" w:themeColor="text1"/>
                <w:highlight w:val="none"/>
                <w14:textFill>
                  <w14:solidFill>
                    <w14:schemeClr w14:val="tx1"/>
                  </w14:solidFill>
                </w14:textFill>
              </w:rPr>
            </w:pPr>
          </w:p>
        </w:tc>
        <w:tc>
          <w:tcPr>
            <w:tcW w:w="764" w:type="dxa"/>
            <w:tcBorders>
              <w:top w:val="single" w:color="000000" w:sz="4" w:space="0"/>
              <w:left w:val="nil"/>
              <w:bottom w:val="single" w:color="000000" w:sz="4" w:space="0"/>
              <w:right w:val="single" w:color="000000" w:sz="4" w:space="0"/>
            </w:tcBorders>
          </w:tcPr>
          <w:p w14:paraId="4F6ADB19">
            <w:pPr>
              <w:pStyle w:val="320"/>
              <w:rPr>
                <w:rFonts w:ascii="宋体" w:hAnsi="宋体"/>
                <w:color w:val="000000" w:themeColor="text1"/>
                <w:highlight w:val="none"/>
                <w14:textFill>
                  <w14:solidFill>
                    <w14:schemeClr w14:val="tx1"/>
                  </w14:solidFill>
                </w14:textFill>
              </w:rPr>
            </w:pPr>
          </w:p>
        </w:tc>
      </w:tr>
      <w:tr w14:paraId="3E5491DC">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14:paraId="7B198BC2">
            <w:pPr>
              <w:pStyle w:val="320"/>
              <w:rPr>
                <w:rFonts w:ascii="宋体" w:hAnsi="宋体"/>
                <w:color w:val="000000" w:themeColor="text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tcPr>
          <w:p w14:paraId="0A3E46B3">
            <w:pPr>
              <w:pStyle w:val="320"/>
              <w:rPr>
                <w:rFonts w:ascii="宋体" w:hAnsi="宋体"/>
                <w:color w:val="000000" w:themeColor="text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tcPr>
          <w:p w14:paraId="6B457BF8">
            <w:pPr>
              <w:pStyle w:val="320"/>
              <w:rPr>
                <w:rFonts w:ascii="宋体" w:hAnsi="宋体"/>
                <w:color w:val="000000" w:themeColor="text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tcPr>
          <w:p w14:paraId="1583348F">
            <w:pPr>
              <w:pStyle w:val="320"/>
              <w:rPr>
                <w:rFonts w:ascii="宋体" w:hAnsi="宋体"/>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tcPr>
          <w:p w14:paraId="3A204F53">
            <w:pPr>
              <w:pStyle w:val="320"/>
              <w:rPr>
                <w:rFonts w:ascii="宋体" w:hAnsi="宋体"/>
                <w:color w:val="000000" w:themeColor="text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tcPr>
          <w:p w14:paraId="2F137242">
            <w:pPr>
              <w:pStyle w:val="320"/>
              <w:rPr>
                <w:rFonts w:ascii="宋体" w:hAnsi="宋体"/>
                <w:color w:val="000000" w:themeColor="text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tcPr>
          <w:p w14:paraId="42086A45">
            <w:pPr>
              <w:pStyle w:val="320"/>
              <w:rPr>
                <w:rFonts w:ascii="宋体" w:hAnsi="宋体"/>
                <w:color w:val="000000" w:themeColor="text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tcPr>
          <w:p w14:paraId="691307D2">
            <w:pPr>
              <w:pStyle w:val="320"/>
              <w:rPr>
                <w:rFonts w:ascii="宋体" w:hAnsi="宋体"/>
                <w:color w:val="000000" w:themeColor="text1"/>
                <w:highlight w:val="none"/>
                <w14:textFill>
                  <w14:solidFill>
                    <w14:schemeClr w14:val="tx1"/>
                  </w14:solidFill>
                </w14:textFill>
              </w:rPr>
            </w:pPr>
          </w:p>
        </w:tc>
        <w:tc>
          <w:tcPr>
            <w:tcW w:w="1164" w:type="dxa"/>
            <w:tcBorders>
              <w:top w:val="single" w:color="000000" w:sz="4" w:space="0"/>
              <w:left w:val="nil"/>
              <w:bottom w:val="single" w:color="000000" w:sz="4" w:space="0"/>
              <w:right w:val="single" w:color="000000" w:sz="4" w:space="0"/>
            </w:tcBorders>
          </w:tcPr>
          <w:p w14:paraId="4FFDAA06">
            <w:pPr>
              <w:pStyle w:val="320"/>
              <w:rPr>
                <w:rFonts w:ascii="宋体" w:hAnsi="宋体"/>
                <w:color w:val="000000" w:themeColor="text1"/>
                <w:highlight w:val="none"/>
                <w14:textFill>
                  <w14:solidFill>
                    <w14:schemeClr w14:val="tx1"/>
                  </w14:solidFill>
                </w14:textFill>
              </w:rPr>
            </w:pPr>
          </w:p>
        </w:tc>
        <w:tc>
          <w:tcPr>
            <w:tcW w:w="764" w:type="dxa"/>
            <w:tcBorders>
              <w:top w:val="single" w:color="000000" w:sz="4" w:space="0"/>
              <w:left w:val="nil"/>
              <w:bottom w:val="single" w:color="000000" w:sz="4" w:space="0"/>
              <w:right w:val="single" w:color="000000" w:sz="4" w:space="0"/>
            </w:tcBorders>
          </w:tcPr>
          <w:p w14:paraId="4F478A65">
            <w:pPr>
              <w:pStyle w:val="320"/>
              <w:rPr>
                <w:rFonts w:ascii="宋体" w:hAnsi="宋体"/>
                <w:color w:val="000000" w:themeColor="text1"/>
                <w:highlight w:val="none"/>
                <w14:textFill>
                  <w14:solidFill>
                    <w14:schemeClr w14:val="tx1"/>
                  </w14:solidFill>
                </w14:textFill>
              </w:rPr>
            </w:pPr>
          </w:p>
        </w:tc>
      </w:tr>
    </w:tbl>
    <w:p w14:paraId="050BB0CD">
      <w:pPr>
        <w:pStyle w:val="3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00DDD179">
      <w:pPr>
        <w:rPr>
          <w:rFonts w:ascii="宋体" w:hAnsi="宋体" w:cs="宋体"/>
          <w:b/>
          <w:color w:val="000000" w:themeColor="text1"/>
          <w:highlight w:val="none"/>
          <w14:textFill>
            <w14:solidFill>
              <w14:schemeClr w14:val="tx1"/>
            </w14:solidFill>
          </w14:textFill>
        </w:rPr>
      </w:pPr>
      <w:bookmarkStart w:id="1045" w:name="_Toc483317225"/>
      <w:bookmarkStart w:id="1046" w:name="_Toc418751906"/>
      <w:bookmarkStart w:id="1047" w:name="_Toc418752352"/>
      <w:r>
        <w:rPr>
          <w:rFonts w:hint="eastAsia" w:ascii="宋体" w:hAnsi="宋体" w:cs="宋体"/>
          <w:b/>
          <w:color w:val="000000" w:themeColor="text1"/>
          <w:highlight w:val="none"/>
          <w14:textFill>
            <w14:solidFill>
              <w14:schemeClr w14:val="tx1"/>
            </w14:solidFill>
          </w14:textFill>
        </w:rPr>
        <w:t>附表二：拟配备本项目的试验和检测仪器设备表</w:t>
      </w:r>
      <w:bookmarkEnd w:id="1045"/>
      <w:bookmarkEnd w:id="1046"/>
      <w:bookmarkEnd w:id="1047"/>
    </w:p>
    <w:tbl>
      <w:tblPr>
        <w:tblStyle w:val="53"/>
        <w:tblW w:w="9648" w:type="dxa"/>
        <w:tblInd w:w="-5" w:type="dxa"/>
        <w:tblLayout w:type="fixed"/>
        <w:tblCellMar>
          <w:top w:w="0" w:type="dxa"/>
          <w:left w:w="0" w:type="dxa"/>
          <w:bottom w:w="0" w:type="dxa"/>
          <w:right w:w="0" w:type="dxa"/>
        </w:tblCellMar>
      </w:tblPr>
      <w:tblGrid>
        <w:gridCol w:w="759"/>
        <w:gridCol w:w="1239"/>
        <w:gridCol w:w="866"/>
        <w:gridCol w:w="996"/>
        <w:gridCol w:w="750"/>
        <w:gridCol w:w="810"/>
        <w:gridCol w:w="1562"/>
        <w:gridCol w:w="1885"/>
        <w:gridCol w:w="781"/>
      </w:tblGrid>
      <w:tr w14:paraId="48D6D621">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0BB8986C">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1239" w:type="dxa"/>
            <w:tcBorders>
              <w:top w:val="single" w:color="000000" w:sz="4" w:space="0"/>
              <w:left w:val="nil"/>
              <w:bottom w:val="single" w:color="000000" w:sz="4" w:space="0"/>
              <w:right w:val="single" w:color="000000" w:sz="4" w:space="0"/>
            </w:tcBorders>
            <w:vAlign w:val="center"/>
          </w:tcPr>
          <w:p w14:paraId="550BB049">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仪器设备</w:t>
            </w:r>
          </w:p>
          <w:p w14:paraId="4AB37E7E">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名称</w:t>
            </w:r>
          </w:p>
        </w:tc>
        <w:tc>
          <w:tcPr>
            <w:tcW w:w="866" w:type="dxa"/>
            <w:tcBorders>
              <w:top w:val="single" w:color="000000" w:sz="4" w:space="0"/>
              <w:left w:val="nil"/>
              <w:bottom w:val="single" w:color="000000" w:sz="4" w:space="0"/>
              <w:right w:val="single" w:color="000000" w:sz="4" w:space="0"/>
            </w:tcBorders>
            <w:vAlign w:val="center"/>
          </w:tcPr>
          <w:p w14:paraId="6D769D80">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型号</w:t>
            </w:r>
          </w:p>
          <w:p w14:paraId="2B62ECD9">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规格</w:t>
            </w:r>
          </w:p>
        </w:tc>
        <w:tc>
          <w:tcPr>
            <w:tcW w:w="996" w:type="dxa"/>
            <w:tcBorders>
              <w:top w:val="single" w:color="000000" w:sz="4" w:space="0"/>
              <w:left w:val="nil"/>
              <w:bottom w:val="single" w:color="000000" w:sz="4" w:space="0"/>
              <w:right w:val="single" w:color="000000" w:sz="4" w:space="0"/>
            </w:tcBorders>
            <w:vAlign w:val="center"/>
          </w:tcPr>
          <w:p w14:paraId="4CAF1246">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数量</w:t>
            </w:r>
          </w:p>
        </w:tc>
        <w:tc>
          <w:tcPr>
            <w:tcW w:w="750" w:type="dxa"/>
            <w:tcBorders>
              <w:top w:val="single" w:color="000000" w:sz="4" w:space="0"/>
              <w:left w:val="nil"/>
              <w:bottom w:val="single" w:color="000000" w:sz="4" w:space="0"/>
              <w:right w:val="single" w:color="000000" w:sz="4" w:space="0"/>
            </w:tcBorders>
            <w:vAlign w:val="center"/>
          </w:tcPr>
          <w:p w14:paraId="55831065">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国别</w:t>
            </w:r>
          </w:p>
          <w:p w14:paraId="4B943EAE">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产地</w:t>
            </w:r>
          </w:p>
        </w:tc>
        <w:tc>
          <w:tcPr>
            <w:tcW w:w="810" w:type="dxa"/>
            <w:tcBorders>
              <w:top w:val="single" w:color="000000" w:sz="4" w:space="0"/>
              <w:left w:val="nil"/>
              <w:bottom w:val="single" w:color="000000" w:sz="4" w:space="0"/>
              <w:right w:val="single" w:color="000000" w:sz="4" w:space="0"/>
            </w:tcBorders>
            <w:vAlign w:val="center"/>
          </w:tcPr>
          <w:p w14:paraId="43B6B5D6">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制造</w:t>
            </w:r>
          </w:p>
          <w:p w14:paraId="311B270C">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年份</w:t>
            </w:r>
          </w:p>
        </w:tc>
        <w:tc>
          <w:tcPr>
            <w:tcW w:w="1562" w:type="dxa"/>
            <w:tcBorders>
              <w:top w:val="single" w:color="000000" w:sz="4" w:space="0"/>
              <w:left w:val="nil"/>
              <w:bottom w:val="single" w:color="000000" w:sz="4" w:space="0"/>
              <w:right w:val="single" w:color="000000" w:sz="4" w:space="0"/>
            </w:tcBorders>
            <w:vAlign w:val="center"/>
          </w:tcPr>
          <w:p w14:paraId="74E33FC1">
            <w:pPr>
              <w:pStyle w:val="32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已使用</w:t>
            </w:r>
          </w:p>
          <w:p w14:paraId="7B7D09D7">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台时数</w:t>
            </w:r>
          </w:p>
        </w:tc>
        <w:tc>
          <w:tcPr>
            <w:tcW w:w="1885" w:type="dxa"/>
            <w:tcBorders>
              <w:top w:val="single" w:color="000000" w:sz="4" w:space="0"/>
              <w:left w:val="nil"/>
              <w:bottom w:val="single" w:color="000000" w:sz="4" w:space="0"/>
              <w:right w:val="single" w:color="000000" w:sz="4" w:space="0"/>
            </w:tcBorders>
            <w:vAlign w:val="center"/>
          </w:tcPr>
          <w:p w14:paraId="6B2E645D">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用途</w:t>
            </w:r>
          </w:p>
        </w:tc>
        <w:tc>
          <w:tcPr>
            <w:tcW w:w="781" w:type="dxa"/>
            <w:tcBorders>
              <w:top w:val="single" w:color="000000" w:sz="4" w:space="0"/>
              <w:left w:val="nil"/>
              <w:bottom w:val="single" w:color="000000" w:sz="4" w:space="0"/>
              <w:right w:val="single" w:color="000000" w:sz="4" w:space="0"/>
            </w:tcBorders>
            <w:vAlign w:val="center"/>
          </w:tcPr>
          <w:p w14:paraId="0CED57BE">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r>
      <w:tr w14:paraId="52C86E8A">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14:paraId="515AA308">
            <w:pPr>
              <w:pStyle w:val="320"/>
              <w:rPr>
                <w:rFonts w:ascii="宋体" w:hAnsi="宋体"/>
                <w:color w:val="000000" w:themeColor="text1"/>
                <w:sz w:val="24"/>
                <w:szCs w:val="24"/>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tcPr>
          <w:p w14:paraId="2B8BEE5B">
            <w:pPr>
              <w:pStyle w:val="320"/>
              <w:rPr>
                <w:rFonts w:ascii="宋体" w:hAnsi="宋体"/>
                <w:color w:val="000000" w:themeColor="text1"/>
                <w:sz w:val="24"/>
                <w:szCs w:val="24"/>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tcPr>
          <w:p w14:paraId="5E53D776">
            <w:pPr>
              <w:pStyle w:val="320"/>
              <w:rPr>
                <w:rFonts w:ascii="宋体" w:hAnsi="宋体"/>
                <w:color w:val="000000" w:themeColor="text1"/>
                <w:sz w:val="24"/>
                <w:szCs w:val="24"/>
                <w:highlight w:val="none"/>
                <w14:textFill>
                  <w14:solidFill>
                    <w14:schemeClr w14:val="tx1"/>
                  </w14:solidFill>
                </w14:textFill>
              </w:rPr>
            </w:pPr>
          </w:p>
        </w:tc>
        <w:tc>
          <w:tcPr>
            <w:tcW w:w="996" w:type="dxa"/>
            <w:tcBorders>
              <w:top w:val="single" w:color="000000" w:sz="4" w:space="0"/>
              <w:left w:val="nil"/>
              <w:bottom w:val="single" w:color="000000" w:sz="4" w:space="0"/>
              <w:right w:val="single" w:color="000000" w:sz="4" w:space="0"/>
            </w:tcBorders>
          </w:tcPr>
          <w:p w14:paraId="38A25ED9">
            <w:pPr>
              <w:pStyle w:val="320"/>
              <w:rPr>
                <w:rFonts w:ascii="宋体" w:hAnsi="宋体"/>
                <w:color w:val="000000" w:themeColor="text1"/>
                <w:sz w:val="24"/>
                <w:szCs w:val="24"/>
                <w:highlight w:val="none"/>
                <w14:textFill>
                  <w14:solidFill>
                    <w14:schemeClr w14:val="tx1"/>
                  </w14:solidFill>
                </w14:textFill>
              </w:rPr>
            </w:pPr>
          </w:p>
        </w:tc>
        <w:tc>
          <w:tcPr>
            <w:tcW w:w="750" w:type="dxa"/>
            <w:tcBorders>
              <w:top w:val="single" w:color="000000" w:sz="4" w:space="0"/>
              <w:left w:val="nil"/>
              <w:bottom w:val="single" w:color="000000" w:sz="4" w:space="0"/>
              <w:right w:val="single" w:color="000000" w:sz="4" w:space="0"/>
            </w:tcBorders>
          </w:tcPr>
          <w:p w14:paraId="6DF180BC">
            <w:pPr>
              <w:pStyle w:val="320"/>
              <w:rPr>
                <w:rFonts w:ascii="宋体" w:hAnsi="宋体"/>
                <w:color w:val="000000" w:themeColor="text1"/>
                <w:sz w:val="24"/>
                <w:szCs w:val="24"/>
                <w:highlight w:val="none"/>
                <w14:textFill>
                  <w14:solidFill>
                    <w14:schemeClr w14:val="tx1"/>
                  </w14:solidFill>
                </w14:textFill>
              </w:rPr>
            </w:pPr>
          </w:p>
        </w:tc>
        <w:tc>
          <w:tcPr>
            <w:tcW w:w="810" w:type="dxa"/>
            <w:tcBorders>
              <w:top w:val="single" w:color="000000" w:sz="4" w:space="0"/>
              <w:left w:val="nil"/>
              <w:bottom w:val="single" w:color="000000" w:sz="4" w:space="0"/>
              <w:right w:val="single" w:color="000000" w:sz="4" w:space="0"/>
            </w:tcBorders>
          </w:tcPr>
          <w:p w14:paraId="0073373C">
            <w:pPr>
              <w:pStyle w:val="320"/>
              <w:rPr>
                <w:rFonts w:ascii="宋体" w:hAnsi="宋体"/>
                <w:color w:val="000000" w:themeColor="text1"/>
                <w:sz w:val="24"/>
                <w:szCs w:val="24"/>
                <w:highlight w:val="none"/>
                <w14:textFill>
                  <w14:solidFill>
                    <w14:schemeClr w14:val="tx1"/>
                  </w14:solidFill>
                </w14:textFill>
              </w:rPr>
            </w:pPr>
          </w:p>
        </w:tc>
        <w:tc>
          <w:tcPr>
            <w:tcW w:w="1562" w:type="dxa"/>
            <w:tcBorders>
              <w:top w:val="single" w:color="000000" w:sz="4" w:space="0"/>
              <w:left w:val="nil"/>
              <w:bottom w:val="single" w:color="000000" w:sz="4" w:space="0"/>
              <w:right w:val="single" w:color="000000" w:sz="4" w:space="0"/>
            </w:tcBorders>
          </w:tcPr>
          <w:p w14:paraId="1A457E58">
            <w:pPr>
              <w:pStyle w:val="320"/>
              <w:rPr>
                <w:rFonts w:ascii="宋体" w:hAnsi="宋体"/>
                <w:color w:val="000000" w:themeColor="text1"/>
                <w:sz w:val="24"/>
                <w:szCs w:val="24"/>
                <w:highlight w:val="none"/>
                <w14:textFill>
                  <w14:solidFill>
                    <w14:schemeClr w14:val="tx1"/>
                  </w14:solidFill>
                </w14:textFill>
              </w:rPr>
            </w:pPr>
          </w:p>
        </w:tc>
        <w:tc>
          <w:tcPr>
            <w:tcW w:w="1885" w:type="dxa"/>
            <w:tcBorders>
              <w:top w:val="single" w:color="000000" w:sz="4" w:space="0"/>
              <w:left w:val="nil"/>
              <w:bottom w:val="single" w:color="000000" w:sz="4" w:space="0"/>
              <w:right w:val="single" w:color="000000" w:sz="4" w:space="0"/>
            </w:tcBorders>
          </w:tcPr>
          <w:p w14:paraId="226CAC50">
            <w:pPr>
              <w:pStyle w:val="320"/>
              <w:rPr>
                <w:rFonts w:ascii="宋体" w:hAnsi="宋体"/>
                <w:color w:val="000000" w:themeColor="text1"/>
                <w:sz w:val="24"/>
                <w:szCs w:val="24"/>
                <w:highlight w:val="none"/>
                <w14:textFill>
                  <w14:solidFill>
                    <w14:schemeClr w14:val="tx1"/>
                  </w14:solidFill>
                </w14:textFill>
              </w:rPr>
            </w:pPr>
          </w:p>
        </w:tc>
        <w:tc>
          <w:tcPr>
            <w:tcW w:w="781" w:type="dxa"/>
            <w:tcBorders>
              <w:top w:val="single" w:color="000000" w:sz="4" w:space="0"/>
              <w:left w:val="nil"/>
              <w:bottom w:val="single" w:color="000000" w:sz="4" w:space="0"/>
              <w:right w:val="single" w:color="000000" w:sz="4" w:space="0"/>
            </w:tcBorders>
          </w:tcPr>
          <w:p w14:paraId="7C6EF598">
            <w:pPr>
              <w:pStyle w:val="320"/>
              <w:rPr>
                <w:rFonts w:ascii="宋体" w:hAnsi="宋体"/>
                <w:color w:val="000000" w:themeColor="text1"/>
                <w:sz w:val="24"/>
                <w:szCs w:val="24"/>
                <w:highlight w:val="none"/>
                <w14:textFill>
                  <w14:solidFill>
                    <w14:schemeClr w14:val="tx1"/>
                  </w14:solidFill>
                </w14:textFill>
              </w:rPr>
            </w:pPr>
          </w:p>
        </w:tc>
      </w:tr>
      <w:tr w14:paraId="5989E750">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14:paraId="6F8B778E">
            <w:pPr>
              <w:pStyle w:val="320"/>
              <w:rPr>
                <w:rFonts w:ascii="宋体" w:hAnsi="宋体"/>
                <w:color w:val="000000" w:themeColor="text1"/>
                <w:sz w:val="24"/>
                <w:szCs w:val="24"/>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tcPr>
          <w:p w14:paraId="4E5272CB">
            <w:pPr>
              <w:pStyle w:val="320"/>
              <w:rPr>
                <w:rFonts w:ascii="宋体" w:hAnsi="宋体"/>
                <w:color w:val="000000" w:themeColor="text1"/>
                <w:sz w:val="24"/>
                <w:szCs w:val="24"/>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tcPr>
          <w:p w14:paraId="3F3B5732">
            <w:pPr>
              <w:pStyle w:val="320"/>
              <w:rPr>
                <w:rFonts w:ascii="宋体" w:hAnsi="宋体"/>
                <w:color w:val="000000" w:themeColor="text1"/>
                <w:sz w:val="24"/>
                <w:szCs w:val="24"/>
                <w:highlight w:val="none"/>
                <w14:textFill>
                  <w14:solidFill>
                    <w14:schemeClr w14:val="tx1"/>
                  </w14:solidFill>
                </w14:textFill>
              </w:rPr>
            </w:pPr>
          </w:p>
        </w:tc>
        <w:tc>
          <w:tcPr>
            <w:tcW w:w="996" w:type="dxa"/>
            <w:tcBorders>
              <w:top w:val="single" w:color="000000" w:sz="4" w:space="0"/>
              <w:left w:val="nil"/>
              <w:bottom w:val="single" w:color="000000" w:sz="4" w:space="0"/>
              <w:right w:val="single" w:color="000000" w:sz="4" w:space="0"/>
            </w:tcBorders>
          </w:tcPr>
          <w:p w14:paraId="096FC4A4">
            <w:pPr>
              <w:pStyle w:val="320"/>
              <w:rPr>
                <w:rFonts w:ascii="宋体" w:hAnsi="宋体"/>
                <w:color w:val="000000" w:themeColor="text1"/>
                <w:sz w:val="24"/>
                <w:szCs w:val="24"/>
                <w:highlight w:val="none"/>
                <w14:textFill>
                  <w14:solidFill>
                    <w14:schemeClr w14:val="tx1"/>
                  </w14:solidFill>
                </w14:textFill>
              </w:rPr>
            </w:pPr>
          </w:p>
        </w:tc>
        <w:tc>
          <w:tcPr>
            <w:tcW w:w="750" w:type="dxa"/>
            <w:tcBorders>
              <w:top w:val="single" w:color="000000" w:sz="4" w:space="0"/>
              <w:left w:val="nil"/>
              <w:bottom w:val="single" w:color="000000" w:sz="4" w:space="0"/>
              <w:right w:val="single" w:color="000000" w:sz="4" w:space="0"/>
            </w:tcBorders>
          </w:tcPr>
          <w:p w14:paraId="3A5A9BFD">
            <w:pPr>
              <w:pStyle w:val="320"/>
              <w:rPr>
                <w:rFonts w:ascii="宋体" w:hAnsi="宋体"/>
                <w:color w:val="000000" w:themeColor="text1"/>
                <w:sz w:val="24"/>
                <w:szCs w:val="24"/>
                <w:highlight w:val="none"/>
                <w14:textFill>
                  <w14:solidFill>
                    <w14:schemeClr w14:val="tx1"/>
                  </w14:solidFill>
                </w14:textFill>
              </w:rPr>
            </w:pPr>
          </w:p>
        </w:tc>
        <w:tc>
          <w:tcPr>
            <w:tcW w:w="810" w:type="dxa"/>
            <w:tcBorders>
              <w:top w:val="single" w:color="000000" w:sz="4" w:space="0"/>
              <w:left w:val="nil"/>
              <w:bottom w:val="single" w:color="000000" w:sz="4" w:space="0"/>
              <w:right w:val="single" w:color="000000" w:sz="4" w:space="0"/>
            </w:tcBorders>
          </w:tcPr>
          <w:p w14:paraId="4B50E1B9">
            <w:pPr>
              <w:pStyle w:val="320"/>
              <w:rPr>
                <w:rFonts w:ascii="宋体" w:hAnsi="宋体"/>
                <w:color w:val="000000" w:themeColor="text1"/>
                <w:sz w:val="24"/>
                <w:szCs w:val="24"/>
                <w:highlight w:val="none"/>
                <w14:textFill>
                  <w14:solidFill>
                    <w14:schemeClr w14:val="tx1"/>
                  </w14:solidFill>
                </w14:textFill>
              </w:rPr>
            </w:pPr>
          </w:p>
        </w:tc>
        <w:tc>
          <w:tcPr>
            <w:tcW w:w="1562" w:type="dxa"/>
            <w:tcBorders>
              <w:top w:val="single" w:color="000000" w:sz="4" w:space="0"/>
              <w:left w:val="nil"/>
              <w:bottom w:val="single" w:color="000000" w:sz="4" w:space="0"/>
              <w:right w:val="single" w:color="000000" w:sz="4" w:space="0"/>
            </w:tcBorders>
          </w:tcPr>
          <w:p w14:paraId="341372E4">
            <w:pPr>
              <w:pStyle w:val="320"/>
              <w:rPr>
                <w:rFonts w:ascii="宋体" w:hAnsi="宋体"/>
                <w:color w:val="000000" w:themeColor="text1"/>
                <w:sz w:val="24"/>
                <w:szCs w:val="24"/>
                <w:highlight w:val="none"/>
                <w14:textFill>
                  <w14:solidFill>
                    <w14:schemeClr w14:val="tx1"/>
                  </w14:solidFill>
                </w14:textFill>
              </w:rPr>
            </w:pPr>
          </w:p>
        </w:tc>
        <w:tc>
          <w:tcPr>
            <w:tcW w:w="1885" w:type="dxa"/>
            <w:tcBorders>
              <w:top w:val="single" w:color="000000" w:sz="4" w:space="0"/>
              <w:left w:val="nil"/>
              <w:bottom w:val="single" w:color="000000" w:sz="4" w:space="0"/>
              <w:right w:val="single" w:color="000000" w:sz="4" w:space="0"/>
            </w:tcBorders>
          </w:tcPr>
          <w:p w14:paraId="5EDA61D8">
            <w:pPr>
              <w:pStyle w:val="320"/>
              <w:rPr>
                <w:rFonts w:ascii="宋体" w:hAnsi="宋体"/>
                <w:color w:val="000000" w:themeColor="text1"/>
                <w:sz w:val="24"/>
                <w:szCs w:val="24"/>
                <w:highlight w:val="none"/>
                <w14:textFill>
                  <w14:solidFill>
                    <w14:schemeClr w14:val="tx1"/>
                  </w14:solidFill>
                </w14:textFill>
              </w:rPr>
            </w:pPr>
          </w:p>
        </w:tc>
        <w:tc>
          <w:tcPr>
            <w:tcW w:w="781" w:type="dxa"/>
            <w:tcBorders>
              <w:top w:val="single" w:color="000000" w:sz="4" w:space="0"/>
              <w:left w:val="nil"/>
              <w:bottom w:val="single" w:color="000000" w:sz="4" w:space="0"/>
              <w:right w:val="single" w:color="000000" w:sz="4" w:space="0"/>
            </w:tcBorders>
          </w:tcPr>
          <w:p w14:paraId="0A8EAC21">
            <w:pPr>
              <w:pStyle w:val="320"/>
              <w:rPr>
                <w:rFonts w:ascii="宋体" w:hAnsi="宋体"/>
                <w:color w:val="000000" w:themeColor="text1"/>
                <w:sz w:val="24"/>
                <w:szCs w:val="24"/>
                <w:highlight w:val="none"/>
                <w14:textFill>
                  <w14:solidFill>
                    <w14:schemeClr w14:val="tx1"/>
                  </w14:solidFill>
                </w14:textFill>
              </w:rPr>
            </w:pPr>
          </w:p>
        </w:tc>
      </w:tr>
      <w:tr w14:paraId="54C0BA99">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14:paraId="61461C56">
            <w:pPr>
              <w:pStyle w:val="320"/>
              <w:rPr>
                <w:rFonts w:ascii="宋体" w:hAnsi="宋体"/>
                <w:color w:val="000000" w:themeColor="text1"/>
                <w:sz w:val="24"/>
                <w:szCs w:val="24"/>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tcPr>
          <w:p w14:paraId="4C636CAC">
            <w:pPr>
              <w:pStyle w:val="320"/>
              <w:rPr>
                <w:rFonts w:ascii="宋体" w:hAnsi="宋体"/>
                <w:color w:val="000000" w:themeColor="text1"/>
                <w:sz w:val="24"/>
                <w:szCs w:val="24"/>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tcPr>
          <w:p w14:paraId="71017080">
            <w:pPr>
              <w:pStyle w:val="320"/>
              <w:rPr>
                <w:rFonts w:ascii="宋体" w:hAnsi="宋体"/>
                <w:color w:val="000000" w:themeColor="text1"/>
                <w:sz w:val="24"/>
                <w:szCs w:val="24"/>
                <w:highlight w:val="none"/>
                <w14:textFill>
                  <w14:solidFill>
                    <w14:schemeClr w14:val="tx1"/>
                  </w14:solidFill>
                </w14:textFill>
              </w:rPr>
            </w:pPr>
          </w:p>
        </w:tc>
        <w:tc>
          <w:tcPr>
            <w:tcW w:w="996" w:type="dxa"/>
            <w:tcBorders>
              <w:top w:val="single" w:color="000000" w:sz="4" w:space="0"/>
              <w:left w:val="nil"/>
              <w:bottom w:val="single" w:color="000000" w:sz="4" w:space="0"/>
              <w:right w:val="single" w:color="000000" w:sz="4" w:space="0"/>
            </w:tcBorders>
          </w:tcPr>
          <w:p w14:paraId="05CE9F56">
            <w:pPr>
              <w:pStyle w:val="320"/>
              <w:rPr>
                <w:rFonts w:ascii="宋体" w:hAnsi="宋体"/>
                <w:color w:val="000000" w:themeColor="text1"/>
                <w:sz w:val="24"/>
                <w:szCs w:val="24"/>
                <w:highlight w:val="none"/>
                <w14:textFill>
                  <w14:solidFill>
                    <w14:schemeClr w14:val="tx1"/>
                  </w14:solidFill>
                </w14:textFill>
              </w:rPr>
            </w:pPr>
          </w:p>
        </w:tc>
        <w:tc>
          <w:tcPr>
            <w:tcW w:w="750" w:type="dxa"/>
            <w:tcBorders>
              <w:top w:val="single" w:color="000000" w:sz="4" w:space="0"/>
              <w:left w:val="nil"/>
              <w:bottom w:val="single" w:color="000000" w:sz="4" w:space="0"/>
              <w:right w:val="single" w:color="000000" w:sz="4" w:space="0"/>
            </w:tcBorders>
          </w:tcPr>
          <w:p w14:paraId="1614261D">
            <w:pPr>
              <w:pStyle w:val="320"/>
              <w:rPr>
                <w:rFonts w:ascii="宋体" w:hAnsi="宋体"/>
                <w:color w:val="000000" w:themeColor="text1"/>
                <w:sz w:val="24"/>
                <w:szCs w:val="24"/>
                <w:highlight w:val="none"/>
                <w14:textFill>
                  <w14:solidFill>
                    <w14:schemeClr w14:val="tx1"/>
                  </w14:solidFill>
                </w14:textFill>
              </w:rPr>
            </w:pPr>
          </w:p>
        </w:tc>
        <w:tc>
          <w:tcPr>
            <w:tcW w:w="810" w:type="dxa"/>
            <w:tcBorders>
              <w:top w:val="single" w:color="000000" w:sz="4" w:space="0"/>
              <w:left w:val="nil"/>
              <w:bottom w:val="single" w:color="000000" w:sz="4" w:space="0"/>
              <w:right w:val="single" w:color="000000" w:sz="4" w:space="0"/>
            </w:tcBorders>
          </w:tcPr>
          <w:p w14:paraId="26E4F151">
            <w:pPr>
              <w:pStyle w:val="320"/>
              <w:rPr>
                <w:rFonts w:ascii="宋体" w:hAnsi="宋体"/>
                <w:color w:val="000000" w:themeColor="text1"/>
                <w:sz w:val="24"/>
                <w:szCs w:val="24"/>
                <w:highlight w:val="none"/>
                <w14:textFill>
                  <w14:solidFill>
                    <w14:schemeClr w14:val="tx1"/>
                  </w14:solidFill>
                </w14:textFill>
              </w:rPr>
            </w:pPr>
          </w:p>
        </w:tc>
        <w:tc>
          <w:tcPr>
            <w:tcW w:w="1562" w:type="dxa"/>
            <w:tcBorders>
              <w:top w:val="single" w:color="000000" w:sz="4" w:space="0"/>
              <w:left w:val="nil"/>
              <w:bottom w:val="single" w:color="000000" w:sz="4" w:space="0"/>
              <w:right w:val="single" w:color="000000" w:sz="4" w:space="0"/>
            </w:tcBorders>
          </w:tcPr>
          <w:p w14:paraId="6B86615F">
            <w:pPr>
              <w:pStyle w:val="320"/>
              <w:rPr>
                <w:rFonts w:ascii="宋体" w:hAnsi="宋体"/>
                <w:color w:val="000000" w:themeColor="text1"/>
                <w:sz w:val="24"/>
                <w:szCs w:val="24"/>
                <w:highlight w:val="none"/>
                <w14:textFill>
                  <w14:solidFill>
                    <w14:schemeClr w14:val="tx1"/>
                  </w14:solidFill>
                </w14:textFill>
              </w:rPr>
            </w:pPr>
          </w:p>
        </w:tc>
        <w:tc>
          <w:tcPr>
            <w:tcW w:w="1885" w:type="dxa"/>
            <w:tcBorders>
              <w:top w:val="single" w:color="000000" w:sz="4" w:space="0"/>
              <w:left w:val="nil"/>
              <w:bottom w:val="single" w:color="000000" w:sz="4" w:space="0"/>
              <w:right w:val="single" w:color="000000" w:sz="4" w:space="0"/>
            </w:tcBorders>
          </w:tcPr>
          <w:p w14:paraId="73D0BC74">
            <w:pPr>
              <w:pStyle w:val="320"/>
              <w:rPr>
                <w:rFonts w:ascii="宋体" w:hAnsi="宋体"/>
                <w:color w:val="000000" w:themeColor="text1"/>
                <w:sz w:val="24"/>
                <w:szCs w:val="24"/>
                <w:highlight w:val="none"/>
                <w14:textFill>
                  <w14:solidFill>
                    <w14:schemeClr w14:val="tx1"/>
                  </w14:solidFill>
                </w14:textFill>
              </w:rPr>
            </w:pPr>
          </w:p>
        </w:tc>
        <w:tc>
          <w:tcPr>
            <w:tcW w:w="781" w:type="dxa"/>
            <w:tcBorders>
              <w:top w:val="single" w:color="000000" w:sz="4" w:space="0"/>
              <w:left w:val="nil"/>
              <w:bottom w:val="single" w:color="000000" w:sz="4" w:space="0"/>
              <w:right w:val="single" w:color="000000" w:sz="4" w:space="0"/>
            </w:tcBorders>
          </w:tcPr>
          <w:p w14:paraId="219D672A">
            <w:pPr>
              <w:pStyle w:val="320"/>
              <w:rPr>
                <w:rFonts w:ascii="宋体" w:hAnsi="宋体"/>
                <w:color w:val="000000" w:themeColor="text1"/>
                <w:sz w:val="24"/>
                <w:szCs w:val="24"/>
                <w:highlight w:val="none"/>
                <w14:textFill>
                  <w14:solidFill>
                    <w14:schemeClr w14:val="tx1"/>
                  </w14:solidFill>
                </w14:textFill>
              </w:rPr>
            </w:pPr>
          </w:p>
        </w:tc>
      </w:tr>
      <w:tr w14:paraId="79FA09D3">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14:paraId="7F65A11F">
            <w:pPr>
              <w:pStyle w:val="320"/>
              <w:rPr>
                <w:rFonts w:ascii="宋体" w:hAnsi="宋体"/>
                <w:color w:val="000000" w:themeColor="text1"/>
                <w:sz w:val="24"/>
                <w:szCs w:val="24"/>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tcPr>
          <w:p w14:paraId="26CC9B1C">
            <w:pPr>
              <w:pStyle w:val="320"/>
              <w:rPr>
                <w:rFonts w:ascii="宋体" w:hAnsi="宋体"/>
                <w:color w:val="000000" w:themeColor="text1"/>
                <w:sz w:val="24"/>
                <w:szCs w:val="24"/>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tcPr>
          <w:p w14:paraId="2517BED5">
            <w:pPr>
              <w:pStyle w:val="320"/>
              <w:rPr>
                <w:rFonts w:ascii="宋体" w:hAnsi="宋体"/>
                <w:color w:val="000000" w:themeColor="text1"/>
                <w:sz w:val="24"/>
                <w:szCs w:val="24"/>
                <w:highlight w:val="none"/>
                <w14:textFill>
                  <w14:solidFill>
                    <w14:schemeClr w14:val="tx1"/>
                  </w14:solidFill>
                </w14:textFill>
              </w:rPr>
            </w:pPr>
          </w:p>
        </w:tc>
        <w:tc>
          <w:tcPr>
            <w:tcW w:w="996" w:type="dxa"/>
            <w:tcBorders>
              <w:top w:val="single" w:color="000000" w:sz="4" w:space="0"/>
              <w:left w:val="nil"/>
              <w:bottom w:val="single" w:color="000000" w:sz="4" w:space="0"/>
              <w:right w:val="single" w:color="000000" w:sz="4" w:space="0"/>
            </w:tcBorders>
          </w:tcPr>
          <w:p w14:paraId="038BC507">
            <w:pPr>
              <w:pStyle w:val="320"/>
              <w:rPr>
                <w:rFonts w:ascii="宋体" w:hAnsi="宋体"/>
                <w:color w:val="000000" w:themeColor="text1"/>
                <w:sz w:val="24"/>
                <w:szCs w:val="24"/>
                <w:highlight w:val="none"/>
                <w14:textFill>
                  <w14:solidFill>
                    <w14:schemeClr w14:val="tx1"/>
                  </w14:solidFill>
                </w14:textFill>
              </w:rPr>
            </w:pPr>
          </w:p>
        </w:tc>
        <w:tc>
          <w:tcPr>
            <w:tcW w:w="750" w:type="dxa"/>
            <w:tcBorders>
              <w:top w:val="single" w:color="000000" w:sz="4" w:space="0"/>
              <w:left w:val="nil"/>
              <w:bottom w:val="single" w:color="000000" w:sz="4" w:space="0"/>
              <w:right w:val="single" w:color="000000" w:sz="4" w:space="0"/>
            </w:tcBorders>
          </w:tcPr>
          <w:p w14:paraId="201422CC">
            <w:pPr>
              <w:pStyle w:val="320"/>
              <w:rPr>
                <w:rFonts w:ascii="宋体" w:hAnsi="宋体"/>
                <w:color w:val="000000" w:themeColor="text1"/>
                <w:sz w:val="24"/>
                <w:szCs w:val="24"/>
                <w:highlight w:val="none"/>
                <w14:textFill>
                  <w14:solidFill>
                    <w14:schemeClr w14:val="tx1"/>
                  </w14:solidFill>
                </w14:textFill>
              </w:rPr>
            </w:pPr>
          </w:p>
        </w:tc>
        <w:tc>
          <w:tcPr>
            <w:tcW w:w="810" w:type="dxa"/>
            <w:tcBorders>
              <w:top w:val="single" w:color="000000" w:sz="4" w:space="0"/>
              <w:left w:val="nil"/>
              <w:bottom w:val="single" w:color="000000" w:sz="4" w:space="0"/>
              <w:right w:val="single" w:color="000000" w:sz="4" w:space="0"/>
            </w:tcBorders>
          </w:tcPr>
          <w:p w14:paraId="139666CF">
            <w:pPr>
              <w:pStyle w:val="320"/>
              <w:rPr>
                <w:rFonts w:ascii="宋体" w:hAnsi="宋体"/>
                <w:color w:val="000000" w:themeColor="text1"/>
                <w:sz w:val="24"/>
                <w:szCs w:val="24"/>
                <w:highlight w:val="none"/>
                <w14:textFill>
                  <w14:solidFill>
                    <w14:schemeClr w14:val="tx1"/>
                  </w14:solidFill>
                </w14:textFill>
              </w:rPr>
            </w:pPr>
          </w:p>
        </w:tc>
        <w:tc>
          <w:tcPr>
            <w:tcW w:w="1562" w:type="dxa"/>
            <w:tcBorders>
              <w:top w:val="single" w:color="000000" w:sz="4" w:space="0"/>
              <w:left w:val="nil"/>
              <w:bottom w:val="single" w:color="000000" w:sz="4" w:space="0"/>
              <w:right w:val="single" w:color="000000" w:sz="4" w:space="0"/>
            </w:tcBorders>
          </w:tcPr>
          <w:p w14:paraId="0B95392C">
            <w:pPr>
              <w:pStyle w:val="320"/>
              <w:rPr>
                <w:rFonts w:ascii="宋体" w:hAnsi="宋体"/>
                <w:color w:val="000000" w:themeColor="text1"/>
                <w:sz w:val="24"/>
                <w:szCs w:val="24"/>
                <w:highlight w:val="none"/>
                <w14:textFill>
                  <w14:solidFill>
                    <w14:schemeClr w14:val="tx1"/>
                  </w14:solidFill>
                </w14:textFill>
              </w:rPr>
            </w:pPr>
          </w:p>
        </w:tc>
        <w:tc>
          <w:tcPr>
            <w:tcW w:w="1885" w:type="dxa"/>
            <w:tcBorders>
              <w:top w:val="single" w:color="000000" w:sz="4" w:space="0"/>
              <w:left w:val="nil"/>
              <w:bottom w:val="single" w:color="000000" w:sz="4" w:space="0"/>
              <w:right w:val="single" w:color="000000" w:sz="4" w:space="0"/>
            </w:tcBorders>
          </w:tcPr>
          <w:p w14:paraId="34A75897">
            <w:pPr>
              <w:pStyle w:val="320"/>
              <w:rPr>
                <w:rFonts w:ascii="宋体" w:hAnsi="宋体"/>
                <w:color w:val="000000" w:themeColor="text1"/>
                <w:sz w:val="24"/>
                <w:szCs w:val="24"/>
                <w:highlight w:val="none"/>
                <w14:textFill>
                  <w14:solidFill>
                    <w14:schemeClr w14:val="tx1"/>
                  </w14:solidFill>
                </w14:textFill>
              </w:rPr>
            </w:pPr>
          </w:p>
        </w:tc>
        <w:tc>
          <w:tcPr>
            <w:tcW w:w="781" w:type="dxa"/>
            <w:tcBorders>
              <w:top w:val="single" w:color="000000" w:sz="4" w:space="0"/>
              <w:left w:val="nil"/>
              <w:bottom w:val="single" w:color="000000" w:sz="4" w:space="0"/>
              <w:right w:val="single" w:color="000000" w:sz="4" w:space="0"/>
            </w:tcBorders>
          </w:tcPr>
          <w:p w14:paraId="2B744757">
            <w:pPr>
              <w:pStyle w:val="320"/>
              <w:rPr>
                <w:rFonts w:ascii="宋体" w:hAnsi="宋体"/>
                <w:color w:val="000000" w:themeColor="text1"/>
                <w:sz w:val="24"/>
                <w:szCs w:val="24"/>
                <w:highlight w:val="none"/>
                <w14:textFill>
                  <w14:solidFill>
                    <w14:schemeClr w14:val="tx1"/>
                  </w14:solidFill>
                </w14:textFill>
              </w:rPr>
            </w:pPr>
          </w:p>
        </w:tc>
      </w:tr>
    </w:tbl>
    <w:p w14:paraId="2EF9B43F">
      <w:pPr>
        <w:pStyle w:val="320"/>
        <w:rPr>
          <w:rFonts w:ascii="宋体" w:hAnsi="宋体"/>
          <w:b/>
          <w:color w:val="000000" w:themeColor="text1"/>
          <w:highlight w:val="none"/>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 xml:space="preserve"> </w:t>
      </w:r>
      <w:bookmarkStart w:id="1048" w:name="_Toc418751907"/>
      <w:bookmarkStart w:id="1049" w:name="_Toc483317226"/>
      <w:bookmarkStart w:id="1050" w:name="_Toc418752353"/>
      <w:r>
        <w:rPr>
          <w:rFonts w:hint="eastAsia" w:ascii="宋体" w:hAnsi="宋体"/>
          <w:b/>
          <w:color w:val="000000" w:themeColor="text1"/>
          <w:highlight w:val="none"/>
          <w14:textFill>
            <w14:solidFill>
              <w14:schemeClr w14:val="tx1"/>
            </w14:solidFill>
          </w14:textFill>
        </w:rPr>
        <w:t>附表三：劳动力计划表</w:t>
      </w:r>
      <w:bookmarkEnd w:id="1048"/>
      <w:bookmarkEnd w:id="1049"/>
      <w:bookmarkEnd w:id="1050"/>
    </w:p>
    <w:p w14:paraId="1DD95980">
      <w:pPr>
        <w:pStyle w:val="320"/>
        <w:jc w:val="righ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单位：人</w:t>
      </w:r>
    </w:p>
    <w:tbl>
      <w:tblPr>
        <w:tblStyle w:val="53"/>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14:paraId="3F8A03F3">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center"/>
          </w:tcPr>
          <w:p w14:paraId="3B2B6DBD">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工种</w:t>
            </w:r>
          </w:p>
        </w:tc>
        <w:tc>
          <w:tcPr>
            <w:tcW w:w="8710" w:type="dxa"/>
            <w:gridSpan w:val="7"/>
            <w:tcBorders>
              <w:top w:val="single" w:color="000000" w:sz="4" w:space="0"/>
              <w:left w:val="nil"/>
              <w:bottom w:val="single" w:color="000000" w:sz="4" w:space="0"/>
              <w:right w:val="single" w:color="000000" w:sz="4" w:space="0"/>
            </w:tcBorders>
            <w:vAlign w:val="center"/>
          </w:tcPr>
          <w:p w14:paraId="59742473">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按工程施工阶段投入劳动力情况</w:t>
            </w:r>
          </w:p>
        </w:tc>
      </w:tr>
      <w:tr w14:paraId="32BE71A6">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14:paraId="294B3C64">
            <w:pPr>
              <w:pStyle w:val="320"/>
              <w:rPr>
                <w:rFonts w:ascii="宋体" w:hAnsi="宋体"/>
                <w:color w:val="000000" w:themeColor="text1"/>
                <w:sz w:val="24"/>
                <w:szCs w:val="24"/>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tcPr>
          <w:p w14:paraId="02D43611">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4CEC26CB">
            <w:pPr>
              <w:pStyle w:val="320"/>
              <w:rPr>
                <w:rFonts w:ascii="宋体" w:hAnsi="宋体"/>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14:paraId="0F6A57A0">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3AF55BEF">
            <w:pPr>
              <w:pStyle w:val="320"/>
              <w:rPr>
                <w:rFonts w:ascii="宋体" w:hAnsi="宋体"/>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14:paraId="65C4AB47">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5EDEFDE7">
            <w:pPr>
              <w:pStyle w:val="320"/>
              <w:rPr>
                <w:rFonts w:ascii="宋体" w:hAnsi="宋体"/>
                <w:color w:val="000000" w:themeColor="text1"/>
                <w:sz w:val="24"/>
                <w:szCs w:val="24"/>
                <w:highlight w:val="none"/>
                <w14:textFill>
                  <w14:solidFill>
                    <w14:schemeClr w14:val="tx1"/>
                  </w14:solidFill>
                </w14:textFill>
              </w:rPr>
            </w:pPr>
          </w:p>
        </w:tc>
        <w:tc>
          <w:tcPr>
            <w:tcW w:w="1208" w:type="dxa"/>
            <w:tcBorders>
              <w:top w:val="single" w:color="000000" w:sz="4" w:space="0"/>
              <w:left w:val="nil"/>
              <w:bottom w:val="single" w:color="000000" w:sz="4" w:space="0"/>
              <w:right w:val="single" w:color="000000" w:sz="4" w:space="0"/>
            </w:tcBorders>
          </w:tcPr>
          <w:p w14:paraId="37A29671">
            <w:pPr>
              <w:pStyle w:val="320"/>
              <w:rPr>
                <w:rFonts w:ascii="宋体" w:hAnsi="宋体"/>
                <w:color w:val="000000" w:themeColor="text1"/>
                <w:sz w:val="24"/>
                <w:szCs w:val="24"/>
                <w:highlight w:val="none"/>
                <w14:textFill>
                  <w14:solidFill>
                    <w14:schemeClr w14:val="tx1"/>
                  </w14:solidFill>
                </w14:textFill>
              </w:rPr>
            </w:pPr>
          </w:p>
        </w:tc>
      </w:tr>
      <w:tr w14:paraId="42F8B6E8">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14:paraId="75D16E78">
            <w:pPr>
              <w:pStyle w:val="320"/>
              <w:rPr>
                <w:rFonts w:ascii="宋体" w:hAnsi="宋体"/>
                <w:color w:val="000000" w:themeColor="text1"/>
                <w:sz w:val="24"/>
                <w:szCs w:val="24"/>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tcPr>
          <w:p w14:paraId="11C3703F">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4538D900">
            <w:pPr>
              <w:pStyle w:val="320"/>
              <w:rPr>
                <w:rFonts w:ascii="宋体" w:hAnsi="宋体"/>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14:paraId="22E45271">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14ADD967">
            <w:pPr>
              <w:pStyle w:val="320"/>
              <w:rPr>
                <w:rFonts w:ascii="宋体" w:hAnsi="宋体"/>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14:paraId="4AF08B0F">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179B4E58">
            <w:pPr>
              <w:pStyle w:val="320"/>
              <w:rPr>
                <w:rFonts w:ascii="宋体" w:hAnsi="宋体"/>
                <w:color w:val="000000" w:themeColor="text1"/>
                <w:sz w:val="24"/>
                <w:szCs w:val="24"/>
                <w:highlight w:val="none"/>
                <w14:textFill>
                  <w14:solidFill>
                    <w14:schemeClr w14:val="tx1"/>
                  </w14:solidFill>
                </w14:textFill>
              </w:rPr>
            </w:pPr>
          </w:p>
        </w:tc>
        <w:tc>
          <w:tcPr>
            <w:tcW w:w="1208" w:type="dxa"/>
            <w:tcBorders>
              <w:top w:val="single" w:color="000000" w:sz="4" w:space="0"/>
              <w:left w:val="nil"/>
              <w:bottom w:val="single" w:color="000000" w:sz="4" w:space="0"/>
              <w:right w:val="single" w:color="000000" w:sz="4" w:space="0"/>
            </w:tcBorders>
          </w:tcPr>
          <w:p w14:paraId="3AAB609A">
            <w:pPr>
              <w:pStyle w:val="320"/>
              <w:rPr>
                <w:rFonts w:ascii="宋体" w:hAnsi="宋体"/>
                <w:color w:val="000000" w:themeColor="text1"/>
                <w:sz w:val="24"/>
                <w:szCs w:val="24"/>
                <w:highlight w:val="none"/>
                <w14:textFill>
                  <w14:solidFill>
                    <w14:schemeClr w14:val="tx1"/>
                  </w14:solidFill>
                </w14:textFill>
              </w:rPr>
            </w:pPr>
          </w:p>
        </w:tc>
      </w:tr>
      <w:tr w14:paraId="4064FFCA">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14:paraId="04CF371F">
            <w:pPr>
              <w:pStyle w:val="320"/>
              <w:rPr>
                <w:rFonts w:ascii="宋体" w:hAnsi="宋体"/>
                <w:color w:val="000000" w:themeColor="text1"/>
                <w:sz w:val="24"/>
                <w:szCs w:val="24"/>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tcPr>
          <w:p w14:paraId="536574C6">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25002B57">
            <w:pPr>
              <w:pStyle w:val="320"/>
              <w:rPr>
                <w:rFonts w:ascii="宋体" w:hAnsi="宋体"/>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14:paraId="39FBC8AC">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51C557F6">
            <w:pPr>
              <w:pStyle w:val="320"/>
              <w:rPr>
                <w:rFonts w:ascii="宋体" w:hAnsi="宋体"/>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14:paraId="11BAE1D1">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3BE984A2">
            <w:pPr>
              <w:pStyle w:val="320"/>
              <w:rPr>
                <w:rFonts w:ascii="宋体" w:hAnsi="宋体"/>
                <w:color w:val="000000" w:themeColor="text1"/>
                <w:sz w:val="24"/>
                <w:szCs w:val="24"/>
                <w:highlight w:val="none"/>
                <w14:textFill>
                  <w14:solidFill>
                    <w14:schemeClr w14:val="tx1"/>
                  </w14:solidFill>
                </w14:textFill>
              </w:rPr>
            </w:pPr>
          </w:p>
        </w:tc>
        <w:tc>
          <w:tcPr>
            <w:tcW w:w="1208" w:type="dxa"/>
            <w:tcBorders>
              <w:top w:val="single" w:color="000000" w:sz="4" w:space="0"/>
              <w:left w:val="nil"/>
              <w:bottom w:val="single" w:color="000000" w:sz="4" w:space="0"/>
              <w:right w:val="single" w:color="000000" w:sz="4" w:space="0"/>
            </w:tcBorders>
          </w:tcPr>
          <w:p w14:paraId="69EEE1CF">
            <w:pPr>
              <w:pStyle w:val="320"/>
              <w:rPr>
                <w:rFonts w:ascii="宋体" w:hAnsi="宋体"/>
                <w:color w:val="000000" w:themeColor="text1"/>
                <w:sz w:val="24"/>
                <w:szCs w:val="24"/>
                <w:highlight w:val="none"/>
                <w14:textFill>
                  <w14:solidFill>
                    <w14:schemeClr w14:val="tx1"/>
                  </w14:solidFill>
                </w14:textFill>
              </w:rPr>
            </w:pPr>
          </w:p>
        </w:tc>
      </w:tr>
      <w:tr w14:paraId="30CCBE6B">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14:paraId="53BF6B33">
            <w:pPr>
              <w:pStyle w:val="320"/>
              <w:rPr>
                <w:rFonts w:ascii="宋体" w:hAnsi="宋体"/>
                <w:color w:val="000000" w:themeColor="text1"/>
                <w:sz w:val="24"/>
                <w:szCs w:val="24"/>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tcPr>
          <w:p w14:paraId="03E3C5F3">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1C184226">
            <w:pPr>
              <w:pStyle w:val="320"/>
              <w:rPr>
                <w:rFonts w:ascii="宋体" w:hAnsi="宋体"/>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14:paraId="6EF060DB">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1186BB43">
            <w:pPr>
              <w:pStyle w:val="320"/>
              <w:rPr>
                <w:rFonts w:ascii="宋体" w:hAnsi="宋体"/>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14:paraId="73813373">
            <w:pPr>
              <w:pStyle w:val="320"/>
              <w:rPr>
                <w:rFonts w:ascii="宋体" w:hAnsi="宋体"/>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14:paraId="091DD4C0">
            <w:pPr>
              <w:pStyle w:val="320"/>
              <w:rPr>
                <w:rFonts w:ascii="宋体" w:hAnsi="宋体"/>
                <w:color w:val="000000" w:themeColor="text1"/>
                <w:sz w:val="24"/>
                <w:szCs w:val="24"/>
                <w:highlight w:val="none"/>
                <w14:textFill>
                  <w14:solidFill>
                    <w14:schemeClr w14:val="tx1"/>
                  </w14:solidFill>
                </w14:textFill>
              </w:rPr>
            </w:pPr>
          </w:p>
        </w:tc>
        <w:tc>
          <w:tcPr>
            <w:tcW w:w="1208" w:type="dxa"/>
            <w:tcBorders>
              <w:top w:val="single" w:color="000000" w:sz="4" w:space="0"/>
              <w:left w:val="nil"/>
              <w:bottom w:val="single" w:color="000000" w:sz="4" w:space="0"/>
              <w:right w:val="single" w:color="000000" w:sz="4" w:space="0"/>
            </w:tcBorders>
          </w:tcPr>
          <w:p w14:paraId="53C2544A">
            <w:pPr>
              <w:pStyle w:val="320"/>
              <w:rPr>
                <w:rFonts w:ascii="宋体" w:hAnsi="宋体"/>
                <w:color w:val="000000" w:themeColor="text1"/>
                <w:sz w:val="24"/>
                <w:szCs w:val="24"/>
                <w:highlight w:val="none"/>
                <w14:textFill>
                  <w14:solidFill>
                    <w14:schemeClr w14:val="tx1"/>
                  </w14:solidFill>
                </w14:textFill>
              </w:rPr>
            </w:pPr>
          </w:p>
        </w:tc>
      </w:tr>
    </w:tbl>
    <w:p w14:paraId="2A080CC3">
      <w:pPr>
        <w:pStyle w:val="320"/>
        <w:rPr>
          <w:rFonts w:ascii="宋体" w:hAnsi="宋体"/>
          <w:color w:val="000000" w:themeColor="text1"/>
          <w:sz w:val="20"/>
          <w:szCs w:val="20"/>
          <w:highlight w:val="none"/>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 xml:space="preserve"> </w:t>
      </w:r>
    </w:p>
    <w:p w14:paraId="6629330B">
      <w:pPr>
        <w:rPr>
          <w:rFonts w:ascii="宋体" w:hAnsi="宋体" w:cs="宋体"/>
          <w:b/>
          <w:color w:val="000000" w:themeColor="text1"/>
          <w:highlight w:val="none"/>
          <w14:textFill>
            <w14:solidFill>
              <w14:schemeClr w14:val="tx1"/>
            </w14:solidFill>
          </w14:textFill>
        </w:rPr>
      </w:pPr>
      <w:bookmarkStart w:id="1051" w:name="_Toc483317227"/>
      <w:bookmarkStart w:id="1052" w:name="_Toc418752354"/>
      <w:bookmarkStart w:id="1053" w:name="_Toc418751908"/>
      <w:r>
        <w:rPr>
          <w:rFonts w:hint="eastAsia" w:ascii="宋体" w:hAnsi="宋体" w:cs="宋体"/>
          <w:b/>
          <w:color w:val="000000" w:themeColor="text1"/>
          <w:highlight w:val="none"/>
          <w14:textFill>
            <w14:solidFill>
              <w14:schemeClr w14:val="tx1"/>
            </w14:solidFill>
          </w14:textFill>
        </w:rPr>
        <w:t>附表四：计划开、竣工日期和施工进度网络图或横道图</w:t>
      </w:r>
      <w:bookmarkEnd w:id="1051"/>
      <w:bookmarkEnd w:id="1052"/>
      <w:bookmarkEnd w:id="1053"/>
    </w:p>
    <w:p w14:paraId="628A69EF">
      <w:pPr>
        <w:pStyle w:val="320"/>
        <w:rPr>
          <w:rFonts w:ascii="宋体" w:hAnsi="宋体"/>
          <w:color w:val="000000" w:themeColor="text1"/>
          <w:sz w:val="20"/>
          <w:szCs w:val="20"/>
          <w:highlight w:val="none"/>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 xml:space="preserve"> </w:t>
      </w:r>
    </w:p>
    <w:p w14:paraId="36A496BC">
      <w:pPr>
        <w:pStyle w:val="320"/>
        <w:ind w:firstLine="42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1.供应商应递交施工进度网络图或横道图</w:t>
      </w:r>
      <w:r>
        <w:rPr>
          <w:rFonts w:hint="eastAsia" w:ascii="宋体" w:hAnsi="宋体"/>
          <w:color w:val="000000" w:themeColor="text1"/>
          <w:spacing w:val="1"/>
          <w:highlight w:val="none"/>
          <w14:textFill>
            <w14:solidFill>
              <w14:schemeClr w14:val="tx1"/>
            </w14:solidFill>
          </w14:textFill>
        </w:rPr>
        <w:t>，说</w:t>
      </w:r>
      <w:r>
        <w:rPr>
          <w:rFonts w:hint="eastAsia" w:ascii="宋体" w:hAnsi="宋体"/>
          <w:color w:val="000000" w:themeColor="text1"/>
          <w:spacing w:val="2"/>
          <w:highlight w:val="none"/>
          <w14:textFill>
            <w14:solidFill>
              <w14:schemeClr w14:val="tx1"/>
            </w14:solidFill>
          </w14:textFill>
        </w:rPr>
        <w:t>明</w:t>
      </w:r>
      <w:r>
        <w:rPr>
          <w:rFonts w:hint="eastAsia" w:ascii="宋体" w:hAnsi="宋体"/>
          <w:color w:val="000000" w:themeColor="text1"/>
          <w:spacing w:val="1"/>
          <w:highlight w:val="none"/>
          <w14:textFill>
            <w14:solidFill>
              <w14:schemeClr w14:val="tx1"/>
            </w14:solidFill>
          </w14:textFill>
        </w:rPr>
        <w:t>按</w:t>
      </w:r>
      <w:r>
        <w:rPr>
          <w:rFonts w:hint="eastAsia" w:ascii="宋体" w:hAnsi="宋体"/>
          <w:color w:val="000000" w:themeColor="text1"/>
          <w:spacing w:val="2"/>
          <w:highlight w:val="none"/>
          <w14:textFill>
            <w14:solidFill>
              <w14:schemeClr w14:val="tx1"/>
            </w14:solidFill>
          </w14:textFill>
        </w:rPr>
        <w:t>竞争性磋商</w:t>
      </w:r>
      <w:r>
        <w:rPr>
          <w:rFonts w:hint="eastAsia" w:ascii="宋体" w:hAnsi="宋体"/>
          <w:color w:val="000000" w:themeColor="text1"/>
          <w:spacing w:val="1"/>
          <w:highlight w:val="none"/>
          <w14:textFill>
            <w14:solidFill>
              <w14:schemeClr w14:val="tx1"/>
            </w14:solidFill>
          </w14:textFill>
        </w:rPr>
        <w:t>文</w:t>
      </w:r>
      <w:r>
        <w:rPr>
          <w:rFonts w:hint="eastAsia" w:ascii="宋体" w:hAnsi="宋体"/>
          <w:color w:val="000000" w:themeColor="text1"/>
          <w:spacing w:val="2"/>
          <w:highlight w:val="none"/>
          <w14:textFill>
            <w14:solidFill>
              <w14:schemeClr w14:val="tx1"/>
            </w14:solidFill>
          </w14:textFill>
        </w:rPr>
        <w:t>件</w:t>
      </w:r>
      <w:r>
        <w:rPr>
          <w:rFonts w:hint="eastAsia" w:ascii="宋体" w:hAnsi="宋体"/>
          <w:color w:val="000000" w:themeColor="text1"/>
          <w:spacing w:val="1"/>
          <w:highlight w:val="none"/>
          <w14:textFill>
            <w14:solidFill>
              <w14:schemeClr w14:val="tx1"/>
            </w14:solidFill>
          </w14:textFill>
        </w:rPr>
        <w:t>要</w:t>
      </w:r>
      <w:r>
        <w:rPr>
          <w:rFonts w:hint="eastAsia" w:ascii="宋体" w:hAnsi="宋体"/>
          <w:color w:val="000000" w:themeColor="text1"/>
          <w:spacing w:val="2"/>
          <w:highlight w:val="none"/>
          <w14:textFill>
            <w14:solidFill>
              <w14:schemeClr w14:val="tx1"/>
            </w14:solidFill>
          </w14:textFill>
        </w:rPr>
        <w:t>求</w:t>
      </w:r>
      <w:r>
        <w:rPr>
          <w:rFonts w:hint="eastAsia" w:ascii="宋体" w:hAnsi="宋体"/>
          <w:color w:val="000000" w:themeColor="text1"/>
          <w:spacing w:val="1"/>
          <w:highlight w:val="none"/>
          <w14:textFill>
            <w14:solidFill>
              <w14:schemeClr w14:val="tx1"/>
            </w14:solidFill>
          </w14:textFill>
        </w:rPr>
        <w:t>的计</w:t>
      </w:r>
      <w:r>
        <w:rPr>
          <w:rFonts w:hint="eastAsia" w:ascii="宋体" w:hAnsi="宋体"/>
          <w:color w:val="000000" w:themeColor="text1"/>
          <w:spacing w:val="2"/>
          <w:highlight w:val="none"/>
          <w14:textFill>
            <w14:solidFill>
              <w14:schemeClr w14:val="tx1"/>
            </w14:solidFill>
          </w14:textFill>
        </w:rPr>
        <w:t>划</w:t>
      </w:r>
      <w:r>
        <w:rPr>
          <w:rFonts w:hint="eastAsia" w:ascii="宋体" w:hAnsi="宋体"/>
          <w:color w:val="000000" w:themeColor="text1"/>
          <w:spacing w:val="1"/>
          <w:highlight w:val="none"/>
          <w14:textFill>
            <w14:solidFill>
              <w14:schemeClr w14:val="tx1"/>
            </w14:solidFill>
          </w14:textFill>
        </w:rPr>
        <w:t>工</w:t>
      </w:r>
      <w:r>
        <w:rPr>
          <w:rFonts w:hint="eastAsia" w:ascii="宋体" w:hAnsi="宋体"/>
          <w:color w:val="000000" w:themeColor="text1"/>
          <w:spacing w:val="4"/>
          <w:highlight w:val="none"/>
          <w14:textFill>
            <w14:solidFill>
              <w14:schemeClr w14:val="tx1"/>
            </w14:solidFill>
          </w14:textFill>
        </w:rPr>
        <w:t>期</w:t>
      </w:r>
      <w:r>
        <w:rPr>
          <w:rFonts w:hint="eastAsia" w:ascii="宋体" w:hAnsi="宋体"/>
          <w:color w:val="000000" w:themeColor="text1"/>
          <w:spacing w:val="2"/>
          <w:highlight w:val="none"/>
          <w14:textFill>
            <w14:solidFill>
              <w14:schemeClr w14:val="tx1"/>
            </w14:solidFill>
          </w14:textFill>
        </w:rPr>
        <w:t>进</w:t>
      </w:r>
      <w:r>
        <w:rPr>
          <w:rFonts w:hint="eastAsia" w:ascii="宋体" w:hAnsi="宋体"/>
          <w:color w:val="000000" w:themeColor="text1"/>
          <w:spacing w:val="1"/>
          <w:highlight w:val="none"/>
          <w14:textFill>
            <w14:solidFill>
              <w14:schemeClr w14:val="tx1"/>
            </w14:solidFill>
          </w14:textFill>
        </w:rPr>
        <w:t>行</w:t>
      </w:r>
      <w:r>
        <w:rPr>
          <w:rFonts w:hint="eastAsia" w:ascii="宋体" w:hAnsi="宋体"/>
          <w:color w:val="000000" w:themeColor="text1"/>
          <w:highlight w:val="none"/>
          <w14:textFill>
            <w14:solidFill>
              <w14:schemeClr w14:val="tx1"/>
            </w14:solidFill>
          </w14:textFill>
        </w:rPr>
        <w:t>施工的各个关键日期。</w:t>
      </w:r>
    </w:p>
    <w:p w14:paraId="41443ABC">
      <w:pPr>
        <w:pStyle w:val="320"/>
        <w:ind w:firstLine="42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2.计划开工日期：自合同签订之日起至2024年  月  日。</w:t>
      </w:r>
    </w:p>
    <w:p w14:paraId="46FD447A">
      <w:pPr>
        <w:pStyle w:val="320"/>
        <w:rPr>
          <w:rFonts w:ascii="宋体" w:hAnsi="宋体"/>
          <w:color w:val="000000" w:themeColor="text1"/>
          <w:sz w:val="20"/>
          <w:szCs w:val="20"/>
          <w:highlight w:val="none"/>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 xml:space="preserve"> </w:t>
      </w:r>
    </w:p>
    <w:p w14:paraId="0D16023C">
      <w:pPr>
        <w:rPr>
          <w:rFonts w:ascii="宋体" w:hAnsi="宋体" w:cs="宋体"/>
          <w:b/>
          <w:color w:val="000000" w:themeColor="text1"/>
          <w:highlight w:val="none"/>
          <w14:textFill>
            <w14:solidFill>
              <w14:schemeClr w14:val="tx1"/>
            </w14:solidFill>
          </w14:textFill>
        </w:rPr>
      </w:pPr>
      <w:bookmarkStart w:id="1054" w:name="_Toc418752355"/>
      <w:bookmarkStart w:id="1055" w:name="_Toc483317228"/>
      <w:bookmarkStart w:id="1056" w:name="_Toc418751909"/>
      <w:r>
        <w:rPr>
          <w:rFonts w:hint="eastAsia" w:ascii="宋体" w:hAnsi="宋体" w:cs="宋体"/>
          <w:b/>
          <w:color w:val="000000" w:themeColor="text1"/>
          <w:highlight w:val="none"/>
          <w14:textFill>
            <w14:solidFill>
              <w14:schemeClr w14:val="tx1"/>
            </w14:solidFill>
          </w14:textFill>
        </w:rPr>
        <w:t>附表五：施工总平面图</w:t>
      </w:r>
      <w:bookmarkEnd w:id="1054"/>
      <w:bookmarkEnd w:id="1055"/>
      <w:bookmarkEnd w:id="1056"/>
    </w:p>
    <w:p w14:paraId="5C22D09E">
      <w:pPr>
        <w:pStyle w:val="320"/>
        <w:rPr>
          <w:rFonts w:ascii="宋体" w:hAnsi="宋体"/>
          <w:color w:val="000000" w:themeColor="text1"/>
          <w:sz w:val="20"/>
          <w:szCs w:val="20"/>
          <w:highlight w:val="none"/>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 xml:space="preserve"> </w:t>
      </w:r>
    </w:p>
    <w:p w14:paraId="276DC273">
      <w:pPr>
        <w:pStyle w:val="320"/>
        <w:ind w:firstLine="42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供应商应递交一份施工总平面图</w:t>
      </w:r>
      <w:r>
        <w:rPr>
          <w:rFonts w:hint="eastAsia" w:ascii="宋体" w:hAnsi="宋体"/>
          <w:color w:val="000000" w:themeColor="text1"/>
          <w:spacing w:val="-47"/>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绘出现场临时设施布置图表并附文字说明</w:t>
      </w:r>
      <w:r>
        <w:rPr>
          <w:rFonts w:hint="eastAsia" w:ascii="宋体" w:hAnsi="宋体"/>
          <w:color w:val="000000" w:themeColor="text1"/>
          <w:spacing w:val="-47"/>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说明临时设施</w:t>
      </w:r>
      <w:r>
        <w:rPr>
          <w:rFonts w:hint="eastAsia" w:ascii="宋体" w:hAnsi="宋体"/>
          <w:color w:val="000000" w:themeColor="text1"/>
          <w:spacing w:val="-1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加工车间</w:t>
      </w:r>
      <w:r>
        <w:rPr>
          <w:rFonts w:hint="eastAsia" w:ascii="宋体" w:hAnsi="宋体"/>
          <w:color w:val="000000" w:themeColor="text1"/>
          <w:spacing w:val="-1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现场办公</w:t>
      </w:r>
      <w:r>
        <w:rPr>
          <w:rFonts w:hint="eastAsia" w:ascii="宋体" w:hAnsi="宋体"/>
          <w:color w:val="000000" w:themeColor="text1"/>
          <w:spacing w:val="-1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设备及仓储</w:t>
      </w:r>
      <w:r>
        <w:rPr>
          <w:rFonts w:hint="eastAsia" w:ascii="宋体" w:hAnsi="宋体"/>
          <w:color w:val="000000" w:themeColor="text1"/>
          <w:spacing w:val="-1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供电</w:t>
      </w:r>
      <w:r>
        <w:rPr>
          <w:rFonts w:hint="eastAsia" w:ascii="宋体" w:hAnsi="宋体"/>
          <w:color w:val="000000" w:themeColor="text1"/>
          <w:spacing w:val="-1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供水</w:t>
      </w:r>
      <w:r>
        <w:rPr>
          <w:rFonts w:hint="eastAsia" w:ascii="宋体" w:hAnsi="宋体"/>
          <w:color w:val="000000" w:themeColor="text1"/>
          <w:spacing w:val="-10"/>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卫生</w:t>
      </w:r>
      <w:r>
        <w:rPr>
          <w:rFonts w:hint="eastAsia" w:ascii="宋体" w:hAnsi="宋体"/>
          <w:color w:val="000000" w:themeColor="text1"/>
          <w:spacing w:val="-1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生活</w:t>
      </w:r>
      <w:r>
        <w:rPr>
          <w:rFonts w:hint="eastAsia" w:ascii="宋体" w:hAnsi="宋体"/>
          <w:color w:val="000000" w:themeColor="text1"/>
          <w:spacing w:val="-1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道路</w:t>
      </w:r>
      <w:r>
        <w:rPr>
          <w:rFonts w:hint="eastAsia" w:ascii="宋体" w:hAnsi="宋体"/>
          <w:color w:val="000000" w:themeColor="text1"/>
          <w:spacing w:val="-11"/>
          <w:highlight w:val="none"/>
          <w14:textFill>
            <w14:solidFill>
              <w14:schemeClr w14:val="tx1"/>
            </w14:solidFill>
          </w14:textFill>
        </w:rPr>
        <w:t>、</w:t>
      </w:r>
      <w:r>
        <w:rPr>
          <w:rFonts w:hint="eastAsia" w:ascii="宋体" w:hAnsi="宋体"/>
          <w:color w:val="000000" w:themeColor="text1"/>
          <w:spacing w:val="1"/>
          <w:highlight w:val="none"/>
          <w14:textFill>
            <w14:solidFill>
              <w14:schemeClr w14:val="tx1"/>
            </w14:solidFill>
          </w14:textFill>
        </w:rPr>
        <w:t>消</w:t>
      </w:r>
      <w:r>
        <w:rPr>
          <w:rFonts w:hint="eastAsia" w:ascii="宋体" w:hAnsi="宋体"/>
          <w:color w:val="000000" w:themeColor="text1"/>
          <w:highlight w:val="none"/>
          <w14:textFill>
            <w14:solidFill>
              <w14:schemeClr w14:val="tx1"/>
            </w14:solidFill>
          </w14:textFill>
        </w:rPr>
        <w:t>防等设施的情况和布置。</w:t>
      </w:r>
    </w:p>
    <w:p w14:paraId="2F68D0A1">
      <w:pPr>
        <w:pStyle w:val="320"/>
        <w:rPr>
          <w:rFonts w:ascii="宋体" w:hAnsi="宋体"/>
          <w:color w:val="000000" w:themeColor="text1"/>
          <w:sz w:val="20"/>
          <w:szCs w:val="20"/>
          <w:highlight w:val="none"/>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 xml:space="preserve"> </w:t>
      </w:r>
    </w:p>
    <w:p w14:paraId="0F778A1F">
      <w:pPr>
        <w:rPr>
          <w:rFonts w:ascii="宋体" w:hAnsi="宋体" w:cs="宋体"/>
          <w:b/>
          <w:color w:val="000000" w:themeColor="text1"/>
          <w:highlight w:val="none"/>
          <w14:textFill>
            <w14:solidFill>
              <w14:schemeClr w14:val="tx1"/>
            </w14:solidFill>
          </w14:textFill>
        </w:rPr>
      </w:pPr>
      <w:bookmarkStart w:id="1057" w:name="_Toc483317229"/>
      <w:bookmarkStart w:id="1058" w:name="_Toc418751910"/>
      <w:bookmarkStart w:id="1059" w:name="_Toc418752356"/>
      <w:r>
        <w:rPr>
          <w:rFonts w:hint="eastAsia" w:ascii="宋体" w:hAnsi="宋体" w:cs="宋体"/>
          <w:b/>
          <w:color w:val="000000" w:themeColor="text1"/>
          <w:highlight w:val="none"/>
          <w14:textFill>
            <w14:solidFill>
              <w14:schemeClr w14:val="tx1"/>
            </w14:solidFill>
          </w14:textFill>
        </w:rPr>
        <w:t>附表六：临时用地表</w:t>
      </w:r>
      <w:bookmarkEnd w:id="1057"/>
      <w:bookmarkEnd w:id="1058"/>
      <w:bookmarkEnd w:id="1059"/>
    </w:p>
    <w:tbl>
      <w:tblPr>
        <w:tblStyle w:val="53"/>
        <w:tblW w:w="9648" w:type="dxa"/>
        <w:tblInd w:w="-5" w:type="dxa"/>
        <w:tblLayout w:type="fixed"/>
        <w:tblCellMar>
          <w:top w:w="0" w:type="dxa"/>
          <w:left w:w="0" w:type="dxa"/>
          <w:bottom w:w="0" w:type="dxa"/>
          <w:right w:w="0" w:type="dxa"/>
        </w:tblCellMar>
      </w:tblPr>
      <w:tblGrid>
        <w:gridCol w:w="2412"/>
        <w:gridCol w:w="2412"/>
        <w:gridCol w:w="2412"/>
        <w:gridCol w:w="2412"/>
      </w:tblGrid>
      <w:tr w14:paraId="04B334E6">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center"/>
          </w:tcPr>
          <w:p w14:paraId="0C07E86B">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用 </w:t>
            </w:r>
            <w:r>
              <w:rPr>
                <w:rFonts w:hint="eastAsia" w:ascii="宋体" w:hAnsi="宋体"/>
                <w:color w:val="000000" w:themeColor="text1"/>
                <w:spacing w:val="1"/>
                <w:highlight w:val="non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途</w:t>
            </w:r>
          </w:p>
        </w:tc>
        <w:tc>
          <w:tcPr>
            <w:tcW w:w="2412" w:type="dxa"/>
            <w:tcBorders>
              <w:top w:val="single" w:color="000000" w:sz="4" w:space="0"/>
              <w:left w:val="nil"/>
              <w:bottom w:val="single" w:color="000000" w:sz="4" w:space="0"/>
              <w:right w:val="single" w:color="000000" w:sz="4" w:space="0"/>
            </w:tcBorders>
            <w:vAlign w:val="center"/>
          </w:tcPr>
          <w:p w14:paraId="5E806BE2">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面 </w:t>
            </w:r>
            <w:r>
              <w:rPr>
                <w:rFonts w:hint="eastAsia" w:ascii="宋体" w:hAnsi="宋体"/>
                <w:color w:val="000000" w:themeColor="text1"/>
                <w:spacing w:val="1"/>
                <w:highlight w:val="non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积（平</w:t>
            </w:r>
            <w:r>
              <w:rPr>
                <w:rFonts w:hint="eastAsia" w:ascii="宋体" w:hAnsi="宋体"/>
                <w:color w:val="000000" w:themeColor="text1"/>
                <w:spacing w:val="-1"/>
                <w:highlight w:val="none"/>
                <w14:textFill>
                  <w14:solidFill>
                    <w14:schemeClr w14:val="tx1"/>
                  </w14:solidFill>
                </w14:textFill>
              </w:rPr>
              <w:t>方</w:t>
            </w:r>
            <w:r>
              <w:rPr>
                <w:rFonts w:hint="eastAsia" w:ascii="宋体" w:hAnsi="宋体"/>
                <w:color w:val="000000" w:themeColor="text1"/>
                <w:highlight w:val="none"/>
                <w14:textFill>
                  <w14:solidFill>
                    <w14:schemeClr w14:val="tx1"/>
                  </w14:solidFill>
                </w14:textFill>
              </w:rPr>
              <w:t>米）</w:t>
            </w:r>
          </w:p>
        </w:tc>
        <w:tc>
          <w:tcPr>
            <w:tcW w:w="2412" w:type="dxa"/>
            <w:tcBorders>
              <w:top w:val="single" w:color="000000" w:sz="4" w:space="0"/>
              <w:left w:val="nil"/>
              <w:bottom w:val="single" w:color="000000" w:sz="4" w:space="0"/>
              <w:right w:val="single" w:color="000000" w:sz="4" w:space="0"/>
            </w:tcBorders>
            <w:vAlign w:val="center"/>
          </w:tcPr>
          <w:p w14:paraId="0CBD426F">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位 </w:t>
            </w:r>
            <w:r>
              <w:rPr>
                <w:rFonts w:hint="eastAsia" w:ascii="宋体" w:hAnsi="宋体"/>
                <w:color w:val="000000" w:themeColor="text1"/>
                <w:spacing w:val="1"/>
                <w:highlight w:val="none"/>
                <w14:textFill>
                  <w14:solidFill>
                    <w14:schemeClr w14:val="tx1"/>
                  </w14:solidFill>
                </w14:textFill>
              </w:rPr>
              <w:t> </w:t>
            </w:r>
            <w:r>
              <w:rPr>
                <w:rFonts w:hint="eastAsia" w:ascii="宋体" w:hAnsi="宋体"/>
                <w:color w:val="000000" w:themeColor="text1"/>
                <w:highlight w:val="none"/>
                <w14:textFill>
                  <w14:solidFill>
                    <w14:schemeClr w14:val="tx1"/>
                  </w14:solidFill>
                </w14:textFill>
              </w:rPr>
              <w:t>置</w:t>
            </w:r>
          </w:p>
        </w:tc>
        <w:tc>
          <w:tcPr>
            <w:tcW w:w="2412" w:type="dxa"/>
            <w:tcBorders>
              <w:top w:val="single" w:color="000000" w:sz="4" w:space="0"/>
              <w:left w:val="nil"/>
              <w:bottom w:val="single" w:color="000000" w:sz="4" w:space="0"/>
              <w:right w:val="single" w:color="000000" w:sz="4" w:space="0"/>
            </w:tcBorders>
            <w:vAlign w:val="center"/>
          </w:tcPr>
          <w:p w14:paraId="2940DAC3">
            <w:pPr>
              <w:pStyle w:val="32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需用时间</w:t>
            </w:r>
          </w:p>
        </w:tc>
      </w:tr>
      <w:tr w14:paraId="6AC3FEC4">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tcPr>
          <w:p w14:paraId="0C2E6537">
            <w:pPr>
              <w:pStyle w:val="320"/>
              <w:rPr>
                <w:rFonts w:ascii="宋体" w:hAnsi="宋体"/>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14:paraId="114F73C3">
            <w:pPr>
              <w:pStyle w:val="320"/>
              <w:rPr>
                <w:rFonts w:ascii="宋体" w:hAnsi="宋体"/>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14:paraId="031B09B5">
            <w:pPr>
              <w:pStyle w:val="320"/>
              <w:rPr>
                <w:rFonts w:ascii="宋体" w:hAnsi="宋体"/>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14:paraId="7C46947A">
            <w:pPr>
              <w:pStyle w:val="320"/>
              <w:rPr>
                <w:rFonts w:ascii="宋体" w:hAnsi="宋体"/>
                <w:color w:val="000000" w:themeColor="text1"/>
                <w:sz w:val="24"/>
                <w:szCs w:val="24"/>
                <w:highlight w:val="none"/>
                <w14:textFill>
                  <w14:solidFill>
                    <w14:schemeClr w14:val="tx1"/>
                  </w14:solidFill>
                </w14:textFill>
              </w:rPr>
            </w:pPr>
          </w:p>
        </w:tc>
      </w:tr>
      <w:tr w14:paraId="0F8641F7">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tcPr>
          <w:p w14:paraId="284BF7F2">
            <w:pPr>
              <w:pStyle w:val="320"/>
              <w:rPr>
                <w:rFonts w:ascii="宋体" w:hAnsi="宋体"/>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14:paraId="2BCB6C61">
            <w:pPr>
              <w:pStyle w:val="320"/>
              <w:rPr>
                <w:rFonts w:ascii="宋体" w:hAnsi="宋体"/>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14:paraId="49950349">
            <w:pPr>
              <w:pStyle w:val="320"/>
              <w:rPr>
                <w:rFonts w:ascii="宋体" w:hAnsi="宋体"/>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14:paraId="0119A900">
            <w:pPr>
              <w:pStyle w:val="320"/>
              <w:rPr>
                <w:rFonts w:ascii="宋体" w:hAnsi="宋体"/>
                <w:color w:val="000000" w:themeColor="text1"/>
                <w:sz w:val="24"/>
                <w:szCs w:val="24"/>
                <w:highlight w:val="none"/>
                <w14:textFill>
                  <w14:solidFill>
                    <w14:schemeClr w14:val="tx1"/>
                  </w14:solidFill>
                </w14:textFill>
              </w:rPr>
            </w:pPr>
          </w:p>
        </w:tc>
      </w:tr>
      <w:tr w14:paraId="6A8F01CA">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tcPr>
          <w:p w14:paraId="61394893">
            <w:pPr>
              <w:pStyle w:val="320"/>
              <w:rPr>
                <w:rFonts w:ascii="宋体" w:hAnsi="宋体"/>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14:paraId="4CCE0966">
            <w:pPr>
              <w:pStyle w:val="320"/>
              <w:rPr>
                <w:rFonts w:ascii="宋体" w:hAnsi="宋体"/>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14:paraId="61CEAEA1">
            <w:pPr>
              <w:pStyle w:val="320"/>
              <w:rPr>
                <w:rFonts w:ascii="宋体" w:hAnsi="宋体"/>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14:paraId="195080D8">
            <w:pPr>
              <w:pStyle w:val="320"/>
              <w:rPr>
                <w:rFonts w:ascii="宋体" w:hAnsi="宋体"/>
                <w:color w:val="000000" w:themeColor="text1"/>
                <w:sz w:val="24"/>
                <w:szCs w:val="24"/>
                <w:highlight w:val="none"/>
                <w14:textFill>
                  <w14:solidFill>
                    <w14:schemeClr w14:val="tx1"/>
                  </w14:solidFill>
                </w14:textFill>
              </w:rPr>
            </w:pPr>
          </w:p>
        </w:tc>
      </w:tr>
    </w:tbl>
    <w:p w14:paraId="764219FE">
      <w:pPr>
        <w:pStyle w:val="320"/>
        <w:rPr>
          <w:rFonts w:ascii="宋体" w:hAnsi="宋体"/>
          <w:color w:val="000000" w:themeColor="text1"/>
          <w:sz w:val="20"/>
          <w:szCs w:val="20"/>
          <w:highlight w:val="none"/>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 xml:space="preserve"> </w:t>
      </w:r>
    </w:p>
    <w:p w14:paraId="38171A00">
      <w:pPr>
        <w:pStyle w:val="32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272B16C4">
      <w:pPr>
        <w:pStyle w:val="320"/>
        <w:rPr>
          <w:rFonts w:ascii="宋体" w:hAnsi="宋体"/>
          <w:color w:val="000000" w:themeColor="text1"/>
          <w:highlight w:val="none"/>
          <w14:textFill>
            <w14:solidFill>
              <w14:schemeClr w14:val="tx1"/>
            </w14:solidFill>
          </w14:textFill>
        </w:rPr>
      </w:pPr>
    </w:p>
    <w:p w14:paraId="5895970B">
      <w:pPr>
        <w:pStyle w:val="12"/>
        <w:ind w:left="0" w:leftChars="0"/>
        <w:rPr>
          <w:color w:val="000000" w:themeColor="text1"/>
          <w:highlight w:val="none"/>
          <w14:textFill>
            <w14:solidFill>
              <w14:schemeClr w14:val="tx1"/>
            </w14:solidFill>
          </w14:textFill>
        </w:rPr>
      </w:pPr>
    </w:p>
    <w:p w14:paraId="0CC8C3F0">
      <w:pPr>
        <w:widowControl/>
        <w:jc w:val="left"/>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磋商供应商[公章(CA签章)，自然人签字或个人CA签章]：</w:t>
      </w:r>
      <w:r>
        <w:rPr>
          <w:rFonts w:hint="eastAsia" w:ascii="宋体" w:hAnsi="宋体" w:cs="宋体"/>
          <w:b/>
          <w:bCs/>
          <w:color w:val="000000" w:themeColor="text1"/>
          <w:szCs w:val="21"/>
          <w:highlight w:val="none"/>
          <w:u w:val="single"/>
          <w14:textFill>
            <w14:solidFill>
              <w14:schemeClr w14:val="tx1"/>
            </w14:solidFill>
          </w14:textFill>
        </w:rPr>
        <w:t xml:space="preserve">                                 </w:t>
      </w:r>
    </w:p>
    <w:p w14:paraId="68E0D944">
      <w:pPr>
        <w:widowControl/>
        <w:jc w:val="left"/>
        <w:rPr>
          <w:rFonts w:ascii="宋体" w:hAnsi="宋体" w:cs="宋体"/>
          <w:b/>
          <w:bCs/>
          <w:color w:val="000000" w:themeColor="text1"/>
          <w:szCs w:val="21"/>
          <w:highlight w:val="none"/>
          <w14:textFill>
            <w14:solidFill>
              <w14:schemeClr w14:val="tx1"/>
            </w14:solidFill>
          </w14:textFill>
        </w:rPr>
      </w:pPr>
    </w:p>
    <w:p w14:paraId="590264BF">
      <w:pPr>
        <w:snapToGrid w:val="0"/>
        <w:spacing w:line="300" w:lineRule="exact"/>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日          期：</w:t>
      </w:r>
      <w:r>
        <w:rPr>
          <w:rFonts w:hint="eastAsia" w:ascii="宋体" w:hAnsi="宋体" w:cs="宋体"/>
          <w:b/>
          <w:bCs/>
          <w:color w:val="000000" w:themeColor="text1"/>
          <w:highlight w:val="none"/>
          <w:u w:val="single"/>
          <w14:textFill>
            <w14:solidFill>
              <w14:schemeClr w14:val="tx1"/>
            </w14:solidFill>
          </w14:textFill>
        </w:rPr>
        <w:t xml:space="preserve">                              </w:t>
      </w:r>
    </w:p>
    <w:p w14:paraId="200B4B39">
      <w:pPr>
        <w:ind w:firstLine="1470" w:firstLineChars="700"/>
        <w:rPr>
          <w:color w:val="000000" w:themeColor="text1"/>
          <w:highlight w:val="none"/>
          <w14:textFill>
            <w14:solidFill>
              <w14:schemeClr w14:val="tx1"/>
            </w14:solidFill>
          </w14:textFill>
        </w:rPr>
      </w:pPr>
    </w:p>
    <w:p w14:paraId="23D4B687">
      <w:pPr>
        <w:pStyle w:val="27"/>
        <w:spacing w:line="340" w:lineRule="exact"/>
        <w:rPr>
          <w:rFonts w:hAnsi="宋体" w:cs="宋体"/>
          <w:b/>
          <w:color w:val="000000" w:themeColor="text1"/>
          <w:sz w:val="28"/>
          <w:szCs w:val="28"/>
          <w:highlight w:val="none"/>
          <w14:textFill>
            <w14:solidFill>
              <w14:schemeClr w14:val="tx1"/>
            </w14:solidFill>
          </w14:textFill>
        </w:rPr>
      </w:pPr>
    </w:p>
    <w:p w14:paraId="25598BBB">
      <w:pPr>
        <w:spacing w:line="400" w:lineRule="exact"/>
        <w:outlineLvl w:val="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bookmarkStart w:id="1060" w:name="_Toc226"/>
      <w:bookmarkStart w:id="1061" w:name="_Toc1099"/>
      <w:bookmarkStart w:id="1062" w:name="_Toc15169"/>
      <w:bookmarkStart w:id="1063" w:name="_Toc18938"/>
      <w:bookmarkStart w:id="1064" w:name="_Toc4253"/>
      <w:bookmarkStart w:id="1065" w:name="_Toc30270"/>
      <w:r>
        <w:rPr>
          <w:rFonts w:hint="eastAsia" w:ascii="宋体" w:hAnsi="宋体" w:cs="宋体"/>
          <w:b/>
          <w:color w:val="000000" w:themeColor="text1"/>
          <w:sz w:val="28"/>
          <w:szCs w:val="28"/>
          <w:highlight w:val="none"/>
          <w:lang w:val="en-US" w:eastAsia="zh-CN"/>
          <w14:textFill>
            <w14:solidFill>
              <w14:schemeClr w14:val="tx1"/>
            </w14:solidFill>
          </w14:textFill>
        </w:rPr>
        <w:t>7</w:t>
      </w:r>
      <w:r>
        <w:rPr>
          <w:rFonts w:hint="eastAsia" w:ascii="宋体" w:hAnsi="宋体" w:cs="宋体"/>
          <w:b/>
          <w:color w:val="000000" w:themeColor="text1"/>
          <w:sz w:val="28"/>
          <w:szCs w:val="28"/>
          <w:highlight w:val="none"/>
          <w14:textFill>
            <w14:solidFill>
              <w14:schemeClr w14:val="tx1"/>
            </w14:solidFill>
          </w14:textFill>
        </w:rPr>
        <w:t>.工程</w:t>
      </w:r>
      <w:r>
        <w:rPr>
          <w:rFonts w:hint="eastAsia" w:ascii="宋体" w:hAnsi="宋体" w:cs="宋体"/>
          <w:b/>
          <w:bCs/>
          <w:color w:val="000000" w:themeColor="text1"/>
          <w:sz w:val="28"/>
          <w:szCs w:val="28"/>
          <w:highlight w:val="none"/>
          <w14:textFill>
            <w14:solidFill>
              <w14:schemeClr w14:val="tx1"/>
            </w14:solidFill>
          </w14:textFill>
        </w:rPr>
        <w:t>完工</w:t>
      </w:r>
      <w:r>
        <w:rPr>
          <w:rFonts w:hint="eastAsia" w:ascii="宋体" w:hAnsi="宋体" w:cs="宋体"/>
          <w:b/>
          <w:color w:val="000000" w:themeColor="text1"/>
          <w:sz w:val="28"/>
          <w:szCs w:val="28"/>
          <w:highlight w:val="none"/>
          <w14:textFill>
            <w14:solidFill>
              <w14:schemeClr w14:val="tx1"/>
            </w14:solidFill>
          </w14:textFill>
        </w:rPr>
        <w:t>服务承诺书（必须提供）；</w:t>
      </w:r>
      <w:bookmarkEnd w:id="1060"/>
      <w:bookmarkEnd w:id="1061"/>
      <w:bookmarkEnd w:id="1062"/>
      <w:bookmarkEnd w:id="1063"/>
      <w:bookmarkEnd w:id="1064"/>
      <w:bookmarkEnd w:id="1065"/>
    </w:p>
    <w:p w14:paraId="28050B32">
      <w:pPr>
        <w:spacing w:line="360" w:lineRule="auto"/>
        <w:jc w:val="center"/>
        <w:rPr>
          <w:rFonts w:ascii="宋体" w:hAnsi="宋体" w:cs="宋体"/>
          <w:b/>
          <w:color w:val="000000" w:themeColor="text1"/>
          <w:sz w:val="24"/>
          <w:highlight w:val="none"/>
          <w14:textFill>
            <w14:solidFill>
              <w14:schemeClr w14:val="tx1"/>
            </w14:solidFill>
          </w14:textFill>
        </w:rPr>
      </w:pPr>
    </w:p>
    <w:p w14:paraId="142017A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工程完工服务承诺书（格式）</w:t>
      </w:r>
    </w:p>
    <w:p w14:paraId="45115BEE">
      <w:pPr>
        <w:pStyle w:val="27"/>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（由</w:t>
      </w:r>
      <w:r>
        <w:rPr>
          <w:rFonts w:hint="eastAsia" w:hAnsi="宋体" w:cs="宋体"/>
          <w:color w:val="000000" w:themeColor="text1"/>
          <w:szCs w:val="21"/>
          <w:highlight w:val="none"/>
          <w14:textFill>
            <w14:solidFill>
              <w14:schemeClr w14:val="tx1"/>
            </w14:solidFill>
          </w14:textFill>
        </w:rPr>
        <w:t>供应商</w:t>
      </w:r>
      <w:r>
        <w:rPr>
          <w:rFonts w:hint="eastAsia" w:hAnsi="宋体" w:cs="宋体"/>
          <w:color w:val="000000" w:themeColor="text1"/>
          <w:highlight w:val="none"/>
          <w14:textFill>
            <w14:solidFill>
              <w14:schemeClr w14:val="tx1"/>
            </w14:solidFill>
          </w14:textFill>
        </w:rPr>
        <w:t>按《工程量清单》中工程完工服务及要求自行分别填写）</w:t>
      </w:r>
    </w:p>
    <w:p w14:paraId="5B4056DA">
      <w:pPr>
        <w:pStyle w:val="27"/>
        <w:jc w:val="left"/>
        <w:rPr>
          <w:rFonts w:hAnsi="宋体" w:cs="宋体"/>
          <w:color w:val="000000" w:themeColor="text1"/>
          <w:highlight w:val="none"/>
          <w14:textFill>
            <w14:solidFill>
              <w14:schemeClr w14:val="tx1"/>
            </w14:solidFill>
          </w14:textFill>
        </w:rPr>
      </w:pPr>
    </w:p>
    <w:p w14:paraId="0931C3D9">
      <w:pPr>
        <w:widowControl/>
        <w:jc w:val="left"/>
        <w:rPr>
          <w:rFonts w:ascii="宋体" w:hAnsi="宋体" w:cs="宋体"/>
          <w:color w:val="000000" w:themeColor="text1"/>
          <w:szCs w:val="21"/>
          <w:highlight w:val="none"/>
          <w14:textFill>
            <w14:solidFill>
              <w14:schemeClr w14:val="tx1"/>
            </w14:solidFill>
          </w14:textFill>
        </w:rPr>
      </w:pPr>
    </w:p>
    <w:p w14:paraId="5485A80C">
      <w:pPr>
        <w:widowControl/>
        <w:jc w:val="left"/>
        <w:rPr>
          <w:rFonts w:ascii="宋体" w:hAnsi="宋体" w:cs="宋体"/>
          <w:color w:val="000000" w:themeColor="text1"/>
          <w:szCs w:val="21"/>
          <w:highlight w:val="none"/>
          <w14:textFill>
            <w14:solidFill>
              <w14:schemeClr w14:val="tx1"/>
            </w14:solidFill>
          </w14:textFill>
        </w:rPr>
      </w:pPr>
    </w:p>
    <w:p w14:paraId="0A01AB07">
      <w:pPr>
        <w:widowControl/>
        <w:jc w:val="left"/>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磋商供应商[公章(CA签章)，自然人签字或个人CA签章]：</w:t>
      </w:r>
      <w:r>
        <w:rPr>
          <w:rFonts w:hint="eastAsia" w:ascii="宋体" w:hAnsi="宋体" w:cs="宋体"/>
          <w:b/>
          <w:bCs/>
          <w:color w:val="000000" w:themeColor="text1"/>
          <w:szCs w:val="21"/>
          <w:highlight w:val="none"/>
          <w:u w:val="single"/>
          <w14:textFill>
            <w14:solidFill>
              <w14:schemeClr w14:val="tx1"/>
            </w14:solidFill>
          </w14:textFill>
        </w:rPr>
        <w:t xml:space="preserve">                                 </w:t>
      </w:r>
    </w:p>
    <w:p w14:paraId="4242604B">
      <w:pPr>
        <w:widowControl/>
        <w:jc w:val="left"/>
        <w:rPr>
          <w:rFonts w:ascii="宋体" w:hAnsi="宋体" w:cs="宋体"/>
          <w:b/>
          <w:bCs/>
          <w:color w:val="000000" w:themeColor="text1"/>
          <w:szCs w:val="21"/>
          <w:highlight w:val="none"/>
          <w14:textFill>
            <w14:solidFill>
              <w14:schemeClr w14:val="tx1"/>
            </w14:solidFill>
          </w14:textFill>
        </w:rPr>
      </w:pPr>
    </w:p>
    <w:p w14:paraId="5C0C2648">
      <w:pPr>
        <w:snapToGrid w:val="0"/>
        <w:spacing w:line="300" w:lineRule="exact"/>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日          期：</w:t>
      </w:r>
      <w:r>
        <w:rPr>
          <w:rFonts w:hint="eastAsia" w:ascii="宋体" w:hAnsi="宋体" w:cs="宋体"/>
          <w:b/>
          <w:bCs/>
          <w:color w:val="000000" w:themeColor="text1"/>
          <w:highlight w:val="none"/>
          <w:u w:val="single"/>
          <w14:textFill>
            <w14:solidFill>
              <w14:schemeClr w14:val="tx1"/>
            </w14:solidFill>
          </w14:textFill>
        </w:rPr>
        <w:t xml:space="preserve">                              </w:t>
      </w:r>
    </w:p>
    <w:p w14:paraId="47EA0742">
      <w:pPr>
        <w:rPr>
          <w:color w:val="000000" w:themeColor="text1"/>
          <w:highlight w:val="none"/>
          <w14:textFill>
            <w14:solidFill>
              <w14:schemeClr w14:val="tx1"/>
            </w14:solidFill>
          </w14:textFill>
        </w:rPr>
      </w:pPr>
    </w:p>
    <w:p w14:paraId="79461124">
      <w:pPr>
        <w:spacing w:line="420" w:lineRule="exact"/>
        <w:rPr>
          <w:rFonts w:ascii="宋体" w:hAnsi="宋体" w:cs="宋体"/>
          <w:b/>
          <w:color w:val="000000" w:themeColor="text1"/>
          <w:sz w:val="28"/>
          <w:szCs w:val="28"/>
          <w:highlight w:val="none"/>
          <w14:textFill>
            <w14:solidFill>
              <w14:schemeClr w14:val="tx1"/>
            </w14:solidFill>
          </w14:textFill>
        </w:rPr>
      </w:pPr>
    </w:p>
    <w:p w14:paraId="721B763D">
      <w:pPr>
        <w:pStyle w:val="33"/>
        <w:rPr>
          <w:color w:val="000000" w:themeColor="text1"/>
          <w:highlight w:val="none"/>
          <w14:textFill>
            <w14:solidFill>
              <w14:schemeClr w14:val="tx1"/>
            </w14:solidFill>
          </w14:textFill>
        </w:rPr>
      </w:pPr>
    </w:p>
    <w:p w14:paraId="773DD62A">
      <w:pPr>
        <w:spacing w:line="400" w:lineRule="exact"/>
        <w:outlineLvl w:val="1"/>
        <w:rPr>
          <w:rFonts w:ascii="宋体" w:hAnsi="宋体" w:cs="宋体"/>
          <w:b/>
          <w:color w:val="000000" w:themeColor="text1"/>
          <w:sz w:val="28"/>
          <w:szCs w:val="28"/>
          <w:highlight w:val="none"/>
          <w14:textFill>
            <w14:solidFill>
              <w14:schemeClr w14:val="tx1"/>
            </w14:solidFill>
          </w14:textFill>
        </w:rPr>
      </w:pPr>
      <w:bookmarkStart w:id="1066" w:name="_Toc32582"/>
      <w:bookmarkStart w:id="1067" w:name="_Toc24798"/>
      <w:bookmarkStart w:id="1068" w:name="_Toc330"/>
      <w:bookmarkStart w:id="1069" w:name="_Toc31962"/>
      <w:bookmarkStart w:id="1070" w:name="_Toc27687"/>
      <w:bookmarkStart w:id="1071" w:name="_Toc1043"/>
      <w:bookmarkStart w:id="1072" w:name="_Toc26788"/>
      <w:bookmarkStart w:id="1073" w:name="_Toc12226"/>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cs="宋体"/>
          <w:b/>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农民工</w:t>
      </w:r>
      <w:r>
        <w:rPr>
          <w:rFonts w:hint="eastAsia" w:ascii="宋体" w:hAnsi="宋体" w:cs="宋体"/>
          <w:b/>
          <w:color w:val="000000" w:themeColor="text1"/>
          <w:sz w:val="28"/>
          <w:szCs w:val="28"/>
          <w:highlight w:val="none"/>
          <w14:textFill>
            <w14:solidFill>
              <w14:schemeClr w14:val="tx1"/>
            </w14:solidFill>
          </w14:textFill>
        </w:rPr>
        <w:t>工资保障金交纳与使用承诺书（必须提供）</w:t>
      </w:r>
      <w:bookmarkEnd w:id="1066"/>
      <w:bookmarkEnd w:id="1067"/>
      <w:r>
        <w:rPr>
          <w:rFonts w:hint="eastAsia" w:ascii="宋体" w:hAnsi="宋体" w:cs="宋体"/>
          <w:b/>
          <w:color w:val="000000" w:themeColor="text1"/>
          <w:sz w:val="28"/>
          <w:szCs w:val="28"/>
          <w:highlight w:val="none"/>
          <w14:textFill>
            <w14:solidFill>
              <w14:schemeClr w14:val="tx1"/>
            </w14:solidFill>
          </w14:textFill>
        </w:rPr>
        <w:t>；</w:t>
      </w:r>
      <w:bookmarkEnd w:id="1068"/>
      <w:bookmarkEnd w:id="1069"/>
      <w:bookmarkEnd w:id="1070"/>
      <w:bookmarkEnd w:id="1071"/>
      <w:bookmarkEnd w:id="1072"/>
      <w:bookmarkEnd w:id="1073"/>
    </w:p>
    <w:p w14:paraId="14CD666A">
      <w:pPr>
        <w:spacing w:line="420" w:lineRule="exact"/>
        <w:ind w:firstLine="482" w:firstLineChars="200"/>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农民工工资保证金交纳与使用承诺书（格式）</w:t>
      </w:r>
    </w:p>
    <w:p w14:paraId="6F88DA23">
      <w:pPr>
        <w:spacing w:line="420" w:lineRule="exact"/>
        <w:rPr>
          <w:rFonts w:ascii="宋体" w:hAnsi="宋体" w:cs="宋体"/>
          <w:color w:val="000000" w:themeColor="text1"/>
          <w:kern w:val="0"/>
          <w:szCs w:val="21"/>
          <w:highlight w:val="none"/>
          <w14:textFill>
            <w14:solidFill>
              <w14:schemeClr w14:val="tx1"/>
            </w14:solidFill>
          </w14:textFill>
        </w:rPr>
      </w:pPr>
    </w:p>
    <w:p w14:paraId="1B783C0F">
      <w:pPr>
        <w:spacing w:line="420" w:lineRule="exact"/>
        <w:rPr>
          <w:rFonts w:ascii="宋体" w:hAnsi="宋体" w:cs="宋体"/>
          <w:b/>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p>
    <w:p w14:paraId="0D9E9AB8">
      <w:pPr>
        <w:spacing w:line="42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我方在此承诺：</w:t>
      </w:r>
    </w:p>
    <w:p w14:paraId="42A97D8F">
      <w:pPr>
        <w:spacing w:line="420" w:lineRule="exact"/>
        <w:ind w:firstLine="525" w:firstLineChars="2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1.我方在本项目</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（项目名称及编号）响应文件递交截止之日前所承建工程中，无拖欠或克扣农民工工资的行为。</w:t>
      </w:r>
    </w:p>
    <w:p w14:paraId="669EADBC">
      <w:pPr>
        <w:spacing w:line="420" w:lineRule="exact"/>
        <w:ind w:firstLine="4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 我方参与磋商的</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项目，一旦成交，我方保证在签订施工合同后，及时并足额将农民工工资保证金足额存入指定的账户，作为本项目农民工工资保证金。</w:t>
      </w:r>
    </w:p>
    <w:p w14:paraId="26DC226F">
      <w:pPr>
        <w:spacing w:line="420" w:lineRule="exact"/>
        <w:ind w:firstLine="4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如我方在承包的</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项目中出现拖欠农民工和工人工资情况的，由相关部门从其农民工工资保证金中先予划支。</w:t>
      </w:r>
    </w:p>
    <w:p w14:paraId="29EEB23C">
      <w:pPr>
        <w:ind w:left="420" w:leftChars="20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 如我方不按时、足额存入农民工工资保证金，采购人有权取消我方承包资格。</w:t>
      </w:r>
    </w:p>
    <w:p w14:paraId="62A2A05B">
      <w:pPr>
        <w:pStyle w:val="27"/>
        <w:spacing w:line="340" w:lineRule="exact"/>
        <w:rPr>
          <w:rFonts w:hAnsi="宋体" w:cs="宋体"/>
          <w:b/>
          <w:color w:val="000000" w:themeColor="text1"/>
          <w:sz w:val="28"/>
          <w:szCs w:val="28"/>
          <w:highlight w:val="none"/>
          <w14:textFill>
            <w14:solidFill>
              <w14:schemeClr w14:val="tx1"/>
            </w14:solidFill>
          </w14:textFill>
        </w:rPr>
      </w:pPr>
    </w:p>
    <w:p w14:paraId="6E7D49AA">
      <w:pPr>
        <w:spacing w:line="340" w:lineRule="exact"/>
        <w:ind w:left="420"/>
        <w:jc w:val="center"/>
        <w:rPr>
          <w:rFonts w:ascii="宋体" w:hAnsi="宋体" w:cs="宋体"/>
          <w:b/>
          <w:bCs/>
          <w:color w:val="000000" w:themeColor="text1"/>
          <w:sz w:val="32"/>
          <w:szCs w:val="32"/>
          <w:highlight w:val="none"/>
          <w14:textFill>
            <w14:solidFill>
              <w14:schemeClr w14:val="tx1"/>
            </w14:solidFill>
          </w14:textFill>
        </w:rPr>
      </w:pPr>
      <w:bookmarkStart w:id="1074" w:name="_Toc28672"/>
      <w:bookmarkStart w:id="1075" w:name="_Toc497927084"/>
      <w:bookmarkStart w:id="1076" w:name="_Toc9339"/>
    </w:p>
    <w:p w14:paraId="0CFF2FBF">
      <w:pPr>
        <w:spacing w:line="340" w:lineRule="exact"/>
        <w:ind w:left="420"/>
        <w:jc w:val="center"/>
        <w:rPr>
          <w:rFonts w:ascii="宋体" w:hAnsi="宋体" w:cs="宋体"/>
          <w:b/>
          <w:bCs/>
          <w:color w:val="000000" w:themeColor="text1"/>
          <w:sz w:val="32"/>
          <w:szCs w:val="32"/>
          <w:highlight w:val="none"/>
          <w14:textFill>
            <w14:solidFill>
              <w14:schemeClr w14:val="tx1"/>
            </w14:solidFill>
          </w14:textFill>
        </w:rPr>
      </w:pPr>
    </w:p>
    <w:p w14:paraId="60444A9D">
      <w:pPr>
        <w:widowControl/>
        <w:jc w:val="left"/>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磋商供应商[公章(CA签章)，自然人签字或个人CA签章]：</w:t>
      </w:r>
      <w:r>
        <w:rPr>
          <w:rFonts w:hint="eastAsia" w:ascii="宋体" w:hAnsi="宋体" w:cs="宋体"/>
          <w:b/>
          <w:bCs/>
          <w:color w:val="000000" w:themeColor="text1"/>
          <w:szCs w:val="21"/>
          <w:highlight w:val="none"/>
          <w:u w:val="single"/>
          <w14:textFill>
            <w14:solidFill>
              <w14:schemeClr w14:val="tx1"/>
            </w14:solidFill>
          </w14:textFill>
        </w:rPr>
        <w:t xml:space="preserve">                                 </w:t>
      </w:r>
    </w:p>
    <w:p w14:paraId="7255CAE5">
      <w:pPr>
        <w:widowControl/>
        <w:jc w:val="left"/>
        <w:rPr>
          <w:rFonts w:ascii="宋体" w:hAnsi="宋体" w:cs="宋体"/>
          <w:b/>
          <w:bCs/>
          <w:color w:val="000000" w:themeColor="text1"/>
          <w:szCs w:val="21"/>
          <w:highlight w:val="none"/>
          <w14:textFill>
            <w14:solidFill>
              <w14:schemeClr w14:val="tx1"/>
            </w14:solidFill>
          </w14:textFill>
        </w:rPr>
      </w:pPr>
    </w:p>
    <w:p w14:paraId="3C97A504">
      <w:pPr>
        <w:snapToGrid w:val="0"/>
        <w:spacing w:line="300" w:lineRule="exact"/>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日          期：</w:t>
      </w:r>
      <w:r>
        <w:rPr>
          <w:rFonts w:hint="eastAsia" w:ascii="宋体" w:hAnsi="宋体" w:cs="宋体"/>
          <w:b/>
          <w:bCs/>
          <w:color w:val="000000" w:themeColor="text1"/>
          <w:highlight w:val="none"/>
          <w:u w:val="single"/>
          <w14:textFill>
            <w14:solidFill>
              <w14:schemeClr w14:val="tx1"/>
            </w14:solidFill>
          </w14:textFill>
        </w:rPr>
        <w:t xml:space="preserve">                              </w:t>
      </w:r>
    </w:p>
    <w:p w14:paraId="337638E4">
      <w:pPr>
        <w:rPr>
          <w:rFonts w:ascii="宋体" w:hAnsi="宋体" w:cs="宋体"/>
          <w:b/>
          <w:color w:val="000000" w:themeColor="text1"/>
          <w:sz w:val="28"/>
          <w:szCs w:val="28"/>
          <w:highlight w:val="none"/>
          <w14:textFill>
            <w14:solidFill>
              <w14:schemeClr w14:val="tx1"/>
            </w14:solidFill>
          </w14:textFill>
        </w:rPr>
      </w:pPr>
    </w:p>
    <w:p w14:paraId="2CA61011">
      <w:pPr>
        <w:pStyle w:val="33"/>
        <w:rPr>
          <w:rFonts w:ascii="宋体" w:hAnsi="宋体" w:cs="宋体"/>
          <w:b/>
          <w:color w:val="000000" w:themeColor="text1"/>
          <w:sz w:val="28"/>
          <w:szCs w:val="28"/>
          <w:highlight w:val="none"/>
          <w14:textFill>
            <w14:solidFill>
              <w14:schemeClr w14:val="tx1"/>
            </w14:solidFill>
          </w14:textFill>
        </w:rPr>
      </w:pPr>
    </w:p>
    <w:p w14:paraId="5DD4E9CB">
      <w:pPr>
        <w:rPr>
          <w:rFonts w:ascii="宋体" w:hAnsi="宋体" w:cs="宋体"/>
          <w:b/>
          <w:color w:val="000000" w:themeColor="text1"/>
          <w:sz w:val="28"/>
          <w:szCs w:val="28"/>
          <w:highlight w:val="none"/>
          <w14:textFill>
            <w14:solidFill>
              <w14:schemeClr w14:val="tx1"/>
            </w14:solidFill>
          </w14:textFill>
        </w:rPr>
      </w:pPr>
    </w:p>
    <w:p w14:paraId="28E88B91">
      <w:pPr>
        <w:pStyle w:val="33"/>
        <w:rPr>
          <w:color w:val="000000" w:themeColor="text1"/>
          <w:highlight w:val="none"/>
          <w14:textFill>
            <w14:solidFill>
              <w14:schemeClr w14:val="tx1"/>
            </w14:solidFill>
          </w14:textFill>
        </w:rPr>
      </w:pPr>
    </w:p>
    <w:p w14:paraId="41BE1AA4">
      <w:pPr>
        <w:spacing w:line="400" w:lineRule="exact"/>
        <w:outlineLvl w:val="1"/>
        <w:rPr>
          <w:rFonts w:ascii="宋体" w:hAnsi="宋体" w:cs="宋体"/>
          <w:b/>
          <w:color w:val="000000" w:themeColor="text1"/>
          <w:sz w:val="28"/>
          <w:szCs w:val="28"/>
          <w:highlight w:val="none"/>
          <w14:textFill>
            <w14:solidFill>
              <w14:schemeClr w14:val="tx1"/>
            </w14:solidFill>
          </w14:textFill>
        </w:rPr>
      </w:pPr>
      <w:bookmarkStart w:id="1077" w:name="_Toc5526"/>
      <w:bookmarkStart w:id="1078" w:name="_Toc12739"/>
      <w:bookmarkStart w:id="1079" w:name="_Toc21098"/>
      <w:bookmarkStart w:id="1080" w:name="_Toc509"/>
      <w:bookmarkStart w:id="1081" w:name="_Toc3852"/>
      <w:bookmarkStart w:id="1082" w:name="_Toc10529"/>
      <w:bookmarkStart w:id="1083" w:name="_Toc21352"/>
      <w:bookmarkStart w:id="1084" w:name="_Toc19070"/>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cs="宋体"/>
          <w:b/>
          <w:color w:val="000000" w:themeColor="text1"/>
          <w:sz w:val="28"/>
          <w:szCs w:val="28"/>
          <w:highlight w:val="none"/>
          <w14:textFill>
            <w14:solidFill>
              <w14:schemeClr w14:val="tx1"/>
            </w14:solidFill>
          </w14:textFill>
        </w:rPr>
        <w:t>.城乡清洁工程渣土清运承诺书（必须提供）</w:t>
      </w:r>
      <w:bookmarkEnd w:id="1077"/>
      <w:bookmarkEnd w:id="1078"/>
      <w:bookmarkEnd w:id="1079"/>
      <w:bookmarkEnd w:id="1080"/>
      <w:bookmarkEnd w:id="1081"/>
      <w:bookmarkEnd w:id="1082"/>
      <w:bookmarkEnd w:id="1083"/>
      <w:bookmarkEnd w:id="1084"/>
    </w:p>
    <w:p w14:paraId="6B4F517D">
      <w:pPr>
        <w:rPr>
          <w:color w:val="000000" w:themeColor="text1"/>
          <w:highlight w:val="none"/>
          <w14:textFill>
            <w14:solidFill>
              <w14:schemeClr w14:val="tx1"/>
            </w14:solidFill>
          </w14:textFill>
        </w:rPr>
      </w:pPr>
    </w:p>
    <w:p w14:paraId="522987B7">
      <w:pPr>
        <w:rPr>
          <w:color w:val="000000" w:themeColor="text1"/>
          <w:highlight w:val="none"/>
          <w14:textFill>
            <w14:solidFill>
              <w14:schemeClr w14:val="tx1"/>
            </w14:solidFill>
          </w14:textFill>
        </w:rPr>
      </w:pPr>
    </w:p>
    <w:p w14:paraId="79D99551">
      <w:pPr>
        <w:spacing w:line="340" w:lineRule="exact"/>
        <w:ind w:left="420"/>
        <w:jc w:val="center"/>
        <w:outlineLvl w:val="1"/>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bookmarkStart w:id="1085" w:name="_Toc26970"/>
      <w:bookmarkStart w:id="1086" w:name="_Toc1502"/>
      <w:r>
        <w:rPr>
          <w:rFonts w:hint="eastAsia" w:ascii="宋体" w:hAnsi="宋体" w:cs="宋体"/>
          <w:b/>
          <w:bCs/>
          <w:color w:val="000000" w:themeColor="text1"/>
          <w:sz w:val="32"/>
          <w:szCs w:val="32"/>
          <w:highlight w:val="none"/>
          <w14:textFill>
            <w14:solidFill>
              <w14:schemeClr w14:val="tx1"/>
            </w14:solidFill>
          </w14:textFill>
        </w:rPr>
        <w:t>（三）其他有效证明材料目录</w:t>
      </w:r>
      <w:bookmarkEnd w:id="1074"/>
      <w:bookmarkEnd w:id="1075"/>
      <w:bookmarkEnd w:id="1076"/>
      <w:bookmarkEnd w:id="1085"/>
      <w:bookmarkEnd w:id="1086"/>
    </w:p>
    <w:p w14:paraId="22B6A438">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2A9C9EF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000000" w:themeColor="text1"/>
          <w:szCs w:val="21"/>
          <w:highlight w:val="none"/>
          <w14:textFill>
            <w14:solidFill>
              <w14:schemeClr w14:val="tx1"/>
            </w14:solidFill>
          </w14:textFill>
        </w:rPr>
        <w:t>（如有，请提供）；</w:t>
      </w:r>
    </w:p>
    <w:p w14:paraId="72870FAA">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3845A7C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2.供应商可结合本项目的评审办法视自身情况自行提交其它相关证明材料。</w:t>
      </w:r>
    </w:p>
    <w:p w14:paraId="12838A6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833571">
      <w:pPr>
        <w:pStyle w:val="365"/>
        <w:rPr>
          <w:rFonts w:ascii="宋体" w:hAnsi="宋体" w:cs="宋体"/>
          <w:b/>
          <w:bCs/>
          <w:color w:val="000000" w:themeColor="text1"/>
          <w:highlight w:val="none"/>
          <w14:textFill>
            <w14:solidFill>
              <w14:schemeClr w14:val="tx1"/>
            </w14:solidFill>
          </w14:textFill>
        </w:rPr>
      </w:pPr>
    </w:p>
    <w:p w14:paraId="5EE61E64">
      <w:pPr>
        <w:pStyle w:val="365"/>
        <w:rPr>
          <w:rFonts w:ascii="宋体" w:hAnsi="宋体" w:cs="宋体"/>
          <w:b/>
          <w:bCs/>
          <w:color w:val="000000" w:themeColor="text1"/>
          <w:highlight w:val="none"/>
          <w14:textFill>
            <w14:solidFill>
              <w14:schemeClr w14:val="tx1"/>
            </w14:solidFill>
          </w14:textFill>
        </w:rPr>
      </w:pPr>
    </w:p>
    <w:p w14:paraId="3435CABD">
      <w:pPr>
        <w:pStyle w:val="365"/>
        <w:rPr>
          <w:rFonts w:ascii="宋体" w:hAnsi="宋体" w:cs="宋体"/>
          <w:b/>
          <w:bCs/>
          <w:color w:val="000000" w:themeColor="text1"/>
          <w:highlight w:val="none"/>
          <w14:textFill>
            <w14:solidFill>
              <w14:schemeClr w14:val="tx1"/>
            </w14:solidFill>
          </w14:textFill>
        </w:rPr>
      </w:pPr>
    </w:p>
    <w:p w14:paraId="553DCE56">
      <w:pPr>
        <w:pStyle w:val="365"/>
        <w:rPr>
          <w:rFonts w:ascii="宋体" w:hAnsi="宋体" w:cs="宋体"/>
          <w:b/>
          <w:bCs/>
          <w:color w:val="000000" w:themeColor="text1"/>
          <w:highlight w:val="none"/>
          <w14:textFill>
            <w14:solidFill>
              <w14:schemeClr w14:val="tx1"/>
            </w14:solidFill>
          </w14:textFill>
        </w:rPr>
      </w:pPr>
    </w:p>
    <w:p w14:paraId="7465B668">
      <w:pPr>
        <w:spacing w:line="400" w:lineRule="exact"/>
        <w:outlineLvl w:val="1"/>
        <w:rPr>
          <w:rFonts w:ascii="宋体" w:hAnsi="宋体" w:cs="宋体"/>
          <w:b/>
          <w:bCs/>
          <w:iCs/>
          <w:color w:val="000000" w:themeColor="text1"/>
          <w:sz w:val="28"/>
          <w:szCs w:val="28"/>
          <w:highlight w:val="none"/>
          <w14:textFill>
            <w14:solidFill>
              <w14:schemeClr w14:val="tx1"/>
            </w14:solidFill>
          </w14:textFill>
        </w:rPr>
      </w:pPr>
      <w:r>
        <w:rPr>
          <w:rFonts w:hint="eastAsia" w:ascii="宋体" w:hAnsi="宋体" w:cs="宋体"/>
          <w:b/>
          <w:bCs/>
          <w:iCs/>
          <w:color w:val="000000" w:themeColor="text1"/>
          <w:sz w:val="28"/>
          <w:szCs w:val="28"/>
          <w:highlight w:val="none"/>
          <w14:textFill>
            <w14:solidFill>
              <w14:schemeClr w14:val="tx1"/>
            </w14:solidFill>
          </w14:textFill>
        </w:rPr>
        <w:br w:type="page"/>
      </w:r>
      <w:bookmarkStart w:id="1087" w:name="_Toc6063"/>
      <w:bookmarkStart w:id="1088" w:name="_Toc4151"/>
      <w:bookmarkStart w:id="1089" w:name="_Toc6250"/>
      <w:bookmarkStart w:id="1090" w:name="_Toc13907"/>
      <w:bookmarkStart w:id="1091" w:name="_Toc4954"/>
      <w:bookmarkStart w:id="1092" w:name="_Toc19636"/>
      <w:r>
        <w:rPr>
          <w:rFonts w:hint="eastAsia" w:ascii="宋体" w:hAnsi="宋体" w:cs="宋体"/>
          <w:b/>
          <w:bCs/>
          <w:iCs/>
          <w:color w:val="000000" w:themeColor="text1"/>
          <w:sz w:val="28"/>
          <w:szCs w:val="28"/>
          <w:highlight w:val="none"/>
          <w14:textFill>
            <w14:solidFill>
              <w14:schemeClr w14:val="tx1"/>
            </w14:solidFill>
          </w14:textFill>
        </w:rPr>
        <w:t>1.供应商202</w:t>
      </w:r>
      <w:r>
        <w:rPr>
          <w:rFonts w:hint="eastAsia" w:ascii="宋体" w:hAnsi="宋体" w:cs="宋体"/>
          <w:b/>
          <w:bCs/>
          <w:iCs/>
          <w:color w:val="000000" w:themeColor="text1"/>
          <w:sz w:val="28"/>
          <w:szCs w:val="28"/>
          <w:highlight w:val="none"/>
          <w:lang w:val="en-US" w:eastAsia="zh-CN"/>
          <w14:textFill>
            <w14:solidFill>
              <w14:schemeClr w14:val="tx1"/>
            </w14:solidFill>
          </w14:textFill>
        </w:rPr>
        <w:t>2</w:t>
      </w:r>
      <w:r>
        <w:rPr>
          <w:rFonts w:hint="eastAsia" w:ascii="宋体" w:hAnsi="宋体" w:cs="宋体"/>
          <w:b/>
          <w:bCs/>
          <w:iCs/>
          <w:color w:val="000000" w:themeColor="text1"/>
          <w:sz w:val="28"/>
          <w:szCs w:val="28"/>
          <w:highlight w:val="none"/>
          <w14:textFill>
            <w14:solidFill>
              <w14:schemeClr w14:val="tx1"/>
            </w14:solidFill>
          </w14:textFill>
        </w:rPr>
        <w:t>年1月1日以来具有同类项目的业绩相关证明材料（无不良记录，以中标、成交通知书或签订的合同为准，并能清晰反映项目的名称、采购内容、采购金额、采购时间）（如有，请提供）</w:t>
      </w:r>
      <w:bookmarkEnd w:id="1087"/>
      <w:bookmarkEnd w:id="1088"/>
      <w:bookmarkEnd w:id="1089"/>
      <w:bookmarkEnd w:id="1090"/>
      <w:bookmarkEnd w:id="1091"/>
      <w:bookmarkEnd w:id="1092"/>
    </w:p>
    <w:p w14:paraId="3257D4AD">
      <w:pPr>
        <w:rPr>
          <w:color w:val="000000" w:themeColor="text1"/>
          <w:highlight w:val="none"/>
          <w14:textFill>
            <w14:solidFill>
              <w14:schemeClr w14:val="tx1"/>
            </w14:solidFill>
          </w14:textFill>
        </w:rPr>
      </w:pPr>
    </w:p>
    <w:p w14:paraId="3E987012">
      <w:pPr>
        <w:rPr>
          <w:color w:val="000000" w:themeColor="text1"/>
          <w:highlight w:val="none"/>
          <w14:textFill>
            <w14:solidFill>
              <w14:schemeClr w14:val="tx1"/>
            </w14:solidFill>
          </w14:textFill>
        </w:rPr>
      </w:pPr>
    </w:p>
    <w:p w14:paraId="7CC3E31A">
      <w:pPr>
        <w:tabs>
          <w:tab w:val="left" w:pos="1305"/>
        </w:tabs>
        <w:spacing w:line="360" w:lineRule="exact"/>
        <w:ind w:firstLine="420" w:firstLineChars="200"/>
        <w:rPr>
          <w:rFonts w:ascii="宋体" w:hAnsi="宋体" w:cs="宋体"/>
          <w:bCs/>
          <w:color w:val="000000" w:themeColor="text1"/>
          <w:kern w:val="0"/>
          <w:szCs w:val="21"/>
          <w:highlight w:val="none"/>
          <w14:textFill>
            <w14:solidFill>
              <w14:schemeClr w14:val="tx1"/>
            </w14:solidFill>
          </w14:textFill>
        </w:rPr>
      </w:pPr>
    </w:p>
    <w:p w14:paraId="400D9023">
      <w:pPr>
        <w:tabs>
          <w:tab w:val="left" w:pos="1305"/>
        </w:tabs>
        <w:spacing w:line="360" w:lineRule="exact"/>
        <w:ind w:firstLine="420" w:firstLineChars="200"/>
        <w:rPr>
          <w:rFonts w:ascii="宋体" w:hAnsi="宋体" w:cs="宋体"/>
          <w:bCs/>
          <w:color w:val="000000" w:themeColor="text1"/>
          <w:kern w:val="0"/>
          <w:szCs w:val="21"/>
          <w:highlight w:val="none"/>
          <w14:textFill>
            <w14:solidFill>
              <w14:schemeClr w14:val="tx1"/>
            </w14:solidFill>
          </w14:textFill>
        </w:rPr>
      </w:pPr>
    </w:p>
    <w:p w14:paraId="0EA509ED">
      <w:pPr>
        <w:tabs>
          <w:tab w:val="left" w:pos="1305"/>
        </w:tabs>
        <w:spacing w:line="360" w:lineRule="exact"/>
        <w:ind w:firstLine="560" w:firstLineChars="200"/>
        <w:rPr>
          <w:rFonts w:ascii="宋体" w:hAnsi="宋体" w:cs="宋体"/>
          <w:bCs/>
          <w:color w:val="000000" w:themeColor="text1"/>
          <w:kern w:val="0"/>
          <w:sz w:val="28"/>
          <w:szCs w:val="28"/>
          <w:highlight w:val="none"/>
          <w14:textFill>
            <w14:solidFill>
              <w14:schemeClr w14:val="tx1"/>
            </w14:solidFill>
          </w14:textFill>
        </w:rPr>
      </w:pPr>
    </w:p>
    <w:p w14:paraId="393CFCC0">
      <w:pPr>
        <w:outlineLvl w:val="1"/>
        <w:rPr>
          <w:rFonts w:ascii="宋体" w:hAnsi="宋体" w:cs="宋体"/>
          <w:b/>
          <w:bCs/>
          <w:iCs/>
          <w:color w:val="000000" w:themeColor="text1"/>
          <w:sz w:val="28"/>
          <w:szCs w:val="28"/>
          <w:highlight w:val="none"/>
          <w14:textFill>
            <w14:solidFill>
              <w14:schemeClr w14:val="tx1"/>
            </w14:solidFill>
          </w14:textFill>
        </w:rPr>
      </w:pPr>
      <w:bookmarkStart w:id="1093" w:name="_Toc30255"/>
      <w:bookmarkStart w:id="1094" w:name="_Toc21485"/>
      <w:bookmarkStart w:id="1095" w:name="_Toc17885"/>
      <w:bookmarkStart w:id="1096" w:name="_Toc15093"/>
      <w:bookmarkStart w:id="1097" w:name="_Toc21043"/>
      <w:bookmarkStart w:id="1098" w:name="_Toc31297"/>
      <w:r>
        <w:rPr>
          <w:rFonts w:hint="eastAsia" w:ascii="宋体" w:hAnsi="宋体" w:cs="宋体"/>
          <w:b/>
          <w:bCs/>
          <w:iCs/>
          <w:color w:val="000000" w:themeColor="text1"/>
          <w:sz w:val="28"/>
          <w:szCs w:val="28"/>
          <w:highlight w:val="none"/>
          <w14:textFill>
            <w14:solidFill>
              <w14:schemeClr w14:val="tx1"/>
            </w14:solidFill>
          </w14:textFill>
        </w:rPr>
        <w:t>2.供应商可结合本项目自身情况自行提交其它相关证明材料。</w:t>
      </w:r>
      <w:bookmarkEnd w:id="1093"/>
      <w:bookmarkEnd w:id="1094"/>
      <w:bookmarkEnd w:id="1095"/>
      <w:bookmarkEnd w:id="1096"/>
      <w:bookmarkEnd w:id="1097"/>
      <w:bookmarkEnd w:id="1098"/>
    </w:p>
    <w:p w14:paraId="1AAFE1CA">
      <w:pPr>
        <w:rPr>
          <w:color w:val="000000" w:themeColor="text1"/>
          <w:highlight w:val="none"/>
          <w14:textFill>
            <w14:solidFill>
              <w14:schemeClr w14:val="tx1"/>
            </w14:solidFill>
          </w14:textFill>
        </w:rPr>
      </w:pPr>
    </w:p>
    <w:p w14:paraId="67F03BC1">
      <w:pPr>
        <w:rPr>
          <w:color w:val="000000" w:themeColor="text1"/>
          <w:highlight w:val="none"/>
          <w14:textFill>
            <w14:solidFill>
              <w14:schemeClr w14:val="tx1"/>
            </w14:solidFill>
          </w14:textFill>
        </w:rPr>
      </w:pPr>
    </w:p>
    <w:p w14:paraId="10F148F2">
      <w:pPr>
        <w:rPr>
          <w:color w:val="000000" w:themeColor="text1"/>
          <w:highlight w:val="none"/>
          <w14:textFill>
            <w14:solidFill>
              <w14:schemeClr w14:val="tx1"/>
            </w14:solidFill>
          </w14:textFill>
        </w:rPr>
      </w:pPr>
    </w:p>
    <w:p w14:paraId="115AC70F">
      <w:pPr>
        <w:jc w:val="center"/>
        <w:outlineLvl w:val="0"/>
        <w:rPr>
          <w:rFonts w:ascii="华文中宋" w:hAnsi="华文中宋" w:eastAsia="华文中宋" w:cs="华文中宋"/>
          <w:b/>
          <w:bCs/>
          <w:color w:val="000000" w:themeColor="text1"/>
          <w:sz w:val="32"/>
          <w:szCs w:val="32"/>
          <w:highlight w:val="none"/>
          <w14:textFill>
            <w14:solidFill>
              <w14:schemeClr w14:val="tx1"/>
            </w14:solidFill>
          </w14:textFill>
        </w:rPr>
      </w:pPr>
      <w:bookmarkStart w:id="1099" w:name="_Toc18780"/>
      <w:bookmarkStart w:id="1100" w:name="_Toc16390"/>
      <w:bookmarkStart w:id="1101" w:name="_Toc22545"/>
      <w:bookmarkStart w:id="1102" w:name="_Toc2237"/>
      <w:bookmarkStart w:id="1103" w:name="_Toc6973"/>
      <w:bookmarkStart w:id="1104" w:name="_Toc12385"/>
      <w:bookmarkStart w:id="1105" w:name="_Toc16284"/>
      <w:bookmarkStart w:id="1106" w:name="_Toc1637952"/>
      <w:r>
        <w:rPr>
          <w:rFonts w:hint="eastAsia" w:ascii="华文中宋" w:hAnsi="华文中宋" w:eastAsia="华文中宋" w:cs="华文中宋"/>
          <w:b/>
          <w:bCs/>
          <w:color w:val="000000" w:themeColor="text1"/>
          <w:sz w:val="32"/>
          <w:szCs w:val="32"/>
          <w:highlight w:val="none"/>
          <w14:textFill>
            <w14:solidFill>
              <w14:schemeClr w14:val="tx1"/>
            </w14:solidFill>
          </w14:textFill>
        </w:rPr>
        <w:br w:type="page"/>
      </w:r>
      <w:bookmarkStart w:id="1107" w:name="_Toc25764"/>
      <w:r>
        <w:rPr>
          <w:rFonts w:hint="eastAsia" w:ascii="华文中宋" w:hAnsi="华文中宋" w:eastAsia="华文中宋" w:cs="华文中宋"/>
          <w:b/>
          <w:bCs/>
          <w:color w:val="000000" w:themeColor="text1"/>
          <w:sz w:val="32"/>
          <w:szCs w:val="32"/>
          <w:highlight w:val="none"/>
          <w14:textFill>
            <w14:solidFill>
              <w14:schemeClr w14:val="tx1"/>
            </w14:solidFill>
          </w14:textFill>
        </w:rPr>
        <w:t>第七章  图纸</w:t>
      </w:r>
      <w:bookmarkEnd w:id="1099"/>
      <w:bookmarkEnd w:id="1100"/>
      <w:bookmarkEnd w:id="1101"/>
      <w:bookmarkEnd w:id="1102"/>
      <w:bookmarkEnd w:id="1103"/>
      <w:bookmarkEnd w:id="1104"/>
      <w:bookmarkEnd w:id="1105"/>
      <w:bookmarkEnd w:id="1107"/>
    </w:p>
    <w:bookmarkEnd w:id="1106"/>
    <w:p w14:paraId="7A8AF925">
      <w:pPr>
        <w:jc w:val="center"/>
        <w:rPr>
          <w:color w:val="000000" w:themeColor="text1"/>
          <w:highlight w:val="none"/>
          <w14:textFill>
            <w14:solidFill>
              <w14:schemeClr w14:val="tx1"/>
            </w14:solidFill>
          </w14:textFill>
        </w:rPr>
      </w:pPr>
    </w:p>
    <w:p w14:paraId="6E153A8C">
      <w:pPr>
        <w:jc w:val="center"/>
        <w:rPr>
          <w:rFonts w:ascii="宋体" w:hAnsi="宋体" w:cs="宋体"/>
          <w:b/>
          <w:color w:val="000000" w:themeColor="text1"/>
          <w:kern w:val="0"/>
          <w:sz w:val="24"/>
          <w:highlight w:val="none"/>
          <w14:textFill>
            <w14:solidFill>
              <w14:schemeClr w14:val="tx1"/>
            </w14:solidFill>
          </w14:textFill>
        </w:rPr>
      </w:pPr>
      <w:bookmarkStart w:id="1108" w:name="_Toc11205"/>
      <w:bookmarkStart w:id="1109" w:name="_Toc16907"/>
      <w:r>
        <w:rPr>
          <w:rFonts w:hint="eastAsia" w:ascii="宋体" w:hAnsi="宋体" w:cs="宋体"/>
          <w:b/>
          <w:color w:val="000000" w:themeColor="text1"/>
          <w:kern w:val="0"/>
          <w:sz w:val="24"/>
          <w:highlight w:val="none"/>
          <w14:textFill>
            <w14:solidFill>
              <w14:schemeClr w14:val="tx1"/>
            </w14:solidFill>
          </w14:textFill>
        </w:rPr>
        <w:t>另附</w:t>
      </w:r>
      <w:bookmarkEnd w:id="1108"/>
      <w:bookmarkEnd w:id="1109"/>
    </w:p>
    <w:p w14:paraId="28F487EA">
      <w:pPr>
        <w:jc w:val="center"/>
        <w:rPr>
          <w:rFonts w:ascii="华文中宋" w:hAnsi="华文中宋" w:eastAsia="华文中宋" w:cs="华文中宋"/>
          <w:b/>
          <w:bCs/>
          <w:color w:val="000000" w:themeColor="text1"/>
          <w:sz w:val="32"/>
          <w:szCs w:val="32"/>
          <w:highlight w:val="none"/>
          <w14:textFill>
            <w14:solidFill>
              <w14:schemeClr w14:val="tx1"/>
            </w14:solidFill>
          </w14:textFill>
        </w:rPr>
      </w:pPr>
      <w:bookmarkStart w:id="1110" w:name="_Toc358569767"/>
      <w:bookmarkStart w:id="1111" w:name="_Toc389065348"/>
      <w:bookmarkStart w:id="1112" w:name="_Toc31419"/>
    </w:p>
    <w:p w14:paraId="1D90CDEA">
      <w:pPr>
        <w:pStyle w:val="33"/>
        <w:rPr>
          <w:rFonts w:ascii="华文中宋" w:hAnsi="华文中宋" w:eastAsia="华文中宋" w:cs="华文中宋"/>
          <w:b/>
          <w:bCs/>
          <w:color w:val="000000" w:themeColor="text1"/>
          <w:sz w:val="32"/>
          <w:szCs w:val="32"/>
          <w:highlight w:val="none"/>
          <w14:textFill>
            <w14:solidFill>
              <w14:schemeClr w14:val="tx1"/>
            </w14:solidFill>
          </w14:textFill>
        </w:rPr>
      </w:pPr>
    </w:p>
    <w:p w14:paraId="07C700DC">
      <w:pPr>
        <w:pStyle w:val="33"/>
        <w:rPr>
          <w:rFonts w:ascii="华文中宋" w:hAnsi="华文中宋" w:eastAsia="华文中宋" w:cs="华文中宋"/>
          <w:b/>
          <w:bCs/>
          <w:color w:val="000000" w:themeColor="text1"/>
          <w:sz w:val="32"/>
          <w:szCs w:val="32"/>
          <w:highlight w:val="none"/>
          <w14:textFill>
            <w14:solidFill>
              <w14:schemeClr w14:val="tx1"/>
            </w14:solidFill>
          </w14:textFill>
        </w:rPr>
      </w:pPr>
    </w:p>
    <w:p w14:paraId="72107A07">
      <w:pPr>
        <w:pStyle w:val="33"/>
        <w:rPr>
          <w:rFonts w:ascii="华文中宋" w:hAnsi="华文中宋" w:eastAsia="华文中宋" w:cs="华文中宋"/>
          <w:b/>
          <w:bCs/>
          <w:color w:val="000000" w:themeColor="text1"/>
          <w:sz w:val="32"/>
          <w:szCs w:val="32"/>
          <w:highlight w:val="none"/>
          <w14:textFill>
            <w14:solidFill>
              <w14:schemeClr w14:val="tx1"/>
            </w14:solidFill>
          </w14:textFill>
        </w:rPr>
      </w:pPr>
    </w:p>
    <w:p w14:paraId="46EE3ABC">
      <w:pPr>
        <w:jc w:val="center"/>
        <w:outlineLvl w:val="0"/>
        <w:rPr>
          <w:rFonts w:ascii="华文中宋" w:hAnsi="华文中宋" w:eastAsia="华文中宋" w:cs="华文中宋"/>
          <w:b/>
          <w:bCs/>
          <w:color w:val="000000" w:themeColor="text1"/>
          <w:sz w:val="32"/>
          <w:szCs w:val="32"/>
          <w:highlight w:val="none"/>
          <w14:textFill>
            <w14:solidFill>
              <w14:schemeClr w14:val="tx1"/>
            </w14:solidFill>
          </w14:textFill>
        </w:rPr>
      </w:pPr>
      <w:bookmarkStart w:id="1113" w:name="_Toc8396"/>
      <w:r>
        <w:rPr>
          <w:rFonts w:hint="eastAsia" w:ascii="华文中宋" w:hAnsi="华文中宋" w:eastAsia="华文中宋" w:cs="华文中宋"/>
          <w:b/>
          <w:bCs/>
          <w:color w:val="000000" w:themeColor="text1"/>
          <w:sz w:val="32"/>
          <w:szCs w:val="32"/>
          <w:highlight w:val="none"/>
          <w14:textFill>
            <w14:solidFill>
              <w14:schemeClr w14:val="tx1"/>
            </w14:solidFill>
          </w14:textFill>
        </w:rPr>
        <w:t>第八章  技术标准和要求</w:t>
      </w:r>
      <w:bookmarkEnd w:id="1110"/>
      <w:bookmarkEnd w:id="1111"/>
      <w:bookmarkEnd w:id="1112"/>
      <w:bookmarkEnd w:id="1113"/>
    </w:p>
    <w:p w14:paraId="760D2768">
      <w:pPr>
        <w:jc w:val="center"/>
        <w:rPr>
          <w:rFonts w:ascii="Calibri" w:hAnsi="Calibri"/>
          <w:color w:val="000000" w:themeColor="text1"/>
          <w:szCs w:val="21"/>
          <w:highlight w:val="none"/>
          <w14:textFill>
            <w14:solidFill>
              <w14:schemeClr w14:val="tx1"/>
            </w14:solidFill>
          </w14:textFill>
        </w:rPr>
      </w:pPr>
      <w:bookmarkStart w:id="1114" w:name="_Toc349555826"/>
      <w:bookmarkStart w:id="1115" w:name="_Toc349557651"/>
    </w:p>
    <w:p w14:paraId="469A8F76">
      <w:pPr>
        <w:jc w:val="center"/>
        <w:rPr>
          <w:rFonts w:ascii="Calibri" w:hAnsi="Calibri"/>
          <w:color w:val="000000" w:themeColor="text1"/>
          <w:szCs w:val="21"/>
          <w:highlight w:val="none"/>
          <w14:textFill>
            <w14:solidFill>
              <w14:schemeClr w14:val="tx1"/>
            </w14:solidFill>
          </w14:textFill>
        </w:rPr>
      </w:pPr>
    </w:p>
    <w:p w14:paraId="617FB53B">
      <w:pPr>
        <w:jc w:val="center"/>
        <w:rPr>
          <w:color w:val="000000" w:themeColor="text1"/>
          <w:highlight w:val="none"/>
          <w14:textFill>
            <w14:solidFill>
              <w14:schemeClr w14:val="tx1"/>
            </w14:solidFill>
          </w14:textFill>
        </w:rPr>
      </w:pPr>
      <w:r>
        <w:rPr>
          <w:rFonts w:ascii="宋体" w:hAnsi="宋体" w:cs="宋体"/>
          <w:b/>
          <w:color w:val="000000" w:themeColor="text1"/>
          <w:kern w:val="0"/>
          <w:sz w:val="24"/>
          <w:highlight w:val="none"/>
          <w14:textFill>
            <w14:solidFill>
              <w14:schemeClr w14:val="tx1"/>
            </w14:solidFill>
          </w14:textFill>
        </w:rPr>
        <w:t>按现行有关的工程建设标准、技术规范执行</w:t>
      </w:r>
      <w:bookmarkEnd w:id="1114"/>
      <w:bookmarkEnd w:id="1115"/>
      <w:r>
        <w:rPr>
          <w:rFonts w:hint="eastAsia" w:ascii="宋体" w:hAnsi="宋体" w:cs="宋体"/>
          <w:b/>
          <w:color w:val="000000" w:themeColor="text1"/>
          <w:kern w:val="0"/>
          <w:sz w:val="24"/>
          <w:highlight w:val="none"/>
          <w14:textFill>
            <w14:solidFill>
              <w14:schemeClr w14:val="tx1"/>
            </w14:solidFill>
          </w14:textFill>
        </w:rPr>
        <w:t>。</w:t>
      </w:r>
    </w:p>
    <w:sectPr>
      <w:headerReference r:id="rId8" w:type="default"/>
      <w:footerReference r:id="rId9" w:type="default"/>
      <w:pgSz w:w="11910" w:h="16850"/>
      <w:pgMar w:top="1440" w:right="1080" w:bottom="1440" w:left="1080" w:header="876" w:footer="86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CordiaUPC">
    <w:panose1 w:val="020B0304020202020204"/>
    <w:charset w:val="DE"/>
    <w:family w:val="swiss"/>
    <w:pitch w:val="default"/>
    <w:sig w:usb0="81000003" w:usb1="00000000" w:usb2="00000000" w:usb3="00000000" w:csb0="0001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D328">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3DB29">
                          <w:pPr>
                            <w:pStyle w:val="33"/>
                          </w:pPr>
                          <w:r>
                            <w:fldChar w:fldCharType="begin"/>
                          </w:r>
                          <w:r>
                            <w:instrText xml:space="preserve"> PAGE  \* MERGEFORMAT </w:instrText>
                          </w:r>
                          <w:r>
                            <w:fldChar w:fldCharType="separate"/>
                          </w:r>
                          <w:r>
                            <w:t>III</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MQH4PXAQAAswMAAA4AAAAAAAAAAQAgAAAA&#10;HgEAAGRycy9lMm9Eb2MueG1sUEsFBgAAAAAGAAYAWQEAAGcFAAAAAA==&#10;">
              <v:fill on="f" focussize="0,0"/>
              <v:stroke on="f"/>
              <v:imagedata o:title=""/>
              <o:lock v:ext="edit" aspectratio="f"/>
              <v:textbox inset="0mm,0mm,0mm,0mm" style="mso-fit-shape-to-text:t;">
                <w:txbxContent>
                  <w:p w14:paraId="62B3DB29">
                    <w:pPr>
                      <w:pStyle w:val="33"/>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BF74">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11D627">
                          <w:pPr>
                            <w:pStyle w:val="33"/>
                          </w:pPr>
                          <w:r>
                            <w:fldChar w:fldCharType="begin"/>
                          </w:r>
                          <w:r>
                            <w:instrText xml:space="preserve"> PAGE  \* MERGEFORMAT </w:instrText>
                          </w:r>
                          <w:r>
                            <w:fldChar w:fldCharType="separate"/>
                          </w:r>
                          <w:r>
                            <w:t>0</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0Jn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Z9z5oSlgV++f7v8+HX5+ZUt&#10;l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J9CZzXAQAAswMAAA4AAAAAAAAAAQAgAAAA&#10;HgEAAGRycy9lMm9Eb2MueG1sUEsFBgAAAAAGAAYAWQEAAGcFAAAAAA==&#10;">
              <v:fill on="f" focussize="0,0"/>
              <v:stroke on="f"/>
              <v:imagedata o:title=""/>
              <o:lock v:ext="edit" aspectratio="f"/>
              <v:textbox inset="0mm,0mm,0mm,0mm" style="mso-fit-shape-to-text:t;">
                <w:txbxContent>
                  <w:p w14:paraId="2711D627">
                    <w:pPr>
                      <w:pStyle w:val="3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03178">
    <w:pPr>
      <w:pStyle w:val="33"/>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rFonts w:ascii="Calibri" w:hAnsi="Calibri"/>
      </w:rPr>
      <w:t>41</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B9E2B">
    <w:pPr>
      <w:pStyle w:val="3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46FB0">
                          <w:pPr>
                            <w:pStyle w:val="33"/>
                          </w:pPr>
                          <w:r>
                            <w:fldChar w:fldCharType="begin"/>
                          </w:r>
                          <w:r>
                            <w:instrText xml:space="preserve"> PAGE  \* MERGEFORMAT </w:instrText>
                          </w:r>
                          <w:r>
                            <w:fldChar w:fldCharType="separate"/>
                          </w:r>
                          <w:r>
                            <w:t>0</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zTU9cBAACz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r7izAlLA7/8+H75+fvy6xtb&#10;LlN/+gAVpd0FSsThtR9oa2Y/kDPJHtpo058EMYpTd8/X7qoBmUyX1qv1uqSQpNh8IPzi/nqIgG+V&#10;tywZNY80vtxVcXoPOKbOKama87famDxC4/5yEGbyFIn7yDFZOOyHSdDeN2fSQ++A6nQ+fuWspy2o&#10;uaOl58y8c9TktDCzEWdjPxvCSbpYc+RsNN9gXqxEBMKrIxK7TDqVHutNjGiWWfa0d2lZHp5z1v1b&#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y801PXAQAAswMAAA4AAAAAAAAAAQAgAAAA&#10;HgEAAGRycy9lMm9Eb2MueG1sUEsFBgAAAAAGAAYAWQEAAGcFAAAAAA==&#10;">
              <v:fill on="f" focussize="0,0"/>
              <v:stroke on="f"/>
              <v:imagedata o:title=""/>
              <o:lock v:ext="edit" aspectratio="f"/>
              <v:textbox inset="0mm,0mm,0mm,0mm" style="mso-fit-shape-to-text:t;">
                <w:txbxContent>
                  <w:p w14:paraId="60646FB0">
                    <w:pPr>
                      <w:pStyle w:val="3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0EA1">
    <w:pPr>
      <w:jc w:val="cente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7258">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536FD4">
                          <w:pPr>
                            <w:pStyle w:val="33"/>
                          </w:pPr>
                          <w:r>
                            <w:fldChar w:fldCharType="begin"/>
                          </w:r>
                          <w:r>
                            <w:instrText xml:space="preserve"> PAGE  \* MERGEFORMAT </w:instrText>
                          </w:r>
                          <w:r>
                            <w:fldChar w:fldCharType="separate"/>
                          </w:r>
                          <w:r>
                            <w:t>99</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3eANNcBAACy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bmuUpE0L8+RGKXSafWY7+JEV1llj2NXZqVP9e56vGp&#10;b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N3gDTXAQAAsgMAAA4AAAAAAAAAAQAgAAAA&#10;HgEAAGRycy9lMm9Eb2MueG1sUEsFBgAAAAAGAAYAWQEAAGcFAAAAAA==&#10;">
              <v:fill on="f" focussize="0,0"/>
              <v:stroke on="f"/>
              <v:imagedata o:title=""/>
              <o:lock v:ext="edit" aspectratio="f"/>
              <v:textbox inset="0mm,0mm,0mm,0mm" style="mso-fit-shape-to-text:t;">
                <w:txbxContent>
                  <w:p w14:paraId="1D536FD4">
                    <w:pPr>
                      <w:pStyle w:val="33"/>
                    </w:pPr>
                    <w:r>
                      <w:fldChar w:fldCharType="begin"/>
                    </w:r>
                    <w:r>
                      <w:instrText xml:space="preserve"> PAGE  \* MERGEFORMAT </w:instrText>
                    </w:r>
                    <w:r>
                      <w:fldChar w:fldCharType="separate"/>
                    </w:r>
                    <w:r>
                      <w:t>99</w:t>
                    </w:r>
                    <w:r>
                      <w:fldChar w:fldCharType="end"/>
                    </w:r>
                  </w:p>
                </w:txbxContent>
              </v:textbox>
            </v:shape>
          </w:pict>
        </mc:Fallback>
      </mc:AlternateContent>
    </w:r>
  </w:p>
  <w:p w14:paraId="582BDAB7">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A7590">
    <w:pPr>
      <w:pStyle w:val="3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BE537549"/>
    <w:multiLevelType w:val="singleLevel"/>
    <w:tmpl w:val="BE537549"/>
    <w:lvl w:ilvl="0" w:tentative="0">
      <w:start w:val="1"/>
      <w:numFmt w:val="decimal"/>
      <w:suff w:val="nothing"/>
      <w:lvlText w:val="（%1）"/>
      <w:lvlJc w:val="left"/>
    </w:lvl>
  </w:abstractNum>
  <w:abstractNum w:abstractNumId="2">
    <w:nsid w:val="D904EA71"/>
    <w:multiLevelType w:val="singleLevel"/>
    <w:tmpl w:val="D904EA71"/>
    <w:lvl w:ilvl="0" w:tentative="0">
      <w:start w:val="8"/>
      <w:numFmt w:val="decimal"/>
      <w:suff w:val="space"/>
      <w:lvlText w:val="%1."/>
      <w:lvlJc w:val="left"/>
      <w:pPr>
        <w:ind w:left="320" w:firstLine="0"/>
      </w:pPr>
    </w:lvl>
  </w:abstractNum>
  <w:abstractNum w:abstractNumId="3">
    <w:nsid w:val="FAC1C0C3"/>
    <w:multiLevelType w:val="singleLevel"/>
    <w:tmpl w:val="FAC1C0C3"/>
    <w:lvl w:ilvl="0" w:tentative="0">
      <w:start w:val="1"/>
      <w:numFmt w:val="decimal"/>
      <w:lvlText w:val="(%1)"/>
      <w:lvlJc w:val="left"/>
      <w:pPr>
        <w:tabs>
          <w:tab w:val="left" w:pos="420"/>
        </w:tabs>
        <w:ind w:left="845" w:hanging="425"/>
      </w:pPr>
      <w:rPr>
        <w:rFonts w:hint="default"/>
      </w:r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FD97BE0"/>
    <w:multiLevelType w:val="singleLevel"/>
    <w:tmpl w:val="1FD97BE0"/>
    <w:lvl w:ilvl="0" w:tentative="0">
      <w:start w:val="1"/>
      <w:numFmt w:val="chineseCounting"/>
      <w:suff w:val="nothing"/>
      <w:lvlText w:val="（%1）"/>
      <w:lvlJc w:val="left"/>
      <w:rPr>
        <w:rFonts w:hint="eastAsia"/>
      </w:rPr>
    </w:lvl>
  </w:abstractNum>
  <w:abstractNum w:abstractNumId="7">
    <w:nsid w:val="2939AA4F"/>
    <w:multiLevelType w:val="singleLevel"/>
    <w:tmpl w:val="2939AA4F"/>
    <w:lvl w:ilvl="0" w:tentative="0">
      <w:start w:val="1"/>
      <w:numFmt w:val="decimal"/>
      <w:suff w:val="nothing"/>
      <w:lvlText w:val="（%1）"/>
      <w:lvlJc w:val="left"/>
      <w:pPr>
        <w:tabs>
          <w:tab w:val="left" w:pos="0"/>
        </w:tabs>
        <w:ind w:left="0" w:firstLine="0"/>
      </w:pPr>
    </w:lvl>
  </w:abstractNum>
  <w:abstractNum w:abstractNumId="8">
    <w:nsid w:val="2EBEB4BA"/>
    <w:multiLevelType w:val="singleLevel"/>
    <w:tmpl w:val="2EBEB4BA"/>
    <w:lvl w:ilvl="0" w:tentative="0">
      <w:start w:val="26"/>
      <w:numFmt w:val="decimal"/>
      <w:suff w:val="space"/>
      <w:lvlText w:val="%1."/>
      <w:lvlJc w:val="left"/>
    </w:lvl>
  </w:abstractNum>
  <w:abstractNum w:abstractNumId="9">
    <w:nsid w:val="3BB16C7B"/>
    <w:multiLevelType w:val="singleLevel"/>
    <w:tmpl w:val="3BB16C7B"/>
    <w:lvl w:ilvl="0" w:tentative="0">
      <w:start w:val="1"/>
      <w:numFmt w:val="decimal"/>
      <w:suff w:val="nothing"/>
      <w:lvlText w:val="（%1）"/>
      <w:lvlJc w:val="left"/>
    </w:lvl>
  </w:abstractNum>
  <w:abstractNum w:abstractNumId="10">
    <w:nsid w:val="59D2E27F"/>
    <w:multiLevelType w:val="singleLevel"/>
    <w:tmpl w:val="59D2E27F"/>
    <w:lvl w:ilvl="0" w:tentative="0">
      <w:start w:val="2"/>
      <w:numFmt w:val="decimal"/>
      <w:suff w:val="space"/>
      <w:lvlText w:val="%1."/>
      <w:lvlJc w:val="left"/>
    </w:lvl>
  </w:abstractNum>
  <w:abstractNum w:abstractNumId="11">
    <w:nsid w:val="6A98117E"/>
    <w:multiLevelType w:val="multilevel"/>
    <w:tmpl w:val="6A98117E"/>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AD43707"/>
    <w:multiLevelType w:val="singleLevel"/>
    <w:tmpl w:val="6AD43707"/>
    <w:lvl w:ilvl="0" w:tentative="0">
      <w:start w:val="5"/>
      <w:numFmt w:val="decimal"/>
      <w:suff w:val="space"/>
      <w:lvlText w:val="%1."/>
      <w:lvlJc w:val="left"/>
    </w:lvl>
  </w:abstractNum>
  <w:num w:numId="1">
    <w:abstractNumId w:val="5"/>
  </w:num>
  <w:num w:numId="2">
    <w:abstractNumId w:val="7"/>
  </w:num>
  <w:num w:numId="3">
    <w:abstractNumId w:val="12"/>
  </w:num>
  <w:num w:numId="4">
    <w:abstractNumId w:val="0"/>
  </w:num>
  <w:num w:numId="5">
    <w:abstractNumId w:val="8"/>
  </w:num>
  <w:num w:numId="6">
    <w:abstractNumId w:val="3"/>
  </w:num>
  <w:num w:numId="7">
    <w:abstractNumId w:val="1"/>
  </w:num>
  <w:num w:numId="8">
    <w:abstractNumId w:val="10"/>
  </w:num>
  <w:num w:numId="9">
    <w:abstractNumId w:val="2"/>
  </w:num>
  <w:num w:numId="10">
    <w:abstractNumId w:val="4"/>
  </w:num>
  <w:num w:numId="11">
    <w:abstractNumId w:val="9"/>
  </w:num>
  <w:num w:numId="12">
    <w:abstractNumId w:val="6"/>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GFlMTllMTk4ODVhYzRlNDQ3M2QyNTNlNGMxOWI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2A27"/>
    <w:rsid w:val="00176A20"/>
    <w:rsid w:val="00181FDA"/>
    <w:rsid w:val="00182959"/>
    <w:rsid w:val="00185AFE"/>
    <w:rsid w:val="00190D1C"/>
    <w:rsid w:val="001953A0"/>
    <w:rsid w:val="00196424"/>
    <w:rsid w:val="001A05FF"/>
    <w:rsid w:val="001A1D20"/>
    <w:rsid w:val="001B399B"/>
    <w:rsid w:val="001B587B"/>
    <w:rsid w:val="001B68A2"/>
    <w:rsid w:val="001C5FFC"/>
    <w:rsid w:val="001F0439"/>
    <w:rsid w:val="001F12DB"/>
    <w:rsid w:val="001F1C5F"/>
    <w:rsid w:val="001F2EC1"/>
    <w:rsid w:val="00200AD6"/>
    <w:rsid w:val="002146AC"/>
    <w:rsid w:val="0022120F"/>
    <w:rsid w:val="00234289"/>
    <w:rsid w:val="00234F73"/>
    <w:rsid w:val="00240BE6"/>
    <w:rsid w:val="00247246"/>
    <w:rsid w:val="00251DD9"/>
    <w:rsid w:val="0025798E"/>
    <w:rsid w:val="002731B8"/>
    <w:rsid w:val="00282183"/>
    <w:rsid w:val="002836BB"/>
    <w:rsid w:val="00294ABB"/>
    <w:rsid w:val="002A02A4"/>
    <w:rsid w:val="002A1337"/>
    <w:rsid w:val="002A5932"/>
    <w:rsid w:val="002A7AA5"/>
    <w:rsid w:val="002B367F"/>
    <w:rsid w:val="002B4A1A"/>
    <w:rsid w:val="002C2F35"/>
    <w:rsid w:val="002C64E9"/>
    <w:rsid w:val="002D224B"/>
    <w:rsid w:val="002D67CB"/>
    <w:rsid w:val="002E3F73"/>
    <w:rsid w:val="003072AC"/>
    <w:rsid w:val="003112C8"/>
    <w:rsid w:val="00313D88"/>
    <w:rsid w:val="00324C8D"/>
    <w:rsid w:val="003274EB"/>
    <w:rsid w:val="00342C97"/>
    <w:rsid w:val="00343C5E"/>
    <w:rsid w:val="003500A0"/>
    <w:rsid w:val="00351702"/>
    <w:rsid w:val="00353869"/>
    <w:rsid w:val="003649DC"/>
    <w:rsid w:val="00370233"/>
    <w:rsid w:val="00385260"/>
    <w:rsid w:val="003A0C39"/>
    <w:rsid w:val="003B0ECE"/>
    <w:rsid w:val="003D6EE4"/>
    <w:rsid w:val="003E0A58"/>
    <w:rsid w:val="003E40B6"/>
    <w:rsid w:val="003F188C"/>
    <w:rsid w:val="0040596E"/>
    <w:rsid w:val="004159F5"/>
    <w:rsid w:val="00416BF3"/>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A3CDA"/>
    <w:rsid w:val="004B591B"/>
    <w:rsid w:val="004C2E98"/>
    <w:rsid w:val="004C3979"/>
    <w:rsid w:val="004D56BD"/>
    <w:rsid w:val="004F01DD"/>
    <w:rsid w:val="004F633E"/>
    <w:rsid w:val="004F79F9"/>
    <w:rsid w:val="005076B4"/>
    <w:rsid w:val="005176EA"/>
    <w:rsid w:val="00521F93"/>
    <w:rsid w:val="005224FF"/>
    <w:rsid w:val="00523F82"/>
    <w:rsid w:val="0053009A"/>
    <w:rsid w:val="005421B5"/>
    <w:rsid w:val="005525B7"/>
    <w:rsid w:val="005604DD"/>
    <w:rsid w:val="00562432"/>
    <w:rsid w:val="0056266B"/>
    <w:rsid w:val="00566CDC"/>
    <w:rsid w:val="00567E86"/>
    <w:rsid w:val="00572AFB"/>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6DD9"/>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14F4B"/>
    <w:rsid w:val="00715160"/>
    <w:rsid w:val="007233FB"/>
    <w:rsid w:val="00733D90"/>
    <w:rsid w:val="00736BDB"/>
    <w:rsid w:val="00751C6E"/>
    <w:rsid w:val="0075292A"/>
    <w:rsid w:val="00753CBA"/>
    <w:rsid w:val="0076144E"/>
    <w:rsid w:val="00766DD0"/>
    <w:rsid w:val="00771CEA"/>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6BB3"/>
    <w:rsid w:val="007E7013"/>
    <w:rsid w:val="007E7036"/>
    <w:rsid w:val="007F20C6"/>
    <w:rsid w:val="008120DC"/>
    <w:rsid w:val="00817FF6"/>
    <w:rsid w:val="008213B7"/>
    <w:rsid w:val="008223D6"/>
    <w:rsid w:val="00822D9F"/>
    <w:rsid w:val="008257D3"/>
    <w:rsid w:val="00832165"/>
    <w:rsid w:val="00834EC7"/>
    <w:rsid w:val="0083688E"/>
    <w:rsid w:val="00840D2B"/>
    <w:rsid w:val="00845820"/>
    <w:rsid w:val="00847FB1"/>
    <w:rsid w:val="008503AF"/>
    <w:rsid w:val="008548B0"/>
    <w:rsid w:val="00862AAC"/>
    <w:rsid w:val="00865AD6"/>
    <w:rsid w:val="008671CC"/>
    <w:rsid w:val="00870447"/>
    <w:rsid w:val="00874754"/>
    <w:rsid w:val="008748F2"/>
    <w:rsid w:val="008767DD"/>
    <w:rsid w:val="00876CBE"/>
    <w:rsid w:val="00882D49"/>
    <w:rsid w:val="0089385A"/>
    <w:rsid w:val="00893928"/>
    <w:rsid w:val="00894BD1"/>
    <w:rsid w:val="008A1FCE"/>
    <w:rsid w:val="008B4757"/>
    <w:rsid w:val="008B7CAB"/>
    <w:rsid w:val="008C050A"/>
    <w:rsid w:val="008C195C"/>
    <w:rsid w:val="008C68E7"/>
    <w:rsid w:val="008D7131"/>
    <w:rsid w:val="008D7486"/>
    <w:rsid w:val="008E1CB2"/>
    <w:rsid w:val="008E6AFF"/>
    <w:rsid w:val="008E73C0"/>
    <w:rsid w:val="008F1FDB"/>
    <w:rsid w:val="008F32EE"/>
    <w:rsid w:val="008F4CB9"/>
    <w:rsid w:val="00902716"/>
    <w:rsid w:val="0090616B"/>
    <w:rsid w:val="009202A3"/>
    <w:rsid w:val="00924030"/>
    <w:rsid w:val="00931C3B"/>
    <w:rsid w:val="00951FCC"/>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8148A"/>
    <w:rsid w:val="00A90ECB"/>
    <w:rsid w:val="00A91358"/>
    <w:rsid w:val="00A93270"/>
    <w:rsid w:val="00A967D1"/>
    <w:rsid w:val="00AA251E"/>
    <w:rsid w:val="00AA6250"/>
    <w:rsid w:val="00AA715F"/>
    <w:rsid w:val="00AB3028"/>
    <w:rsid w:val="00AC0A50"/>
    <w:rsid w:val="00AC488B"/>
    <w:rsid w:val="00AD6916"/>
    <w:rsid w:val="00AD706C"/>
    <w:rsid w:val="00AE18E3"/>
    <w:rsid w:val="00AE6F60"/>
    <w:rsid w:val="00AE7638"/>
    <w:rsid w:val="00AF58C0"/>
    <w:rsid w:val="00B06DC4"/>
    <w:rsid w:val="00B15F3F"/>
    <w:rsid w:val="00B2179F"/>
    <w:rsid w:val="00B276A2"/>
    <w:rsid w:val="00B306D5"/>
    <w:rsid w:val="00B34456"/>
    <w:rsid w:val="00B3533A"/>
    <w:rsid w:val="00B354E7"/>
    <w:rsid w:val="00B47B8B"/>
    <w:rsid w:val="00B51FB9"/>
    <w:rsid w:val="00B57D19"/>
    <w:rsid w:val="00B64604"/>
    <w:rsid w:val="00B66931"/>
    <w:rsid w:val="00B929BF"/>
    <w:rsid w:val="00B953DA"/>
    <w:rsid w:val="00BB1B64"/>
    <w:rsid w:val="00BC3239"/>
    <w:rsid w:val="00BC6724"/>
    <w:rsid w:val="00BD302F"/>
    <w:rsid w:val="00BD5D75"/>
    <w:rsid w:val="00BD752F"/>
    <w:rsid w:val="00BD7820"/>
    <w:rsid w:val="00BE34A1"/>
    <w:rsid w:val="00BE4B00"/>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85EB8"/>
    <w:rsid w:val="00C95BBE"/>
    <w:rsid w:val="00CA2955"/>
    <w:rsid w:val="00CB25D9"/>
    <w:rsid w:val="00CC6A23"/>
    <w:rsid w:val="00CE0FE2"/>
    <w:rsid w:val="00CF00F0"/>
    <w:rsid w:val="00CF05DB"/>
    <w:rsid w:val="00CF0977"/>
    <w:rsid w:val="00CF6674"/>
    <w:rsid w:val="00D055B1"/>
    <w:rsid w:val="00D05C88"/>
    <w:rsid w:val="00D10369"/>
    <w:rsid w:val="00D15D74"/>
    <w:rsid w:val="00D2487E"/>
    <w:rsid w:val="00D374A5"/>
    <w:rsid w:val="00D42961"/>
    <w:rsid w:val="00D43A4B"/>
    <w:rsid w:val="00D4664D"/>
    <w:rsid w:val="00D50B4F"/>
    <w:rsid w:val="00D612D5"/>
    <w:rsid w:val="00D65442"/>
    <w:rsid w:val="00D735FD"/>
    <w:rsid w:val="00D7380C"/>
    <w:rsid w:val="00D73C53"/>
    <w:rsid w:val="00D82A50"/>
    <w:rsid w:val="00DC01FB"/>
    <w:rsid w:val="00DC3B62"/>
    <w:rsid w:val="00DD1CAC"/>
    <w:rsid w:val="00DD2234"/>
    <w:rsid w:val="00DD455D"/>
    <w:rsid w:val="00DE1928"/>
    <w:rsid w:val="00DE6BAB"/>
    <w:rsid w:val="00DE6D5C"/>
    <w:rsid w:val="00DF03C7"/>
    <w:rsid w:val="00DF1BF0"/>
    <w:rsid w:val="00DF1FAE"/>
    <w:rsid w:val="00DF6431"/>
    <w:rsid w:val="00E05419"/>
    <w:rsid w:val="00E05EA8"/>
    <w:rsid w:val="00E0605C"/>
    <w:rsid w:val="00E16991"/>
    <w:rsid w:val="00E26490"/>
    <w:rsid w:val="00E30130"/>
    <w:rsid w:val="00E3169B"/>
    <w:rsid w:val="00E43258"/>
    <w:rsid w:val="00E56063"/>
    <w:rsid w:val="00E572EE"/>
    <w:rsid w:val="00E576DD"/>
    <w:rsid w:val="00E57853"/>
    <w:rsid w:val="00E67600"/>
    <w:rsid w:val="00E75742"/>
    <w:rsid w:val="00E86CAC"/>
    <w:rsid w:val="00E953CB"/>
    <w:rsid w:val="00E96A11"/>
    <w:rsid w:val="00EA05F6"/>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1251"/>
    <w:rsid w:val="00F7168E"/>
    <w:rsid w:val="00F71E50"/>
    <w:rsid w:val="00F74A57"/>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F5475"/>
    <w:rsid w:val="00FF55B1"/>
    <w:rsid w:val="00FF7A8A"/>
    <w:rsid w:val="012071AD"/>
    <w:rsid w:val="01543C57"/>
    <w:rsid w:val="01791991"/>
    <w:rsid w:val="019F1BEA"/>
    <w:rsid w:val="01A32A0C"/>
    <w:rsid w:val="01B97AC1"/>
    <w:rsid w:val="01FC10EF"/>
    <w:rsid w:val="020C43CC"/>
    <w:rsid w:val="021871C8"/>
    <w:rsid w:val="02342041"/>
    <w:rsid w:val="029727B7"/>
    <w:rsid w:val="02D50C56"/>
    <w:rsid w:val="02E66D4C"/>
    <w:rsid w:val="03046B20"/>
    <w:rsid w:val="033B5B99"/>
    <w:rsid w:val="0360556D"/>
    <w:rsid w:val="037A3B41"/>
    <w:rsid w:val="0394000D"/>
    <w:rsid w:val="03A11157"/>
    <w:rsid w:val="03A833DF"/>
    <w:rsid w:val="03B44752"/>
    <w:rsid w:val="03C31792"/>
    <w:rsid w:val="044708CF"/>
    <w:rsid w:val="045C444A"/>
    <w:rsid w:val="046B56CD"/>
    <w:rsid w:val="04806B11"/>
    <w:rsid w:val="048159B7"/>
    <w:rsid w:val="048E3466"/>
    <w:rsid w:val="048F3F30"/>
    <w:rsid w:val="04A034A9"/>
    <w:rsid w:val="04A362D9"/>
    <w:rsid w:val="04A50C67"/>
    <w:rsid w:val="04FE39CA"/>
    <w:rsid w:val="04FF5AEC"/>
    <w:rsid w:val="050F365D"/>
    <w:rsid w:val="054320CE"/>
    <w:rsid w:val="055037B9"/>
    <w:rsid w:val="0556373A"/>
    <w:rsid w:val="055C30DB"/>
    <w:rsid w:val="055D1B99"/>
    <w:rsid w:val="0569768E"/>
    <w:rsid w:val="057B0515"/>
    <w:rsid w:val="059D67A3"/>
    <w:rsid w:val="05B1175A"/>
    <w:rsid w:val="05BB42A5"/>
    <w:rsid w:val="05BD140C"/>
    <w:rsid w:val="05CA794E"/>
    <w:rsid w:val="05FC5DF0"/>
    <w:rsid w:val="06186DAE"/>
    <w:rsid w:val="061F2581"/>
    <w:rsid w:val="062D4371"/>
    <w:rsid w:val="062F0B5F"/>
    <w:rsid w:val="063253FF"/>
    <w:rsid w:val="0637588F"/>
    <w:rsid w:val="06381797"/>
    <w:rsid w:val="06564195"/>
    <w:rsid w:val="06782B10"/>
    <w:rsid w:val="068439A7"/>
    <w:rsid w:val="068C566F"/>
    <w:rsid w:val="06BC0C19"/>
    <w:rsid w:val="07283BBC"/>
    <w:rsid w:val="074759E2"/>
    <w:rsid w:val="0749768F"/>
    <w:rsid w:val="07AD34DA"/>
    <w:rsid w:val="07CB3375"/>
    <w:rsid w:val="07CC43E5"/>
    <w:rsid w:val="07D43A0A"/>
    <w:rsid w:val="080251D6"/>
    <w:rsid w:val="0807124B"/>
    <w:rsid w:val="083574C9"/>
    <w:rsid w:val="0859018A"/>
    <w:rsid w:val="08607919"/>
    <w:rsid w:val="08734357"/>
    <w:rsid w:val="092B4FFE"/>
    <w:rsid w:val="09616F12"/>
    <w:rsid w:val="09AC6783"/>
    <w:rsid w:val="09CD18FD"/>
    <w:rsid w:val="0A571B81"/>
    <w:rsid w:val="0A890D51"/>
    <w:rsid w:val="0A8C1B57"/>
    <w:rsid w:val="0AB17FEF"/>
    <w:rsid w:val="0AD90D68"/>
    <w:rsid w:val="0AE17F1C"/>
    <w:rsid w:val="0B024724"/>
    <w:rsid w:val="0B56486A"/>
    <w:rsid w:val="0B5A630E"/>
    <w:rsid w:val="0B7E7085"/>
    <w:rsid w:val="0B806FF8"/>
    <w:rsid w:val="0B9A7C95"/>
    <w:rsid w:val="0B9F11F4"/>
    <w:rsid w:val="0BCE42CE"/>
    <w:rsid w:val="0BCE4606"/>
    <w:rsid w:val="0C026FFF"/>
    <w:rsid w:val="0C123672"/>
    <w:rsid w:val="0C140D82"/>
    <w:rsid w:val="0C796C68"/>
    <w:rsid w:val="0C9F66CF"/>
    <w:rsid w:val="0CA359A6"/>
    <w:rsid w:val="0CBC447D"/>
    <w:rsid w:val="0CC55A09"/>
    <w:rsid w:val="0CE13D52"/>
    <w:rsid w:val="0CEC11E8"/>
    <w:rsid w:val="0D15073F"/>
    <w:rsid w:val="0D490AEC"/>
    <w:rsid w:val="0D904B5A"/>
    <w:rsid w:val="0DBB646B"/>
    <w:rsid w:val="0DBE74A6"/>
    <w:rsid w:val="0DFB4557"/>
    <w:rsid w:val="0E2F5189"/>
    <w:rsid w:val="0E71088B"/>
    <w:rsid w:val="0EBE2240"/>
    <w:rsid w:val="0EC00B7E"/>
    <w:rsid w:val="0F0B0898"/>
    <w:rsid w:val="0F103AD7"/>
    <w:rsid w:val="0F21235A"/>
    <w:rsid w:val="0F512100"/>
    <w:rsid w:val="0F5D017B"/>
    <w:rsid w:val="0F5E6FEA"/>
    <w:rsid w:val="0F71201B"/>
    <w:rsid w:val="0F9E6A41"/>
    <w:rsid w:val="0FB42661"/>
    <w:rsid w:val="0FBF66B5"/>
    <w:rsid w:val="0FDE29B3"/>
    <w:rsid w:val="0FDE3802"/>
    <w:rsid w:val="0FDE5F55"/>
    <w:rsid w:val="0FEB7BA7"/>
    <w:rsid w:val="10264A11"/>
    <w:rsid w:val="10295EC3"/>
    <w:rsid w:val="10390BE8"/>
    <w:rsid w:val="10BE1696"/>
    <w:rsid w:val="10D77ADC"/>
    <w:rsid w:val="10EE120F"/>
    <w:rsid w:val="10FB5D66"/>
    <w:rsid w:val="1114617F"/>
    <w:rsid w:val="112E0750"/>
    <w:rsid w:val="1131178D"/>
    <w:rsid w:val="113D56DD"/>
    <w:rsid w:val="114D01EF"/>
    <w:rsid w:val="11881C25"/>
    <w:rsid w:val="11D010D8"/>
    <w:rsid w:val="11DB1BC5"/>
    <w:rsid w:val="11DD3607"/>
    <w:rsid w:val="120B1515"/>
    <w:rsid w:val="124A5813"/>
    <w:rsid w:val="129056B5"/>
    <w:rsid w:val="12B0405A"/>
    <w:rsid w:val="12C4029B"/>
    <w:rsid w:val="134148EC"/>
    <w:rsid w:val="13503220"/>
    <w:rsid w:val="135D6CD0"/>
    <w:rsid w:val="13762452"/>
    <w:rsid w:val="138231D2"/>
    <w:rsid w:val="13887C14"/>
    <w:rsid w:val="13A50343"/>
    <w:rsid w:val="13A83FEE"/>
    <w:rsid w:val="13C37044"/>
    <w:rsid w:val="13D424DA"/>
    <w:rsid w:val="13D9584A"/>
    <w:rsid w:val="13F63148"/>
    <w:rsid w:val="14036F6F"/>
    <w:rsid w:val="14341EA0"/>
    <w:rsid w:val="146F39FE"/>
    <w:rsid w:val="14705EE9"/>
    <w:rsid w:val="14714C4C"/>
    <w:rsid w:val="14844010"/>
    <w:rsid w:val="14867A8D"/>
    <w:rsid w:val="14951E8E"/>
    <w:rsid w:val="149E13F0"/>
    <w:rsid w:val="14B71508"/>
    <w:rsid w:val="14BC51FD"/>
    <w:rsid w:val="14BE16BC"/>
    <w:rsid w:val="15066EC8"/>
    <w:rsid w:val="150C3747"/>
    <w:rsid w:val="1523598F"/>
    <w:rsid w:val="154A2ABB"/>
    <w:rsid w:val="15B42ABF"/>
    <w:rsid w:val="15CC1BB7"/>
    <w:rsid w:val="15E2587E"/>
    <w:rsid w:val="15EE0320"/>
    <w:rsid w:val="163B4748"/>
    <w:rsid w:val="163B5944"/>
    <w:rsid w:val="164D77A8"/>
    <w:rsid w:val="166A62AA"/>
    <w:rsid w:val="16B42F26"/>
    <w:rsid w:val="16CE38AF"/>
    <w:rsid w:val="16D42E36"/>
    <w:rsid w:val="16EA4574"/>
    <w:rsid w:val="172C7FDC"/>
    <w:rsid w:val="175869FE"/>
    <w:rsid w:val="17663A36"/>
    <w:rsid w:val="17955AF0"/>
    <w:rsid w:val="1796651F"/>
    <w:rsid w:val="17981307"/>
    <w:rsid w:val="17A77202"/>
    <w:rsid w:val="18234DFF"/>
    <w:rsid w:val="18321F5C"/>
    <w:rsid w:val="18605E3F"/>
    <w:rsid w:val="187F47D6"/>
    <w:rsid w:val="18BB20F3"/>
    <w:rsid w:val="18DE1CB6"/>
    <w:rsid w:val="190046F4"/>
    <w:rsid w:val="191B66E5"/>
    <w:rsid w:val="192E4A76"/>
    <w:rsid w:val="19C0677F"/>
    <w:rsid w:val="19D525EA"/>
    <w:rsid w:val="19FD48D6"/>
    <w:rsid w:val="1A372A66"/>
    <w:rsid w:val="1A737ED0"/>
    <w:rsid w:val="1AA20B6A"/>
    <w:rsid w:val="1AAE2E67"/>
    <w:rsid w:val="1AD301C7"/>
    <w:rsid w:val="1ADD2E53"/>
    <w:rsid w:val="1AE51A98"/>
    <w:rsid w:val="1B3064BA"/>
    <w:rsid w:val="1B9A62B3"/>
    <w:rsid w:val="1BC8507E"/>
    <w:rsid w:val="1BF648BE"/>
    <w:rsid w:val="1C1C299A"/>
    <w:rsid w:val="1C67088B"/>
    <w:rsid w:val="1C9635A4"/>
    <w:rsid w:val="1CA07888"/>
    <w:rsid w:val="1CC436F9"/>
    <w:rsid w:val="1D105BB2"/>
    <w:rsid w:val="1D1C65C6"/>
    <w:rsid w:val="1D2D13FF"/>
    <w:rsid w:val="1D304E0E"/>
    <w:rsid w:val="1D3369BF"/>
    <w:rsid w:val="1D454B1B"/>
    <w:rsid w:val="1D8E2A78"/>
    <w:rsid w:val="1DD61D08"/>
    <w:rsid w:val="1E0D3161"/>
    <w:rsid w:val="1E1269D3"/>
    <w:rsid w:val="1E1A491E"/>
    <w:rsid w:val="1E4A3FC0"/>
    <w:rsid w:val="1E6F1C79"/>
    <w:rsid w:val="1E8963F2"/>
    <w:rsid w:val="1E9265F0"/>
    <w:rsid w:val="1EA736F8"/>
    <w:rsid w:val="1EC37D91"/>
    <w:rsid w:val="1F04026B"/>
    <w:rsid w:val="1FA66046"/>
    <w:rsid w:val="1FE12DE5"/>
    <w:rsid w:val="1FE16016"/>
    <w:rsid w:val="1FE52564"/>
    <w:rsid w:val="200C3C23"/>
    <w:rsid w:val="205F52D4"/>
    <w:rsid w:val="20B52727"/>
    <w:rsid w:val="20E303D3"/>
    <w:rsid w:val="21265E4F"/>
    <w:rsid w:val="212C3F92"/>
    <w:rsid w:val="21463165"/>
    <w:rsid w:val="2177567B"/>
    <w:rsid w:val="21832C76"/>
    <w:rsid w:val="21AD10DB"/>
    <w:rsid w:val="21D0113C"/>
    <w:rsid w:val="21DE514B"/>
    <w:rsid w:val="220B5DF0"/>
    <w:rsid w:val="222A78BB"/>
    <w:rsid w:val="226338A3"/>
    <w:rsid w:val="227114F9"/>
    <w:rsid w:val="22A2261D"/>
    <w:rsid w:val="22A77C33"/>
    <w:rsid w:val="22AA7723"/>
    <w:rsid w:val="22CE51C0"/>
    <w:rsid w:val="230A0DF6"/>
    <w:rsid w:val="2318544F"/>
    <w:rsid w:val="242D24FD"/>
    <w:rsid w:val="246C588C"/>
    <w:rsid w:val="24701C01"/>
    <w:rsid w:val="24720C5D"/>
    <w:rsid w:val="24A30AF0"/>
    <w:rsid w:val="24B0709F"/>
    <w:rsid w:val="24D36BE2"/>
    <w:rsid w:val="24E65A81"/>
    <w:rsid w:val="250F5077"/>
    <w:rsid w:val="25227CA1"/>
    <w:rsid w:val="255E4015"/>
    <w:rsid w:val="257003D2"/>
    <w:rsid w:val="257A447E"/>
    <w:rsid w:val="25DF553A"/>
    <w:rsid w:val="26247424"/>
    <w:rsid w:val="26636159"/>
    <w:rsid w:val="26851A34"/>
    <w:rsid w:val="26A5654C"/>
    <w:rsid w:val="26AD5B77"/>
    <w:rsid w:val="26D80785"/>
    <w:rsid w:val="26DD412B"/>
    <w:rsid w:val="27030352"/>
    <w:rsid w:val="27507FF3"/>
    <w:rsid w:val="27693709"/>
    <w:rsid w:val="277A26AC"/>
    <w:rsid w:val="27805F80"/>
    <w:rsid w:val="27973840"/>
    <w:rsid w:val="27986805"/>
    <w:rsid w:val="27B47404"/>
    <w:rsid w:val="27C7448E"/>
    <w:rsid w:val="27ED2817"/>
    <w:rsid w:val="27F91C37"/>
    <w:rsid w:val="27F967E2"/>
    <w:rsid w:val="281B7617"/>
    <w:rsid w:val="285618A9"/>
    <w:rsid w:val="28D97DB8"/>
    <w:rsid w:val="29573CE9"/>
    <w:rsid w:val="29603124"/>
    <w:rsid w:val="2961776B"/>
    <w:rsid w:val="2A23228D"/>
    <w:rsid w:val="2A492B17"/>
    <w:rsid w:val="2A4D551C"/>
    <w:rsid w:val="2A5406A7"/>
    <w:rsid w:val="2A74238E"/>
    <w:rsid w:val="2B73203E"/>
    <w:rsid w:val="2B74525E"/>
    <w:rsid w:val="2B7D7783"/>
    <w:rsid w:val="2BD40CBE"/>
    <w:rsid w:val="2C1F2B66"/>
    <w:rsid w:val="2C397017"/>
    <w:rsid w:val="2C4B7631"/>
    <w:rsid w:val="2C6E17C2"/>
    <w:rsid w:val="2C800F7A"/>
    <w:rsid w:val="2CDB1298"/>
    <w:rsid w:val="2CEC3EC3"/>
    <w:rsid w:val="2CF3012F"/>
    <w:rsid w:val="2CFA1C67"/>
    <w:rsid w:val="2D236108"/>
    <w:rsid w:val="2D304D68"/>
    <w:rsid w:val="2D34274A"/>
    <w:rsid w:val="2D5A361F"/>
    <w:rsid w:val="2D836160"/>
    <w:rsid w:val="2DAB4FC5"/>
    <w:rsid w:val="2DBB4A44"/>
    <w:rsid w:val="2E2D6818"/>
    <w:rsid w:val="2E316EB5"/>
    <w:rsid w:val="2E3911B7"/>
    <w:rsid w:val="2E4108EA"/>
    <w:rsid w:val="2E6B2FE2"/>
    <w:rsid w:val="2E6B5FB9"/>
    <w:rsid w:val="2E792A9B"/>
    <w:rsid w:val="2E86077E"/>
    <w:rsid w:val="2E8E4BB6"/>
    <w:rsid w:val="2E9B22F1"/>
    <w:rsid w:val="2EBD433B"/>
    <w:rsid w:val="2F2E31C2"/>
    <w:rsid w:val="2F314314"/>
    <w:rsid w:val="2F763CAE"/>
    <w:rsid w:val="2FF46F70"/>
    <w:rsid w:val="2FFB7130"/>
    <w:rsid w:val="301E16C7"/>
    <w:rsid w:val="3078676B"/>
    <w:rsid w:val="30922B6E"/>
    <w:rsid w:val="30942F77"/>
    <w:rsid w:val="30DC4F4C"/>
    <w:rsid w:val="311036B4"/>
    <w:rsid w:val="312D39F9"/>
    <w:rsid w:val="313721C7"/>
    <w:rsid w:val="31590E82"/>
    <w:rsid w:val="315947EF"/>
    <w:rsid w:val="31676588"/>
    <w:rsid w:val="316C6E4D"/>
    <w:rsid w:val="31A25DCC"/>
    <w:rsid w:val="31D27479"/>
    <w:rsid w:val="31E57E0B"/>
    <w:rsid w:val="321921D0"/>
    <w:rsid w:val="323A46EF"/>
    <w:rsid w:val="32432DA9"/>
    <w:rsid w:val="32644A65"/>
    <w:rsid w:val="32C5132B"/>
    <w:rsid w:val="32DC6D10"/>
    <w:rsid w:val="330864CC"/>
    <w:rsid w:val="33114C55"/>
    <w:rsid w:val="33146374"/>
    <w:rsid w:val="33177932"/>
    <w:rsid w:val="33191029"/>
    <w:rsid w:val="332C73F5"/>
    <w:rsid w:val="333170A5"/>
    <w:rsid w:val="33541711"/>
    <w:rsid w:val="335C11DD"/>
    <w:rsid w:val="3366138E"/>
    <w:rsid w:val="338F274A"/>
    <w:rsid w:val="33B81129"/>
    <w:rsid w:val="33C52ED4"/>
    <w:rsid w:val="33D01F98"/>
    <w:rsid w:val="340537C2"/>
    <w:rsid w:val="341C31B2"/>
    <w:rsid w:val="34256015"/>
    <w:rsid w:val="34331CF7"/>
    <w:rsid w:val="34370F81"/>
    <w:rsid w:val="344A7771"/>
    <w:rsid w:val="34535CDA"/>
    <w:rsid w:val="34AA375F"/>
    <w:rsid w:val="34C86096"/>
    <w:rsid w:val="35054F41"/>
    <w:rsid w:val="355A3DF9"/>
    <w:rsid w:val="355C7983"/>
    <w:rsid w:val="356E5C9A"/>
    <w:rsid w:val="357A2D6D"/>
    <w:rsid w:val="358E358F"/>
    <w:rsid w:val="35F9034E"/>
    <w:rsid w:val="360A3A37"/>
    <w:rsid w:val="360A6D2C"/>
    <w:rsid w:val="36274FBF"/>
    <w:rsid w:val="36877708"/>
    <w:rsid w:val="368924B2"/>
    <w:rsid w:val="368C11C2"/>
    <w:rsid w:val="36F03CAB"/>
    <w:rsid w:val="371A0862"/>
    <w:rsid w:val="372159D9"/>
    <w:rsid w:val="374A4141"/>
    <w:rsid w:val="37520721"/>
    <w:rsid w:val="37647A49"/>
    <w:rsid w:val="376B31FC"/>
    <w:rsid w:val="37773C20"/>
    <w:rsid w:val="37876CD7"/>
    <w:rsid w:val="37891C41"/>
    <w:rsid w:val="37AF33BA"/>
    <w:rsid w:val="37F64415"/>
    <w:rsid w:val="380E6B51"/>
    <w:rsid w:val="382220E8"/>
    <w:rsid w:val="382A0901"/>
    <w:rsid w:val="38325D99"/>
    <w:rsid w:val="385D7F24"/>
    <w:rsid w:val="386C12AB"/>
    <w:rsid w:val="38A95010"/>
    <w:rsid w:val="38B245C5"/>
    <w:rsid w:val="38F6475A"/>
    <w:rsid w:val="390B232E"/>
    <w:rsid w:val="393F65A9"/>
    <w:rsid w:val="399F120C"/>
    <w:rsid w:val="39C11183"/>
    <w:rsid w:val="39E15381"/>
    <w:rsid w:val="3A0556DC"/>
    <w:rsid w:val="3A18450B"/>
    <w:rsid w:val="3A362890"/>
    <w:rsid w:val="3A417045"/>
    <w:rsid w:val="3A540410"/>
    <w:rsid w:val="3A66066B"/>
    <w:rsid w:val="3A6A7A6C"/>
    <w:rsid w:val="3A790E66"/>
    <w:rsid w:val="3AA12337"/>
    <w:rsid w:val="3ACC4283"/>
    <w:rsid w:val="3ACF1BA7"/>
    <w:rsid w:val="3AEE314D"/>
    <w:rsid w:val="3AEF06FC"/>
    <w:rsid w:val="3B3616FD"/>
    <w:rsid w:val="3B3C2749"/>
    <w:rsid w:val="3B3D5376"/>
    <w:rsid w:val="3B5C2A96"/>
    <w:rsid w:val="3B6061D8"/>
    <w:rsid w:val="3B6202C3"/>
    <w:rsid w:val="3B682EC6"/>
    <w:rsid w:val="3B9F47B3"/>
    <w:rsid w:val="3BAD26F5"/>
    <w:rsid w:val="3BD25F30"/>
    <w:rsid w:val="3BF34D89"/>
    <w:rsid w:val="3BF55114"/>
    <w:rsid w:val="3C0802B7"/>
    <w:rsid w:val="3C0B1989"/>
    <w:rsid w:val="3C3A0AFA"/>
    <w:rsid w:val="3C68390B"/>
    <w:rsid w:val="3C9B5B59"/>
    <w:rsid w:val="3CB16673"/>
    <w:rsid w:val="3CB72468"/>
    <w:rsid w:val="3D3F68BB"/>
    <w:rsid w:val="3D682F88"/>
    <w:rsid w:val="3D8702CD"/>
    <w:rsid w:val="3DB32D85"/>
    <w:rsid w:val="3DC02C3B"/>
    <w:rsid w:val="3DC553B8"/>
    <w:rsid w:val="3DCE3AD0"/>
    <w:rsid w:val="3E00251B"/>
    <w:rsid w:val="3E090362"/>
    <w:rsid w:val="3E0F5C51"/>
    <w:rsid w:val="3E3F3371"/>
    <w:rsid w:val="3E432AAE"/>
    <w:rsid w:val="3E5743BA"/>
    <w:rsid w:val="3E5C58BB"/>
    <w:rsid w:val="3E5F540E"/>
    <w:rsid w:val="3E6842C3"/>
    <w:rsid w:val="3E725142"/>
    <w:rsid w:val="3EA37089"/>
    <w:rsid w:val="3EA9063C"/>
    <w:rsid w:val="3ECA6D2C"/>
    <w:rsid w:val="3ED96A73"/>
    <w:rsid w:val="3F045147"/>
    <w:rsid w:val="3F06752D"/>
    <w:rsid w:val="3F506F35"/>
    <w:rsid w:val="3F5954B8"/>
    <w:rsid w:val="3F650B29"/>
    <w:rsid w:val="3F736B52"/>
    <w:rsid w:val="3F8743E7"/>
    <w:rsid w:val="3FA1678F"/>
    <w:rsid w:val="3FB917DF"/>
    <w:rsid w:val="3FB95A21"/>
    <w:rsid w:val="3FCE4D23"/>
    <w:rsid w:val="3FD019E0"/>
    <w:rsid w:val="3FD87871"/>
    <w:rsid w:val="3FF86ED3"/>
    <w:rsid w:val="40390128"/>
    <w:rsid w:val="404A6FCD"/>
    <w:rsid w:val="40695D6E"/>
    <w:rsid w:val="40A8045D"/>
    <w:rsid w:val="40BF235C"/>
    <w:rsid w:val="40C003E6"/>
    <w:rsid w:val="40CD0C4F"/>
    <w:rsid w:val="41197AF6"/>
    <w:rsid w:val="41296076"/>
    <w:rsid w:val="41560E63"/>
    <w:rsid w:val="41564230"/>
    <w:rsid w:val="415E5BE8"/>
    <w:rsid w:val="4182744A"/>
    <w:rsid w:val="419D7DDA"/>
    <w:rsid w:val="41AC7E24"/>
    <w:rsid w:val="41CE08E1"/>
    <w:rsid w:val="41EB3B14"/>
    <w:rsid w:val="421343B7"/>
    <w:rsid w:val="4227235F"/>
    <w:rsid w:val="42911E29"/>
    <w:rsid w:val="42EB121C"/>
    <w:rsid w:val="42FD44B2"/>
    <w:rsid w:val="43125387"/>
    <w:rsid w:val="43170141"/>
    <w:rsid w:val="432E1E4F"/>
    <w:rsid w:val="43572758"/>
    <w:rsid w:val="43B50079"/>
    <w:rsid w:val="43C26B6A"/>
    <w:rsid w:val="43EA6572"/>
    <w:rsid w:val="43EB561E"/>
    <w:rsid w:val="443211DD"/>
    <w:rsid w:val="44332BA9"/>
    <w:rsid w:val="444A4C25"/>
    <w:rsid w:val="445E6CA4"/>
    <w:rsid w:val="447279C7"/>
    <w:rsid w:val="44731C6A"/>
    <w:rsid w:val="44740900"/>
    <w:rsid w:val="44A338EB"/>
    <w:rsid w:val="44C041EC"/>
    <w:rsid w:val="451D1C26"/>
    <w:rsid w:val="452577F8"/>
    <w:rsid w:val="457E261E"/>
    <w:rsid w:val="458974A9"/>
    <w:rsid w:val="45AB761C"/>
    <w:rsid w:val="45D80814"/>
    <w:rsid w:val="45F2318F"/>
    <w:rsid w:val="460E4F45"/>
    <w:rsid w:val="461D57A5"/>
    <w:rsid w:val="46296ED5"/>
    <w:rsid w:val="466F126D"/>
    <w:rsid w:val="4686223B"/>
    <w:rsid w:val="469A2312"/>
    <w:rsid w:val="46E02C3E"/>
    <w:rsid w:val="46EC6E20"/>
    <w:rsid w:val="471C3C7C"/>
    <w:rsid w:val="47C30B14"/>
    <w:rsid w:val="47FC5B63"/>
    <w:rsid w:val="48234CBA"/>
    <w:rsid w:val="48AA4F97"/>
    <w:rsid w:val="48C06CFA"/>
    <w:rsid w:val="48CD092B"/>
    <w:rsid w:val="490F69F3"/>
    <w:rsid w:val="491D6F70"/>
    <w:rsid w:val="492B2127"/>
    <w:rsid w:val="492E057F"/>
    <w:rsid w:val="493F4EA8"/>
    <w:rsid w:val="49711EE2"/>
    <w:rsid w:val="49746132"/>
    <w:rsid w:val="49962061"/>
    <w:rsid w:val="4A205A39"/>
    <w:rsid w:val="4A3A0F04"/>
    <w:rsid w:val="4A5676C5"/>
    <w:rsid w:val="4A5809C6"/>
    <w:rsid w:val="4A8D7450"/>
    <w:rsid w:val="4A924D6C"/>
    <w:rsid w:val="4AA84652"/>
    <w:rsid w:val="4AFF56ED"/>
    <w:rsid w:val="4B384997"/>
    <w:rsid w:val="4B4614E8"/>
    <w:rsid w:val="4B4E4840"/>
    <w:rsid w:val="4B55790B"/>
    <w:rsid w:val="4BA75709"/>
    <w:rsid w:val="4BAC56B3"/>
    <w:rsid w:val="4BBA02F3"/>
    <w:rsid w:val="4BC0450D"/>
    <w:rsid w:val="4BCD5AF4"/>
    <w:rsid w:val="4C2356CC"/>
    <w:rsid w:val="4C30684D"/>
    <w:rsid w:val="4C461FAB"/>
    <w:rsid w:val="4C5D09EA"/>
    <w:rsid w:val="4C6857B5"/>
    <w:rsid w:val="4C8A1066"/>
    <w:rsid w:val="4C8A5E8F"/>
    <w:rsid w:val="4C940EBC"/>
    <w:rsid w:val="4CB87639"/>
    <w:rsid w:val="4CE7652C"/>
    <w:rsid w:val="4CED51A9"/>
    <w:rsid w:val="4CFB2914"/>
    <w:rsid w:val="4D0D7563"/>
    <w:rsid w:val="4D2C661C"/>
    <w:rsid w:val="4D694096"/>
    <w:rsid w:val="4DB14CDF"/>
    <w:rsid w:val="4DBB0B01"/>
    <w:rsid w:val="4DE374C2"/>
    <w:rsid w:val="4DE408D6"/>
    <w:rsid w:val="4E0062C6"/>
    <w:rsid w:val="4E456FA4"/>
    <w:rsid w:val="4E4D2583"/>
    <w:rsid w:val="4E4E2F43"/>
    <w:rsid w:val="4E561703"/>
    <w:rsid w:val="4E5C7519"/>
    <w:rsid w:val="4E616639"/>
    <w:rsid w:val="4E7B5F30"/>
    <w:rsid w:val="4EB80E01"/>
    <w:rsid w:val="4EC81323"/>
    <w:rsid w:val="4F1813ED"/>
    <w:rsid w:val="4F257D14"/>
    <w:rsid w:val="4F322AFA"/>
    <w:rsid w:val="4F570711"/>
    <w:rsid w:val="4F6313C6"/>
    <w:rsid w:val="4F8354FA"/>
    <w:rsid w:val="4F844391"/>
    <w:rsid w:val="4F99788D"/>
    <w:rsid w:val="500532A1"/>
    <w:rsid w:val="50360D32"/>
    <w:rsid w:val="50586946"/>
    <w:rsid w:val="507F6933"/>
    <w:rsid w:val="50B63535"/>
    <w:rsid w:val="50B65D89"/>
    <w:rsid w:val="50C2524A"/>
    <w:rsid w:val="514B21A5"/>
    <w:rsid w:val="515801C7"/>
    <w:rsid w:val="515B7CB7"/>
    <w:rsid w:val="51A70F54"/>
    <w:rsid w:val="51C34297"/>
    <w:rsid w:val="52291B63"/>
    <w:rsid w:val="52A42F98"/>
    <w:rsid w:val="52B33A1E"/>
    <w:rsid w:val="52C33D66"/>
    <w:rsid w:val="53180DBA"/>
    <w:rsid w:val="532D2E42"/>
    <w:rsid w:val="53574BD8"/>
    <w:rsid w:val="53CA3C92"/>
    <w:rsid w:val="53E8302C"/>
    <w:rsid w:val="53EE33A5"/>
    <w:rsid w:val="540168F4"/>
    <w:rsid w:val="54370553"/>
    <w:rsid w:val="543D6DE5"/>
    <w:rsid w:val="55045B96"/>
    <w:rsid w:val="55180608"/>
    <w:rsid w:val="553A7F3D"/>
    <w:rsid w:val="55441B9C"/>
    <w:rsid w:val="555032D6"/>
    <w:rsid w:val="558150DE"/>
    <w:rsid w:val="55851F6B"/>
    <w:rsid w:val="5596306C"/>
    <w:rsid w:val="559F37CF"/>
    <w:rsid w:val="55E4027B"/>
    <w:rsid w:val="56130B60"/>
    <w:rsid w:val="56355833"/>
    <w:rsid w:val="566778F3"/>
    <w:rsid w:val="569548FC"/>
    <w:rsid w:val="5699669D"/>
    <w:rsid w:val="56C6570E"/>
    <w:rsid w:val="56D36FB6"/>
    <w:rsid w:val="56F91B04"/>
    <w:rsid w:val="570A670A"/>
    <w:rsid w:val="572336AB"/>
    <w:rsid w:val="57257664"/>
    <w:rsid w:val="5793664A"/>
    <w:rsid w:val="57966D2E"/>
    <w:rsid w:val="579A02A5"/>
    <w:rsid w:val="57B91F59"/>
    <w:rsid w:val="57C40335"/>
    <w:rsid w:val="57CF71DE"/>
    <w:rsid w:val="57D30C82"/>
    <w:rsid w:val="57D93826"/>
    <w:rsid w:val="58590BB5"/>
    <w:rsid w:val="586F62C0"/>
    <w:rsid w:val="588C4D91"/>
    <w:rsid w:val="58981BA8"/>
    <w:rsid w:val="58F06F37"/>
    <w:rsid w:val="590127A7"/>
    <w:rsid w:val="590C2C7D"/>
    <w:rsid w:val="59286680"/>
    <w:rsid w:val="59995821"/>
    <w:rsid w:val="59A3543E"/>
    <w:rsid w:val="59A81EF2"/>
    <w:rsid w:val="59FD3F9E"/>
    <w:rsid w:val="5A257C61"/>
    <w:rsid w:val="5A35332D"/>
    <w:rsid w:val="5A607CCE"/>
    <w:rsid w:val="5A663F2E"/>
    <w:rsid w:val="5A6F390B"/>
    <w:rsid w:val="5A886F3D"/>
    <w:rsid w:val="5AB6751C"/>
    <w:rsid w:val="5ADF54B5"/>
    <w:rsid w:val="5AE76118"/>
    <w:rsid w:val="5AF21AE9"/>
    <w:rsid w:val="5B0171D9"/>
    <w:rsid w:val="5B114646"/>
    <w:rsid w:val="5B1B7CC7"/>
    <w:rsid w:val="5B2F3B2C"/>
    <w:rsid w:val="5B5B46DE"/>
    <w:rsid w:val="5B8E63C4"/>
    <w:rsid w:val="5B9B2164"/>
    <w:rsid w:val="5BA5201F"/>
    <w:rsid w:val="5BBE778D"/>
    <w:rsid w:val="5BC822EF"/>
    <w:rsid w:val="5BF73DE3"/>
    <w:rsid w:val="5C11057A"/>
    <w:rsid w:val="5CCC5E7E"/>
    <w:rsid w:val="5CD04C47"/>
    <w:rsid w:val="5CD1707F"/>
    <w:rsid w:val="5CF949BB"/>
    <w:rsid w:val="5D2269E4"/>
    <w:rsid w:val="5D573992"/>
    <w:rsid w:val="5DA30A1C"/>
    <w:rsid w:val="5DEB68EA"/>
    <w:rsid w:val="5E684992"/>
    <w:rsid w:val="5E6A1E17"/>
    <w:rsid w:val="5E6F771D"/>
    <w:rsid w:val="5E99597B"/>
    <w:rsid w:val="5E9A1E1F"/>
    <w:rsid w:val="5EE527E1"/>
    <w:rsid w:val="5F015E04"/>
    <w:rsid w:val="5F030150"/>
    <w:rsid w:val="5F1C6CD8"/>
    <w:rsid w:val="5F393B80"/>
    <w:rsid w:val="5F442CB4"/>
    <w:rsid w:val="5F54438E"/>
    <w:rsid w:val="5FA21C78"/>
    <w:rsid w:val="5FA8056B"/>
    <w:rsid w:val="5FE70F2D"/>
    <w:rsid w:val="5FF10EC5"/>
    <w:rsid w:val="6029146A"/>
    <w:rsid w:val="602B540A"/>
    <w:rsid w:val="604F343F"/>
    <w:rsid w:val="606C1960"/>
    <w:rsid w:val="60AA51A8"/>
    <w:rsid w:val="60EA1C6A"/>
    <w:rsid w:val="610572F8"/>
    <w:rsid w:val="61132E22"/>
    <w:rsid w:val="613E50BB"/>
    <w:rsid w:val="61534507"/>
    <w:rsid w:val="615D5095"/>
    <w:rsid w:val="61A54728"/>
    <w:rsid w:val="61BE4076"/>
    <w:rsid w:val="61E561AB"/>
    <w:rsid w:val="61FE10B3"/>
    <w:rsid w:val="62253924"/>
    <w:rsid w:val="625610C0"/>
    <w:rsid w:val="6278282F"/>
    <w:rsid w:val="62943799"/>
    <w:rsid w:val="62DC0E43"/>
    <w:rsid w:val="630A471E"/>
    <w:rsid w:val="634C2C1B"/>
    <w:rsid w:val="63500CFE"/>
    <w:rsid w:val="63564FFB"/>
    <w:rsid w:val="635C1421"/>
    <w:rsid w:val="637C56E8"/>
    <w:rsid w:val="63AA1DD1"/>
    <w:rsid w:val="63B000AA"/>
    <w:rsid w:val="63ED451C"/>
    <w:rsid w:val="63F02068"/>
    <w:rsid w:val="63F30730"/>
    <w:rsid w:val="640928A7"/>
    <w:rsid w:val="64E27A00"/>
    <w:rsid w:val="64E42046"/>
    <w:rsid w:val="6501237B"/>
    <w:rsid w:val="650708A6"/>
    <w:rsid w:val="650B38EE"/>
    <w:rsid w:val="655B2A2B"/>
    <w:rsid w:val="659752AC"/>
    <w:rsid w:val="659B0E3D"/>
    <w:rsid w:val="65A13A93"/>
    <w:rsid w:val="65B61A11"/>
    <w:rsid w:val="65BF6897"/>
    <w:rsid w:val="65E10333"/>
    <w:rsid w:val="65E51D30"/>
    <w:rsid w:val="662907EC"/>
    <w:rsid w:val="66943183"/>
    <w:rsid w:val="66A4359E"/>
    <w:rsid w:val="66CC4E7E"/>
    <w:rsid w:val="66D136E7"/>
    <w:rsid w:val="66D71736"/>
    <w:rsid w:val="66F73586"/>
    <w:rsid w:val="671B3424"/>
    <w:rsid w:val="672C582D"/>
    <w:rsid w:val="67401F4D"/>
    <w:rsid w:val="67415D26"/>
    <w:rsid w:val="675477D5"/>
    <w:rsid w:val="676C5591"/>
    <w:rsid w:val="677D22DE"/>
    <w:rsid w:val="678E41BC"/>
    <w:rsid w:val="678F7B49"/>
    <w:rsid w:val="679A139F"/>
    <w:rsid w:val="67A61834"/>
    <w:rsid w:val="67B40DD5"/>
    <w:rsid w:val="67EF0613"/>
    <w:rsid w:val="6833299C"/>
    <w:rsid w:val="68510504"/>
    <w:rsid w:val="6878771B"/>
    <w:rsid w:val="688A2F04"/>
    <w:rsid w:val="68B03FED"/>
    <w:rsid w:val="68B56134"/>
    <w:rsid w:val="68E1459C"/>
    <w:rsid w:val="69513A22"/>
    <w:rsid w:val="69741FC9"/>
    <w:rsid w:val="69794D27"/>
    <w:rsid w:val="69B926DA"/>
    <w:rsid w:val="69CC5E37"/>
    <w:rsid w:val="69E20B1E"/>
    <w:rsid w:val="69FD58C9"/>
    <w:rsid w:val="6A0E546F"/>
    <w:rsid w:val="6A287F98"/>
    <w:rsid w:val="6A34616B"/>
    <w:rsid w:val="6A35284B"/>
    <w:rsid w:val="6A5E619E"/>
    <w:rsid w:val="6A771266"/>
    <w:rsid w:val="6A852A96"/>
    <w:rsid w:val="6A89113D"/>
    <w:rsid w:val="6B016D82"/>
    <w:rsid w:val="6B4E0D76"/>
    <w:rsid w:val="6B8F5240"/>
    <w:rsid w:val="6BB17B6E"/>
    <w:rsid w:val="6BBF2DF8"/>
    <w:rsid w:val="6BEE7E20"/>
    <w:rsid w:val="6BFE286F"/>
    <w:rsid w:val="6C1D4922"/>
    <w:rsid w:val="6C1F1A3A"/>
    <w:rsid w:val="6C460B63"/>
    <w:rsid w:val="6C6B4EFE"/>
    <w:rsid w:val="6C7D0B4F"/>
    <w:rsid w:val="6CB40E71"/>
    <w:rsid w:val="6D4B1CBB"/>
    <w:rsid w:val="6D54763D"/>
    <w:rsid w:val="6DDC4B60"/>
    <w:rsid w:val="6DEA1D4F"/>
    <w:rsid w:val="6DFF76C1"/>
    <w:rsid w:val="6E0127B0"/>
    <w:rsid w:val="6E065DC5"/>
    <w:rsid w:val="6E076DA5"/>
    <w:rsid w:val="6E2D42B2"/>
    <w:rsid w:val="6E355D2E"/>
    <w:rsid w:val="6E3C30B0"/>
    <w:rsid w:val="6EBA3E17"/>
    <w:rsid w:val="6EC641D8"/>
    <w:rsid w:val="6F007EAA"/>
    <w:rsid w:val="6F084B83"/>
    <w:rsid w:val="6F1057E5"/>
    <w:rsid w:val="6F176B74"/>
    <w:rsid w:val="6F1A326F"/>
    <w:rsid w:val="6F2A2D4B"/>
    <w:rsid w:val="6F4F630E"/>
    <w:rsid w:val="6F591D65"/>
    <w:rsid w:val="6F655B31"/>
    <w:rsid w:val="6F70539D"/>
    <w:rsid w:val="6F875D3C"/>
    <w:rsid w:val="6FA537AE"/>
    <w:rsid w:val="6FBB6C0A"/>
    <w:rsid w:val="6FD84B7F"/>
    <w:rsid w:val="6FE77305"/>
    <w:rsid w:val="6FFB0A55"/>
    <w:rsid w:val="701628A7"/>
    <w:rsid w:val="702E6C97"/>
    <w:rsid w:val="70306917"/>
    <w:rsid w:val="7034449D"/>
    <w:rsid w:val="70626515"/>
    <w:rsid w:val="70726651"/>
    <w:rsid w:val="707D700C"/>
    <w:rsid w:val="70B157EF"/>
    <w:rsid w:val="70C62FCD"/>
    <w:rsid w:val="70EF09D6"/>
    <w:rsid w:val="70F744A9"/>
    <w:rsid w:val="71494FDF"/>
    <w:rsid w:val="71843CAF"/>
    <w:rsid w:val="71987FBF"/>
    <w:rsid w:val="71CF4334"/>
    <w:rsid w:val="71F340C1"/>
    <w:rsid w:val="71FF4B3F"/>
    <w:rsid w:val="720A24F5"/>
    <w:rsid w:val="72190C9A"/>
    <w:rsid w:val="72514A3E"/>
    <w:rsid w:val="72651E8C"/>
    <w:rsid w:val="726714AF"/>
    <w:rsid w:val="72B80B87"/>
    <w:rsid w:val="72BB3A2A"/>
    <w:rsid w:val="72C1034B"/>
    <w:rsid w:val="72CE73C6"/>
    <w:rsid w:val="73013662"/>
    <w:rsid w:val="73124222"/>
    <w:rsid w:val="73396BF6"/>
    <w:rsid w:val="738F2539"/>
    <w:rsid w:val="73CA554E"/>
    <w:rsid w:val="73CF0191"/>
    <w:rsid w:val="73CF67B0"/>
    <w:rsid w:val="73DE7D51"/>
    <w:rsid w:val="74023BFC"/>
    <w:rsid w:val="740E3227"/>
    <w:rsid w:val="744A3547"/>
    <w:rsid w:val="7457535D"/>
    <w:rsid w:val="74784559"/>
    <w:rsid w:val="74A34E20"/>
    <w:rsid w:val="74AE1D28"/>
    <w:rsid w:val="74CD2669"/>
    <w:rsid w:val="74F01935"/>
    <w:rsid w:val="750C7513"/>
    <w:rsid w:val="7561323F"/>
    <w:rsid w:val="75703482"/>
    <w:rsid w:val="75B1177F"/>
    <w:rsid w:val="75D32B82"/>
    <w:rsid w:val="75DA2BD8"/>
    <w:rsid w:val="75DC2C78"/>
    <w:rsid w:val="75FE784C"/>
    <w:rsid w:val="760D414E"/>
    <w:rsid w:val="764334D3"/>
    <w:rsid w:val="765C61F9"/>
    <w:rsid w:val="767A1B5B"/>
    <w:rsid w:val="76B07D5F"/>
    <w:rsid w:val="76D05B67"/>
    <w:rsid w:val="770A79A4"/>
    <w:rsid w:val="770E3163"/>
    <w:rsid w:val="77685F73"/>
    <w:rsid w:val="778F5094"/>
    <w:rsid w:val="7792362F"/>
    <w:rsid w:val="779663C8"/>
    <w:rsid w:val="77B32F6D"/>
    <w:rsid w:val="77F16C67"/>
    <w:rsid w:val="77F871A2"/>
    <w:rsid w:val="788174A2"/>
    <w:rsid w:val="78885CDF"/>
    <w:rsid w:val="78A20007"/>
    <w:rsid w:val="78FE6C92"/>
    <w:rsid w:val="7900316A"/>
    <w:rsid w:val="7947433B"/>
    <w:rsid w:val="79730387"/>
    <w:rsid w:val="798B075D"/>
    <w:rsid w:val="79A60A14"/>
    <w:rsid w:val="79F04B91"/>
    <w:rsid w:val="79FF0842"/>
    <w:rsid w:val="7A236D15"/>
    <w:rsid w:val="7A28251C"/>
    <w:rsid w:val="7A557D7A"/>
    <w:rsid w:val="7A9D19EA"/>
    <w:rsid w:val="7AA2038C"/>
    <w:rsid w:val="7AA95FF0"/>
    <w:rsid w:val="7AB45AE2"/>
    <w:rsid w:val="7AC557A1"/>
    <w:rsid w:val="7AD42547"/>
    <w:rsid w:val="7AE54A07"/>
    <w:rsid w:val="7AED0B42"/>
    <w:rsid w:val="7B07777E"/>
    <w:rsid w:val="7B173349"/>
    <w:rsid w:val="7B615D46"/>
    <w:rsid w:val="7BA82FBC"/>
    <w:rsid w:val="7BB81656"/>
    <w:rsid w:val="7BBE7F39"/>
    <w:rsid w:val="7BC741EA"/>
    <w:rsid w:val="7BD47593"/>
    <w:rsid w:val="7C3465E2"/>
    <w:rsid w:val="7CA07AD0"/>
    <w:rsid w:val="7CA23160"/>
    <w:rsid w:val="7CA87CB5"/>
    <w:rsid w:val="7CB11315"/>
    <w:rsid w:val="7D253273"/>
    <w:rsid w:val="7D435C34"/>
    <w:rsid w:val="7D48407C"/>
    <w:rsid w:val="7DC00960"/>
    <w:rsid w:val="7E0B769B"/>
    <w:rsid w:val="7E155322"/>
    <w:rsid w:val="7E211369"/>
    <w:rsid w:val="7E287243"/>
    <w:rsid w:val="7E2C65B8"/>
    <w:rsid w:val="7E3549AA"/>
    <w:rsid w:val="7E44486F"/>
    <w:rsid w:val="7E773EE8"/>
    <w:rsid w:val="7E924622"/>
    <w:rsid w:val="7EA22534"/>
    <w:rsid w:val="7EC02D84"/>
    <w:rsid w:val="7EE12C11"/>
    <w:rsid w:val="7EE30820"/>
    <w:rsid w:val="7EE35FE0"/>
    <w:rsid w:val="7EF06B5D"/>
    <w:rsid w:val="7F061CF4"/>
    <w:rsid w:val="7F30567C"/>
    <w:rsid w:val="7F5A62A6"/>
    <w:rsid w:val="7F607DDA"/>
    <w:rsid w:val="7F643ECB"/>
    <w:rsid w:val="7F7333AD"/>
    <w:rsid w:val="7F8D0B43"/>
    <w:rsid w:val="7F973D35"/>
    <w:rsid w:val="7F9B46DF"/>
    <w:rsid w:val="7FA01F4C"/>
    <w:rsid w:val="7FA028A6"/>
    <w:rsid w:val="7FB44B21"/>
    <w:rsid w:val="7FB979E7"/>
    <w:rsid w:val="7FF8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before="340" w:after="330" w:line="578" w:lineRule="auto"/>
      <w:outlineLvl w:val="0"/>
    </w:pPr>
    <w:rPr>
      <w:b/>
      <w:bCs/>
      <w:kern w:val="44"/>
      <w:sz w:val="36"/>
      <w:szCs w:val="44"/>
    </w:rPr>
  </w:style>
  <w:style w:type="paragraph" w:styleId="3">
    <w:name w:val="heading 2"/>
    <w:basedOn w:val="1"/>
    <w:next w:val="1"/>
    <w:link w:val="70"/>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100"/>
    <w:qFormat/>
    <w:uiPriority w:val="0"/>
    <w:pPr>
      <w:keepNext/>
      <w:keepLines/>
      <w:widowControl/>
      <w:spacing w:before="260" w:after="260" w:line="416" w:lineRule="auto"/>
      <w:outlineLvl w:val="2"/>
    </w:pPr>
    <w:rPr>
      <w:b/>
      <w:bCs/>
      <w:sz w:val="24"/>
      <w:szCs w:val="32"/>
    </w:rPr>
  </w:style>
  <w:style w:type="paragraph" w:styleId="5">
    <w:name w:val="heading 4"/>
    <w:basedOn w:val="1"/>
    <w:next w:val="1"/>
    <w:link w:val="73"/>
    <w:qFormat/>
    <w:uiPriority w:val="0"/>
    <w:pPr>
      <w:keepNext/>
      <w:keepLines/>
      <w:widowControl/>
      <w:spacing w:before="200" w:line="276" w:lineRule="auto"/>
      <w:jc w:val="left"/>
      <w:outlineLvl w:val="3"/>
    </w:pPr>
    <w:rPr>
      <w:rFonts w:ascii="Calibri Light" w:hAnsi="Calibri Light"/>
      <w:b/>
      <w:bCs/>
      <w:iCs/>
      <w:szCs w:val="22"/>
    </w:rPr>
  </w:style>
  <w:style w:type="paragraph" w:styleId="6">
    <w:name w:val="heading 5"/>
    <w:basedOn w:val="1"/>
    <w:next w:val="1"/>
    <w:link w:val="74"/>
    <w:qFormat/>
    <w:uiPriority w:val="0"/>
    <w:pPr>
      <w:keepNext/>
      <w:keepLines/>
      <w:spacing w:before="280" w:after="290" w:line="376" w:lineRule="auto"/>
      <w:outlineLvl w:val="4"/>
    </w:pPr>
    <w:rPr>
      <w:b/>
      <w:bCs/>
      <w:sz w:val="28"/>
      <w:szCs w:val="28"/>
    </w:rPr>
  </w:style>
  <w:style w:type="paragraph" w:styleId="7">
    <w:name w:val="heading 6"/>
    <w:basedOn w:val="1"/>
    <w:next w:val="1"/>
    <w:link w:val="75"/>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76"/>
    <w:qFormat/>
    <w:uiPriority w:val="0"/>
    <w:pPr>
      <w:keepNext/>
      <w:keepLines/>
      <w:spacing w:before="240" w:after="64" w:line="320" w:lineRule="auto"/>
      <w:ind w:firstLine="200" w:firstLineChars="200"/>
      <w:outlineLvl w:val="6"/>
    </w:pPr>
    <w:rPr>
      <w:b/>
      <w:bCs/>
      <w:sz w:val="24"/>
    </w:rPr>
  </w:style>
  <w:style w:type="paragraph" w:styleId="9">
    <w:name w:val="heading 8"/>
    <w:basedOn w:val="1"/>
    <w:next w:val="1"/>
    <w:link w:val="77"/>
    <w:qFormat/>
    <w:uiPriority w:val="0"/>
    <w:pPr>
      <w:keepNext/>
      <w:keepLines/>
      <w:spacing w:before="240" w:after="64" w:line="320" w:lineRule="auto"/>
      <w:ind w:firstLine="200" w:firstLineChars="200"/>
      <w:outlineLvl w:val="7"/>
    </w:pPr>
    <w:rPr>
      <w:rFonts w:ascii="Cambria" w:hAnsi="Cambria"/>
      <w:sz w:val="24"/>
    </w:rPr>
  </w:style>
  <w:style w:type="paragraph" w:styleId="10">
    <w:name w:val="heading 9"/>
    <w:basedOn w:val="1"/>
    <w:next w:val="1"/>
    <w:link w:val="78"/>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360" w:lineRule="exact"/>
      <w:ind w:left="1260" w:firstLine="200" w:firstLineChars="200"/>
      <w:jc w:val="left"/>
    </w:pPr>
    <w:rPr>
      <w:rFonts w:ascii="Calibri" w:hAnsi="Calibri"/>
      <w:sz w:val="18"/>
      <w:szCs w:val="18"/>
    </w:rPr>
  </w:style>
  <w:style w:type="paragraph" w:styleId="12">
    <w:name w:val="index 8"/>
    <w:basedOn w:val="1"/>
    <w:next w:val="1"/>
    <w:qFormat/>
    <w:uiPriority w:val="0"/>
    <w:pPr>
      <w:ind w:left="1400" w:leftChars="1400"/>
    </w:pPr>
  </w:style>
  <w:style w:type="paragraph" w:styleId="13">
    <w:name w:val="Normal Indent"/>
    <w:basedOn w:val="1"/>
    <w:next w:val="14"/>
    <w:link w:val="79"/>
    <w:qFormat/>
    <w:uiPriority w:val="0"/>
    <w:pPr>
      <w:adjustRightInd w:val="0"/>
      <w:spacing w:line="312" w:lineRule="atLeast"/>
      <w:ind w:firstLine="420" w:firstLineChars="200"/>
    </w:pPr>
    <w:rPr>
      <w:kern w:val="0"/>
      <w:szCs w:val="20"/>
    </w:rPr>
  </w:style>
  <w:style w:type="paragraph" w:customStyle="1" w:styleId="1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5">
    <w:name w:val="caption"/>
    <w:basedOn w:val="1"/>
    <w:next w:val="1"/>
    <w:qFormat/>
    <w:uiPriority w:val="0"/>
    <w:pPr>
      <w:spacing w:line="360" w:lineRule="exact"/>
      <w:ind w:firstLine="200" w:firstLineChars="200"/>
    </w:pPr>
    <w:rPr>
      <w:rFonts w:ascii="Cambria" w:hAnsi="Cambria" w:eastAsia="黑体"/>
      <w:sz w:val="20"/>
      <w:szCs w:val="20"/>
    </w:rPr>
  </w:style>
  <w:style w:type="paragraph" w:styleId="16">
    <w:name w:val="List Bullet"/>
    <w:basedOn w:val="1"/>
    <w:qFormat/>
    <w:uiPriority w:val="0"/>
    <w:pPr>
      <w:tabs>
        <w:tab w:val="left" w:pos="360"/>
      </w:tabs>
      <w:ind w:left="360" w:hanging="360"/>
    </w:pPr>
  </w:style>
  <w:style w:type="paragraph" w:styleId="17">
    <w:name w:val="Document Map"/>
    <w:basedOn w:val="1"/>
    <w:link w:val="80"/>
    <w:qFormat/>
    <w:uiPriority w:val="0"/>
    <w:pPr>
      <w:shd w:val="clear" w:color="auto" w:fill="000080"/>
      <w:spacing w:line="360" w:lineRule="exact"/>
      <w:ind w:firstLine="200" w:firstLineChars="200"/>
    </w:pPr>
  </w:style>
  <w:style w:type="paragraph" w:styleId="18">
    <w:name w:val="annotation text"/>
    <w:basedOn w:val="1"/>
    <w:link w:val="81"/>
    <w:qFormat/>
    <w:uiPriority w:val="0"/>
    <w:pPr>
      <w:widowControl/>
      <w:jc w:val="left"/>
    </w:pPr>
    <w:rPr>
      <w:rFonts w:ascii="Calibri" w:hAnsi="Calibri"/>
    </w:rPr>
  </w:style>
  <w:style w:type="paragraph" w:styleId="19">
    <w:name w:val="Body Text 3"/>
    <w:basedOn w:val="1"/>
    <w:link w:val="82"/>
    <w:qFormat/>
    <w:uiPriority w:val="0"/>
    <w:pPr>
      <w:spacing w:line="360" w:lineRule="exact"/>
      <w:ind w:firstLine="200" w:firstLineChars="200"/>
    </w:pPr>
    <w:rPr>
      <w:rFonts w:ascii="宋体"/>
      <w:sz w:val="24"/>
      <w:szCs w:val="20"/>
    </w:rPr>
  </w:style>
  <w:style w:type="paragraph" w:styleId="20">
    <w:name w:val="Body Text"/>
    <w:basedOn w:val="1"/>
    <w:next w:val="1"/>
    <w:link w:val="83"/>
    <w:unhideWhenUsed/>
    <w:qFormat/>
    <w:uiPriority w:val="0"/>
    <w:pPr>
      <w:spacing w:after="120"/>
    </w:pPr>
  </w:style>
  <w:style w:type="paragraph" w:styleId="21">
    <w:name w:val="Body Text Indent"/>
    <w:basedOn w:val="1"/>
    <w:link w:val="84"/>
    <w:qFormat/>
    <w:uiPriority w:val="0"/>
    <w:pPr>
      <w:spacing w:after="120" w:line="360" w:lineRule="exact"/>
      <w:ind w:left="420" w:leftChars="200" w:firstLine="200" w:firstLineChars="200"/>
    </w:pPr>
  </w:style>
  <w:style w:type="paragraph" w:styleId="22">
    <w:name w:val="List 2"/>
    <w:basedOn w:val="1"/>
    <w:qFormat/>
    <w:uiPriority w:val="0"/>
    <w:pPr>
      <w:ind w:left="840" w:hanging="420"/>
    </w:pPr>
    <w:rPr>
      <w:szCs w:val="20"/>
    </w:rPr>
  </w:style>
  <w:style w:type="paragraph" w:styleId="23">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39"/>
    <w:pPr>
      <w:spacing w:line="360" w:lineRule="exact"/>
      <w:ind w:left="840" w:firstLine="200" w:firstLineChars="200"/>
      <w:jc w:val="left"/>
    </w:pPr>
    <w:rPr>
      <w:rFonts w:ascii="Calibri" w:hAnsi="Calibri"/>
      <w:sz w:val="18"/>
      <w:szCs w:val="18"/>
    </w:rPr>
  </w:style>
  <w:style w:type="paragraph" w:styleId="26">
    <w:name w:val="toc 3"/>
    <w:basedOn w:val="1"/>
    <w:next w:val="1"/>
    <w:unhideWhenUsed/>
    <w:qFormat/>
    <w:uiPriority w:val="39"/>
    <w:pPr>
      <w:ind w:left="840" w:leftChars="400"/>
    </w:pPr>
  </w:style>
  <w:style w:type="paragraph" w:styleId="27">
    <w:name w:val="Plain Text"/>
    <w:basedOn w:val="1"/>
    <w:next w:val="12"/>
    <w:link w:val="85"/>
    <w:qFormat/>
    <w:uiPriority w:val="0"/>
    <w:rPr>
      <w:rFonts w:ascii="宋体" w:hAnsi="Courier New"/>
      <w:szCs w:val="22"/>
    </w:rPr>
  </w:style>
  <w:style w:type="paragraph" w:styleId="28">
    <w:name w:val="toc 8"/>
    <w:basedOn w:val="1"/>
    <w:next w:val="1"/>
    <w:unhideWhenUsed/>
    <w:qFormat/>
    <w:uiPriority w:val="39"/>
    <w:pPr>
      <w:spacing w:line="360" w:lineRule="exact"/>
      <w:ind w:left="1470" w:firstLine="200" w:firstLineChars="200"/>
      <w:jc w:val="left"/>
    </w:pPr>
    <w:rPr>
      <w:rFonts w:ascii="Calibri" w:hAnsi="Calibri"/>
      <w:sz w:val="18"/>
      <w:szCs w:val="18"/>
    </w:rPr>
  </w:style>
  <w:style w:type="paragraph" w:styleId="29">
    <w:name w:val="index 3"/>
    <w:basedOn w:val="1"/>
    <w:next w:val="1"/>
    <w:qFormat/>
    <w:uiPriority w:val="0"/>
    <w:pPr>
      <w:ind w:left="400" w:leftChars="400"/>
      <w:jc w:val="left"/>
    </w:pPr>
  </w:style>
  <w:style w:type="paragraph" w:styleId="30">
    <w:name w:val="Date"/>
    <w:basedOn w:val="1"/>
    <w:next w:val="1"/>
    <w:link w:val="86"/>
    <w:qFormat/>
    <w:uiPriority w:val="0"/>
    <w:pPr>
      <w:spacing w:line="360" w:lineRule="exact"/>
      <w:ind w:left="100" w:leftChars="2500" w:firstLine="200" w:firstLineChars="200"/>
    </w:pPr>
    <w:rPr>
      <w:rFonts w:ascii="Calibri" w:hAnsi="Calibri"/>
    </w:rPr>
  </w:style>
  <w:style w:type="paragraph" w:styleId="31">
    <w:name w:val="Body Text Indent 2"/>
    <w:basedOn w:val="1"/>
    <w:link w:val="87"/>
    <w:qFormat/>
    <w:uiPriority w:val="0"/>
    <w:pPr>
      <w:spacing w:after="120" w:line="480" w:lineRule="auto"/>
      <w:ind w:left="420" w:leftChars="200" w:firstLine="200" w:firstLineChars="200"/>
    </w:pPr>
  </w:style>
  <w:style w:type="paragraph" w:styleId="32">
    <w:name w:val="Balloon Text"/>
    <w:basedOn w:val="1"/>
    <w:link w:val="88"/>
    <w:unhideWhenUsed/>
    <w:qFormat/>
    <w:uiPriority w:val="0"/>
    <w:rPr>
      <w:sz w:val="18"/>
      <w:szCs w:val="18"/>
    </w:rPr>
  </w:style>
  <w:style w:type="paragraph" w:styleId="33">
    <w:name w:val="footer"/>
    <w:basedOn w:val="1"/>
    <w:link w:val="89"/>
    <w:unhideWhenUsed/>
    <w:qFormat/>
    <w:uiPriority w:val="0"/>
    <w:pPr>
      <w:tabs>
        <w:tab w:val="center" w:pos="4153"/>
        <w:tab w:val="right" w:pos="8306"/>
      </w:tabs>
      <w:snapToGrid w:val="0"/>
      <w:jc w:val="left"/>
    </w:pPr>
    <w:rPr>
      <w:sz w:val="18"/>
      <w:szCs w:val="18"/>
    </w:rPr>
  </w:style>
  <w:style w:type="paragraph" w:styleId="34">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style>
  <w:style w:type="paragraph" w:styleId="36">
    <w:name w:val="toc 4"/>
    <w:basedOn w:val="1"/>
    <w:next w:val="1"/>
    <w:unhideWhenUsed/>
    <w:qFormat/>
    <w:uiPriority w:val="39"/>
    <w:pPr>
      <w:spacing w:line="360" w:lineRule="exact"/>
      <w:ind w:left="630" w:firstLine="200" w:firstLineChars="200"/>
      <w:jc w:val="left"/>
    </w:pPr>
    <w:rPr>
      <w:rFonts w:ascii="Calibri" w:hAnsi="Calibri"/>
      <w:sz w:val="18"/>
      <w:szCs w:val="18"/>
    </w:rPr>
  </w:style>
  <w:style w:type="paragraph" w:styleId="37">
    <w:name w:val="Subtitle"/>
    <w:basedOn w:val="1"/>
    <w:next w:val="1"/>
    <w:link w:val="91"/>
    <w:qFormat/>
    <w:uiPriority w:val="0"/>
    <w:pPr>
      <w:spacing w:before="240" w:after="60" w:line="312" w:lineRule="auto"/>
      <w:ind w:firstLine="200" w:firstLineChars="200"/>
      <w:jc w:val="center"/>
      <w:outlineLvl w:val="1"/>
    </w:pPr>
    <w:rPr>
      <w:rFonts w:ascii="Cambria" w:hAnsi="Cambria"/>
      <w:b/>
      <w:bCs/>
      <w:kern w:val="28"/>
      <w:sz w:val="32"/>
      <w:szCs w:val="32"/>
    </w:rPr>
  </w:style>
  <w:style w:type="paragraph" w:styleId="38">
    <w:name w:val="footnote text"/>
    <w:basedOn w:val="1"/>
    <w:link w:val="92"/>
    <w:qFormat/>
    <w:uiPriority w:val="0"/>
    <w:pPr>
      <w:snapToGrid w:val="0"/>
      <w:jc w:val="left"/>
    </w:pPr>
    <w:rPr>
      <w:sz w:val="18"/>
      <w:szCs w:val="18"/>
    </w:rPr>
  </w:style>
  <w:style w:type="paragraph" w:styleId="39">
    <w:name w:val="toc 6"/>
    <w:basedOn w:val="1"/>
    <w:next w:val="1"/>
    <w:unhideWhenUsed/>
    <w:qFormat/>
    <w:uiPriority w:val="39"/>
    <w:pPr>
      <w:spacing w:line="360" w:lineRule="exact"/>
      <w:ind w:left="1050" w:firstLine="200" w:firstLineChars="200"/>
      <w:jc w:val="left"/>
    </w:pPr>
    <w:rPr>
      <w:rFonts w:ascii="Calibri" w:hAnsi="Calibri"/>
      <w:sz w:val="18"/>
      <w:szCs w:val="18"/>
    </w:rPr>
  </w:style>
  <w:style w:type="paragraph" w:styleId="40">
    <w:name w:val="List 5"/>
    <w:basedOn w:val="1"/>
    <w:qFormat/>
    <w:uiPriority w:val="0"/>
    <w:pPr>
      <w:ind w:left="2100" w:hanging="420"/>
    </w:pPr>
    <w:rPr>
      <w:szCs w:val="20"/>
    </w:rPr>
  </w:style>
  <w:style w:type="paragraph" w:styleId="41">
    <w:name w:val="Body Text Indent 3"/>
    <w:basedOn w:val="1"/>
    <w:link w:val="93"/>
    <w:qFormat/>
    <w:uiPriority w:val="0"/>
    <w:pPr>
      <w:spacing w:after="120" w:line="360" w:lineRule="exact"/>
      <w:ind w:left="420" w:leftChars="200" w:firstLine="200" w:firstLineChars="200"/>
    </w:pPr>
    <w:rPr>
      <w:sz w:val="16"/>
      <w:szCs w:val="16"/>
    </w:rPr>
  </w:style>
  <w:style w:type="paragraph" w:styleId="42">
    <w:name w:val="index 9"/>
    <w:basedOn w:val="1"/>
    <w:next w:val="1"/>
    <w:qFormat/>
    <w:uiPriority w:val="0"/>
    <w:pPr>
      <w:ind w:left="1600" w:leftChars="1600"/>
    </w:pPr>
    <w:rPr>
      <w:szCs w:val="20"/>
    </w:rPr>
  </w:style>
  <w:style w:type="paragraph" w:styleId="43">
    <w:name w:val="toc 2"/>
    <w:basedOn w:val="1"/>
    <w:next w:val="1"/>
    <w:link w:val="94"/>
    <w:unhideWhenUsed/>
    <w:qFormat/>
    <w:uiPriority w:val="39"/>
    <w:pPr>
      <w:ind w:left="420" w:leftChars="200"/>
    </w:pPr>
  </w:style>
  <w:style w:type="paragraph" w:styleId="44">
    <w:name w:val="toc 9"/>
    <w:basedOn w:val="1"/>
    <w:next w:val="1"/>
    <w:unhideWhenUsed/>
    <w:qFormat/>
    <w:uiPriority w:val="39"/>
    <w:pPr>
      <w:spacing w:line="360" w:lineRule="exact"/>
      <w:ind w:left="1680" w:firstLine="200" w:firstLineChars="200"/>
      <w:jc w:val="left"/>
    </w:pPr>
    <w:rPr>
      <w:rFonts w:ascii="Calibri" w:hAnsi="Calibri"/>
      <w:sz w:val="18"/>
      <w:szCs w:val="18"/>
    </w:rPr>
  </w:style>
  <w:style w:type="paragraph" w:styleId="45">
    <w:name w:val="Body Text 2"/>
    <w:basedOn w:val="1"/>
    <w:link w:val="95"/>
    <w:qFormat/>
    <w:uiPriority w:val="0"/>
    <w:pPr>
      <w:spacing w:after="120" w:line="480" w:lineRule="auto"/>
      <w:ind w:firstLine="200" w:firstLineChars="200"/>
    </w:pPr>
    <w:rPr>
      <w:rFonts w:ascii="Calibri" w:hAnsi="Calibri"/>
    </w:rPr>
  </w:style>
  <w:style w:type="paragraph" w:styleId="4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pPr>
      <w:ind w:right="257"/>
    </w:pPr>
    <w:rPr>
      <w:rFonts w:ascii="宋体" w:hAnsi="宋体"/>
      <w:szCs w:val="20"/>
    </w:rPr>
  </w:style>
  <w:style w:type="paragraph" w:styleId="49">
    <w:name w:val="Title"/>
    <w:basedOn w:val="1"/>
    <w:next w:val="27"/>
    <w:link w:val="97"/>
    <w:qFormat/>
    <w:uiPriority w:val="0"/>
    <w:pPr>
      <w:spacing w:before="240" w:after="240"/>
      <w:ind w:firstLine="1687"/>
      <w:jc w:val="center"/>
      <w:outlineLvl w:val="0"/>
    </w:pPr>
    <w:rPr>
      <w:rFonts w:ascii="Cambria" w:hAnsi="Cambria"/>
      <w:b/>
      <w:bCs/>
      <w:sz w:val="32"/>
      <w:szCs w:val="32"/>
    </w:rPr>
  </w:style>
  <w:style w:type="paragraph" w:styleId="50">
    <w:name w:val="annotation subject"/>
    <w:basedOn w:val="18"/>
    <w:next w:val="18"/>
    <w:link w:val="98"/>
    <w:qFormat/>
    <w:uiPriority w:val="0"/>
    <w:pPr>
      <w:widowControl w:val="0"/>
      <w:spacing w:line="360" w:lineRule="exact"/>
      <w:ind w:firstLine="200" w:firstLineChars="200"/>
    </w:pPr>
    <w:rPr>
      <w:rFonts w:ascii="Times New Roman" w:hAnsi="Times New Roman"/>
      <w:b/>
      <w:bCs/>
    </w:rPr>
  </w:style>
  <w:style w:type="paragraph" w:styleId="51">
    <w:name w:val="Body Text First Indent"/>
    <w:basedOn w:val="20"/>
    <w:link w:val="99"/>
    <w:qFormat/>
    <w:uiPriority w:val="0"/>
    <w:pPr>
      <w:ind w:firstLine="420" w:firstLineChars="100"/>
    </w:pPr>
  </w:style>
  <w:style w:type="paragraph" w:styleId="52">
    <w:name w:val="Body Text First Indent 2"/>
    <w:basedOn w:val="21"/>
    <w:unhideWhenUsed/>
    <w:qFormat/>
    <w:uiPriority w:val="99"/>
    <w:pPr>
      <w:ind w:firstLine="420"/>
    </w:p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333333"/>
      <w:u w:val="none"/>
    </w:rPr>
  </w:style>
  <w:style w:type="character" w:styleId="59">
    <w:name w:val="Emphasis"/>
    <w:qFormat/>
    <w:uiPriority w:val="0"/>
    <w:rPr>
      <w:i/>
      <w:iCs/>
    </w:rPr>
  </w:style>
  <w:style w:type="character" w:styleId="60">
    <w:name w:val="HTML Definition"/>
    <w:qFormat/>
    <w:uiPriority w:val="0"/>
  </w:style>
  <w:style w:type="character" w:styleId="61">
    <w:name w:val="HTML Acronym"/>
    <w:basedOn w:val="55"/>
    <w:qFormat/>
    <w:uiPriority w:val="0"/>
  </w:style>
  <w:style w:type="character" w:styleId="62">
    <w:name w:val="HTML Variable"/>
    <w:qFormat/>
    <w:uiPriority w:val="0"/>
  </w:style>
  <w:style w:type="character" w:styleId="63">
    <w:name w:val="Hyperlink"/>
    <w:basedOn w:val="55"/>
    <w:qFormat/>
    <w:uiPriority w:val="99"/>
    <w:rPr>
      <w:color w:val="333333"/>
      <w:u w:val="none"/>
    </w:rPr>
  </w:style>
  <w:style w:type="character" w:styleId="64">
    <w:name w:val="HTML Code"/>
    <w:qFormat/>
    <w:uiPriority w:val="0"/>
    <w:rPr>
      <w:rFonts w:ascii="Courier New" w:hAnsi="Courier New"/>
      <w:color w:val="505050"/>
      <w:sz w:val="24"/>
      <w:szCs w:val="24"/>
    </w:rPr>
  </w:style>
  <w:style w:type="character" w:styleId="65">
    <w:name w:val="annotation reference"/>
    <w:qFormat/>
    <w:uiPriority w:val="0"/>
    <w:rPr>
      <w:sz w:val="21"/>
      <w:szCs w:val="21"/>
    </w:rPr>
  </w:style>
  <w:style w:type="character" w:styleId="66">
    <w:name w:val="HTML Cite"/>
    <w:qFormat/>
    <w:uiPriority w:val="0"/>
  </w:style>
  <w:style w:type="character" w:styleId="67">
    <w:name w:val="footnote reference"/>
    <w:qFormat/>
    <w:uiPriority w:val="0"/>
    <w:rPr>
      <w:vertAlign w:val="superscript"/>
    </w:rPr>
  </w:style>
  <w:style w:type="paragraph" w:customStyle="1" w:styleId="68">
    <w:name w:val="样式1"/>
    <w:basedOn w:val="34"/>
    <w:next w:val="1"/>
    <w:link w:val="299"/>
    <w:qFormat/>
    <w:uiPriority w:val="0"/>
    <w:pPr>
      <w:pBdr>
        <w:bottom w:val="none" w:color="auto" w:sz="0" w:space="0"/>
      </w:pBdr>
      <w:spacing w:line="360" w:lineRule="auto"/>
      <w:ind w:right="-876" w:rightChars="-417"/>
    </w:pPr>
    <w:rPr>
      <w:rFonts w:ascii="Calibri" w:hAnsi="Calibri" w:eastAsia="黑体"/>
      <w:b/>
      <w:sz w:val="44"/>
    </w:rPr>
  </w:style>
  <w:style w:type="paragraph" w:customStyle="1" w:styleId="69">
    <w:name w:val="首行缩进"/>
    <w:basedOn w:val="1"/>
    <w:qFormat/>
    <w:uiPriority w:val="0"/>
    <w:pPr>
      <w:spacing w:line="360" w:lineRule="auto"/>
      <w:ind w:firstLine="480" w:firstLineChars="200"/>
    </w:pPr>
    <w:rPr>
      <w:rFonts w:ascii="宋体" w:hAnsi="宋体"/>
      <w:kern w:val="0"/>
      <w:sz w:val="24"/>
    </w:rPr>
  </w:style>
  <w:style w:type="character" w:customStyle="1" w:styleId="70">
    <w:name w:val="标题 2 字符"/>
    <w:link w:val="3"/>
    <w:qFormat/>
    <w:uiPriority w:val="0"/>
    <w:rPr>
      <w:rFonts w:ascii="Cambria" w:hAnsi="Cambria" w:eastAsia="宋体" w:cs="Times New Roman"/>
      <w:b/>
      <w:bCs/>
      <w:sz w:val="32"/>
      <w:szCs w:val="32"/>
    </w:rPr>
  </w:style>
  <w:style w:type="character" w:customStyle="1" w:styleId="71">
    <w:name w:val="标题 1 字符"/>
    <w:link w:val="2"/>
    <w:qFormat/>
    <w:uiPriority w:val="0"/>
    <w:rPr>
      <w:rFonts w:ascii="Times New Roman" w:hAnsi="Times New Roman" w:eastAsia="宋体" w:cs="Times New Roman"/>
      <w:b/>
      <w:bCs/>
      <w:kern w:val="44"/>
      <w:sz w:val="36"/>
      <w:szCs w:val="44"/>
    </w:rPr>
  </w:style>
  <w:style w:type="character" w:customStyle="1" w:styleId="72">
    <w:name w:val="标题 3 Char"/>
    <w:qFormat/>
    <w:uiPriority w:val="0"/>
    <w:rPr>
      <w:rFonts w:ascii="Times New Roman" w:hAnsi="Times New Roman" w:eastAsia="宋体" w:cs="Times New Roman"/>
      <w:b/>
      <w:bCs/>
      <w:kern w:val="2"/>
      <w:sz w:val="24"/>
      <w:szCs w:val="32"/>
    </w:rPr>
  </w:style>
  <w:style w:type="character" w:customStyle="1" w:styleId="73">
    <w:name w:val="标题 4 字符"/>
    <w:link w:val="5"/>
    <w:qFormat/>
    <w:uiPriority w:val="0"/>
    <w:rPr>
      <w:rFonts w:ascii="Calibri Light" w:hAnsi="Calibri Light" w:eastAsia="宋体"/>
      <w:b/>
      <w:bCs/>
      <w:iCs/>
    </w:rPr>
  </w:style>
  <w:style w:type="character" w:customStyle="1" w:styleId="74">
    <w:name w:val="标题 5 字符"/>
    <w:link w:val="6"/>
    <w:qFormat/>
    <w:uiPriority w:val="0"/>
    <w:rPr>
      <w:rFonts w:ascii="Times New Roman" w:hAnsi="Times New Roman" w:eastAsia="宋体" w:cs="Times New Roman"/>
      <w:b/>
      <w:bCs/>
      <w:sz w:val="28"/>
      <w:szCs w:val="28"/>
    </w:rPr>
  </w:style>
  <w:style w:type="character" w:customStyle="1" w:styleId="75">
    <w:name w:val="标题 6 字符"/>
    <w:link w:val="7"/>
    <w:qFormat/>
    <w:uiPriority w:val="0"/>
    <w:rPr>
      <w:rFonts w:ascii="Cambria" w:hAnsi="Cambria" w:eastAsia="宋体" w:cs="Times New Roman"/>
      <w:b/>
      <w:bCs/>
      <w:sz w:val="24"/>
      <w:szCs w:val="24"/>
    </w:rPr>
  </w:style>
  <w:style w:type="character" w:customStyle="1" w:styleId="76">
    <w:name w:val="标题 7 字符"/>
    <w:link w:val="8"/>
    <w:qFormat/>
    <w:uiPriority w:val="0"/>
    <w:rPr>
      <w:rFonts w:ascii="Times New Roman" w:hAnsi="Times New Roman" w:eastAsia="宋体" w:cs="Times New Roman"/>
      <w:b/>
      <w:bCs/>
      <w:sz w:val="24"/>
      <w:szCs w:val="24"/>
    </w:rPr>
  </w:style>
  <w:style w:type="character" w:customStyle="1" w:styleId="77">
    <w:name w:val="标题 8 字符"/>
    <w:link w:val="9"/>
    <w:qFormat/>
    <w:uiPriority w:val="0"/>
    <w:rPr>
      <w:rFonts w:ascii="Cambria" w:hAnsi="Cambria" w:eastAsia="宋体" w:cs="Times New Roman"/>
      <w:sz w:val="24"/>
      <w:szCs w:val="24"/>
    </w:rPr>
  </w:style>
  <w:style w:type="character" w:customStyle="1" w:styleId="78">
    <w:name w:val="标题 9 字符"/>
    <w:link w:val="10"/>
    <w:qFormat/>
    <w:uiPriority w:val="0"/>
    <w:rPr>
      <w:rFonts w:ascii="Cambria" w:hAnsi="Cambria" w:eastAsia="宋体" w:cs="Times New Roman"/>
      <w:szCs w:val="21"/>
    </w:rPr>
  </w:style>
  <w:style w:type="character" w:customStyle="1" w:styleId="79">
    <w:name w:val="正文缩进 字符"/>
    <w:link w:val="13"/>
    <w:qFormat/>
    <w:locked/>
    <w:uiPriority w:val="0"/>
    <w:rPr>
      <w:sz w:val="21"/>
    </w:rPr>
  </w:style>
  <w:style w:type="character" w:customStyle="1" w:styleId="80">
    <w:name w:val="文档结构图 字符"/>
    <w:link w:val="17"/>
    <w:qFormat/>
    <w:uiPriority w:val="0"/>
    <w:rPr>
      <w:rFonts w:ascii="Times New Roman" w:hAnsi="Times New Roman" w:eastAsia="宋体" w:cs="Times New Roman"/>
      <w:szCs w:val="24"/>
      <w:shd w:val="clear" w:color="auto" w:fill="000080"/>
    </w:rPr>
  </w:style>
  <w:style w:type="character" w:customStyle="1" w:styleId="81">
    <w:name w:val="批注文字 字符"/>
    <w:link w:val="18"/>
    <w:qFormat/>
    <w:uiPriority w:val="0"/>
    <w:rPr>
      <w:szCs w:val="24"/>
    </w:rPr>
  </w:style>
  <w:style w:type="character" w:customStyle="1" w:styleId="82">
    <w:name w:val="正文文本 3 字符"/>
    <w:link w:val="19"/>
    <w:qFormat/>
    <w:uiPriority w:val="0"/>
    <w:rPr>
      <w:rFonts w:ascii="宋体" w:hAnsi="Times New Roman" w:eastAsia="宋体" w:cs="Times New Roman"/>
      <w:sz w:val="24"/>
      <w:szCs w:val="20"/>
    </w:rPr>
  </w:style>
  <w:style w:type="character" w:customStyle="1" w:styleId="83">
    <w:name w:val="正文文本 字符"/>
    <w:link w:val="20"/>
    <w:qFormat/>
    <w:uiPriority w:val="0"/>
    <w:rPr>
      <w:rFonts w:ascii="Times New Roman" w:hAnsi="Times New Roman" w:eastAsia="宋体" w:cs="Times New Roman"/>
      <w:szCs w:val="24"/>
    </w:rPr>
  </w:style>
  <w:style w:type="character" w:customStyle="1" w:styleId="84">
    <w:name w:val="正文文本缩进 字符"/>
    <w:link w:val="21"/>
    <w:qFormat/>
    <w:uiPriority w:val="0"/>
    <w:rPr>
      <w:rFonts w:ascii="Times New Roman" w:hAnsi="Times New Roman" w:eastAsia="宋体" w:cs="Times New Roman"/>
      <w:szCs w:val="24"/>
    </w:rPr>
  </w:style>
  <w:style w:type="character" w:customStyle="1" w:styleId="85">
    <w:name w:val="纯文本 字符"/>
    <w:link w:val="27"/>
    <w:qFormat/>
    <w:uiPriority w:val="0"/>
    <w:rPr>
      <w:rFonts w:ascii="宋体" w:hAnsi="Courier New" w:eastAsia="宋体"/>
    </w:rPr>
  </w:style>
  <w:style w:type="character" w:customStyle="1" w:styleId="86">
    <w:name w:val="日期 字符"/>
    <w:link w:val="30"/>
    <w:qFormat/>
    <w:uiPriority w:val="0"/>
    <w:rPr>
      <w:szCs w:val="24"/>
    </w:rPr>
  </w:style>
  <w:style w:type="character" w:customStyle="1" w:styleId="87">
    <w:name w:val="正文文本缩进 2 字符"/>
    <w:link w:val="31"/>
    <w:qFormat/>
    <w:uiPriority w:val="0"/>
    <w:rPr>
      <w:rFonts w:ascii="Times New Roman" w:hAnsi="Times New Roman" w:eastAsia="宋体" w:cs="Times New Roman"/>
      <w:szCs w:val="24"/>
    </w:rPr>
  </w:style>
  <w:style w:type="character" w:customStyle="1" w:styleId="88">
    <w:name w:val="批注框文本 字符"/>
    <w:link w:val="32"/>
    <w:qFormat/>
    <w:uiPriority w:val="0"/>
    <w:rPr>
      <w:rFonts w:ascii="Times New Roman" w:hAnsi="Times New Roman" w:eastAsia="宋体" w:cs="Times New Roman"/>
      <w:sz w:val="18"/>
      <w:szCs w:val="18"/>
    </w:rPr>
  </w:style>
  <w:style w:type="character" w:customStyle="1" w:styleId="89">
    <w:name w:val="页脚 字符"/>
    <w:link w:val="33"/>
    <w:qFormat/>
    <w:uiPriority w:val="0"/>
    <w:rPr>
      <w:rFonts w:ascii="Times New Roman" w:hAnsi="Times New Roman" w:eastAsia="宋体" w:cs="Times New Roman"/>
      <w:sz w:val="18"/>
      <w:szCs w:val="18"/>
    </w:rPr>
  </w:style>
  <w:style w:type="character" w:customStyle="1" w:styleId="90">
    <w:name w:val="页眉 字符"/>
    <w:link w:val="34"/>
    <w:qFormat/>
    <w:uiPriority w:val="0"/>
    <w:rPr>
      <w:rFonts w:ascii="Times New Roman" w:hAnsi="Times New Roman" w:eastAsia="宋体" w:cs="Times New Roman"/>
      <w:sz w:val="18"/>
      <w:szCs w:val="18"/>
    </w:rPr>
  </w:style>
  <w:style w:type="character" w:customStyle="1" w:styleId="91">
    <w:name w:val="副标题 字符"/>
    <w:link w:val="37"/>
    <w:qFormat/>
    <w:uiPriority w:val="0"/>
    <w:rPr>
      <w:rFonts w:ascii="Cambria" w:hAnsi="Cambria" w:cs="Times New Roman"/>
      <w:b/>
      <w:bCs/>
      <w:kern w:val="28"/>
      <w:sz w:val="32"/>
      <w:szCs w:val="32"/>
    </w:rPr>
  </w:style>
  <w:style w:type="character" w:customStyle="1" w:styleId="92">
    <w:name w:val="脚注文本 字符"/>
    <w:link w:val="38"/>
    <w:qFormat/>
    <w:uiPriority w:val="0"/>
    <w:rPr>
      <w:kern w:val="2"/>
      <w:sz w:val="18"/>
      <w:szCs w:val="18"/>
    </w:rPr>
  </w:style>
  <w:style w:type="character" w:customStyle="1" w:styleId="93">
    <w:name w:val="正文文本缩进 3 字符"/>
    <w:link w:val="41"/>
    <w:qFormat/>
    <w:uiPriority w:val="0"/>
    <w:rPr>
      <w:rFonts w:ascii="Times New Roman" w:hAnsi="Times New Roman" w:eastAsia="宋体" w:cs="Times New Roman"/>
      <w:sz w:val="16"/>
      <w:szCs w:val="16"/>
    </w:rPr>
  </w:style>
  <w:style w:type="character" w:customStyle="1" w:styleId="94">
    <w:name w:val="TOC 2 字符"/>
    <w:link w:val="43"/>
    <w:qFormat/>
    <w:locked/>
    <w:uiPriority w:val="39"/>
    <w:rPr>
      <w:rFonts w:ascii="Times New Roman" w:hAnsi="Times New Roman" w:eastAsia="宋体" w:cs="Times New Roman"/>
      <w:szCs w:val="24"/>
    </w:rPr>
  </w:style>
  <w:style w:type="character" w:customStyle="1" w:styleId="95">
    <w:name w:val="正文文本 2 字符"/>
    <w:link w:val="45"/>
    <w:qFormat/>
    <w:uiPriority w:val="0"/>
    <w:rPr>
      <w:szCs w:val="24"/>
    </w:rPr>
  </w:style>
  <w:style w:type="character" w:customStyle="1" w:styleId="96">
    <w:name w:val="HTML 预设格式 字符"/>
    <w:link w:val="46"/>
    <w:qFormat/>
    <w:uiPriority w:val="0"/>
    <w:rPr>
      <w:rFonts w:ascii="Arial" w:hAnsi="Arial" w:cs="Arial"/>
      <w:sz w:val="24"/>
      <w:szCs w:val="24"/>
    </w:rPr>
  </w:style>
  <w:style w:type="character" w:customStyle="1" w:styleId="97">
    <w:name w:val="标题 字符"/>
    <w:link w:val="49"/>
    <w:qFormat/>
    <w:uiPriority w:val="0"/>
    <w:rPr>
      <w:rFonts w:ascii="Cambria" w:hAnsi="Cambria"/>
      <w:b/>
      <w:bCs/>
      <w:sz w:val="32"/>
      <w:szCs w:val="32"/>
    </w:rPr>
  </w:style>
  <w:style w:type="character" w:customStyle="1" w:styleId="98">
    <w:name w:val="批注主题 字符"/>
    <w:link w:val="50"/>
    <w:qFormat/>
    <w:uiPriority w:val="0"/>
    <w:rPr>
      <w:rFonts w:ascii="Times New Roman" w:hAnsi="Times New Roman" w:eastAsia="宋体" w:cs="Times New Roman"/>
      <w:b/>
      <w:bCs/>
      <w:szCs w:val="24"/>
    </w:rPr>
  </w:style>
  <w:style w:type="character" w:customStyle="1" w:styleId="99">
    <w:name w:val="正文文本首行缩进 字符"/>
    <w:link w:val="51"/>
    <w:qFormat/>
    <w:uiPriority w:val="0"/>
    <w:rPr>
      <w:rFonts w:ascii="Times New Roman" w:hAnsi="Times New Roman" w:eastAsia="宋体" w:cs="Times New Roman"/>
      <w:kern w:val="2"/>
      <w:sz w:val="21"/>
      <w:szCs w:val="24"/>
    </w:rPr>
  </w:style>
  <w:style w:type="character" w:customStyle="1" w:styleId="100">
    <w:name w:val="标题 3 字符"/>
    <w:link w:val="4"/>
    <w:qFormat/>
    <w:uiPriority w:val="0"/>
    <w:rPr>
      <w:rFonts w:ascii="Calibri" w:hAnsi="Calibri" w:eastAsia="宋体"/>
      <w:b/>
      <w:sz w:val="32"/>
    </w:rPr>
  </w:style>
  <w:style w:type="character" w:customStyle="1" w:styleId="101">
    <w:name w:val="标题 1 Char Char"/>
    <w:qFormat/>
    <w:uiPriority w:val="0"/>
    <w:rPr>
      <w:rFonts w:eastAsia="宋体"/>
      <w:b/>
      <w:sz w:val="44"/>
      <w:lang w:val="en-US" w:eastAsia="zh-CN" w:bidi="ar-SA"/>
    </w:rPr>
  </w:style>
  <w:style w:type="character" w:customStyle="1" w:styleId="102">
    <w:name w:val="正文文本 (2) + 10 pt34"/>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3">
    <w:name w:val="4 Char Char"/>
    <w:link w:val="104"/>
    <w:qFormat/>
    <w:uiPriority w:val="0"/>
    <w:rPr>
      <w:rFonts w:ascii="Cambria" w:hAnsi="Cambria" w:eastAsia="宋体" w:cs="Times New Roman"/>
      <w:b/>
      <w:bCs/>
      <w:sz w:val="32"/>
      <w:szCs w:val="28"/>
    </w:rPr>
  </w:style>
  <w:style w:type="paragraph" w:customStyle="1" w:styleId="104">
    <w:name w:val="4"/>
    <w:basedOn w:val="5"/>
    <w:next w:val="20"/>
    <w:link w:val="103"/>
    <w:qFormat/>
    <w:uiPriority w:val="0"/>
    <w:pPr>
      <w:widowControl w:val="0"/>
      <w:spacing w:before="120" w:after="120" w:line="360" w:lineRule="exact"/>
    </w:pPr>
    <w:rPr>
      <w:rFonts w:ascii="Cambria" w:hAnsi="Cambria"/>
      <w:iCs w:val="0"/>
      <w:sz w:val="32"/>
      <w:szCs w:val="28"/>
    </w:rPr>
  </w:style>
  <w:style w:type="character" w:customStyle="1" w:styleId="105">
    <w:name w:val="Heading 3 Char"/>
    <w:qFormat/>
    <w:uiPriority w:val="0"/>
    <w:rPr>
      <w:rFonts w:cs="Times New Roman"/>
      <w:b/>
      <w:bCs/>
      <w:kern w:val="2"/>
      <w:sz w:val="32"/>
      <w:szCs w:val="32"/>
    </w:rPr>
  </w:style>
  <w:style w:type="character" w:customStyle="1" w:styleId="106">
    <w:name w:val="op-map-singlepoint-info-right"/>
    <w:basedOn w:val="55"/>
    <w:qFormat/>
    <w:uiPriority w:val="0"/>
  </w:style>
  <w:style w:type="character" w:customStyle="1" w:styleId="107">
    <w:name w:val="15"/>
    <w:qFormat/>
    <w:uiPriority w:val="0"/>
    <w:rPr>
      <w:rFonts w:hint="default" w:ascii="Times New Roman" w:hAnsi="Times New Roman" w:cs="Times New Roman"/>
      <w:color w:val="0000FF"/>
      <w:u w:val="single"/>
    </w:rPr>
  </w:style>
  <w:style w:type="character" w:customStyle="1" w:styleId="108">
    <w:name w:val="Body Text Indent Char"/>
    <w:qFormat/>
    <w:uiPriority w:val="0"/>
    <w:rPr>
      <w:rFonts w:ascii="宋体" w:hAnsi="宋体" w:eastAsia="宋体"/>
      <w:kern w:val="2"/>
      <w:sz w:val="21"/>
      <w:lang w:val="en-US" w:eastAsia="zh-CN" w:bidi="ar-SA"/>
    </w:rPr>
  </w:style>
  <w:style w:type="character" w:customStyle="1" w:styleId="109">
    <w:name w:val="明显引用 字符"/>
    <w:link w:val="110"/>
    <w:qFormat/>
    <w:uiPriority w:val="0"/>
    <w:rPr>
      <w:b/>
      <w:bCs/>
      <w:i/>
      <w:iCs/>
      <w:color w:val="4F81BD"/>
      <w:szCs w:val="24"/>
    </w:rPr>
  </w:style>
  <w:style w:type="paragraph" w:styleId="110">
    <w:name w:val="Intense Quote"/>
    <w:basedOn w:val="1"/>
    <w:next w:val="1"/>
    <w:link w:val="109"/>
    <w:qFormat/>
    <w:uiPriority w:val="0"/>
    <w:pPr>
      <w:pBdr>
        <w:bottom w:val="single" w:color="4F81BD" w:sz="4" w:space="4"/>
      </w:pBdr>
      <w:spacing w:before="200" w:after="280" w:line="360" w:lineRule="exact"/>
      <w:ind w:left="936" w:right="936" w:firstLine="200" w:firstLineChars="200"/>
    </w:pPr>
    <w:rPr>
      <w:rFonts w:ascii="Calibri" w:hAnsi="Calibri"/>
      <w:b/>
      <w:bCs/>
      <w:i/>
      <w:iCs/>
      <w:color w:val="4F81BD"/>
    </w:rPr>
  </w:style>
  <w:style w:type="character" w:customStyle="1" w:styleId="111">
    <w:name w:val="正文文本 (2)_"/>
    <w:link w:val="112"/>
    <w:qFormat/>
    <w:uiPriority w:val="0"/>
    <w:rPr>
      <w:rFonts w:ascii="MingLiU" w:hAnsi="MingLiU" w:eastAsia="MingLiU" w:cs="MingLiU"/>
      <w:spacing w:val="20"/>
      <w:sz w:val="22"/>
      <w:shd w:val="clear" w:color="auto" w:fill="FFFFFF"/>
    </w:rPr>
  </w:style>
  <w:style w:type="paragraph" w:customStyle="1" w:styleId="112">
    <w:name w:val="正文文本 (2)4"/>
    <w:basedOn w:val="1"/>
    <w:link w:val="111"/>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3">
    <w:name w:val="正文呀 Char"/>
    <w:link w:val="114"/>
    <w:qFormat/>
    <w:uiPriority w:val="0"/>
    <w:rPr>
      <w:rFonts w:ascii="宋体" w:hAnsi="宋体"/>
      <w:kern w:val="2"/>
      <w:sz w:val="21"/>
      <w:szCs w:val="21"/>
    </w:rPr>
  </w:style>
  <w:style w:type="paragraph" w:customStyle="1" w:styleId="114">
    <w:name w:val="正文呀"/>
    <w:basedOn w:val="1"/>
    <w:link w:val="113"/>
    <w:qFormat/>
    <w:uiPriority w:val="0"/>
    <w:pPr>
      <w:spacing w:line="420" w:lineRule="exact"/>
      <w:ind w:firstLine="420" w:firstLineChars="200"/>
    </w:pPr>
    <w:rPr>
      <w:rFonts w:ascii="宋体" w:hAnsi="宋体"/>
      <w:szCs w:val="21"/>
    </w:rPr>
  </w:style>
  <w:style w:type="character" w:customStyle="1" w:styleId="115">
    <w:name w:val="正文文本 (14) + Times New Roman"/>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6">
    <w:name w:val="正文文本 (45)_"/>
    <w:link w:val="117"/>
    <w:qFormat/>
    <w:locked/>
    <w:uiPriority w:val="0"/>
    <w:rPr>
      <w:rFonts w:ascii="MingLiU" w:hAnsi="MingLiU" w:eastAsia="MingLiU"/>
      <w:sz w:val="22"/>
      <w:shd w:val="clear" w:color="auto" w:fill="FFFFFF"/>
    </w:rPr>
  </w:style>
  <w:style w:type="paragraph" w:customStyle="1" w:styleId="117">
    <w:name w:val="正文文本 (45)"/>
    <w:basedOn w:val="1"/>
    <w:link w:val="116"/>
    <w:qFormat/>
    <w:uiPriority w:val="0"/>
    <w:pPr>
      <w:shd w:val="clear" w:color="auto" w:fill="FFFFFF"/>
      <w:spacing w:after="420" w:line="240" w:lineRule="atLeast"/>
      <w:jc w:val="center"/>
    </w:pPr>
    <w:rPr>
      <w:rFonts w:ascii="MingLiU" w:hAnsi="MingLiU" w:eastAsia="MingLiU"/>
      <w:sz w:val="22"/>
      <w:szCs w:val="22"/>
    </w:rPr>
  </w:style>
  <w:style w:type="character" w:customStyle="1" w:styleId="118">
    <w:name w:val="普通文字 Char Char1"/>
    <w:qFormat/>
    <w:uiPriority w:val="0"/>
    <w:rPr>
      <w:rFonts w:ascii="宋体" w:hAnsi="Courier New" w:eastAsia="宋体"/>
      <w:kern w:val="2"/>
      <w:sz w:val="21"/>
      <w:lang w:val="en-US" w:eastAsia="zh-CN" w:bidi="ar-SA"/>
    </w:rPr>
  </w:style>
  <w:style w:type="character" w:customStyle="1" w:styleId="119">
    <w:name w:val="纯文本 Char2"/>
    <w:qFormat/>
    <w:uiPriority w:val="0"/>
    <w:rPr>
      <w:rFonts w:ascii="宋体" w:hAnsi="Courier New"/>
      <w:kern w:val="2"/>
      <w:sz w:val="21"/>
    </w:rPr>
  </w:style>
  <w:style w:type="character" w:customStyle="1" w:styleId="120">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1">
    <w:name w:val="不明显参考1"/>
    <w:qFormat/>
    <w:uiPriority w:val="0"/>
    <w:rPr>
      <w:smallCaps/>
      <w:color w:val="C0504D"/>
      <w:u w:val="single"/>
    </w:rPr>
  </w:style>
  <w:style w:type="character" w:customStyle="1" w:styleId="122">
    <w:name w:val="标题 #7_"/>
    <w:link w:val="123"/>
    <w:qFormat/>
    <w:locked/>
    <w:uiPriority w:val="0"/>
    <w:rPr>
      <w:rFonts w:ascii="MingLiU" w:hAnsi="MingLiU" w:eastAsia="MingLiU"/>
      <w:spacing w:val="30"/>
      <w:sz w:val="26"/>
      <w:szCs w:val="26"/>
      <w:shd w:val="clear" w:color="auto" w:fill="FFFFFF"/>
    </w:rPr>
  </w:style>
  <w:style w:type="paragraph" w:customStyle="1" w:styleId="123">
    <w:name w:val="标题 #7"/>
    <w:basedOn w:val="1"/>
    <w:link w:val="122"/>
    <w:qFormat/>
    <w:uiPriority w:val="0"/>
    <w:pPr>
      <w:shd w:val="clear" w:color="auto" w:fill="FFFFFF"/>
      <w:spacing w:before="540" w:after="540" w:line="240" w:lineRule="atLeast"/>
      <w:jc w:val="center"/>
      <w:outlineLvl w:val="6"/>
    </w:pPr>
    <w:rPr>
      <w:rFonts w:ascii="MingLiU" w:hAnsi="MingLiU" w:eastAsia="MingLiU"/>
      <w:spacing w:val="30"/>
      <w:sz w:val="26"/>
      <w:szCs w:val="26"/>
    </w:rPr>
  </w:style>
  <w:style w:type="character" w:customStyle="1" w:styleId="124">
    <w:name w:val="Plain Text Char"/>
    <w:qFormat/>
    <w:uiPriority w:val="0"/>
    <w:rPr>
      <w:rFonts w:ascii="宋体" w:hAnsi="Courier New" w:eastAsia="宋体"/>
      <w:sz w:val="24"/>
      <w:lang w:bidi="ar-SA"/>
    </w:rPr>
  </w:style>
  <w:style w:type="character" w:customStyle="1" w:styleId="125">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6">
    <w:name w:val="正文文本 (2) + 10 pt3"/>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7">
    <w:name w:val="Char Char21"/>
    <w:qFormat/>
    <w:uiPriority w:val="0"/>
    <w:rPr>
      <w:rFonts w:ascii="Arial" w:hAnsi="Arial" w:eastAsia="黑体" w:cs="Times New Roman"/>
      <w:b/>
      <w:bCs/>
      <w:sz w:val="32"/>
      <w:szCs w:val="32"/>
    </w:rPr>
  </w:style>
  <w:style w:type="character" w:customStyle="1" w:styleId="128">
    <w:name w:val="样式4 Char Char"/>
    <w:link w:val="129"/>
    <w:qFormat/>
    <w:uiPriority w:val="0"/>
    <w:rPr>
      <w:rFonts w:ascii="宋体" w:hAnsi="宋体"/>
      <w:color w:val="FF0000"/>
      <w:sz w:val="24"/>
      <w:szCs w:val="24"/>
    </w:rPr>
  </w:style>
  <w:style w:type="paragraph" w:customStyle="1" w:styleId="129">
    <w:name w:val="样式4"/>
    <w:link w:val="128"/>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0">
    <w:name w:val="Char Char20"/>
    <w:qFormat/>
    <w:uiPriority w:val="0"/>
    <w:rPr>
      <w:rFonts w:ascii="Times New Roman" w:hAnsi="Times New Roman" w:eastAsia="宋体" w:cs="Times New Roman"/>
      <w:b/>
      <w:bCs/>
      <w:sz w:val="24"/>
      <w:szCs w:val="32"/>
    </w:rPr>
  </w:style>
  <w:style w:type="character" w:customStyle="1" w:styleId="131">
    <w:name w:val="页眉或页脚 + Times New Roman"/>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2">
    <w:name w:val="正文文本缩进 Char1"/>
    <w:semiHidden/>
    <w:qFormat/>
    <w:uiPriority w:val="99"/>
    <w:rPr>
      <w:sz w:val="21"/>
    </w:rPr>
  </w:style>
  <w:style w:type="character" w:customStyle="1" w:styleId="133">
    <w:name w:val="Heading 2 Char"/>
    <w:qFormat/>
    <w:uiPriority w:val="0"/>
    <w:rPr>
      <w:rFonts w:ascii="Arial" w:hAnsi="Arial" w:eastAsia="黑体"/>
      <w:b/>
      <w:bCs/>
      <w:kern w:val="2"/>
      <w:sz w:val="32"/>
      <w:szCs w:val="32"/>
      <w:lang w:val="en-US" w:eastAsia="zh-CN" w:bidi="ar-SA"/>
    </w:rPr>
  </w:style>
  <w:style w:type="character" w:customStyle="1" w:styleId="134">
    <w:name w:val="Title Char"/>
    <w:qFormat/>
    <w:uiPriority w:val="0"/>
    <w:rPr>
      <w:rFonts w:ascii="Cambria" w:hAnsi="Cambria"/>
      <w:b/>
      <w:sz w:val="32"/>
      <w:lang w:bidi="ar-SA"/>
    </w:rPr>
  </w:style>
  <w:style w:type="character" w:customStyle="1" w:styleId="135">
    <w:name w:val="Comment Text Char1"/>
    <w:qFormat/>
    <w:uiPriority w:val="0"/>
    <w:rPr>
      <w:sz w:val="24"/>
      <w:lang w:bidi="ar-SA"/>
    </w:rPr>
  </w:style>
  <w:style w:type="character" w:customStyle="1" w:styleId="136">
    <w:name w:val="样式3 Char Char"/>
    <w:link w:val="137"/>
    <w:qFormat/>
    <w:uiPriority w:val="0"/>
    <w:rPr>
      <w:rFonts w:ascii="Times New Roman" w:hAnsi="Times New Roman" w:eastAsia="宋体" w:cs="Times New Roman"/>
      <w:szCs w:val="24"/>
    </w:rPr>
  </w:style>
  <w:style w:type="paragraph" w:customStyle="1" w:styleId="137">
    <w:name w:val="样式3"/>
    <w:basedOn w:val="20"/>
    <w:link w:val="136"/>
    <w:qFormat/>
    <w:uiPriority w:val="0"/>
    <w:pPr>
      <w:spacing w:line="360" w:lineRule="exact"/>
    </w:pPr>
    <w:rPr>
      <w:rFonts w:ascii="Calibri" w:hAnsi="Calibri"/>
    </w:rPr>
  </w:style>
  <w:style w:type="character" w:customStyle="1" w:styleId="138">
    <w:name w:val="不明显强调3"/>
    <w:qFormat/>
    <w:uiPriority w:val="0"/>
    <w:rPr>
      <w:i/>
      <w:iCs/>
      <w:color w:val="808080"/>
    </w:rPr>
  </w:style>
  <w:style w:type="character" w:customStyle="1" w:styleId="139">
    <w:name w:val="不明显强调1"/>
    <w:qFormat/>
    <w:uiPriority w:val="0"/>
    <w:rPr>
      <w:i/>
      <w:iCs/>
      <w:color w:val="808080"/>
    </w:rPr>
  </w:style>
  <w:style w:type="character" w:customStyle="1" w:styleId="140">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1">
    <w:name w:val="目录 (2) + 间距 0 pt"/>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2">
    <w:name w:val="标题 #8_"/>
    <w:link w:val="143"/>
    <w:qFormat/>
    <w:uiPriority w:val="0"/>
    <w:rPr>
      <w:rFonts w:ascii="MingLiU" w:hAnsi="MingLiU" w:eastAsia="MingLiU" w:cs="MingLiU"/>
      <w:b/>
      <w:bCs/>
      <w:spacing w:val="10"/>
      <w:sz w:val="22"/>
      <w:shd w:val="clear" w:color="auto" w:fill="FFFFFF"/>
    </w:rPr>
  </w:style>
  <w:style w:type="paragraph" w:customStyle="1" w:styleId="143">
    <w:name w:val="标题 #8"/>
    <w:basedOn w:val="1"/>
    <w:link w:val="142"/>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4">
    <w:name w:val="样式5 Char Char"/>
    <w:link w:val="145"/>
    <w:qFormat/>
    <w:uiPriority w:val="0"/>
    <w:rPr>
      <w:szCs w:val="24"/>
    </w:rPr>
  </w:style>
  <w:style w:type="paragraph" w:customStyle="1" w:styleId="145">
    <w:name w:val="样式5"/>
    <w:basedOn w:val="1"/>
    <w:next w:val="146"/>
    <w:link w:val="144"/>
    <w:qFormat/>
    <w:uiPriority w:val="0"/>
    <w:pPr>
      <w:spacing w:line="360" w:lineRule="exact"/>
    </w:pPr>
    <w:rPr>
      <w:rFonts w:ascii="Calibri" w:hAnsi="Calibri"/>
    </w:rPr>
  </w:style>
  <w:style w:type="paragraph" w:customStyle="1" w:styleId="146">
    <w:name w:val="样式2"/>
    <w:basedOn w:val="20"/>
    <w:link w:val="147"/>
    <w:qFormat/>
    <w:uiPriority w:val="0"/>
    <w:pPr>
      <w:wordWrap w:val="0"/>
      <w:spacing w:after="0" w:line="440" w:lineRule="exact"/>
      <w:ind w:firstLine="480" w:firstLineChars="200"/>
    </w:pPr>
    <w:rPr>
      <w:rFonts w:ascii="宋体" w:hAnsi="宋体"/>
      <w:sz w:val="24"/>
      <w:szCs w:val="84"/>
    </w:rPr>
  </w:style>
  <w:style w:type="character" w:customStyle="1" w:styleId="147">
    <w:name w:val="样式2 Char Char"/>
    <w:link w:val="146"/>
    <w:qFormat/>
    <w:uiPriority w:val="0"/>
    <w:rPr>
      <w:rFonts w:ascii="宋体" w:hAnsi="宋体" w:eastAsia="宋体"/>
      <w:sz w:val="24"/>
      <w:szCs w:val="84"/>
    </w:rPr>
  </w:style>
  <w:style w:type="character" w:customStyle="1" w:styleId="148">
    <w:name w:val="页脚 Char1"/>
    <w:semiHidden/>
    <w:qFormat/>
    <w:uiPriority w:val="99"/>
    <w:rPr>
      <w:sz w:val="18"/>
      <w:szCs w:val="18"/>
    </w:rPr>
  </w:style>
  <w:style w:type="character" w:customStyle="1" w:styleId="149">
    <w:name w:val="正文文本 (5)_"/>
    <w:link w:val="150"/>
    <w:qFormat/>
    <w:uiPriority w:val="0"/>
    <w:rPr>
      <w:rFonts w:ascii="MingLiU" w:hAnsi="MingLiU" w:eastAsia="MingLiU" w:cs="MingLiU"/>
      <w:shd w:val="clear" w:color="auto" w:fill="FFFFFF"/>
    </w:rPr>
  </w:style>
  <w:style w:type="paragraph" w:customStyle="1" w:styleId="150">
    <w:name w:val="正文文本 (5)"/>
    <w:basedOn w:val="1"/>
    <w:link w:val="149"/>
    <w:qFormat/>
    <w:uiPriority w:val="0"/>
    <w:pPr>
      <w:shd w:val="clear" w:color="auto" w:fill="FFFFFF"/>
      <w:spacing w:before="5100" w:line="0" w:lineRule="atLeast"/>
      <w:jc w:val="left"/>
    </w:pPr>
    <w:rPr>
      <w:rFonts w:ascii="MingLiU" w:hAnsi="MingLiU" w:eastAsia="MingLiU" w:cs="MingLiU"/>
      <w:szCs w:val="22"/>
    </w:rPr>
  </w:style>
  <w:style w:type="character" w:customStyle="1" w:styleId="151">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2">
    <w:name w:val="style6"/>
    <w:basedOn w:val="55"/>
    <w:qFormat/>
    <w:uiPriority w:val="0"/>
  </w:style>
  <w:style w:type="character" w:customStyle="1" w:styleId="153">
    <w:name w:val="Date Char"/>
    <w:qFormat/>
    <w:uiPriority w:val="0"/>
    <w:rPr>
      <w:rFonts w:eastAsia="宋体"/>
      <w:kern w:val="2"/>
      <w:sz w:val="21"/>
      <w:szCs w:val="24"/>
      <w:lang w:val="en-US" w:eastAsia="zh-CN" w:bidi="ar-SA"/>
    </w:rPr>
  </w:style>
  <w:style w:type="character" w:customStyle="1" w:styleId="154">
    <w:name w:val="正文文本 (2) + 6.5 pt"/>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5">
    <w:name w:val="标题 1 Char_1"/>
    <w:link w:val="156"/>
    <w:qFormat/>
    <w:uiPriority w:val="99"/>
    <w:rPr>
      <w:rFonts w:ascii="Calibri" w:hAnsi="Calibri"/>
      <w:b/>
      <w:bCs/>
      <w:kern w:val="44"/>
      <w:sz w:val="32"/>
      <w:szCs w:val="44"/>
    </w:rPr>
  </w:style>
  <w:style w:type="paragraph" w:customStyle="1" w:styleId="156">
    <w:name w:val="标题 1_1"/>
    <w:basedOn w:val="157"/>
    <w:next w:val="157"/>
    <w:link w:val="155"/>
    <w:qFormat/>
    <w:uiPriority w:val="99"/>
    <w:pPr>
      <w:keepNext/>
      <w:keepLines/>
      <w:spacing w:line="360" w:lineRule="auto"/>
      <w:outlineLvl w:val="0"/>
    </w:pPr>
    <w:rPr>
      <w:b/>
      <w:bCs/>
      <w:kern w:val="44"/>
      <w:sz w:val="32"/>
      <w:szCs w:val="44"/>
    </w:rPr>
  </w:style>
  <w:style w:type="paragraph" w:customStyle="1" w:styleId="157">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8">
    <w:name w:val="不明显参考3"/>
    <w:qFormat/>
    <w:uiPriority w:val="0"/>
    <w:rPr>
      <w:smallCaps/>
      <w:color w:val="C0504D"/>
      <w:u w:val="single"/>
    </w:rPr>
  </w:style>
  <w:style w:type="character" w:customStyle="1" w:styleId="159">
    <w:name w:val="正文小标题 Char"/>
    <w:link w:val="160"/>
    <w:qFormat/>
    <w:uiPriority w:val="0"/>
    <w:rPr>
      <w:rFonts w:hAnsi="宋体"/>
      <w:sz w:val="21"/>
      <w:szCs w:val="21"/>
    </w:rPr>
  </w:style>
  <w:style w:type="paragraph" w:customStyle="1" w:styleId="160">
    <w:name w:val="正文小标题"/>
    <w:basedOn w:val="2"/>
    <w:link w:val="159"/>
    <w:qFormat/>
    <w:uiPriority w:val="0"/>
    <w:pPr>
      <w:keepLines w:val="0"/>
      <w:spacing w:before="240" w:after="240" w:line="420" w:lineRule="exact"/>
    </w:pPr>
    <w:rPr>
      <w:rFonts w:hAnsi="宋体"/>
      <w:b w:val="0"/>
      <w:bCs w:val="0"/>
      <w:kern w:val="0"/>
      <w:sz w:val="21"/>
      <w:szCs w:val="21"/>
    </w:rPr>
  </w:style>
  <w:style w:type="character" w:customStyle="1" w:styleId="161">
    <w:name w:val="正文文本 (42)_"/>
    <w:link w:val="162"/>
    <w:qFormat/>
    <w:locked/>
    <w:uiPriority w:val="0"/>
    <w:rPr>
      <w:rFonts w:ascii="MingLiU" w:hAnsi="MingLiU" w:eastAsia="MingLiU"/>
      <w:b/>
      <w:bCs/>
      <w:shd w:val="clear" w:color="auto" w:fill="FFFFFF"/>
    </w:rPr>
  </w:style>
  <w:style w:type="paragraph" w:customStyle="1" w:styleId="162">
    <w:name w:val="正文文本 (42)1"/>
    <w:basedOn w:val="1"/>
    <w:link w:val="161"/>
    <w:qFormat/>
    <w:uiPriority w:val="0"/>
    <w:pPr>
      <w:shd w:val="clear" w:color="auto" w:fill="FFFFFF"/>
      <w:spacing w:line="398" w:lineRule="exact"/>
      <w:jc w:val="distribute"/>
    </w:pPr>
    <w:rPr>
      <w:rFonts w:ascii="MingLiU" w:hAnsi="MingLiU" w:eastAsia="MingLiU"/>
      <w:b/>
      <w:bCs/>
      <w:szCs w:val="22"/>
    </w:rPr>
  </w:style>
  <w:style w:type="character" w:customStyle="1" w:styleId="163">
    <w:name w:val="T10 Char"/>
    <w:link w:val="164"/>
    <w:qFormat/>
    <w:uiPriority w:val="0"/>
    <w:rPr>
      <w:rFonts w:ascii="宋体" w:hAnsi="宋体"/>
      <w:b/>
      <w:sz w:val="28"/>
    </w:rPr>
  </w:style>
  <w:style w:type="paragraph" w:customStyle="1" w:styleId="164">
    <w:name w:val="T10"/>
    <w:basedOn w:val="1"/>
    <w:link w:val="163"/>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5">
    <w:name w:val="ca-11"/>
    <w:qFormat/>
    <w:uiPriority w:val="0"/>
    <w:rPr>
      <w:rFonts w:ascii="宋体" w:eastAsia="宋体"/>
      <w:sz w:val="21"/>
      <w:szCs w:val="21"/>
    </w:rPr>
  </w:style>
  <w:style w:type="character" w:customStyle="1" w:styleId="166">
    <w:name w:val="Char Char24"/>
    <w:qFormat/>
    <w:uiPriority w:val="0"/>
    <w:rPr>
      <w:rFonts w:eastAsia="宋体"/>
      <w:b/>
      <w:bCs/>
      <w:kern w:val="44"/>
      <w:sz w:val="32"/>
      <w:szCs w:val="44"/>
      <w:lang w:val="en-US" w:eastAsia="zh-CN" w:bidi="ar-SA"/>
    </w:rPr>
  </w:style>
  <w:style w:type="character" w:customStyle="1" w:styleId="167">
    <w:name w:val="Char Char3"/>
    <w:qFormat/>
    <w:uiPriority w:val="0"/>
    <w:rPr>
      <w:rFonts w:eastAsia="宋体"/>
      <w:kern w:val="2"/>
      <w:sz w:val="21"/>
      <w:szCs w:val="24"/>
      <w:lang w:val="en-US" w:eastAsia="zh-CN" w:bidi="ar-SA"/>
    </w:rPr>
  </w:style>
  <w:style w:type="character" w:customStyle="1" w:styleId="168">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69">
    <w:name w:val="Comment Text Char"/>
    <w:qFormat/>
    <w:uiPriority w:val="0"/>
    <w:rPr>
      <w:rFonts w:cs="Times New Roman"/>
      <w:sz w:val="24"/>
      <w:szCs w:val="24"/>
    </w:rPr>
  </w:style>
  <w:style w:type="character" w:customStyle="1" w:styleId="170">
    <w:name w:val="不明显参考11"/>
    <w:qFormat/>
    <w:uiPriority w:val="31"/>
    <w:rPr>
      <w:smallCaps/>
      <w:color w:val="C0504D"/>
      <w:u w:val="single"/>
    </w:rPr>
  </w:style>
  <w:style w:type="character" w:customStyle="1" w:styleId="171">
    <w:name w:val="标题 Char2"/>
    <w:qFormat/>
    <w:uiPriority w:val="0"/>
    <w:rPr>
      <w:rFonts w:ascii="Cambria" w:hAnsi="Cambria" w:eastAsia="宋体" w:cs="Times New Roman"/>
      <w:b/>
      <w:bCs/>
      <w:sz w:val="32"/>
      <w:szCs w:val="32"/>
    </w:rPr>
  </w:style>
  <w:style w:type="character" w:customStyle="1" w:styleId="172">
    <w:name w:val="引用 Char1"/>
    <w:qFormat/>
    <w:uiPriority w:val="29"/>
    <w:rPr>
      <w:rFonts w:ascii="Times New Roman" w:hAnsi="Times New Roman" w:eastAsia="宋体" w:cs="Times New Roman"/>
      <w:i/>
      <w:iCs/>
      <w:color w:val="000000"/>
      <w:szCs w:val="24"/>
    </w:rPr>
  </w:style>
  <w:style w:type="character" w:customStyle="1" w:styleId="173">
    <w:name w:val="纯文本 Char1"/>
    <w:qFormat/>
    <w:uiPriority w:val="0"/>
    <w:rPr>
      <w:rFonts w:ascii="宋体" w:hAnsi="Courier New" w:eastAsia="宋体" w:cs="Courier New"/>
      <w:szCs w:val="21"/>
    </w:rPr>
  </w:style>
  <w:style w:type="character" w:customStyle="1" w:styleId="174">
    <w:name w:val="Char Char6"/>
    <w:qFormat/>
    <w:uiPriority w:val="0"/>
    <w:rPr>
      <w:rFonts w:ascii="Arial" w:hAnsi="Arial" w:eastAsia="宋体"/>
      <w:b/>
      <w:bCs/>
      <w:kern w:val="2"/>
      <w:sz w:val="21"/>
      <w:szCs w:val="28"/>
      <w:lang w:val="en-US" w:eastAsia="zh-CN" w:bidi="ar-SA"/>
    </w:rPr>
  </w:style>
  <w:style w:type="character" w:customStyle="1" w:styleId="175">
    <w:name w:val="明显强调1"/>
    <w:qFormat/>
    <w:uiPriority w:val="0"/>
    <w:rPr>
      <w:b/>
      <w:bCs/>
      <w:i/>
      <w:iCs/>
      <w:color w:val="4F81BD"/>
    </w:rPr>
  </w:style>
  <w:style w:type="character" w:customStyle="1" w:styleId="176">
    <w:name w:val="Comment Subject Char"/>
    <w:qFormat/>
    <w:uiPriority w:val="0"/>
    <w:rPr>
      <w:b/>
      <w:sz w:val="24"/>
      <w:lang w:bidi="ar-SA"/>
    </w:rPr>
  </w:style>
  <w:style w:type="character" w:customStyle="1" w:styleId="177">
    <w:name w:val="Char Char"/>
    <w:qFormat/>
    <w:uiPriority w:val="0"/>
    <w:rPr>
      <w:rFonts w:ascii="Cambria" w:hAnsi="Cambria"/>
      <w:b/>
      <w:bCs/>
      <w:kern w:val="2"/>
      <w:sz w:val="32"/>
      <w:szCs w:val="32"/>
      <w:lang w:bidi="ar-SA"/>
    </w:rPr>
  </w:style>
  <w:style w:type="character" w:customStyle="1" w:styleId="178">
    <w:name w:val="正文文本 (2) + 4 pt1"/>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79">
    <w:name w:val="明显引用 Char2"/>
    <w:qFormat/>
    <w:uiPriority w:val="30"/>
    <w:rPr>
      <w:b/>
      <w:bCs/>
      <w:i/>
      <w:iCs/>
      <w:color w:val="4F81BD"/>
      <w:sz w:val="21"/>
    </w:rPr>
  </w:style>
  <w:style w:type="character" w:customStyle="1" w:styleId="180">
    <w:name w:val="正文文本缩进 2 Char1"/>
    <w:semiHidden/>
    <w:qFormat/>
    <w:uiPriority w:val="99"/>
    <w:rPr>
      <w:sz w:val="21"/>
    </w:rPr>
  </w:style>
  <w:style w:type="character" w:customStyle="1" w:styleId="181">
    <w:name w:val="明显参考1"/>
    <w:qFormat/>
    <w:uiPriority w:val="0"/>
    <w:rPr>
      <w:b/>
      <w:bCs/>
      <w:smallCaps/>
      <w:color w:val="C0504D"/>
      <w:spacing w:val="5"/>
      <w:u w:val="single"/>
    </w:rPr>
  </w:style>
  <w:style w:type="character" w:customStyle="1" w:styleId="182">
    <w:name w:val="正文文本 (30)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3">
    <w:name w:val="正文文本 (2) + 间距 -1 pt"/>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4">
    <w:name w:val="正文文本 (2) + Impact1"/>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5">
    <w:name w:val="书籍标题2"/>
    <w:qFormat/>
    <w:uiPriority w:val="33"/>
    <w:rPr>
      <w:b/>
      <w:bCs/>
      <w:smallCaps/>
      <w:spacing w:val="5"/>
    </w:rPr>
  </w:style>
  <w:style w:type="character" w:customStyle="1" w:styleId="186">
    <w:name w:val="Header Char"/>
    <w:qFormat/>
    <w:uiPriority w:val="0"/>
    <w:rPr>
      <w:rFonts w:eastAsia="宋体"/>
      <w:kern w:val="2"/>
      <w:sz w:val="18"/>
      <w:szCs w:val="18"/>
      <w:lang w:val="en-US" w:eastAsia="zh-CN" w:bidi="ar-SA"/>
    </w:rPr>
  </w:style>
  <w:style w:type="character" w:customStyle="1" w:styleId="187">
    <w:name w:val="样式 宋体 小四 加粗 黑色"/>
    <w:qFormat/>
    <w:uiPriority w:val="0"/>
    <w:rPr>
      <w:rFonts w:ascii="宋体" w:hAnsi="宋体"/>
      <w:b/>
      <w:bCs/>
      <w:color w:val="000000"/>
      <w:sz w:val="24"/>
    </w:rPr>
  </w:style>
  <w:style w:type="character" w:customStyle="1" w:styleId="188">
    <w:name w:val="明显引用 Char3"/>
    <w:qFormat/>
    <w:uiPriority w:val="99"/>
    <w:rPr>
      <w:b/>
      <w:bCs/>
      <w:i/>
      <w:iCs/>
      <w:color w:val="4F81BD"/>
      <w:kern w:val="2"/>
      <w:sz w:val="21"/>
      <w:szCs w:val="24"/>
    </w:rPr>
  </w:style>
  <w:style w:type="character" w:customStyle="1" w:styleId="189">
    <w:name w:val="正文文本 (15)_"/>
    <w:link w:val="190"/>
    <w:qFormat/>
    <w:locked/>
    <w:uiPriority w:val="0"/>
    <w:rPr>
      <w:rFonts w:ascii="MingLiU" w:hAnsi="MingLiU" w:eastAsia="MingLiU"/>
      <w:b/>
      <w:bCs/>
      <w:sz w:val="28"/>
      <w:szCs w:val="28"/>
      <w:shd w:val="clear" w:color="auto" w:fill="FFFFFF"/>
    </w:rPr>
  </w:style>
  <w:style w:type="paragraph" w:customStyle="1" w:styleId="190">
    <w:name w:val="正文文本 (15)"/>
    <w:basedOn w:val="1"/>
    <w:link w:val="189"/>
    <w:qFormat/>
    <w:uiPriority w:val="0"/>
    <w:pPr>
      <w:shd w:val="clear" w:color="auto" w:fill="FFFFFF"/>
      <w:spacing w:before="120" w:after="420" w:line="240" w:lineRule="atLeast"/>
      <w:jc w:val="distribute"/>
    </w:pPr>
    <w:rPr>
      <w:rFonts w:ascii="MingLiU" w:hAnsi="MingLiU" w:eastAsia="MingLiU"/>
      <w:b/>
      <w:bCs/>
      <w:sz w:val="28"/>
      <w:szCs w:val="28"/>
    </w:rPr>
  </w:style>
  <w:style w:type="character" w:customStyle="1" w:styleId="191">
    <w:name w:val="正文文本 (19)_"/>
    <w:link w:val="192"/>
    <w:qFormat/>
    <w:uiPriority w:val="0"/>
    <w:rPr>
      <w:rFonts w:ascii="MingLiU" w:hAnsi="MingLiU" w:eastAsia="MingLiU" w:cs="MingLiU"/>
      <w:b/>
      <w:bCs/>
      <w:spacing w:val="10"/>
      <w:sz w:val="22"/>
      <w:shd w:val="clear" w:color="auto" w:fill="FFFFFF"/>
    </w:rPr>
  </w:style>
  <w:style w:type="paragraph" w:customStyle="1" w:styleId="192">
    <w:name w:val="正文文本 (19)"/>
    <w:basedOn w:val="1"/>
    <w:link w:val="191"/>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3">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4">
    <w:name w:val="小标题无样式 Char"/>
    <w:link w:val="195"/>
    <w:qFormat/>
    <w:uiPriority w:val="0"/>
    <w:rPr>
      <w:rFonts w:ascii="宋体" w:hAnsi="宋体"/>
      <w:b/>
      <w:sz w:val="24"/>
      <w:szCs w:val="21"/>
    </w:rPr>
  </w:style>
  <w:style w:type="paragraph" w:customStyle="1" w:styleId="195">
    <w:name w:val="小标题无样式"/>
    <w:basedOn w:val="114"/>
    <w:link w:val="194"/>
    <w:qFormat/>
    <w:uiPriority w:val="0"/>
    <w:pPr>
      <w:ind w:firstLine="0" w:firstLineChars="0"/>
    </w:pPr>
    <w:rPr>
      <w:b/>
      <w:kern w:val="0"/>
      <w:sz w:val="24"/>
    </w:rPr>
  </w:style>
  <w:style w:type="character" w:customStyle="1" w:styleId="196">
    <w:name w:val="样式 Char Char"/>
    <w:qFormat/>
    <w:uiPriority w:val="0"/>
    <w:rPr>
      <w:rFonts w:ascii="宋体" w:hAnsi="宋体" w:eastAsia="宋体" w:cs="宋体"/>
      <w:sz w:val="24"/>
      <w:szCs w:val="24"/>
      <w:lang w:val="en-US" w:eastAsia="zh-CN" w:bidi="ar-SA"/>
    </w:rPr>
  </w:style>
  <w:style w:type="character" w:customStyle="1" w:styleId="197">
    <w:name w:val="Char Char2"/>
    <w:qFormat/>
    <w:uiPriority w:val="0"/>
    <w:rPr>
      <w:rFonts w:ascii="宋体" w:hAnsi="Courier New" w:eastAsia="宋体"/>
      <w:kern w:val="2"/>
      <w:sz w:val="21"/>
      <w:szCs w:val="24"/>
      <w:lang w:val="en-US" w:eastAsia="zh-CN" w:bidi="ar-SA"/>
    </w:rPr>
  </w:style>
  <w:style w:type="character" w:customStyle="1" w:styleId="198">
    <w:name w:val="明显参考2"/>
    <w:qFormat/>
    <w:uiPriority w:val="32"/>
    <w:rPr>
      <w:b/>
      <w:bCs/>
      <w:smallCaps/>
      <w:color w:val="C0504D"/>
      <w:spacing w:val="5"/>
      <w:u w:val="single"/>
    </w:rPr>
  </w:style>
  <w:style w:type="character" w:customStyle="1" w:styleId="199">
    <w:name w:val="para1"/>
    <w:qFormat/>
    <w:uiPriority w:val="0"/>
    <w:rPr>
      <w:rFonts w:hint="default" w:ascii="Arial" w:hAnsi="Arial" w:cs="Arial"/>
      <w:sz w:val="18"/>
      <w:szCs w:val="18"/>
    </w:rPr>
  </w:style>
  <w:style w:type="character" w:customStyle="1" w:styleId="200">
    <w:name w:val="明显强调2"/>
    <w:qFormat/>
    <w:uiPriority w:val="21"/>
    <w:rPr>
      <w:b/>
      <w:bCs/>
      <w:i/>
      <w:iCs/>
      <w:color w:val="4F81BD"/>
    </w:rPr>
  </w:style>
  <w:style w:type="character" w:customStyle="1" w:styleId="201">
    <w:name w:val="标题 #7 + 间距 0 pt"/>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2">
    <w:name w:val="明显参考3"/>
    <w:qFormat/>
    <w:uiPriority w:val="0"/>
    <w:rPr>
      <w:b/>
      <w:bCs/>
      <w:smallCaps/>
      <w:color w:val="C0504D"/>
      <w:spacing w:val="5"/>
      <w:u w:val="single"/>
    </w:rPr>
  </w:style>
  <w:style w:type="character" w:customStyle="1" w:styleId="203">
    <w:name w:val="正文文本 (14)_"/>
    <w:link w:val="204"/>
    <w:qFormat/>
    <w:uiPriority w:val="0"/>
    <w:rPr>
      <w:rFonts w:ascii="MingLiU" w:hAnsi="MingLiU" w:eastAsia="MingLiU" w:cs="MingLiU"/>
      <w:sz w:val="18"/>
      <w:szCs w:val="18"/>
      <w:shd w:val="clear" w:color="auto" w:fill="FFFFFF"/>
    </w:rPr>
  </w:style>
  <w:style w:type="paragraph" w:customStyle="1" w:styleId="204">
    <w:name w:val="正文文本 (14)"/>
    <w:basedOn w:val="1"/>
    <w:link w:val="203"/>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5">
    <w:name w:val="正文文本 (31)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6">
    <w:name w:val="明显强调3"/>
    <w:qFormat/>
    <w:uiPriority w:val="0"/>
    <w:rPr>
      <w:b/>
      <w:bCs/>
      <w:i/>
      <w:iCs/>
      <w:color w:val="4F81BD"/>
    </w:rPr>
  </w:style>
  <w:style w:type="character" w:customStyle="1" w:styleId="207">
    <w:name w:val="页眉或页脚_"/>
    <w:link w:val="208"/>
    <w:qFormat/>
    <w:locked/>
    <w:uiPriority w:val="0"/>
    <w:rPr>
      <w:rFonts w:ascii="MingLiU" w:hAnsi="MingLiU" w:eastAsia="MingLiU"/>
      <w:spacing w:val="10"/>
      <w:shd w:val="clear" w:color="auto" w:fill="FFFFFF"/>
    </w:rPr>
  </w:style>
  <w:style w:type="paragraph" w:customStyle="1" w:styleId="208">
    <w:name w:val="页眉或页脚1"/>
    <w:basedOn w:val="1"/>
    <w:link w:val="207"/>
    <w:qFormat/>
    <w:uiPriority w:val="0"/>
    <w:pPr>
      <w:shd w:val="clear" w:color="auto" w:fill="FFFFFF"/>
      <w:spacing w:line="240" w:lineRule="atLeast"/>
      <w:jc w:val="left"/>
    </w:pPr>
    <w:rPr>
      <w:rFonts w:ascii="MingLiU" w:hAnsi="MingLiU" w:eastAsia="MingLiU"/>
      <w:spacing w:val="10"/>
      <w:szCs w:val="22"/>
    </w:rPr>
  </w:style>
  <w:style w:type="character" w:customStyle="1" w:styleId="209">
    <w:name w:val="书籍标题1"/>
    <w:qFormat/>
    <w:uiPriority w:val="0"/>
    <w:rPr>
      <w:b/>
      <w:bCs/>
      <w:smallCaps/>
      <w:spacing w:val="5"/>
    </w:rPr>
  </w:style>
  <w:style w:type="character" w:customStyle="1" w:styleId="210">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1">
    <w:name w:val="标题 3 Char Char"/>
    <w:qFormat/>
    <w:uiPriority w:val="0"/>
    <w:rPr>
      <w:rFonts w:eastAsia="宋体"/>
      <w:b/>
      <w:bCs/>
      <w:kern w:val="2"/>
      <w:sz w:val="32"/>
      <w:szCs w:val="32"/>
      <w:lang w:val="en-US" w:eastAsia="zh-CN" w:bidi="ar-SA"/>
    </w:rPr>
  </w:style>
  <w:style w:type="character" w:customStyle="1" w:styleId="212">
    <w:name w:val="en"/>
    <w:basedOn w:val="55"/>
    <w:qFormat/>
    <w:uiPriority w:val="0"/>
  </w:style>
  <w:style w:type="character" w:customStyle="1" w:styleId="213">
    <w:name w:val="Char Char7"/>
    <w:qFormat/>
    <w:uiPriority w:val="0"/>
    <w:rPr>
      <w:rFonts w:eastAsia="宋体"/>
      <w:b/>
      <w:bCs/>
      <w:kern w:val="2"/>
      <w:sz w:val="24"/>
      <w:szCs w:val="32"/>
      <w:lang w:val="en-US" w:eastAsia="zh-CN" w:bidi="ar-SA"/>
    </w:rPr>
  </w:style>
  <w:style w:type="character" w:customStyle="1" w:styleId="214">
    <w:name w:val="Char Char23"/>
    <w:qFormat/>
    <w:uiPriority w:val="0"/>
    <w:rPr>
      <w:rFonts w:eastAsia="宋体"/>
      <w:b/>
      <w:bCs/>
      <w:kern w:val="44"/>
      <w:sz w:val="32"/>
      <w:szCs w:val="44"/>
      <w:lang w:val="en-US" w:eastAsia="zh-CN" w:bidi="ar-SA"/>
    </w:rPr>
  </w:style>
  <w:style w:type="character" w:customStyle="1" w:styleId="215">
    <w:name w:val="批注文字 Char2"/>
    <w:qFormat/>
    <w:uiPriority w:val="0"/>
    <w:rPr>
      <w:kern w:val="2"/>
      <w:sz w:val="21"/>
      <w:szCs w:val="24"/>
    </w:rPr>
  </w:style>
  <w:style w:type="character" w:customStyle="1" w:styleId="216">
    <w:name w:val="标题 2 Char"/>
    <w:qFormat/>
    <w:uiPriority w:val="0"/>
    <w:rPr>
      <w:rFonts w:ascii="Cambria" w:hAnsi="Cambria" w:eastAsia="宋体" w:cs="Times New Roman"/>
      <w:b/>
      <w:bCs/>
      <w:sz w:val="32"/>
      <w:szCs w:val="32"/>
    </w:rPr>
  </w:style>
  <w:style w:type="character" w:customStyle="1" w:styleId="217">
    <w:name w:val="标题 #7 (5)_"/>
    <w:link w:val="218"/>
    <w:qFormat/>
    <w:locked/>
    <w:uiPriority w:val="0"/>
    <w:rPr>
      <w:rFonts w:ascii="MingLiU" w:hAnsi="MingLiU" w:eastAsia="MingLiU"/>
      <w:spacing w:val="50"/>
      <w:sz w:val="30"/>
      <w:szCs w:val="30"/>
      <w:shd w:val="clear" w:color="auto" w:fill="FFFFFF"/>
    </w:rPr>
  </w:style>
  <w:style w:type="paragraph" w:customStyle="1" w:styleId="218">
    <w:name w:val="标题 #7 (5)"/>
    <w:basedOn w:val="1"/>
    <w:link w:val="217"/>
    <w:qFormat/>
    <w:uiPriority w:val="0"/>
    <w:pPr>
      <w:shd w:val="clear" w:color="auto" w:fill="FFFFFF"/>
      <w:spacing w:line="559" w:lineRule="exact"/>
      <w:jc w:val="left"/>
      <w:outlineLvl w:val="6"/>
    </w:pPr>
    <w:rPr>
      <w:rFonts w:ascii="MingLiU" w:hAnsi="MingLiU" w:eastAsia="MingLiU"/>
      <w:spacing w:val="50"/>
      <w:sz w:val="30"/>
      <w:szCs w:val="30"/>
    </w:rPr>
  </w:style>
  <w:style w:type="character" w:customStyle="1" w:styleId="219">
    <w:name w:val="正文文本 (2) + 间距 3 pt"/>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0">
    <w:name w:val="页眉或页脚 + Impact1"/>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1">
    <w:name w:val="日期 Char1"/>
    <w:qFormat/>
    <w:uiPriority w:val="0"/>
    <w:rPr>
      <w:rFonts w:ascii="Times New Roman" w:hAnsi="Times New Roman" w:eastAsia="宋体" w:cs="Times New Roman"/>
      <w:szCs w:val="24"/>
    </w:rPr>
  </w:style>
  <w:style w:type="character" w:customStyle="1" w:styleId="222">
    <w:name w:val="Char Char5"/>
    <w:qFormat/>
    <w:uiPriority w:val="0"/>
    <w:rPr>
      <w:rFonts w:eastAsia="宋体"/>
      <w:b/>
      <w:bCs/>
      <w:kern w:val="2"/>
      <w:sz w:val="28"/>
      <w:szCs w:val="28"/>
      <w:lang w:val="en-US" w:eastAsia="zh-CN" w:bidi="ar-SA"/>
    </w:rPr>
  </w:style>
  <w:style w:type="character" w:customStyle="1" w:styleId="223">
    <w:name w:val="标题 Char3"/>
    <w:qFormat/>
    <w:uiPriority w:val="0"/>
    <w:rPr>
      <w:rFonts w:ascii="Cambria" w:hAnsi="Cambria" w:cs="Times New Roman"/>
      <w:b/>
      <w:bCs/>
      <w:kern w:val="2"/>
      <w:sz w:val="32"/>
      <w:szCs w:val="32"/>
    </w:rPr>
  </w:style>
  <w:style w:type="character" w:customStyle="1" w:styleId="224">
    <w:name w:val="正文文本 Char2"/>
    <w:qFormat/>
    <w:uiPriority w:val="0"/>
    <w:rPr>
      <w:kern w:val="2"/>
      <w:sz w:val="21"/>
      <w:szCs w:val="24"/>
    </w:rPr>
  </w:style>
  <w:style w:type="character" w:customStyle="1" w:styleId="225">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6">
    <w:name w:val="页眉或页脚 + 间距 0 pt"/>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7">
    <w:name w:val="Char Char4"/>
    <w:qFormat/>
    <w:uiPriority w:val="0"/>
    <w:rPr>
      <w:b/>
      <w:bCs/>
      <w:kern w:val="2"/>
      <w:sz w:val="21"/>
      <w:szCs w:val="24"/>
      <w:lang w:bidi="ar-SA"/>
    </w:rPr>
  </w:style>
  <w:style w:type="character" w:customStyle="1" w:styleId="228">
    <w:name w:val="正文文本 (2) + 10 pt14"/>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29">
    <w:name w:val="Char Char19"/>
    <w:qFormat/>
    <w:uiPriority w:val="0"/>
    <w:rPr>
      <w:rFonts w:ascii="Arial" w:hAnsi="Arial" w:eastAsia="宋体" w:cs="Times New Roman"/>
      <w:b/>
      <w:bCs/>
      <w:szCs w:val="28"/>
    </w:rPr>
  </w:style>
  <w:style w:type="character" w:customStyle="1" w:styleId="230">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1">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2">
    <w:name w:val="批注框文本 Char1"/>
    <w:qFormat/>
    <w:uiPriority w:val="0"/>
    <w:rPr>
      <w:sz w:val="18"/>
      <w:szCs w:val="18"/>
    </w:rPr>
  </w:style>
  <w:style w:type="character" w:customStyle="1" w:styleId="233">
    <w:name w:val="引用 Char2"/>
    <w:qFormat/>
    <w:uiPriority w:val="29"/>
    <w:rPr>
      <w:i/>
      <w:iCs/>
      <w:color w:val="000000"/>
      <w:sz w:val="21"/>
    </w:rPr>
  </w:style>
  <w:style w:type="character" w:customStyle="1" w:styleId="234">
    <w:name w:val="标题 Char1"/>
    <w:qFormat/>
    <w:uiPriority w:val="0"/>
    <w:rPr>
      <w:rFonts w:ascii="Cambria" w:hAnsi="Cambria" w:eastAsia="宋体" w:cs="Times New Roman"/>
      <w:b/>
      <w:bCs/>
      <w:sz w:val="32"/>
      <w:szCs w:val="32"/>
    </w:rPr>
  </w:style>
  <w:style w:type="character" w:customStyle="1" w:styleId="235">
    <w:name w:val="引用 Char3"/>
    <w:qFormat/>
    <w:uiPriority w:val="99"/>
    <w:rPr>
      <w:i/>
      <w:iCs/>
      <w:color w:val="000000"/>
      <w:kern w:val="2"/>
      <w:sz w:val="21"/>
      <w:szCs w:val="24"/>
    </w:rPr>
  </w:style>
  <w:style w:type="character" w:customStyle="1" w:styleId="236">
    <w:name w:val="正文文本 Char1"/>
    <w:qFormat/>
    <w:uiPriority w:val="0"/>
    <w:rPr>
      <w:sz w:val="21"/>
    </w:rPr>
  </w:style>
  <w:style w:type="character" w:customStyle="1" w:styleId="237">
    <w:name w:val="文档结构图 Char1"/>
    <w:qFormat/>
    <w:uiPriority w:val="0"/>
    <w:rPr>
      <w:rFonts w:ascii="宋体"/>
      <w:sz w:val="18"/>
      <w:szCs w:val="18"/>
    </w:rPr>
  </w:style>
  <w:style w:type="character" w:customStyle="1" w:styleId="238">
    <w:name w:val="Heading 3 Char1"/>
    <w:qFormat/>
    <w:uiPriority w:val="0"/>
    <w:rPr>
      <w:rFonts w:eastAsia="宋体"/>
      <w:b/>
      <w:bCs/>
      <w:kern w:val="2"/>
      <w:sz w:val="24"/>
      <w:szCs w:val="32"/>
      <w:lang w:val="en-US" w:eastAsia="zh-CN" w:bidi="ar-SA"/>
    </w:rPr>
  </w:style>
  <w:style w:type="character" w:customStyle="1" w:styleId="239">
    <w:name w:val="Footnote Text Char"/>
    <w:qFormat/>
    <w:uiPriority w:val="0"/>
    <w:rPr>
      <w:rFonts w:eastAsia="宋体"/>
      <w:sz w:val="18"/>
      <w:lang w:val="en-US" w:eastAsia="zh-CN" w:bidi="ar-SA"/>
    </w:rPr>
  </w:style>
  <w:style w:type="character" w:customStyle="1" w:styleId="240">
    <w:name w:val="副标题 Char1"/>
    <w:qFormat/>
    <w:uiPriority w:val="11"/>
    <w:rPr>
      <w:rFonts w:ascii="Cambria" w:hAnsi="Cambria" w:eastAsia="宋体" w:cs="Times New Roman"/>
      <w:b/>
      <w:bCs/>
      <w:kern w:val="28"/>
      <w:sz w:val="32"/>
      <w:szCs w:val="32"/>
    </w:rPr>
  </w:style>
  <w:style w:type="character" w:customStyle="1" w:styleId="241">
    <w:name w:val="明显强调31"/>
    <w:qFormat/>
    <w:uiPriority w:val="0"/>
    <w:rPr>
      <w:b/>
      <w:bCs/>
      <w:i/>
      <w:iCs/>
      <w:color w:val="4F81BD"/>
    </w:rPr>
  </w:style>
  <w:style w:type="character" w:customStyle="1" w:styleId="242">
    <w:name w:val="style1"/>
    <w:basedOn w:val="55"/>
    <w:qFormat/>
    <w:uiPriority w:val="0"/>
  </w:style>
  <w:style w:type="character" w:customStyle="1" w:styleId="243">
    <w:name w:val="HTML 预设格式 Char1"/>
    <w:qFormat/>
    <w:uiPriority w:val="99"/>
    <w:rPr>
      <w:rFonts w:ascii="Courier New" w:hAnsi="Courier New" w:cs="Courier New"/>
      <w:kern w:val="2"/>
    </w:rPr>
  </w:style>
  <w:style w:type="character" w:customStyle="1" w:styleId="244">
    <w:name w:val="正文呀2 Char"/>
    <w:link w:val="245"/>
    <w:qFormat/>
    <w:uiPriority w:val="0"/>
    <w:rPr>
      <w:kern w:val="2"/>
      <w:sz w:val="21"/>
      <w:szCs w:val="21"/>
    </w:rPr>
  </w:style>
  <w:style w:type="paragraph" w:customStyle="1" w:styleId="245">
    <w:name w:val="正文呀2"/>
    <w:basedOn w:val="114"/>
    <w:link w:val="244"/>
    <w:qFormat/>
    <w:uiPriority w:val="0"/>
    <w:rPr>
      <w:rFonts w:ascii="Times New Roman" w:hAnsi="Times New Roman"/>
    </w:rPr>
  </w:style>
  <w:style w:type="character" w:customStyle="1" w:styleId="246">
    <w:name w:val="普通文字 Char Char5"/>
    <w:qFormat/>
    <w:uiPriority w:val="0"/>
    <w:rPr>
      <w:rFonts w:ascii="宋体" w:hAnsi="Courier New" w:eastAsia="宋体"/>
      <w:szCs w:val="21"/>
      <w:lang w:bidi="ar-SA"/>
    </w:rPr>
  </w:style>
  <w:style w:type="character" w:customStyle="1" w:styleId="247">
    <w:name w:val="Footer Char"/>
    <w:qFormat/>
    <w:uiPriority w:val="0"/>
    <w:rPr>
      <w:rFonts w:eastAsia="宋体"/>
      <w:kern w:val="2"/>
      <w:sz w:val="18"/>
      <w:szCs w:val="18"/>
      <w:lang w:val="en-US" w:eastAsia="zh-CN" w:bidi="ar-SA"/>
    </w:rPr>
  </w:style>
  <w:style w:type="character" w:customStyle="1" w:styleId="248">
    <w:name w:val="表格标题 (4)_"/>
    <w:link w:val="249"/>
    <w:qFormat/>
    <w:locked/>
    <w:uiPriority w:val="0"/>
    <w:rPr>
      <w:rFonts w:ascii="MingLiU" w:hAnsi="MingLiU" w:eastAsia="MingLiU"/>
      <w:b/>
      <w:bCs/>
      <w:sz w:val="22"/>
      <w:shd w:val="clear" w:color="auto" w:fill="FFFFFF"/>
    </w:rPr>
  </w:style>
  <w:style w:type="paragraph" w:customStyle="1" w:styleId="249">
    <w:name w:val="表格标题 (4)"/>
    <w:basedOn w:val="1"/>
    <w:link w:val="248"/>
    <w:qFormat/>
    <w:uiPriority w:val="0"/>
    <w:pPr>
      <w:shd w:val="clear" w:color="auto" w:fill="FFFFFF"/>
      <w:spacing w:line="240" w:lineRule="atLeast"/>
      <w:jc w:val="left"/>
    </w:pPr>
    <w:rPr>
      <w:rFonts w:ascii="MingLiU" w:hAnsi="MingLiU" w:eastAsia="MingLiU"/>
      <w:b/>
      <w:bCs/>
      <w:sz w:val="22"/>
      <w:szCs w:val="22"/>
    </w:rPr>
  </w:style>
  <w:style w:type="character" w:customStyle="1" w:styleId="250">
    <w:name w:val="批注文字 Char Char"/>
    <w:qFormat/>
    <w:uiPriority w:val="0"/>
    <w:rPr>
      <w:rFonts w:ascii="宋体" w:hAnsi="Times New Roman" w:eastAsia="宋体" w:cs="Times New Roman"/>
      <w:sz w:val="28"/>
      <w:szCs w:val="20"/>
    </w:rPr>
  </w:style>
  <w:style w:type="character" w:customStyle="1" w:styleId="251">
    <w:name w:val="页眉或页脚 + 间距 1 pt1"/>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2">
    <w:name w:val="标题5 Char Char"/>
    <w:link w:val="253"/>
    <w:qFormat/>
    <w:uiPriority w:val="0"/>
    <w:rPr>
      <w:rFonts w:ascii="Arial" w:hAnsi="Arial"/>
      <w:b/>
      <w:bCs/>
      <w:sz w:val="24"/>
      <w:szCs w:val="32"/>
    </w:rPr>
  </w:style>
  <w:style w:type="paragraph" w:customStyle="1" w:styleId="253">
    <w:name w:val="标题5"/>
    <w:basedOn w:val="4"/>
    <w:link w:val="252"/>
    <w:qFormat/>
    <w:uiPriority w:val="0"/>
    <w:pPr>
      <w:widowControl w:val="0"/>
      <w:spacing w:line="413" w:lineRule="auto"/>
    </w:pPr>
    <w:rPr>
      <w:rFonts w:ascii="Arial" w:hAnsi="Arial"/>
      <w:kern w:val="0"/>
    </w:rPr>
  </w:style>
  <w:style w:type="character" w:customStyle="1" w:styleId="254">
    <w:name w:val="标题 #8 (3)_"/>
    <w:link w:val="255"/>
    <w:qFormat/>
    <w:uiPriority w:val="0"/>
    <w:rPr>
      <w:rFonts w:ascii="MingLiU" w:hAnsi="MingLiU" w:eastAsia="MingLiU" w:cs="MingLiU"/>
      <w:shd w:val="clear" w:color="auto" w:fill="FFFFFF"/>
    </w:rPr>
  </w:style>
  <w:style w:type="paragraph" w:customStyle="1" w:styleId="255">
    <w:name w:val="标题 #8 (3)"/>
    <w:basedOn w:val="1"/>
    <w:link w:val="254"/>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6">
    <w:name w:val="脚注文本 Char"/>
    <w:qFormat/>
    <w:uiPriority w:val="0"/>
    <w:rPr>
      <w:sz w:val="18"/>
      <w:szCs w:val="18"/>
    </w:rPr>
  </w:style>
  <w:style w:type="character" w:customStyle="1" w:styleId="257">
    <w:name w:val="批注主题 Char1"/>
    <w:qFormat/>
    <w:uiPriority w:val="0"/>
    <w:rPr>
      <w:b/>
      <w:bCs/>
      <w:kern w:val="2"/>
      <w:sz w:val="21"/>
      <w:szCs w:val="24"/>
    </w:rPr>
  </w:style>
  <w:style w:type="character" w:customStyle="1" w:styleId="258">
    <w:name w:val="Char Char8"/>
    <w:qFormat/>
    <w:uiPriority w:val="0"/>
    <w:rPr>
      <w:rFonts w:eastAsia="宋体"/>
      <w:b/>
      <w:bCs/>
      <w:kern w:val="44"/>
      <w:sz w:val="32"/>
      <w:szCs w:val="44"/>
      <w:lang w:val="en-US" w:eastAsia="zh-CN" w:bidi="ar-SA"/>
    </w:rPr>
  </w:style>
  <w:style w:type="character" w:customStyle="1" w:styleId="259">
    <w:name w:val="Char Char Char"/>
    <w:qFormat/>
    <w:uiPriority w:val="0"/>
    <w:rPr>
      <w:rFonts w:eastAsia="宋体"/>
      <w:kern w:val="2"/>
      <w:sz w:val="18"/>
      <w:szCs w:val="18"/>
      <w:lang w:val="en-US" w:eastAsia="zh-CN" w:bidi="ar-SA"/>
    </w:rPr>
  </w:style>
  <w:style w:type="character" w:customStyle="1" w:styleId="260">
    <w:name w:val="副标题 Char2"/>
    <w:qFormat/>
    <w:uiPriority w:val="0"/>
    <w:rPr>
      <w:rFonts w:ascii="Cambria" w:hAnsi="Cambria" w:cs="Times New Roman"/>
      <w:b/>
      <w:bCs/>
      <w:kern w:val="28"/>
      <w:sz w:val="32"/>
      <w:szCs w:val="32"/>
    </w:rPr>
  </w:style>
  <w:style w:type="character" w:customStyle="1" w:styleId="261">
    <w:name w:val="062"/>
    <w:qFormat/>
    <w:uiPriority w:val="0"/>
    <w:rPr>
      <w:rFonts w:ascii="宋体" w:hAnsi="宋体"/>
      <w:b/>
      <w:bCs/>
      <w:sz w:val="32"/>
    </w:rPr>
  </w:style>
  <w:style w:type="character" w:customStyle="1" w:styleId="262">
    <w:name w:val="Char Char22"/>
    <w:qFormat/>
    <w:uiPriority w:val="0"/>
    <w:rPr>
      <w:rFonts w:ascii="Times New Roman" w:hAnsi="Times New Roman" w:eastAsia="宋体" w:cs="Times New Roman"/>
      <w:b/>
      <w:bCs/>
      <w:kern w:val="44"/>
      <w:sz w:val="32"/>
      <w:szCs w:val="44"/>
    </w:rPr>
  </w:style>
  <w:style w:type="character" w:customStyle="1" w:styleId="263">
    <w:name w:val="书籍标题3"/>
    <w:qFormat/>
    <w:uiPriority w:val="0"/>
    <w:rPr>
      <w:b/>
      <w:bCs/>
      <w:smallCaps/>
      <w:spacing w:val="5"/>
    </w:rPr>
  </w:style>
  <w:style w:type="character" w:customStyle="1" w:styleId="264">
    <w:name w:val="标题 3 Char1"/>
    <w:qFormat/>
    <w:uiPriority w:val="0"/>
    <w:rPr>
      <w:b/>
      <w:bCs/>
      <w:kern w:val="2"/>
      <w:sz w:val="32"/>
      <w:szCs w:val="32"/>
    </w:rPr>
  </w:style>
  <w:style w:type="character" w:customStyle="1" w:styleId="265">
    <w:name w:val="书籍标题31"/>
    <w:qFormat/>
    <w:uiPriority w:val="0"/>
    <w:rPr>
      <w:b/>
      <w:bCs/>
      <w:smallCaps/>
      <w:spacing w:val="5"/>
    </w:rPr>
  </w:style>
  <w:style w:type="character" w:customStyle="1" w:styleId="266">
    <w:name w:val="Char Char91"/>
    <w:qFormat/>
    <w:uiPriority w:val="0"/>
    <w:rPr>
      <w:rFonts w:eastAsia="宋体"/>
      <w:b/>
      <w:bCs/>
      <w:kern w:val="44"/>
      <w:sz w:val="32"/>
      <w:szCs w:val="44"/>
      <w:lang w:val="en-US" w:eastAsia="zh-CN" w:bidi="ar-SA"/>
    </w:rPr>
  </w:style>
  <w:style w:type="character" w:customStyle="1" w:styleId="267">
    <w:name w:val="Body Text Indent 2 Char"/>
    <w:qFormat/>
    <w:uiPriority w:val="0"/>
    <w:rPr>
      <w:rFonts w:eastAsia="宋体"/>
      <w:kern w:val="2"/>
      <w:sz w:val="21"/>
      <w:szCs w:val="24"/>
      <w:lang w:val="en-US" w:eastAsia="zh-CN" w:bidi="ar-SA"/>
    </w:rPr>
  </w:style>
  <w:style w:type="character" w:customStyle="1" w:styleId="268">
    <w:name w:val="明显参考31"/>
    <w:qFormat/>
    <w:uiPriority w:val="0"/>
    <w:rPr>
      <w:b/>
      <w:bCs/>
      <w:smallCaps/>
      <w:color w:val="C0504D"/>
      <w:spacing w:val="5"/>
      <w:u w:val="single"/>
    </w:rPr>
  </w:style>
  <w:style w:type="character" w:customStyle="1" w:styleId="269">
    <w:name w:val="标题 #7 (4) + 间距 7 pt"/>
    <w:qFormat/>
    <w:uiPriority w:val="0"/>
    <w:rPr>
      <w:rFonts w:ascii="MingLiU" w:hAnsi="MingLiU" w:eastAsia="MingLiU"/>
      <w:color w:val="000000"/>
      <w:spacing w:val="140"/>
      <w:w w:val="100"/>
      <w:position w:val="0"/>
      <w:sz w:val="26"/>
      <w:szCs w:val="26"/>
      <w:lang w:val="zh-CN" w:eastAsia="zh-CN" w:bidi="ar-SA"/>
    </w:rPr>
  </w:style>
  <w:style w:type="character" w:customStyle="1" w:styleId="270">
    <w:name w:val="不明显参考2"/>
    <w:qFormat/>
    <w:uiPriority w:val="31"/>
    <w:rPr>
      <w:smallCaps/>
      <w:color w:val="C0504D"/>
      <w:u w:val="single"/>
    </w:rPr>
  </w:style>
  <w:style w:type="character" w:customStyle="1" w:styleId="271">
    <w:name w:val="NormalCharacter"/>
    <w:semiHidden/>
    <w:qFormat/>
    <w:uiPriority w:val="0"/>
  </w:style>
  <w:style w:type="character" w:customStyle="1" w:styleId="272">
    <w:name w:val="Char Char9"/>
    <w:qFormat/>
    <w:uiPriority w:val="0"/>
    <w:rPr>
      <w:rFonts w:eastAsia="宋体"/>
      <w:b/>
      <w:bCs/>
      <w:kern w:val="44"/>
      <w:sz w:val="32"/>
      <w:szCs w:val="44"/>
      <w:lang w:val="en-US" w:eastAsia="zh-CN" w:bidi="ar-SA"/>
    </w:rPr>
  </w:style>
  <w:style w:type="character" w:customStyle="1" w:styleId="273">
    <w:name w:val="样式 Char"/>
    <w:qFormat/>
    <w:uiPriority w:val="0"/>
    <w:rPr>
      <w:rFonts w:ascii="宋体" w:hAnsi="宋体" w:eastAsia="宋体" w:cs="宋体"/>
      <w:sz w:val="24"/>
      <w:szCs w:val="24"/>
      <w:lang w:val="en-US" w:eastAsia="zh-CN" w:bidi="ar-SA"/>
    </w:rPr>
  </w:style>
  <w:style w:type="character" w:customStyle="1" w:styleId="274">
    <w:name w:val="批注文字 Char1"/>
    <w:qFormat/>
    <w:uiPriority w:val="0"/>
    <w:rPr>
      <w:rFonts w:ascii="Times New Roman" w:hAnsi="Times New Roman" w:eastAsia="宋体" w:cs="Times New Roman"/>
      <w:szCs w:val="24"/>
    </w:rPr>
  </w:style>
  <w:style w:type="character" w:customStyle="1" w:styleId="275">
    <w:name w:val="Heading 4 Char"/>
    <w:qFormat/>
    <w:uiPriority w:val="0"/>
    <w:rPr>
      <w:rFonts w:ascii="Arial" w:hAnsi="Arial" w:eastAsia="宋体"/>
      <w:b/>
      <w:bCs/>
      <w:kern w:val="2"/>
      <w:sz w:val="21"/>
      <w:szCs w:val="28"/>
      <w:lang w:val="en-US" w:eastAsia="zh-CN" w:bidi="ar-SA"/>
    </w:rPr>
  </w:style>
  <w:style w:type="character" w:customStyle="1" w:styleId="276">
    <w:name w:val="Heading 5 Char"/>
    <w:qFormat/>
    <w:uiPriority w:val="0"/>
    <w:rPr>
      <w:rFonts w:eastAsia="宋体"/>
      <w:b/>
      <w:bCs/>
      <w:kern w:val="2"/>
      <w:sz w:val="28"/>
      <w:szCs w:val="28"/>
      <w:lang w:val="en-US" w:eastAsia="zh-CN" w:bidi="ar-SA"/>
    </w:rPr>
  </w:style>
  <w:style w:type="character" w:customStyle="1" w:styleId="277">
    <w:name w:val="font161"/>
    <w:qFormat/>
    <w:uiPriority w:val="0"/>
    <w:rPr>
      <w:rFonts w:ascii="Arial" w:hAnsi="Arial" w:eastAsia="黑体"/>
      <w:b/>
      <w:bCs/>
      <w:kern w:val="2"/>
      <w:sz w:val="32"/>
      <w:szCs w:val="32"/>
      <w:lang w:val="en-US" w:eastAsia="zh-CN" w:bidi="ar-SA"/>
    </w:rPr>
  </w:style>
  <w:style w:type="character" w:customStyle="1" w:styleId="278">
    <w:name w:val="不明显强调11"/>
    <w:qFormat/>
    <w:uiPriority w:val="19"/>
    <w:rPr>
      <w:i/>
      <w:iCs/>
      <w:color w:val="808080"/>
    </w:rPr>
  </w:style>
  <w:style w:type="character" w:customStyle="1" w:styleId="279">
    <w:name w:val="样式 4 + 四号 Char Char"/>
    <w:link w:val="280"/>
    <w:qFormat/>
    <w:uiPriority w:val="0"/>
    <w:rPr>
      <w:rFonts w:ascii="Cambria" w:hAnsi="Cambria" w:eastAsia="宋体" w:cs="Times New Roman"/>
      <w:b/>
      <w:bCs/>
      <w:sz w:val="28"/>
      <w:szCs w:val="28"/>
    </w:rPr>
  </w:style>
  <w:style w:type="paragraph" w:customStyle="1" w:styleId="280">
    <w:name w:val="样式 4 + 四号"/>
    <w:basedOn w:val="104"/>
    <w:next w:val="5"/>
    <w:link w:val="279"/>
    <w:qFormat/>
    <w:uiPriority w:val="0"/>
    <w:rPr>
      <w:sz w:val="28"/>
    </w:rPr>
  </w:style>
  <w:style w:type="character" w:customStyle="1" w:styleId="281">
    <w:name w:val="标题 #7 (4)_"/>
    <w:link w:val="282"/>
    <w:qFormat/>
    <w:locked/>
    <w:uiPriority w:val="0"/>
    <w:rPr>
      <w:rFonts w:ascii="MingLiU" w:hAnsi="MingLiU" w:eastAsia="MingLiU"/>
      <w:sz w:val="26"/>
      <w:szCs w:val="26"/>
      <w:shd w:val="clear" w:color="auto" w:fill="FFFFFF"/>
    </w:rPr>
  </w:style>
  <w:style w:type="paragraph" w:customStyle="1" w:styleId="282">
    <w:name w:val="标题 #7 (4)"/>
    <w:basedOn w:val="1"/>
    <w:link w:val="281"/>
    <w:qFormat/>
    <w:uiPriority w:val="0"/>
    <w:pPr>
      <w:shd w:val="clear" w:color="auto" w:fill="FFFFFF"/>
      <w:spacing w:after="1020" w:line="240" w:lineRule="atLeast"/>
      <w:jc w:val="left"/>
      <w:outlineLvl w:val="6"/>
    </w:pPr>
    <w:rPr>
      <w:rFonts w:ascii="MingLiU" w:hAnsi="MingLiU" w:eastAsia="MingLiU"/>
      <w:sz w:val="26"/>
      <w:szCs w:val="26"/>
    </w:rPr>
  </w:style>
  <w:style w:type="character" w:customStyle="1" w:styleId="283">
    <w:name w:val="Balloon Text Char"/>
    <w:qFormat/>
    <w:uiPriority w:val="0"/>
    <w:rPr>
      <w:sz w:val="18"/>
      <w:lang w:bidi="ar-SA"/>
    </w:rPr>
  </w:style>
  <w:style w:type="character" w:customStyle="1" w:styleId="284">
    <w:name w:val="脚注文本 Char2"/>
    <w:qFormat/>
    <w:uiPriority w:val="99"/>
    <w:rPr>
      <w:kern w:val="2"/>
      <w:sz w:val="18"/>
      <w:szCs w:val="18"/>
    </w:rPr>
  </w:style>
  <w:style w:type="character" w:customStyle="1" w:styleId="285">
    <w:name w:val="引用 字符"/>
    <w:link w:val="286"/>
    <w:qFormat/>
    <w:uiPriority w:val="0"/>
    <w:rPr>
      <w:i/>
      <w:iCs/>
      <w:color w:val="000000"/>
      <w:szCs w:val="24"/>
    </w:rPr>
  </w:style>
  <w:style w:type="paragraph" w:styleId="286">
    <w:name w:val="Quote"/>
    <w:basedOn w:val="1"/>
    <w:next w:val="1"/>
    <w:link w:val="285"/>
    <w:qFormat/>
    <w:uiPriority w:val="0"/>
    <w:pPr>
      <w:spacing w:line="360" w:lineRule="exact"/>
      <w:ind w:firstLine="200" w:firstLineChars="200"/>
    </w:pPr>
    <w:rPr>
      <w:rFonts w:ascii="Calibri" w:hAnsi="Calibri"/>
      <w:i/>
      <w:iCs/>
      <w:color w:val="000000"/>
    </w:rPr>
  </w:style>
  <w:style w:type="character" w:customStyle="1" w:styleId="287">
    <w:name w:val="标题4 Char Char"/>
    <w:link w:val="288"/>
    <w:qFormat/>
    <w:uiPriority w:val="0"/>
    <w:rPr>
      <w:rFonts w:ascii="Arial" w:hAnsi="Arial"/>
      <w:b/>
      <w:bCs/>
      <w:sz w:val="24"/>
      <w:szCs w:val="32"/>
    </w:rPr>
  </w:style>
  <w:style w:type="paragraph" w:customStyle="1" w:styleId="288">
    <w:name w:val="标题4"/>
    <w:basedOn w:val="3"/>
    <w:next w:val="24"/>
    <w:link w:val="287"/>
    <w:qFormat/>
    <w:uiPriority w:val="0"/>
    <w:pPr>
      <w:spacing w:before="60" w:after="60" w:line="413" w:lineRule="auto"/>
      <w:jc w:val="center"/>
    </w:pPr>
    <w:rPr>
      <w:rFonts w:ascii="Arial" w:hAnsi="Arial"/>
      <w:kern w:val="0"/>
      <w:sz w:val="24"/>
    </w:rPr>
  </w:style>
  <w:style w:type="character" w:customStyle="1" w:styleId="289">
    <w:name w:val="正文文本 (31)_"/>
    <w:link w:val="290"/>
    <w:qFormat/>
    <w:locked/>
    <w:uiPriority w:val="0"/>
    <w:rPr>
      <w:shd w:val="clear" w:color="auto" w:fill="FFFFFF"/>
      <w:lang w:eastAsia="en-US"/>
    </w:rPr>
  </w:style>
  <w:style w:type="paragraph" w:customStyle="1" w:styleId="290">
    <w:name w:val="正文文本 (31)"/>
    <w:basedOn w:val="1"/>
    <w:link w:val="289"/>
    <w:qFormat/>
    <w:uiPriority w:val="0"/>
    <w:pPr>
      <w:shd w:val="clear" w:color="auto" w:fill="FFFFFF"/>
      <w:spacing w:line="401" w:lineRule="exact"/>
      <w:ind w:firstLine="500"/>
    </w:pPr>
    <w:rPr>
      <w:rFonts w:ascii="Calibri" w:hAnsi="Calibri"/>
      <w:szCs w:val="22"/>
      <w:lang w:eastAsia="en-US"/>
    </w:rPr>
  </w:style>
  <w:style w:type="character" w:customStyle="1" w:styleId="291">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2">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3">
    <w:name w:val="Char Char1"/>
    <w:qFormat/>
    <w:uiPriority w:val="0"/>
    <w:rPr>
      <w:rFonts w:eastAsia="宋体"/>
      <w:kern w:val="2"/>
      <w:sz w:val="18"/>
      <w:szCs w:val="18"/>
      <w:lang w:val="en-US" w:eastAsia="zh-CN" w:bidi="ar-SA"/>
    </w:rPr>
  </w:style>
  <w:style w:type="character" w:customStyle="1" w:styleId="294">
    <w:name w:val="Char Char61"/>
    <w:qFormat/>
    <w:uiPriority w:val="0"/>
    <w:rPr>
      <w:rFonts w:eastAsia="宋体"/>
      <w:b/>
      <w:bCs/>
      <w:kern w:val="44"/>
      <w:sz w:val="32"/>
      <w:szCs w:val="44"/>
      <w:lang w:val="en-US" w:eastAsia="zh-CN" w:bidi="ar-SA"/>
    </w:rPr>
  </w:style>
  <w:style w:type="character" w:customStyle="1" w:styleId="295">
    <w:name w:val="font5 Char"/>
    <w:qFormat/>
    <w:uiPriority w:val="0"/>
    <w:rPr>
      <w:rFonts w:ascii="宋体" w:hAnsi="宋体" w:eastAsia="宋体"/>
      <w:sz w:val="24"/>
      <w:szCs w:val="24"/>
      <w:lang w:val="en-US" w:eastAsia="zh-CN" w:bidi="ar-SA"/>
    </w:rPr>
  </w:style>
  <w:style w:type="character" w:customStyle="1" w:styleId="296">
    <w:name w:val="正文文本 (42)"/>
    <w:qFormat/>
    <w:uiPriority w:val="0"/>
    <w:rPr>
      <w:rFonts w:ascii="MingLiU" w:hAnsi="MingLiU" w:eastAsia="MingLiU"/>
      <w:b/>
      <w:bCs/>
      <w:color w:val="000000"/>
      <w:spacing w:val="0"/>
      <w:w w:val="100"/>
      <w:position w:val="0"/>
      <w:u w:val="single"/>
      <w:lang w:val="zh-CN" w:eastAsia="zh-CN" w:bidi="ar-SA"/>
    </w:rPr>
  </w:style>
  <w:style w:type="character" w:customStyle="1" w:styleId="297">
    <w:name w:val="样式6 Char Char"/>
    <w:link w:val="298"/>
    <w:qFormat/>
    <w:uiPriority w:val="0"/>
    <w:rPr>
      <w:rFonts w:ascii="Times New Roman" w:hAnsi="Times New Roman" w:eastAsia="宋体" w:cs="Times New Roman"/>
      <w:sz w:val="18"/>
      <w:szCs w:val="18"/>
    </w:rPr>
  </w:style>
  <w:style w:type="paragraph" w:customStyle="1" w:styleId="298">
    <w:name w:val="样式6"/>
    <w:basedOn w:val="34"/>
    <w:next w:val="68"/>
    <w:link w:val="297"/>
    <w:qFormat/>
    <w:uiPriority w:val="0"/>
    <w:pPr>
      <w:pBdr>
        <w:bottom w:val="none" w:color="auto" w:sz="0" w:space="0"/>
      </w:pBdr>
      <w:spacing w:line="360" w:lineRule="exact"/>
      <w:ind w:firstLine="200" w:firstLineChars="200"/>
    </w:pPr>
    <w:rPr>
      <w:rFonts w:ascii="Calibri" w:hAnsi="Calibri"/>
    </w:rPr>
  </w:style>
  <w:style w:type="character" w:customStyle="1" w:styleId="299">
    <w:name w:val="样式1 Char Char"/>
    <w:link w:val="68"/>
    <w:qFormat/>
    <w:uiPriority w:val="0"/>
    <w:rPr>
      <w:rFonts w:eastAsia="黑体"/>
      <w:b/>
      <w:sz w:val="44"/>
      <w:szCs w:val="18"/>
    </w:rPr>
  </w:style>
  <w:style w:type="character" w:customStyle="1" w:styleId="300">
    <w:name w:val="1ji Char Char"/>
    <w:link w:val="301"/>
    <w:qFormat/>
    <w:uiPriority w:val="0"/>
    <w:rPr>
      <w:rFonts w:ascii="宋体" w:hAnsi="宋体"/>
      <w:b/>
      <w:bCs/>
      <w:sz w:val="36"/>
    </w:rPr>
  </w:style>
  <w:style w:type="paragraph" w:customStyle="1" w:styleId="301">
    <w:name w:val="1ji"/>
    <w:basedOn w:val="2"/>
    <w:link w:val="300"/>
    <w:qFormat/>
    <w:uiPriority w:val="0"/>
    <w:pPr>
      <w:keepLines w:val="0"/>
      <w:widowControl/>
      <w:spacing w:before="0" w:after="0" w:line="240" w:lineRule="auto"/>
      <w:jc w:val="center"/>
    </w:pPr>
    <w:rPr>
      <w:rFonts w:ascii="宋体" w:hAnsi="宋体"/>
      <w:kern w:val="0"/>
      <w:szCs w:val="20"/>
    </w:rPr>
  </w:style>
  <w:style w:type="character" w:customStyle="1" w:styleId="302">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03">
    <w:name w:val="正文文本 (30)_"/>
    <w:link w:val="304"/>
    <w:qFormat/>
    <w:locked/>
    <w:uiPriority w:val="0"/>
    <w:rPr>
      <w:shd w:val="clear" w:color="auto" w:fill="FFFFFF"/>
      <w:lang w:eastAsia="en-US"/>
    </w:rPr>
  </w:style>
  <w:style w:type="paragraph" w:customStyle="1" w:styleId="304">
    <w:name w:val="正文文本 (30)"/>
    <w:basedOn w:val="1"/>
    <w:link w:val="303"/>
    <w:qFormat/>
    <w:uiPriority w:val="0"/>
    <w:pPr>
      <w:shd w:val="clear" w:color="auto" w:fill="FFFFFF"/>
      <w:spacing w:before="420" w:line="401" w:lineRule="exact"/>
      <w:ind w:firstLine="500"/>
    </w:pPr>
    <w:rPr>
      <w:rFonts w:ascii="Calibri" w:hAnsi="Calibri"/>
      <w:szCs w:val="22"/>
      <w:lang w:eastAsia="en-US"/>
    </w:rPr>
  </w:style>
  <w:style w:type="character" w:customStyle="1" w:styleId="305">
    <w:name w:val="标题 3 Char Char Char"/>
    <w:qFormat/>
    <w:uiPriority w:val="0"/>
    <w:rPr>
      <w:rFonts w:eastAsia="宋体"/>
      <w:b/>
      <w:bCs/>
      <w:kern w:val="2"/>
      <w:sz w:val="32"/>
      <w:szCs w:val="32"/>
      <w:lang w:val="en-US" w:eastAsia="zh-CN" w:bidi="ar-SA"/>
    </w:rPr>
  </w:style>
  <w:style w:type="character" w:customStyle="1" w:styleId="306">
    <w:name w:val="不明显强调2"/>
    <w:qFormat/>
    <w:uiPriority w:val="19"/>
    <w:rPr>
      <w:i/>
      <w:iCs/>
      <w:color w:val="808080"/>
    </w:rPr>
  </w:style>
  <w:style w:type="character" w:customStyle="1" w:styleId="307">
    <w:name w:val="正文文本 2 Char1"/>
    <w:qFormat/>
    <w:uiPriority w:val="0"/>
    <w:rPr>
      <w:rFonts w:ascii="Times New Roman" w:hAnsi="Times New Roman" w:eastAsia="宋体" w:cs="Times New Roman"/>
      <w:szCs w:val="24"/>
    </w:rPr>
  </w:style>
  <w:style w:type="character" w:customStyle="1" w:styleId="308">
    <w:name w:val="Document Map Char"/>
    <w:qFormat/>
    <w:uiPriority w:val="0"/>
    <w:rPr>
      <w:rFonts w:eastAsia="宋体"/>
      <w:kern w:val="2"/>
      <w:sz w:val="21"/>
      <w:szCs w:val="24"/>
      <w:lang w:val="en-US" w:eastAsia="zh-CN" w:bidi="ar-SA"/>
    </w:rPr>
  </w:style>
  <w:style w:type="character" w:customStyle="1" w:styleId="309">
    <w:name w:val="Heading 1 Char"/>
    <w:qFormat/>
    <w:uiPriority w:val="0"/>
    <w:rPr>
      <w:rFonts w:eastAsia="宋体"/>
      <w:b/>
      <w:bCs/>
      <w:kern w:val="44"/>
      <w:sz w:val="32"/>
      <w:szCs w:val="44"/>
      <w:lang w:val="en-US" w:eastAsia="zh-CN" w:bidi="ar-SA"/>
    </w:rPr>
  </w:style>
  <w:style w:type="character" w:customStyle="1" w:styleId="310">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1">
    <w:name w:val="textcontents"/>
    <w:qFormat/>
    <w:uiPriority w:val="0"/>
    <w:rPr>
      <w:rFonts w:cs="Times New Roman"/>
    </w:rPr>
  </w:style>
  <w:style w:type="character" w:customStyle="1" w:styleId="312">
    <w:name w:val="Char Char18"/>
    <w:qFormat/>
    <w:uiPriority w:val="0"/>
    <w:rPr>
      <w:rFonts w:ascii="Times New Roman" w:hAnsi="Times New Roman" w:eastAsia="宋体" w:cs="Times New Roman"/>
      <w:b/>
      <w:bCs/>
      <w:sz w:val="28"/>
      <w:szCs w:val="28"/>
    </w:rPr>
  </w:style>
  <w:style w:type="character" w:customStyle="1" w:styleId="313">
    <w:name w:val="正文文本缩进 3 Char1"/>
    <w:semiHidden/>
    <w:qFormat/>
    <w:uiPriority w:val="99"/>
    <w:rPr>
      <w:sz w:val="16"/>
      <w:szCs w:val="16"/>
    </w:rPr>
  </w:style>
  <w:style w:type="character" w:customStyle="1" w:styleId="314">
    <w:name w:val="表格标题_"/>
    <w:link w:val="315"/>
    <w:qFormat/>
    <w:locked/>
    <w:uiPriority w:val="0"/>
    <w:rPr>
      <w:rFonts w:ascii="MingLiU" w:hAnsi="MingLiU" w:eastAsia="MingLiU"/>
      <w:shd w:val="clear" w:color="auto" w:fill="FFFFFF"/>
    </w:rPr>
  </w:style>
  <w:style w:type="paragraph" w:customStyle="1" w:styleId="315">
    <w:name w:val="表格标题"/>
    <w:basedOn w:val="1"/>
    <w:link w:val="314"/>
    <w:qFormat/>
    <w:uiPriority w:val="0"/>
    <w:pPr>
      <w:shd w:val="clear" w:color="auto" w:fill="FFFFFF"/>
      <w:spacing w:line="322" w:lineRule="exact"/>
      <w:jc w:val="distribute"/>
    </w:pPr>
    <w:rPr>
      <w:rFonts w:ascii="MingLiU" w:hAnsi="MingLiU" w:eastAsia="MingLiU"/>
      <w:szCs w:val="22"/>
    </w:rPr>
  </w:style>
  <w:style w:type="character" w:customStyle="1" w:styleId="316">
    <w:name w:val="copy1"/>
    <w:qFormat/>
    <w:uiPriority w:val="0"/>
    <w:rPr>
      <w:rFonts w:hint="default" w:ascii="Arial" w:hAnsi="Arial" w:cs="Arial"/>
      <w:color w:val="525252"/>
      <w:sz w:val="15"/>
      <w:szCs w:val="15"/>
      <w:u w:val="none"/>
    </w:rPr>
  </w:style>
  <w:style w:type="character" w:customStyle="1" w:styleId="317">
    <w:name w:val="页眉 Char1"/>
    <w:semiHidden/>
    <w:qFormat/>
    <w:uiPriority w:val="99"/>
    <w:rPr>
      <w:sz w:val="18"/>
      <w:szCs w:val="18"/>
    </w:rPr>
  </w:style>
  <w:style w:type="character" w:customStyle="1" w:styleId="318">
    <w:name w:val="明显引用 Char1"/>
    <w:qFormat/>
    <w:uiPriority w:val="30"/>
    <w:rPr>
      <w:rFonts w:ascii="Times New Roman" w:hAnsi="Times New Roman" w:eastAsia="宋体" w:cs="Times New Roman"/>
      <w:b/>
      <w:bCs/>
      <w:i/>
      <w:iCs/>
      <w:color w:val="4F81BD"/>
      <w:szCs w:val="24"/>
    </w:rPr>
  </w:style>
  <w:style w:type="paragraph" w:styleId="319">
    <w:name w:val="List Paragraph"/>
    <w:basedOn w:val="1"/>
    <w:qFormat/>
    <w:uiPriority w:val="0"/>
    <w:pPr>
      <w:ind w:firstLine="420" w:firstLineChars="200"/>
    </w:pPr>
  </w:style>
  <w:style w:type="paragraph" w:customStyle="1" w:styleId="320">
    <w:name w:val="p0"/>
    <w:basedOn w:val="1"/>
    <w:qFormat/>
    <w:uiPriority w:val="0"/>
    <w:pPr>
      <w:widowControl/>
    </w:pPr>
    <w:rPr>
      <w:rFonts w:ascii="Calibri" w:hAnsi="Calibri" w:cs="宋体"/>
      <w:kern w:val="0"/>
      <w:szCs w:val="21"/>
    </w:rPr>
  </w:style>
  <w:style w:type="paragraph" w:customStyle="1" w:styleId="321">
    <w:name w:val="Char2 Char Char Char"/>
    <w:basedOn w:val="1"/>
    <w:qFormat/>
    <w:uiPriority w:val="0"/>
  </w:style>
  <w:style w:type="paragraph" w:customStyle="1" w:styleId="322">
    <w:name w:val="Char Char10"/>
    <w:basedOn w:val="1"/>
    <w:qFormat/>
    <w:uiPriority w:val="0"/>
    <w:rPr>
      <w:rFonts w:ascii="仿宋_GB2312" w:eastAsia="仿宋_GB2312"/>
      <w:b/>
      <w:sz w:val="32"/>
      <w:szCs w:val="32"/>
    </w:rPr>
  </w:style>
  <w:style w:type="paragraph" w:customStyle="1" w:styleId="323">
    <w:name w:val="_Style 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4">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5">
    <w:name w:val="样式 样式 4 + 宋体 小三 黑色 + 居中 左侧:  2 字符 首行缩进:  2 字符"/>
    <w:basedOn w:val="326"/>
    <w:next w:val="5"/>
    <w:qFormat/>
    <w:uiPriority w:val="0"/>
    <w:pPr>
      <w:ind w:left="420" w:firstLine="602"/>
      <w:jc w:val="center"/>
    </w:pPr>
    <w:rPr>
      <w:rFonts w:cs="宋体"/>
      <w:szCs w:val="20"/>
    </w:rPr>
  </w:style>
  <w:style w:type="paragraph" w:customStyle="1" w:styleId="326">
    <w:name w:val="样式 4 + 宋体 小三 黑色"/>
    <w:basedOn w:val="104"/>
    <w:next w:val="5"/>
    <w:qFormat/>
    <w:uiPriority w:val="0"/>
    <w:rPr>
      <w:rFonts w:ascii="宋体" w:hAnsi="宋体"/>
      <w:color w:val="000000"/>
      <w:sz w:val="30"/>
    </w:rPr>
  </w:style>
  <w:style w:type="paragraph" w:customStyle="1" w:styleId="327">
    <w:name w:val="2-2ji"/>
    <w:basedOn w:val="3"/>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28">
    <w:name w:val="(1)"/>
    <w:basedOn w:val="329"/>
    <w:qFormat/>
    <w:uiPriority w:val="0"/>
    <w:pPr>
      <w:spacing w:before="240"/>
      <w:ind w:left="431" w:hanging="431"/>
    </w:pPr>
    <w:rPr>
      <w:b w:val="0"/>
      <w:sz w:val="24"/>
    </w:rPr>
  </w:style>
  <w:style w:type="paragraph" w:customStyle="1" w:styleId="329">
    <w:name w:val="1.1"/>
    <w:basedOn w:val="1"/>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0">
    <w:name w:val="a 正文"/>
    <w:basedOn w:val="331"/>
    <w:qFormat/>
    <w:uiPriority w:val="0"/>
    <w:pPr>
      <w:tabs>
        <w:tab w:val="left" w:pos="720"/>
        <w:tab w:val="left" w:pos="3240"/>
        <w:tab w:val="left" w:pos="3750"/>
      </w:tabs>
      <w:ind w:left="681" w:hanging="227"/>
    </w:pPr>
  </w:style>
  <w:style w:type="paragraph" w:customStyle="1" w:styleId="331">
    <w:name w:val="A.正文"/>
    <w:basedOn w:val="1"/>
    <w:qFormat/>
    <w:uiPriority w:val="0"/>
    <w:pPr>
      <w:widowControl/>
      <w:tabs>
        <w:tab w:val="left" w:pos="720"/>
        <w:tab w:val="left" w:pos="3750"/>
      </w:tabs>
      <w:spacing w:before="40" w:after="40" w:line="300" w:lineRule="exact"/>
      <w:ind w:left="720" w:firstLine="510"/>
    </w:pPr>
    <w:rPr>
      <w:szCs w:val="20"/>
    </w:rPr>
  </w:style>
  <w:style w:type="paragraph" w:customStyle="1" w:styleId="332">
    <w:name w:val="样式 4 + 段前: 0 磅 段后: 0 磅 行距: 单倍行距"/>
    <w:basedOn w:val="104"/>
    <w:qFormat/>
    <w:uiPriority w:val="0"/>
    <w:pPr>
      <w:spacing w:before="0" w:after="0" w:line="240" w:lineRule="auto"/>
    </w:pPr>
    <w:rPr>
      <w:rFonts w:cs="宋体"/>
      <w:b w:val="0"/>
      <w:szCs w:val="20"/>
    </w:rPr>
  </w:style>
  <w:style w:type="paragraph" w:customStyle="1" w:styleId="333">
    <w:name w:val="bb"/>
    <w:basedOn w:val="1"/>
    <w:qFormat/>
    <w:uiPriority w:val="0"/>
    <w:pPr>
      <w:widowControl/>
      <w:spacing w:before="100" w:beforeAutospacing="1" w:after="100" w:afterAutospacing="1"/>
      <w:jc w:val="left"/>
    </w:pPr>
    <w:rPr>
      <w:rFonts w:ascii="宋体"/>
      <w:kern w:val="0"/>
      <w:sz w:val="24"/>
    </w:rPr>
  </w:style>
  <w:style w:type="paragraph" w:customStyle="1" w:styleId="334">
    <w:name w:val="TOC 标题1"/>
    <w:basedOn w:val="2"/>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6">
    <w:name w:val="列出段落1"/>
    <w:basedOn w:val="1"/>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7">
    <w:name w:val="样式 样式 样式 小四 加粗 居中 + 宋体 加粗 黑色 + 左侧:  0.74 厘米"/>
    <w:basedOn w:val="338"/>
    <w:qFormat/>
    <w:uiPriority w:val="0"/>
    <w:pPr>
      <w:ind w:left="420" w:firstLine="422"/>
    </w:pPr>
  </w:style>
  <w:style w:type="paragraph" w:customStyle="1" w:styleId="338">
    <w:name w:val="样式 样式 小四 加粗 居中 + 宋体 加粗 黑色"/>
    <w:basedOn w:val="339"/>
    <w:next w:val="6"/>
    <w:qFormat/>
    <w:uiPriority w:val="0"/>
    <w:rPr>
      <w:rFonts w:ascii="宋体" w:hAnsi="宋体"/>
      <w:b/>
      <w:bCs/>
      <w:color w:val="000000"/>
    </w:rPr>
  </w:style>
  <w:style w:type="paragraph" w:customStyle="1" w:styleId="339">
    <w:name w:val="样式 小四 加粗 居中"/>
    <w:basedOn w:val="6"/>
    <w:next w:val="6"/>
    <w:qFormat/>
    <w:uiPriority w:val="0"/>
    <w:pPr>
      <w:spacing w:before="50" w:beforeLines="50" w:after="50" w:afterLines="50" w:line="240" w:lineRule="auto"/>
      <w:jc w:val="center"/>
    </w:pPr>
    <w:rPr>
      <w:rFonts w:cs="宋体"/>
      <w:b w:val="0"/>
      <w:bCs w:val="0"/>
      <w:sz w:val="24"/>
      <w:szCs w:val="20"/>
    </w:rPr>
  </w:style>
  <w:style w:type="paragraph" w:customStyle="1" w:styleId="340">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341">
    <w:name w:val="µ1"/>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2">
    <w:name w:val="样式 4 + 小三"/>
    <w:basedOn w:val="104"/>
    <w:next w:val="5"/>
    <w:qFormat/>
    <w:uiPriority w:val="0"/>
    <w:rPr>
      <w:sz w:val="30"/>
    </w:rPr>
  </w:style>
  <w:style w:type="paragraph" w:customStyle="1" w:styleId="34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4">
    <w:name w:val="标准正文"/>
    <w:basedOn w:val="1"/>
    <w:qFormat/>
    <w:uiPriority w:val="99"/>
    <w:pPr>
      <w:spacing w:afterLines="50"/>
      <w:ind w:firstLine="200" w:firstLineChars="200"/>
      <w:jc w:val="left"/>
    </w:pPr>
    <w:rPr>
      <w:sz w:val="24"/>
      <w:szCs w:val="21"/>
    </w:rPr>
  </w:style>
  <w:style w:type="paragraph" w:customStyle="1" w:styleId="345">
    <w:name w:val="合同正文"/>
    <w:basedOn w:val="1"/>
    <w:qFormat/>
    <w:uiPriority w:val="0"/>
    <w:pPr>
      <w:adjustRightInd w:val="0"/>
      <w:spacing w:line="580" w:lineRule="exact"/>
    </w:pPr>
    <w:rPr>
      <w:b/>
      <w:sz w:val="24"/>
      <w:szCs w:val="20"/>
    </w:rPr>
  </w:style>
  <w:style w:type="paragraph" w:customStyle="1" w:styleId="346">
    <w:name w:val="**"/>
    <w:basedOn w:val="329"/>
    <w:qFormat/>
    <w:uiPriority w:val="0"/>
    <w:rPr>
      <w:rFonts w:ascii="楷体" w:eastAsia="楷体"/>
      <w:sz w:val="24"/>
    </w:rPr>
  </w:style>
  <w:style w:type="paragraph" w:customStyle="1" w:styleId="347">
    <w:name w:val="表格2"/>
    <w:basedOn w:val="1"/>
    <w:qFormat/>
    <w:uiPriority w:val="0"/>
    <w:pPr>
      <w:adjustRightInd w:val="0"/>
      <w:spacing w:before="60" w:after="60"/>
      <w:jc w:val="center"/>
    </w:pPr>
    <w:rPr>
      <w:rFonts w:ascii="宋体"/>
      <w:color w:val="000000"/>
      <w:kern w:val="0"/>
      <w:sz w:val="24"/>
      <w:szCs w:val="20"/>
    </w:rPr>
  </w:style>
  <w:style w:type="paragraph" w:customStyle="1" w:styleId="348">
    <w:name w:val="p16"/>
    <w:basedOn w:val="1"/>
    <w:qFormat/>
    <w:uiPriority w:val="0"/>
    <w:pPr>
      <w:widowControl/>
    </w:pPr>
    <w:rPr>
      <w:kern w:val="0"/>
      <w:szCs w:val="21"/>
    </w:rPr>
  </w:style>
  <w:style w:type="paragraph" w:customStyle="1" w:styleId="349">
    <w:name w:val="."/>
    <w:basedOn w:val="1"/>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0">
    <w:name w:val="3"/>
    <w:basedOn w:val="4"/>
    <w:next w:val="4"/>
    <w:qFormat/>
    <w:uiPriority w:val="0"/>
    <w:pPr>
      <w:widowControl w:val="0"/>
      <w:spacing w:before="0" w:after="0" w:line="415" w:lineRule="auto"/>
    </w:pPr>
    <w:rPr>
      <w:rFonts w:ascii="黑体" w:eastAsia="黑体"/>
      <w:sz w:val="28"/>
      <w:szCs w:val="28"/>
    </w:rPr>
  </w:style>
  <w:style w:type="paragraph" w:customStyle="1" w:styleId="351">
    <w:name w:val="TOC 标题3"/>
    <w:basedOn w:val="2"/>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2">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53">
    <w:name w:val="Char Char Char Char Char Char Char Char Char Char"/>
    <w:basedOn w:val="1"/>
    <w:qFormat/>
    <w:uiPriority w:val="0"/>
  </w:style>
  <w:style w:type="paragraph" w:customStyle="1" w:styleId="354">
    <w:name w:val="表格文字"/>
    <w:basedOn w:val="1"/>
    <w:qFormat/>
    <w:uiPriority w:val="0"/>
    <w:pPr>
      <w:adjustRightInd w:val="0"/>
      <w:spacing w:line="420" w:lineRule="atLeast"/>
      <w:ind w:firstLine="200" w:firstLineChars="200"/>
      <w:jc w:val="left"/>
      <w:textAlignment w:val="baseline"/>
    </w:pPr>
    <w:rPr>
      <w:kern w:val="0"/>
      <w:szCs w:val="20"/>
    </w:rPr>
  </w:style>
  <w:style w:type="paragraph" w:customStyle="1" w:styleId="355">
    <w:name w:val="+正文"/>
    <w:basedOn w:val="1"/>
    <w:qFormat/>
    <w:uiPriority w:val="0"/>
    <w:pPr>
      <w:spacing w:line="360" w:lineRule="auto"/>
      <w:ind w:firstLine="200" w:firstLineChars="200"/>
    </w:pPr>
    <w:rPr>
      <w:sz w:val="24"/>
      <w:szCs w:val="28"/>
    </w:rPr>
  </w:style>
  <w:style w:type="paragraph" w:customStyle="1" w:styleId="356">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57">
    <w:name w:val="纯文本2"/>
    <w:basedOn w:val="1"/>
    <w:qFormat/>
    <w:uiPriority w:val="0"/>
    <w:rPr>
      <w:rFonts w:ascii="宋体" w:hAnsi="Courier New"/>
      <w:szCs w:val="20"/>
    </w:rPr>
  </w:style>
  <w:style w:type="paragraph" w:customStyle="1" w:styleId="35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5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Index8"/>
    <w:basedOn w:val="1"/>
    <w:next w:val="1"/>
    <w:qFormat/>
    <w:locked/>
    <w:uiPriority w:val="0"/>
    <w:pPr>
      <w:ind w:left="2940"/>
    </w:pPr>
  </w:style>
  <w:style w:type="paragraph" w:customStyle="1" w:styleId="361">
    <w:name w:val="2"/>
    <w:basedOn w:val="4"/>
    <w:qFormat/>
    <w:uiPriority w:val="0"/>
    <w:pPr>
      <w:widowControl w:val="0"/>
      <w:spacing w:before="120" w:beforeLines="50" w:after="120" w:afterLines="50" w:line="240" w:lineRule="auto"/>
      <w:jc w:val="center"/>
    </w:pPr>
    <w:rPr>
      <w:rFonts w:ascii="黑体" w:eastAsia="黑体"/>
      <w:sz w:val="44"/>
      <w:szCs w:val="28"/>
    </w:rPr>
  </w:style>
  <w:style w:type="paragraph" w:customStyle="1" w:styleId="362">
    <w:name w:val="table"/>
    <w:basedOn w:val="1"/>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3">
    <w:name w:val="样式 4 + 小三 两端对齐 段前: 0 磅 段后: 0 磅 行距: 单倍行距"/>
    <w:basedOn w:val="104"/>
    <w:qFormat/>
    <w:uiPriority w:val="0"/>
    <w:pPr>
      <w:spacing w:before="0" w:after="0" w:line="240" w:lineRule="auto"/>
      <w:jc w:val="both"/>
    </w:pPr>
    <w:rPr>
      <w:rFonts w:cs="宋体"/>
      <w:sz w:val="30"/>
      <w:szCs w:val="20"/>
    </w:rPr>
  </w:style>
  <w:style w:type="paragraph" w:customStyle="1" w:styleId="364">
    <w:name w:val="444"/>
    <w:basedOn w:val="1"/>
    <w:qFormat/>
    <w:uiPriority w:val="0"/>
    <w:pPr>
      <w:adjustRightInd w:val="0"/>
      <w:spacing w:line="312" w:lineRule="atLeast"/>
      <w:jc w:val="center"/>
      <w:textAlignment w:val="baseline"/>
    </w:pPr>
    <w:rPr>
      <w:b/>
      <w:kern w:val="0"/>
      <w:sz w:val="36"/>
      <w:szCs w:val="36"/>
    </w:rPr>
  </w:style>
  <w:style w:type="paragraph" w:customStyle="1" w:styleId="36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6">
    <w:name w:val="标题2"/>
    <w:basedOn w:val="3"/>
    <w:next w:val="1"/>
    <w:qFormat/>
    <w:uiPriority w:val="0"/>
    <w:pPr>
      <w:snapToGrid w:val="0"/>
      <w:spacing w:before="120" w:after="120" w:line="240" w:lineRule="auto"/>
      <w:jc w:val="left"/>
    </w:pPr>
    <w:rPr>
      <w:rFonts w:ascii="Arial" w:hAnsi="Arial" w:eastAsia="黑体"/>
      <w:b w:val="0"/>
      <w:bCs w:val="0"/>
      <w:sz w:val="21"/>
      <w:szCs w:val="21"/>
    </w:rPr>
  </w:style>
  <w:style w:type="paragraph" w:customStyle="1" w:styleId="367">
    <w:name w:val="Char Char Char Char Char Char Char Char Char1 Char Char Char Char Char Char Char Char Char Char Char Char Char"/>
    <w:basedOn w:val="2"/>
    <w:qFormat/>
    <w:uiPriority w:val="0"/>
    <w:pPr>
      <w:snapToGrid w:val="0"/>
      <w:spacing w:before="240" w:after="240" w:line="348" w:lineRule="auto"/>
    </w:pPr>
    <w:rPr>
      <w:sz w:val="44"/>
    </w:rPr>
  </w:style>
  <w:style w:type="paragraph" w:customStyle="1" w:styleId="368">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0">
    <w:name w:val="tds100"/>
    <w:basedOn w:val="43"/>
    <w:qFormat/>
    <w:uiPriority w:val="0"/>
    <w:pPr>
      <w:tabs>
        <w:tab w:val="right" w:leader="dot" w:pos="9628"/>
      </w:tabs>
      <w:ind w:left="200"/>
      <w:jc w:val="center"/>
    </w:pPr>
    <w:rPr>
      <w:b/>
      <w:sz w:val="44"/>
    </w:rPr>
  </w:style>
  <w:style w:type="paragraph" w:customStyle="1" w:styleId="371">
    <w:name w:val="Char Char Char Char Char Char Char"/>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2">
    <w:name w:val="·"/>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4">
    <w:name w:val="PlainText"/>
    <w:basedOn w:val="1"/>
    <w:next w:val="360"/>
    <w:qFormat/>
    <w:locked/>
    <w:uiPriority w:val="0"/>
    <w:rPr>
      <w:rFonts w:ascii="宋体" w:hAnsi="Courier New"/>
      <w:szCs w:val="20"/>
    </w:rPr>
  </w:style>
  <w:style w:type="paragraph" w:customStyle="1" w:styleId="375">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7">
    <w:name w:val="Char"/>
    <w:basedOn w:val="1"/>
    <w:qFormat/>
    <w:uiPriority w:val="0"/>
    <w:rPr>
      <w:rFonts w:ascii="Tahoma" w:hAnsi="Tahoma"/>
      <w:sz w:val="24"/>
      <w:szCs w:val="20"/>
    </w:rPr>
  </w:style>
  <w:style w:type="paragraph" w:customStyle="1" w:styleId="378">
    <w:name w:val="font6"/>
    <w:basedOn w:val="1"/>
    <w:qFormat/>
    <w:uiPriority w:val="0"/>
    <w:pPr>
      <w:widowControl/>
      <w:spacing w:before="100" w:beforeAutospacing="1" w:after="100" w:afterAutospacing="1"/>
      <w:jc w:val="left"/>
    </w:pPr>
    <w:rPr>
      <w:kern w:val="0"/>
      <w:sz w:val="24"/>
    </w:rPr>
  </w:style>
  <w:style w:type="paragraph" w:customStyle="1" w:styleId="379">
    <w:name w:val="5 Char Char Char Char Char Char Char Char Char Char"/>
    <w:basedOn w:val="1"/>
    <w:qFormat/>
    <w:uiPriority w:val="0"/>
  </w:style>
  <w:style w:type="paragraph" w:customStyle="1" w:styleId="380">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1">
    <w:name w:val="2ji"/>
    <w:basedOn w:val="3"/>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2">
    <w:name w:val="样式 标题 3 + (中文) 黑体 小四 非加粗 段前: 7.8 磅 段后: 0 磅 行距: 固定值 20 磅"/>
    <w:basedOn w:val="4"/>
    <w:qFormat/>
    <w:uiPriority w:val="0"/>
    <w:pPr>
      <w:widowControl w:val="0"/>
      <w:spacing w:before="0" w:after="0" w:line="400" w:lineRule="exact"/>
    </w:pPr>
    <w:rPr>
      <w:rFonts w:ascii="黑体" w:eastAsia="黑体" w:cs="宋体"/>
      <w:b w:val="0"/>
      <w:bCs w:val="0"/>
      <w:szCs w:val="20"/>
    </w:rPr>
  </w:style>
  <w:style w:type="paragraph" w:customStyle="1" w:styleId="38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4">
    <w:name w:val="样式 4 + 宋体 小三 黑色 两端对齐 段前: 0 磅 段后: 0 磅 行距: 单倍行距1"/>
    <w:basedOn w:val="104"/>
    <w:next w:val="5"/>
    <w:qFormat/>
    <w:uiPriority w:val="0"/>
    <w:pPr>
      <w:spacing w:before="0" w:after="0" w:line="240" w:lineRule="auto"/>
      <w:ind w:firstLine="422"/>
      <w:jc w:val="both"/>
    </w:pPr>
    <w:rPr>
      <w:rFonts w:ascii="宋体" w:hAnsi="宋体" w:cs="宋体"/>
      <w:color w:val="000000"/>
      <w:sz w:val="30"/>
      <w:szCs w:val="20"/>
    </w:rPr>
  </w:style>
  <w:style w:type="paragraph" w:customStyle="1" w:styleId="385">
    <w:name w:val="修订1"/>
    <w:qFormat/>
    <w:uiPriority w:val="0"/>
    <w:rPr>
      <w:rFonts w:ascii="Times New Roman" w:hAnsi="Times New Roman" w:eastAsia="宋体" w:cs="Times New Roman"/>
      <w:sz w:val="21"/>
      <w:lang w:val="en-US" w:eastAsia="zh-CN" w:bidi="ar-SA"/>
    </w:rPr>
  </w:style>
  <w:style w:type="paragraph" w:customStyle="1" w:styleId="386">
    <w:name w:val="F2"/>
    <w:basedOn w:val="1"/>
    <w:qFormat/>
    <w:uiPriority w:val="0"/>
    <w:pPr>
      <w:autoSpaceDE w:val="0"/>
      <w:autoSpaceDN w:val="0"/>
      <w:adjustRightInd w:val="0"/>
      <w:ind w:firstLine="601"/>
      <w:textAlignment w:val="baseline"/>
    </w:pPr>
    <w:rPr>
      <w:kern w:val="0"/>
      <w:sz w:val="24"/>
      <w:szCs w:val="20"/>
    </w:rPr>
  </w:style>
  <w:style w:type="paragraph" w:customStyle="1" w:styleId="387">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88">
    <w:name w:val="文件目录"/>
    <w:basedOn w:val="1"/>
    <w:qFormat/>
    <w:uiPriority w:val="0"/>
    <w:pPr>
      <w:spacing w:line="600" w:lineRule="exact"/>
      <w:jc w:val="left"/>
    </w:pPr>
    <w:rPr>
      <w:b/>
      <w:sz w:val="30"/>
      <w:szCs w:val="20"/>
    </w:rPr>
  </w:style>
  <w:style w:type="paragraph" w:customStyle="1" w:styleId="38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0">
    <w:name w:val="Char1 Char Char Char Char Char Char Char Char Char Char Char Char Char Char Char"/>
    <w:basedOn w:val="6"/>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2">
    <w:name w:val="样式 2 + 段前: 0 磅 段后: 0 磅 行距: 多倍行距 1.73 字行"/>
    <w:basedOn w:val="361"/>
    <w:next w:val="3"/>
    <w:qFormat/>
    <w:uiPriority w:val="0"/>
    <w:pPr>
      <w:spacing w:before="0" w:beforeLines="0" w:after="0" w:afterLines="0" w:line="415" w:lineRule="auto"/>
    </w:pPr>
    <w:rPr>
      <w:rFonts w:cs="宋体"/>
      <w:szCs w:val="20"/>
    </w:rPr>
  </w:style>
  <w:style w:type="paragraph" w:customStyle="1" w:styleId="3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4">
    <w:name w:val="1.正文"/>
    <w:basedOn w:val="1"/>
    <w:qFormat/>
    <w:uiPriority w:val="0"/>
    <w:pPr>
      <w:widowControl/>
      <w:tabs>
        <w:tab w:val="left" w:pos="840"/>
        <w:tab w:val="left" w:pos="2820"/>
      </w:tabs>
      <w:spacing w:before="40" w:after="40" w:line="300" w:lineRule="exact"/>
      <w:ind w:left="840" w:hanging="420"/>
    </w:pPr>
    <w:rPr>
      <w:szCs w:val="20"/>
    </w:rPr>
  </w:style>
  <w:style w:type="paragraph" w:customStyle="1" w:styleId="395">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96">
    <w:name w:val="Char Char Char Char Char Char Char2"/>
    <w:basedOn w:val="1"/>
    <w:qFormat/>
    <w:uiPriority w:val="0"/>
  </w:style>
  <w:style w:type="paragraph" w:customStyle="1" w:styleId="397">
    <w:name w:val="Char Char Char Char Char Char Char Char Char Char1"/>
    <w:basedOn w:val="17"/>
    <w:qFormat/>
    <w:uiPriority w:val="0"/>
    <w:pPr>
      <w:keepNext/>
      <w:spacing w:before="312" w:beforeLines="100" w:line="240" w:lineRule="auto"/>
      <w:ind w:firstLine="0" w:firstLineChars="0"/>
    </w:pPr>
    <w:rPr>
      <w:rFonts w:ascii="Tahoma" w:hAnsi="Tahoma"/>
      <w:sz w:val="24"/>
    </w:rPr>
  </w:style>
  <w:style w:type="paragraph" w:customStyle="1" w:styleId="398">
    <w:name w:val="批注框文本 Char Char"/>
    <w:basedOn w:val="1"/>
    <w:qFormat/>
    <w:uiPriority w:val="0"/>
    <w:rPr>
      <w:sz w:val="18"/>
      <w:szCs w:val="20"/>
    </w:rPr>
  </w:style>
  <w:style w:type="paragraph" w:customStyle="1" w:styleId="399">
    <w:name w:val="样式 标题 2 + Times New Roman 四号 非加粗 段前: 5 磅 段后: 0 磅 行距: 固定值 20..."/>
    <w:basedOn w:val="3"/>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0">
    <w:name w:val="表格"/>
    <w:basedOn w:val="1"/>
    <w:qFormat/>
    <w:uiPriority w:val="0"/>
    <w:pPr>
      <w:jc w:val="center"/>
      <w:textAlignment w:val="center"/>
    </w:pPr>
    <w:rPr>
      <w:rFonts w:ascii="华文细黑" w:hAnsi="华文细黑"/>
      <w:kern w:val="0"/>
      <w:szCs w:val="20"/>
    </w:rPr>
  </w:style>
  <w:style w:type="paragraph" w:customStyle="1" w:styleId="401">
    <w:name w:val="表中"/>
    <w:basedOn w:val="1"/>
    <w:qFormat/>
    <w:uiPriority w:val="0"/>
    <w:pPr>
      <w:adjustRightInd w:val="0"/>
      <w:spacing w:line="420" w:lineRule="atLeast"/>
      <w:ind w:firstLine="200" w:firstLineChars="200"/>
      <w:jc w:val="center"/>
      <w:textAlignment w:val="baseline"/>
    </w:pPr>
    <w:rPr>
      <w:kern w:val="0"/>
      <w:szCs w:val="20"/>
    </w:rPr>
  </w:style>
  <w:style w:type="paragraph" w:customStyle="1" w:styleId="402">
    <w:name w:val="1.1编号"/>
    <w:basedOn w:val="1"/>
    <w:qFormat/>
    <w:uiPriority w:val="0"/>
    <w:pPr>
      <w:widowControl/>
      <w:tabs>
        <w:tab w:val="left" w:pos="1559"/>
      </w:tabs>
      <w:spacing w:before="120" w:after="80" w:line="380" w:lineRule="exact"/>
      <w:ind w:left="1559" w:hanging="1559"/>
    </w:pPr>
    <w:rPr>
      <w:b/>
      <w:spacing w:val="20"/>
      <w:szCs w:val="20"/>
    </w:rPr>
  </w:style>
  <w:style w:type="paragraph" w:customStyle="1" w:styleId="40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4">
    <w:name w:val="纯文本11"/>
    <w:basedOn w:val="1"/>
    <w:qFormat/>
    <w:uiPriority w:val="0"/>
    <w:rPr>
      <w:rFonts w:ascii="宋体" w:hAnsi="Courier New"/>
      <w:szCs w:val="20"/>
    </w:rPr>
  </w:style>
  <w:style w:type="paragraph" w:customStyle="1" w:styleId="405">
    <w:name w:val="Char1 Char Char Char Char Char Char"/>
    <w:basedOn w:val="1"/>
    <w:qFormat/>
    <w:uiPriority w:val="0"/>
    <w:rPr>
      <w:rFonts w:ascii="Tahoma" w:hAnsi="Tahoma"/>
      <w:sz w:val="24"/>
      <w:szCs w:val="20"/>
    </w:rPr>
  </w:style>
  <w:style w:type="paragraph" w:customStyle="1" w:styleId="406">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407">
    <w:name w:val="p15"/>
    <w:basedOn w:val="1"/>
    <w:qFormat/>
    <w:uiPriority w:val="0"/>
    <w:pPr>
      <w:widowControl/>
      <w:jc w:val="left"/>
    </w:pPr>
    <w:rPr>
      <w:kern w:val="0"/>
      <w:szCs w:val="21"/>
    </w:rPr>
  </w:style>
  <w:style w:type="paragraph" w:customStyle="1" w:styleId="408">
    <w:name w:val="font9"/>
    <w:basedOn w:val="1"/>
    <w:qFormat/>
    <w:uiPriority w:val="0"/>
    <w:pPr>
      <w:widowControl/>
      <w:spacing w:before="100" w:beforeAutospacing="1" w:after="100" w:afterAutospacing="1"/>
      <w:jc w:val="left"/>
    </w:pPr>
    <w:rPr>
      <w:kern w:val="0"/>
      <w:sz w:val="40"/>
      <w:szCs w:val="40"/>
    </w:rPr>
  </w:style>
  <w:style w:type="paragraph" w:customStyle="1" w:styleId="409">
    <w:name w:val="样式 样式 小四 加粗 居中 + 加粗"/>
    <w:basedOn w:val="20"/>
    <w:next w:val="1"/>
    <w:qFormat/>
    <w:uiPriority w:val="0"/>
    <w:pPr>
      <w:spacing w:line="360" w:lineRule="exact"/>
      <w:ind w:firstLine="200" w:firstLineChars="200"/>
    </w:pPr>
    <w:rPr>
      <w:b/>
      <w:bCs/>
    </w:rPr>
  </w:style>
  <w:style w:type="paragraph" w:customStyle="1" w:styleId="41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1">
    <w:name w:val="样式 3 + 两端对齐 段前: 0 磅 段后: 0 磅 行距: 单倍行距"/>
    <w:basedOn w:val="350"/>
    <w:next w:val="4"/>
    <w:qFormat/>
    <w:uiPriority w:val="0"/>
    <w:pPr>
      <w:spacing w:line="240" w:lineRule="auto"/>
    </w:pPr>
    <w:rPr>
      <w:rFonts w:eastAsia="宋体" w:cs="宋体"/>
      <w:sz w:val="32"/>
      <w:szCs w:val="20"/>
    </w:rPr>
  </w:style>
  <w:style w:type="paragraph" w:customStyle="1" w:styleId="412">
    <w:name w:val="µ"/>
    <w:basedOn w:val="1"/>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3">
    <w:name w:val="样式 3 + 首行缩进:  0.74 厘米"/>
    <w:basedOn w:val="350"/>
    <w:next w:val="4"/>
    <w:qFormat/>
    <w:uiPriority w:val="0"/>
    <w:pPr>
      <w:ind w:firstLine="422"/>
    </w:pPr>
    <w:rPr>
      <w:rFonts w:cs="宋体"/>
      <w:szCs w:val="20"/>
    </w:rPr>
  </w:style>
  <w:style w:type="paragraph" w:customStyle="1" w:styleId="414">
    <w:name w:val="List Paragraph1"/>
    <w:basedOn w:val="1"/>
    <w:qFormat/>
    <w:uiPriority w:val="0"/>
    <w:pPr>
      <w:ind w:left="424" w:firstLine="480"/>
    </w:pPr>
  </w:style>
  <w:style w:type="paragraph" w:customStyle="1" w:styleId="415">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6">
    <w:name w:val="样式 3 + 段前: 0 磅 段后: 0 磅 行距: 多倍行距 1.73 字行"/>
    <w:basedOn w:val="350"/>
    <w:next w:val="4"/>
    <w:qFormat/>
    <w:uiPriority w:val="0"/>
    <w:rPr>
      <w:rFonts w:cs="宋体"/>
      <w:szCs w:val="20"/>
    </w:rPr>
  </w:style>
  <w:style w:type="paragraph" w:customStyle="1" w:styleId="4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18">
    <w:name w:val="No Spacing"/>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1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0">
    <w:name w:val="样式 4 + 居中"/>
    <w:basedOn w:val="104"/>
    <w:next w:val="20"/>
    <w:qFormat/>
    <w:uiPriority w:val="0"/>
    <w:pPr>
      <w:jc w:val="center"/>
    </w:pPr>
    <w:rPr>
      <w:rFonts w:cs="宋体"/>
      <w:szCs w:val="20"/>
    </w:rPr>
  </w:style>
  <w:style w:type="paragraph" w:customStyle="1" w:styleId="421">
    <w:name w:val="样式 4 + 黑色 段前: 0 磅 段后: 0 磅 行距: 单倍行距"/>
    <w:basedOn w:val="104"/>
    <w:next w:val="5"/>
    <w:qFormat/>
    <w:uiPriority w:val="0"/>
    <w:pPr>
      <w:spacing w:before="0" w:after="0" w:line="240" w:lineRule="auto"/>
    </w:pPr>
    <w:rPr>
      <w:rFonts w:cs="宋体"/>
      <w:color w:val="000000"/>
      <w:szCs w:val="20"/>
    </w:rPr>
  </w:style>
  <w:style w:type="paragraph" w:customStyle="1" w:styleId="422">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6">
    <w:name w:val="TOC 标题2"/>
    <w:basedOn w:val="2"/>
    <w:next w:val="1"/>
    <w:qFormat/>
    <w:uiPriority w:val="39"/>
    <w:pPr>
      <w:spacing w:before="120" w:beforeLines="50" w:after="120" w:afterLines="50" w:line="240" w:lineRule="auto"/>
      <w:jc w:val="center"/>
      <w:outlineLvl w:val="9"/>
    </w:pPr>
    <w:rPr>
      <w:rFonts w:eastAsia="黑体"/>
      <w:spacing w:val="200"/>
      <w:sz w:val="72"/>
    </w:rPr>
  </w:style>
  <w:style w:type="paragraph" w:customStyle="1" w:styleId="427">
    <w:name w:val="section编号"/>
    <w:basedOn w:val="1"/>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28">
    <w:name w:val="(i)正文"/>
    <w:basedOn w:val="1"/>
    <w:qFormat/>
    <w:uiPriority w:val="0"/>
    <w:pPr>
      <w:widowControl/>
      <w:tabs>
        <w:tab w:val="left" w:pos="0"/>
        <w:tab w:val="left" w:pos="2381"/>
      </w:tabs>
      <w:spacing w:line="360" w:lineRule="exact"/>
    </w:pPr>
    <w:rPr>
      <w:szCs w:val="20"/>
    </w:rPr>
  </w:style>
  <w:style w:type="paragraph" w:customStyle="1" w:styleId="429">
    <w:name w:val="1"/>
    <w:basedOn w:val="3"/>
    <w:next w:val="27"/>
    <w:qFormat/>
    <w:uiPriority w:val="0"/>
    <w:pPr>
      <w:spacing w:before="360" w:after="360" w:line="360" w:lineRule="exact"/>
      <w:jc w:val="center"/>
    </w:pPr>
    <w:rPr>
      <w:rFonts w:eastAsia="黑体"/>
      <w:sz w:val="72"/>
    </w:rPr>
  </w:style>
  <w:style w:type="paragraph" w:customStyle="1" w:styleId="430">
    <w:name w:val="样式 宋体 小四 加粗 黑色 居中 左侧:  2 字符 首行缩进:  2 字符"/>
    <w:basedOn w:val="1"/>
    <w:next w:val="6"/>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1">
    <w:name w:val="修订2"/>
    <w:qFormat/>
    <w:uiPriority w:val="0"/>
    <w:rPr>
      <w:rFonts w:ascii="Times New Roman" w:hAnsi="Times New Roman" w:eastAsia="宋体" w:cs="Times New Roman"/>
      <w:sz w:val="21"/>
      <w:lang w:val="en-US" w:eastAsia="zh-CN" w:bidi="ar-SA"/>
    </w:rPr>
  </w:style>
  <w:style w:type="paragraph" w:customStyle="1" w:styleId="432">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3">
    <w:name w:val="Char Char Char Char Char Char Char1"/>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436">
    <w:name w:val="_Style 21"/>
    <w:basedOn w:val="1"/>
    <w:next w:val="21"/>
    <w:qFormat/>
    <w:uiPriority w:val="0"/>
    <w:pPr>
      <w:spacing w:line="200" w:lineRule="exact"/>
      <w:ind w:firstLine="301"/>
    </w:pPr>
    <w:rPr>
      <w:rFonts w:ascii="宋体" w:hAnsi="Courier New"/>
      <w:spacing w:val="-4"/>
      <w:sz w:val="18"/>
      <w:szCs w:val="20"/>
    </w:rPr>
  </w:style>
  <w:style w:type="paragraph" w:customStyle="1" w:styleId="437">
    <w:name w:val="样式 3 + 三号"/>
    <w:basedOn w:val="350"/>
    <w:next w:val="4"/>
    <w:qFormat/>
    <w:uiPriority w:val="0"/>
    <w:rPr>
      <w:sz w:val="32"/>
    </w:rPr>
  </w:style>
  <w:style w:type="paragraph" w:customStyle="1" w:styleId="438">
    <w:name w:val="a"/>
    <w:basedOn w:val="329"/>
    <w:qFormat/>
    <w:uiPriority w:val="0"/>
    <w:pPr>
      <w:ind w:left="360" w:hanging="360"/>
    </w:pPr>
    <w:rPr>
      <w:rFonts w:ascii="楷体" w:eastAsia="楷体"/>
      <w:sz w:val="24"/>
    </w:rPr>
  </w:style>
  <w:style w:type="paragraph" w:customStyle="1" w:styleId="439">
    <w:name w:val="样式 3 + 首行缩进:  0.31 厘米"/>
    <w:basedOn w:val="350"/>
    <w:next w:val="4"/>
    <w:qFormat/>
    <w:uiPriority w:val="0"/>
    <w:pPr>
      <w:ind w:firstLine="175"/>
    </w:pPr>
    <w:rPr>
      <w:rFonts w:cs="宋体"/>
      <w:szCs w:val="20"/>
    </w:rPr>
  </w:style>
  <w:style w:type="paragraph" w:customStyle="1" w:styleId="4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1">
    <w:name w:val="正文文本 21"/>
    <w:basedOn w:val="1"/>
    <w:qFormat/>
    <w:uiPriority w:val="0"/>
    <w:pPr>
      <w:adjustRightInd w:val="0"/>
      <w:spacing w:line="460" w:lineRule="exact"/>
      <w:ind w:firstLine="635"/>
      <w:jc w:val="left"/>
      <w:textAlignment w:val="baseline"/>
    </w:pPr>
    <w:rPr>
      <w:sz w:val="28"/>
      <w:szCs w:val="20"/>
    </w:rPr>
  </w:style>
  <w:style w:type="paragraph" w:customStyle="1" w:styleId="4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3">
    <w:name w:val="_Style 2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样式 样式 4 + 宋体 小三 黑色 + 左侧:  2 字符 首行缩进:  2 字符"/>
    <w:basedOn w:val="326"/>
    <w:next w:val="5"/>
    <w:qFormat/>
    <w:uiPriority w:val="0"/>
    <w:pPr>
      <w:ind w:left="420" w:firstLine="602"/>
    </w:pPr>
    <w:rPr>
      <w:rFonts w:cs="宋体"/>
      <w:szCs w:val="20"/>
    </w:rPr>
  </w:style>
  <w:style w:type="paragraph" w:customStyle="1" w:styleId="446">
    <w:name w:val="(a)正文"/>
    <w:basedOn w:val="1"/>
    <w:qFormat/>
    <w:uiPriority w:val="0"/>
    <w:pPr>
      <w:widowControl/>
      <w:tabs>
        <w:tab w:val="left" w:pos="1871"/>
      </w:tabs>
      <w:spacing w:line="360" w:lineRule="exact"/>
    </w:pPr>
    <w:rPr>
      <w:szCs w:val="20"/>
    </w:rPr>
  </w:style>
  <w:style w:type="paragraph" w:customStyle="1" w:styleId="44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48">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49">
    <w:name w:val="部分编号"/>
    <w:basedOn w:val="1"/>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51">
    <w:name w:val="样式 行距: 固定值 25 磅"/>
    <w:basedOn w:val="1"/>
    <w:qFormat/>
    <w:uiPriority w:val="0"/>
    <w:pPr>
      <w:spacing w:line="500" w:lineRule="exact"/>
    </w:pPr>
    <w:rPr>
      <w:rFonts w:cs="宋体"/>
      <w:sz w:val="28"/>
      <w:szCs w:val="20"/>
    </w:rPr>
  </w:style>
  <w:style w:type="paragraph" w:customStyle="1" w:styleId="452">
    <w:name w:val="纯文本1"/>
    <w:basedOn w:val="1"/>
    <w:qFormat/>
    <w:uiPriority w:val="0"/>
    <w:pPr>
      <w:adjustRightInd w:val="0"/>
      <w:jc w:val="left"/>
      <w:textAlignment w:val="baseline"/>
    </w:pPr>
    <w:rPr>
      <w:rFonts w:ascii="宋体" w:hAnsi="Courier New"/>
      <w:szCs w:val="20"/>
    </w:rPr>
  </w:style>
  <w:style w:type="paragraph" w:customStyle="1" w:styleId="453">
    <w:name w:val="样式 4 + 居中 段前: 0 磅 段后: 0 磅 行距: 单倍行距1"/>
    <w:basedOn w:val="104"/>
    <w:next w:val="5"/>
    <w:qFormat/>
    <w:uiPriority w:val="0"/>
    <w:pPr>
      <w:spacing w:before="0" w:after="0" w:line="240" w:lineRule="auto"/>
      <w:jc w:val="center"/>
    </w:pPr>
    <w:rPr>
      <w:rFonts w:cs="宋体"/>
      <w:szCs w:val="20"/>
    </w:rPr>
  </w:style>
  <w:style w:type="paragraph" w:customStyle="1" w:styleId="45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5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6">
    <w:name w:val="_Style 15"/>
    <w:basedOn w:val="1"/>
    <w:next w:val="27"/>
    <w:qFormat/>
    <w:uiPriority w:val="0"/>
    <w:rPr>
      <w:rFonts w:ascii="宋体" w:hAnsi="Courier New"/>
      <w:szCs w:val="20"/>
    </w:rPr>
  </w:style>
  <w:style w:type="paragraph" w:customStyle="1" w:styleId="457">
    <w:name w:val="默认段落字体 Para Char Char Char Char Char Char Char Char Char Char"/>
    <w:basedOn w:val="1"/>
    <w:qFormat/>
    <w:uiPriority w:val="0"/>
    <w:rPr>
      <w:rFonts w:ascii="Tahoma" w:hAnsi="Tahoma"/>
      <w:sz w:val="24"/>
      <w:u w:val="single"/>
    </w:rPr>
  </w:style>
  <w:style w:type="paragraph" w:customStyle="1" w:styleId="45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0">
    <w:name w:val="_Style 37"/>
    <w:basedOn w:val="1"/>
    <w:next w:val="1"/>
    <w:qFormat/>
    <w:uiPriority w:val="0"/>
  </w:style>
  <w:style w:type="paragraph" w:customStyle="1" w:styleId="461">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3">
    <w:name w:val="表头"/>
    <w:basedOn w:val="1"/>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5">
    <w:name w:val="Char1 Char Char Char Char Char Char1"/>
    <w:basedOn w:val="1"/>
    <w:qFormat/>
    <w:uiPriority w:val="0"/>
    <w:rPr>
      <w:rFonts w:ascii="Tahoma" w:hAnsi="Tahoma"/>
      <w:sz w:val="24"/>
      <w:szCs w:val="20"/>
    </w:rPr>
  </w:style>
  <w:style w:type="paragraph" w:customStyle="1" w:styleId="466">
    <w:name w:val="样式 标题 4 + 黑色 首行缩进:  2 字符"/>
    <w:basedOn w:val="6"/>
    <w:next w:val="6"/>
    <w:qFormat/>
    <w:uiPriority w:val="0"/>
    <w:pPr>
      <w:spacing w:before="50" w:beforeLines="50" w:after="50" w:afterLines="50" w:line="240" w:lineRule="auto"/>
      <w:ind w:firstLine="562" w:firstLineChars="200"/>
    </w:pPr>
    <w:rPr>
      <w:rFonts w:cs="宋体"/>
      <w:color w:val="000000"/>
      <w:szCs w:val="20"/>
    </w:rPr>
  </w:style>
  <w:style w:type="paragraph" w:customStyle="1" w:styleId="4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8">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69">
    <w:name w:val="Char1"/>
    <w:basedOn w:val="1"/>
    <w:qFormat/>
    <w:uiPriority w:val="0"/>
    <w:rPr>
      <w:rFonts w:ascii="仿宋_GB2312" w:eastAsia="仿宋_GB2312"/>
      <w:b/>
      <w:sz w:val="32"/>
      <w:szCs w:val="32"/>
    </w:rPr>
  </w:style>
  <w:style w:type="paragraph" w:customStyle="1" w:styleId="470">
    <w:name w:val="样式 4 + 居中 段前: 0 磅 段后: 0 磅 行距: 单倍行距"/>
    <w:basedOn w:val="104"/>
    <w:next w:val="5"/>
    <w:qFormat/>
    <w:uiPriority w:val="0"/>
    <w:pPr>
      <w:spacing w:before="0" w:after="0" w:line="240" w:lineRule="auto"/>
      <w:jc w:val="center"/>
    </w:pPr>
    <w:rPr>
      <w:rFonts w:cs="宋体"/>
      <w:szCs w:val="20"/>
    </w:rPr>
  </w:style>
  <w:style w:type="paragraph" w:customStyle="1" w:styleId="471">
    <w:name w:val="样式 4 + 宋体 小三 黑色 两端对齐 段前: 0 磅 段后: 0 磅 行距: 单倍行距"/>
    <w:basedOn w:val="104"/>
    <w:next w:val="5"/>
    <w:qFormat/>
    <w:uiPriority w:val="0"/>
    <w:pPr>
      <w:spacing w:before="0" w:after="0" w:line="240" w:lineRule="auto"/>
      <w:jc w:val="both"/>
    </w:pPr>
    <w:rPr>
      <w:rFonts w:ascii="宋体" w:hAnsi="宋体" w:cs="宋体"/>
      <w:color w:val="000000"/>
      <w:sz w:val="30"/>
      <w:szCs w:val="20"/>
    </w:rPr>
  </w:style>
  <w:style w:type="paragraph" w:customStyle="1" w:styleId="47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3">
    <w:name w:val="样式 样式 标题 3 + (中文) 黑体 小四 非加粗 段前: 7.8 磅 段后: 0 磅 行距: 固定值 20 磅 + 黑色..."/>
    <w:basedOn w:val="382"/>
    <w:next w:val="104"/>
    <w:qFormat/>
    <w:uiPriority w:val="0"/>
    <w:pPr>
      <w:ind w:firstLine="480"/>
    </w:pPr>
    <w:rPr>
      <w:color w:val="000000"/>
    </w:rPr>
  </w:style>
  <w:style w:type="paragraph" w:customStyle="1" w:styleId="474">
    <w:name w:val="TOC 标题1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475">
    <w:name w:val="简单回函地址"/>
    <w:basedOn w:val="1"/>
    <w:qFormat/>
    <w:uiPriority w:val="0"/>
    <w:rPr>
      <w:rFonts w:ascii="仿宋_GB2312" w:hAnsi="宋体" w:eastAsia="仿宋_GB2312"/>
      <w:bCs/>
      <w:sz w:val="30"/>
      <w:szCs w:val="20"/>
    </w:rPr>
  </w:style>
  <w:style w:type="paragraph" w:customStyle="1" w:styleId="4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7">
    <w:name w:val="样式 4 + 段前: 0 磅 段后: 0 磅 行距: 单倍行距1"/>
    <w:basedOn w:val="104"/>
    <w:next w:val="5"/>
    <w:qFormat/>
    <w:uiPriority w:val="0"/>
    <w:pPr>
      <w:spacing w:before="0" w:after="0" w:line="240" w:lineRule="auto"/>
    </w:pPr>
    <w:rPr>
      <w:rFonts w:cs="宋体"/>
      <w:szCs w:val="20"/>
    </w:rPr>
  </w:style>
  <w:style w:type="paragraph" w:customStyle="1" w:styleId="478">
    <w:name w:val="文件标题"/>
    <w:basedOn w:val="1"/>
    <w:qFormat/>
    <w:uiPriority w:val="0"/>
    <w:pPr>
      <w:jc w:val="center"/>
    </w:pPr>
    <w:rPr>
      <w:b/>
      <w:sz w:val="36"/>
      <w:szCs w:val="20"/>
    </w:rPr>
  </w:style>
  <w:style w:type="paragraph" w:customStyle="1" w:styleId="479">
    <w:name w:val="2 Char Char Char Char Char Char Char Char Char Char Char Char1 Char"/>
    <w:basedOn w:val="1"/>
    <w:qFormat/>
    <w:uiPriority w:val="0"/>
    <w:pPr>
      <w:spacing w:line="360" w:lineRule="auto"/>
      <w:ind w:firstLine="200" w:firstLineChars="200"/>
    </w:pPr>
  </w:style>
  <w:style w:type="paragraph" w:customStyle="1" w:styleId="480">
    <w:name w:val="菲页(卷)"/>
    <w:basedOn w:val="2"/>
    <w:next w:val="481"/>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2">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5">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6">
    <w:name w:val="样式 标题 4 + 小四 首行缩进:  2 字符"/>
    <w:basedOn w:val="5"/>
    <w:next w:val="6"/>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7">
    <w:name w:val="表"/>
    <w:basedOn w:val="1"/>
    <w:qFormat/>
    <w:uiPriority w:val="0"/>
    <w:pPr>
      <w:spacing w:line="300" w:lineRule="auto"/>
    </w:pPr>
    <w:rPr>
      <w:color w:val="000000"/>
      <w:szCs w:val="21"/>
    </w:rPr>
  </w:style>
  <w:style w:type="table" w:customStyle="1" w:styleId="488">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8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490">
    <w:name w:val="WPSOffice手动目录 1"/>
    <w:qFormat/>
    <w:uiPriority w:val="0"/>
    <w:rPr>
      <w:rFonts w:ascii="Times New Roman" w:hAnsi="Times New Roman" w:eastAsia="宋体" w:cs="Times New Roman"/>
      <w:lang w:val="en-US" w:eastAsia="zh-CN" w:bidi="ar-SA"/>
    </w:rPr>
  </w:style>
  <w:style w:type="paragraph" w:customStyle="1" w:styleId="4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3">
    <w:name w:val="Normal_0"/>
    <w:qFormat/>
    <w:uiPriority w:val="0"/>
    <w:pPr>
      <w:widowControl w:val="0"/>
    </w:pPr>
    <w:rPr>
      <w:rFonts w:ascii="Calibri" w:hAnsi="Calibri" w:eastAsia="PMingLiU" w:cs="Times New Roman"/>
      <w:kern w:val="2"/>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101</Pages>
  <Words>28662</Words>
  <Characters>31594</Characters>
  <Lines>165</Lines>
  <Paragraphs>164</Paragraphs>
  <TotalTime>14</TotalTime>
  <ScaleCrop>false</ScaleCrop>
  <LinksUpToDate>false</LinksUpToDate>
  <CharactersWithSpaces>32061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2024-07-18T09:27:00Z</dcterms:created>
  <dc:creator>NTKO</dc:creator>
  <cp:lastModifiedBy>NTKO</cp:lastModifiedBy>
  <cp:lastPrinted>2025-07-31T06:51:36Z</cp:lastPrinted>
  <dcterms:modified xsi:type="dcterms:W3CDTF">2025-07-31T06:51:46Z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4536028FA2BA4F6EA164E95AAB6CE235_13</vt:lpwstr>
  </property>
  <property fmtid="{D5CDD505-2E9C-101B-9397-08002B2CF9AE}" pid="4" name="commondata">
    <vt:lpwstr>eyJoZGlkIjoiNmI0ZWI0N2Y0ZjU5YzVjZThmOGM0OTdjZGU1NTliN2QifQ==</vt:lpwstr>
  </property>
  <property fmtid="{D5CDD505-2E9C-101B-9397-08002B2CF9AE}" pid="5" name="KSOTemplateDocerSaveRecord">
    <vt:lpwstr>eyJoZGlkIjoiOThlZGFlMTllMTk4ODVhYzRlNDQ3M2QyNTNlNGMxOWIiLCJ1c2VySWQiOiIxNjg4MDQzMDI3In0=</vt:lpwstr>
  </property>
</Properties>
</file>