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ED49B">
      <w:pPr>
        <w:pStyle w:val="3"/>
        <w:jc w:val="center"/>
        <w:outlineLvl w:val="0"/>
        <w:rPr>
          <w:rFonts w:hint="eastAsia" w:ascii="Times New Roman" w:hAnsi="Times New Roman" w:eastAsia="宋体" w:cs="Times New Roman"/>
          <w:b/>
          <w:sz w:val="36"/>
        </w:rPr>
      </w:pPr>
      <w:bookmarkStart w:id="4" w:name="_GoBack"/>
      <w:r>
        <w:rPr>
          <w:rFonts w:ascii="Times New Roman" w:hAnsi="Times New Roman" w:eastAsia="宋体" w:cs="Times New Roman"/>
          <w:b/>
          <w:sz w:val="36"/>
        </w:rPr>
        <w:t xml:space="preserve"> </w:t>
      </w:r>
      <w:r>
        <w:rPr>
          <w:rFonts w:hint="eastAsia" w:ascii="Times New Roman" w:hAnsi="Times New Roman" w:eastAsia="宋体" w:cs="Times New Roman"/>
          <w:b/>
          <w:sz w:val="36"/>
        </w:rPr>
        <w:t>采购需求</w:t>
      </w:r>
    </w:p>
    <w:bookmarkEnd w:id="4"/>
    <w:p w14:paraId="4F562082">
      <w:pPr>
        <w:adjustRightInd w:val="0"/>
        <w:spacing w:line="340" w:lineRule="exact"/>
        <w:rPr>
          <w:rFonts w:ascii="Times New Roman" w:hAnsi="宋体" w:eastAsia="宋体" w:cs="Times New Roman"/>
          <w:b/>
          <w:szCs w:val="21"/>
        </w:rPr>
      </w:pPr>
    </w:p>
    <w:p w14:paraId="2541A9D0">
      <w:pPr>
        <w:adjustRightInd w:val="0"/>
        <w:spacing w:line="360" w:lineRule="exact"/>
        <w:rPr>
          <w:rFonts w:hint="eastAsia" w:ascii="Times New Roman" w:hAnsi="宋体" w:eastAsia="宋体" w:cs="Times New Roman"/>
          <w:b/>
          <w:szCs w:val="21"/>
        </w:rPr>
      </w:pPr>
      <w:r>
        <w:rPr>
          <w:rFonts w:hint="eastAsia" w:ascii="Times New Roman" w:hAnsi="宋体" w:eastAsia="宋体" w:cs="Times New Roman"/>
          <w:b/>
          <w:szCs w:val="21"/>
        </w:rPr>
        <w:t>说明：</w:t>
      </w:r>
    </w:p>
    <w:p w14:paraId="38C139EA">
      <w:pPr>
        <w:spacing w:line="360" w:lineRule="exact"/>
        <w:ind w:firstLine="420" w:firstLineChars="200"/>
        <w:jc w:val="left"/>
        <w:rPr>
          <w:rFonts w:hint="eastAsia" w:ascii="宋体" w:hAnsi="宋体" w:eastAsia="宋体" w:cs="宋体"/>
          <w:szCs w:val="21"/>
        </w:rPr>
      </w:pPr>
      <w:r>
        <w:rPr>
          <w:rFonts w:hint="eastAsia" w:ascii="宋体" w:hAnsi="宋体" w:eastAsia="宋体" w:cs="Times New Roman"/>
        </w:rPr>
        <w:t>1</w:t>
      </w:r>
      <w:r>
        <w:rPr>
          <w:rFonts w:ascii="宋体" w:hAnsi="宋体" w:eastAsia="宋体" w:cs="Times New Roman"/>
        </w:rPr>
        <w:t>.</w:t>
      </w:r>
      <w:r>
        <w:rPr>
          <w:rFonts w:hint="eastAsia" w:ascii="宋体" w:hAnsi="宋体" w:eastAsia="宋体" w:cs="Times New Roman"/>
        </w:rPr>
        <w:t>为落实政府采购政策需满足的要求</w:t>
      </w:r>
    </w:p>
    <w:p w14:paraId="7159435B">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本招标文件所称中小企业必须符合《政府采购促进中小企业发展管理办法》（财库〔2020〕46号）的规定。</w:t>
      </w:r>
    </w:p>
    <w:p w14:paraId="5B8E081F">
      <w:pPr>
        <w:spacing w:line="360" w:lineRule="exact"/>
        <w:ind w:firstLine="424" w:firstLineChars="202"/>
        <w:jc w:val="left"/>
        <w:rPr>
          <w:rFonts w:hint="eastAsia" w:ascii="宋体" w:hAnsi="宋体" w:eastAsia="宋体" w:cs="宋体"/>
          <w:b/>
          <w:szCs w:val="21"/>
        </w:rPr>
      </w:pPr>
      <w:r>
        <w:rPr>
          <w:rFonts w:hint="eastAsia" w:ascii="宋体" w:hAnsi="宋体" w:eastAsia="宋体" w:cs="宋体"/>
          <w:szCs w:val="21"/>
        </w:rPr>
        <w:t>2.“实质性要求”是指招标文件中已经指明不满足则投标无效的条款，或者不能负偏离的条款，或者采购需求中带“▲”的条款。下表</w:t>
      </w:r>
      <w:r>
        <w:rPr>
          <w:rFonts w:hint="eastAsia" w:ascii="宋体" w:hAnsi="宋体" w:eastAsia="宋体" w:cs="宋体"/>
          <w:b/>
          <w:szCs w:val="21"/>
        </w:rPr>
        <w:t>中凡标注“▲”的参数或要求，不响应或不满足或不符合要求的，投标文件即作投标无效处理。</w:t>
      </w:r>
    </w:p>
    <w:p w14:paraId="427F0C93">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3.不需要投标人对采购需求响应为具体数值的，此采购需求的数值后将以◆号标注。</w:t>
      </w:r>
    </w:p>
    <w:p w14:paraId="6525CE85">
      <w:pPr>
        <w:spacing w:line="360" w:lineRule="exact"/>
        <w:ind w:firstLine="420" w:firstLineChars="200"/>
        <w:jc w:val="left"/>
        <w:rPr>
          <w:rFonts w:ascii="宋体" w:hAnsi="宋体" w:eastAsia="宋体" w:cs="Times New Roman"/>
        </w:rPr>
      </w:pPr>
      <w:r>
        <w:rPr>
          <w:rFonts w:ascii="宋体" w:hAnsi="宋体" w:eastAsia="宋体" w:cs="宋体"/>
          <w:szCs w:val="21"/>
        </w:rPr>
        <w:t>4</w:t>
      </w:r>
      <w:r>
        <w:rPr>
          <w:rFonts w:hint="eastAsia" w:ascii="宋体" w:hAnsi="宋体" w:eastAsia="宋体" w:cs="宋体"/>
          <w:szCs w:val="21"/>
        </w:rPr>
        <w:t>.</w:t>
      </w:r>
      <w:r>
        <w:rPr>
          <w:rFonts w:hint="eastAsia" w:ascii="宋体" w:hAnsi="宋体" w:eastAsia="宋体" w:cs="Times New Roman"/>
        </w:rPr>
        <w:t>如投标人投标</w:t>
      </w:r>
      <w:r>
        <w:rPr>
          <w:rFonts w:ascii="宋体" w:hAnsi="宋体" w:eastAsia="宋体" w:cs="Times New Roman"/>
        </w:rPr>
        <w:t>产品</w:t>
      </w:r>
      <w:r>
        <w:rPr>
          <w:rFonts w:hint="eastAsia" w:ascii="宋体" w:hAnsi="宋体" w:eastAsia="宋体" w:cs="Times New Roman"/>
        </w:rPr>
        <w:t>存在</w:t>
      </w:r>
      <w:r>
        <w:rPr>
          <w:rFonts w:ascii="宋体" w:hAnsi="宋体" w:eastAsia="宋体" w:cs="Times New Roman"/>
        </w:rPr>
        <w:t>侵犯</w:t>
      </w:r>
      <w:r>
        <w:rPr>
          <w:rFonts w:hint="eastAsia" w:ascii="宋体" w:hAnsi="宋体" w:eastAsia="宋体" w:cs="Times New Roman"/>
        </w:rPr>
        <w:t>他人的知识产权或者专利成果行为的，应</w:t>
      </w:r>
      <w:r>
        <w:rPr>
          <w:rFonts w:ascii="宋体" w:hAnsi="宋体" w:eastAsia="宋体" w:cs="Times New Roman"/>
        </w:rPr>
        <w:t>承担相应法律责任</w:t>
      </w:r>
      <w:r>
        <w:rPr>
          <w:rFonts w:hint="eastAsia" w:ascii="宋体" w:hAnsi="宋体" w:eastAsia="宋体" w:cs="Times New Roman"/>
        </w:rPr>
        <w:t>。</w:t>
      </w:r>
    </w:p>
    <w:p w14:paraId="67F70723">
      <w:pPr>
        <w:spacing w:line="360" w:lineRule="exact"/>
        <w:ind w:firstLine="422" w:firstLineChars="200"/>
        <w:rPr>
          <w:rFonts w:ascii="宋体" w:hAnsi="宋体" w:eastAsia="宋体" w:cs="Times New Roman"/>
          <w:b/>
          <w:szCs w:val="21"/>
        </w:rPr>
      </w:pPr>
      <w:r>
        <w:rPr>
          <w:rFonts w:hint="eastAsia" w:ascii="宋体" w:hAnsi="宋体" w:eastAsia="宋体" w:cs="Times New Roman"/>
          <w:b/>
          <w:szCs w:val="21"/>
        </w:rPr>
        <w:t>5.本需求一览表中内容如与第五章“拟签订的合同文本”相关条款不一致的，以本表为准。</w:t>
      </w:r>
    </w:p>
    <w:p w14:paraId="11E585D2">
      <w:pPr>
        <w:spacing w:line="360" w:lineRule="exact"/>
        <w:ind w:firstLine="422" w:firstLineChars="200"/>
        <w:jc w:val="left"/>
        <w:rPr>
          <w:rFonts w:hint="eastAsia" w:ascii="宋体" w:hAnsi="宋体" w:eastAsia="宋体" w:cs="Times New Roman"/>
          <w:b/>
          <w:szCs w:val="21"/>
          <w:u w:val="single"/>
        </w:rPr>
      </w:pPr>
      <w:r>
        <w:rPr>
          <w:rFonts w:hint="eastAsia" w:ascii="宋体" w:hAnsi="宋体" w:eastAsia="宋体" w:cs="Times New Roman"/>
          <w:b/>
          <w:szCs w:val="21"/>
        </w:rPr>
        <w:t>6.</w:t>
      </w:r>
      <w:r>
        <w:rPr>
          <w:rFonts w:hint="eastAsia" w:ascii="宋体" w:hAnsi="宋体" w:eastAsia="宋体" w:cs="Times New Roman"/>
          <w:b/>
          <w:szCs w:val="21"/>
          <w:u w:val="single"/>
        </w:rPr>
        <w:t>本项目采购需求表中要求提供的文件材料或承诺书，请在《商务条款偏离表》或《服务需求、技术需求偏离表》中应答时，注明相关文件材料或承诺书放置的页码。</w:t>
      </w:r>
    </w:p>
    <w:p w14:paraId="349FEDFB">
      <w:pPr>
        <w:spacing w:line="360" w:lineRule="exact"/>
        <w:ind w:firstLine="420" w:firstLineChars="200"/>
        <w:jc w:val="left"/>
        <w:rPr>
          <w:rFonts w:ascii="Times New Roman" w:hAnsi="Times New Roman" w:eastAsia="宋体" w:cs="Times New Roman"/>
        </w:rPr>
      </w:pPr>
      <w:r>
        <w:rPr>
          <w:rFonts w:hint="eastAsia" w:ascii="宋体" w:hAnsi="宋体" w:eastAsia="宋体" w:cs="Times New Roman"/>
          <w:szCs w:val="21"/>
        </w:rPr>
        <w:t>7.</w:t>
      </w:r>
      <w:r>
        <w:rPr>
          <w:rFonts w:hint="eastAsia" w:ascii="宋体" w:hAnsi="宋体" w:eastAsia="宋体" w:cs="Times New Roman"/>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370A623E">
      <w:pPr>
        <w:spacing w:line="360" w:lineRule="auto"/>
        <w:ind w:firstLine="424" w:firstLineChars="202"/>
        <w:jc w:val="left"/>
        <w:rPr>
          <w:rFonts w:hint="eastAsia" w:ascii="宋体" w:hAnsi="宋体" w:eastAsia="宋体" w:cs="宋体"/>
          <w:szCs w:val="21"/>
        </w:rPr>
      </w:pPr>
    </w:p>
    <w:tbl>
      <w:tblPr>
        <w:tblStyle w:val="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95"/>
        <w:gridCol w:w="384"/>
        <w:gridCol w:w="567"/>
        <w:gridCol w:w="5103"/>
        <w:gridCol w:w="992"/>
        <w:gridCol w:w="1090"/>
      </w:tblGrid>
      <w:tr w14:paraId="4BDC5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69B4E363">
            <w:pPr>
              <w:spacing w:line="340" w:lineRule="exact"/>
              <w:jc w:val="center"/>
              <w:rPr>
                <w:rFonts w:hint="eastAsia" w:ascii="宋体" w:hAnsi="宋体" w:eastAsia="宋体" w:cs="宋体"/>
                <w:szCs w:val="21"/>
              </w:rPr>
            </w:pPr>
            <w:r>
              <w:rPr>
                <w:rFonts w:hint="eastAsia" w:ascii="宋体" w:hAnsi="宋体" w:eastAsia="宋体" w:cs="Arial"/>
                <w:szCs w:val="21"/>
              </w:rPr>
              <w:t>服务需求一览表</w:t>
            </w:r>
          </w:p>
        </w:tc>
      </w:tr>
      <w:tr w14:paraId="0E0CD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3"/>
            <w:tcBorders>
              <w:top w:val="single" w:color="auto" w:sz="4" w:space="0"/>
              <w:left w:val="single" w:color="auto" w:sz="4" w:space="0"/>
              <w:right w:val="single" w:color="auto" w:sz="4" w:space="0"/>
            </w:tcBorders>
            <w:noWrap w:val="0"/>
            <w:vAlign w:val="center"/>
          </w:tcPr>
          <w:p w14:paraId="499FC9E2">
            <w:pPr>
              <w:spacing w:line="340" w:lineRule="exact"/>
              <w:jc w:val="center"/>
              <w:rPr>
                <w:rFonts w:hint="eastAsia" w:ascii="宋体" w:hAnsi="宋体" w:eastAsia="宋体" w:cs="Arial"/>
                <w:b/>
                <w:szCs w:val="21"/>
              </w:rPr>
            </w:pPr>
            <w:r>
              <w:rPr>
                <w:rFonts w:hint="eastAsia" w:ascii="宋体" w:hAnsi="宋体" w:eastAsia="宋体" w:cs="Arial"/>
                <w:b/>
                <w:szCs w:val="21"/>
              </w:rPr>
              <w:t>标段</w:t>
            </w:r>
          </w:p>
        </w:tc>
        <w:tc>
          <w:tcPr>
            <w:tcW w:w="8136" w:type="dxa"/>
            <w:gridSpan w:val="5"/>
            <w:tcBorders>
              <w:top w:val="single" w:color="auto" w:sz="4" w:space="0"/>
              <w:left w:val="single" w:color="auto" w:sz="4" w:space="0"/>
              <w:right w:val="single" w:color="auto" w:sz="4" w:space="0"/>
            </w:tcBorders>
            <w:noWrap w:val="0"/>
            <w:vAlign w:val="center"/>
          </w:tcPr>
          <w:p w14:paraId="5594DB67">
            <w:pPr>
              <w:spacing w:line="340" w:lineRule="exact"/>
              <w:jc w:val="left"/>
              <w:rPr>
                <w:rFonts w:hint="eastAsia" w:ascii="宋体" w:hAnsi="宋体" w:eastAsia="宋体" w:cs="Times New Roman"/>
                <w:b/>
                <w:bCs/>
                <w:szCs w:val="21"/>
              </w:rPr>
            </w:pPr>
            <w:r>
              <w:rPr>
                <w:rFonts w:hint="eastAsia" w:ascii="宋体" w:hAnsi="宋体" w:eastAsia="宋体" w:cs="Times New Roman"/>
                <w:b/>
                <w:bCs/>
                <w:szCs w:val="21"/>
              </w:rPr>
              <w:t>分标1</w:t>
            </w:r>
          </w:p>
        </w:tc>
      </w:tr>
      <w:tr w14:paraId="4C76A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726D6120">
            <w:pPr>
              <w:spacing w:line="340" w:lineRule="exact"/>
              <w:jc w:val="center"/>
              <w:rPr>
                <w:rFonts w:hint="eastAsia" w:ascii="宋体" w:hAnsi="宋体" w:eastAsia="宋体" w:cs="宋体"/>
                <w:szCs w:val="21"/>
              </w:rPr>
            </w:pPr>
            <w:r>
              <w:rPr>
                <w:rFonts w:hint="eastAsia" w:ascii="宋体" w:hAnsi="宋体" w:eastAsia="宋体" w:cs="宋体"/>
                <w:szCs w:val="21"/>
              </w:rPr>
              <w:t>采购清单及服务参数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54DE58">
            <w:pPr>
              <w:spacing w:line="340" w:lineRule="exact"/>
              <w:jc w:val="center"/>
              <w:rPr>
                <w:rFonts w:ascii="宋体" w:hAnsi="宋体" w:eastAsia="宋体" w:cs="宋体"/>
                <w:szCs w:val="21"/>
              </w:rPr>
            </w:pPr>
            <w:r>
              <w:rPr>
                <w:rFonts w:hint="eastAsia" w:ascii="宋体" w:hAnsi="宋体" w:eastAsia="宋体" w:cs="宋体"/>
                <w:szCs w:val="21"/>
              </w:rPr>
              <w:t>序号</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FA415ED">
            <w:pPr>
              <w:spacing w:line="340" w:lineRule="exact"/>
              <w:jc w:val="center"/>
              <w:rPr>
                <w:rFonts w:ascii="宋体" w:hAnsi="宋体" w:eastAsia="宋体" w:cs="宋体"/>
                <w:szCs w:val="21"/>
              </w:rPr>
            </w:pPr>
            <w:r>
              <w:rPr>
                <w:rFonts w:hint="eastAsia" w:ascii="宋体" w:hAnsi="宋体" w:eastAsia="宋体" w:cs="Times New Roman"/>
                <w:szCs w:val="21"/>
              </w:rPr>
              <w:t>标的名称</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DF50A37">
            <w:pPr>
              <w:spacing w:line="340" w:lineRule="exact"/>
              <w:jc w:val="center"/>
              <w:rPr>
                <w:rFonts w:ascii="宋体" w:hAnsi="宋体" w:eastAsia="宋体" w:cs="宋体"/>
                <w:szCs w:val="21"/>
              </w:rPr>
            </w:pPr>
            <w:r>
              <w:rPr>
                <w:rFonts w:hint="eastAsia" w:ascii="宋体" w:hAnsi="宋体" w:eastAsia="宋体" w:cs="宋体"/>
                <w:szCs w:val="21"/>
              </w:rPr>
              <w:t>数量单位</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41BFAE7D">
            <w:pPr>
              <w:spacing w:line="340" w:lineRule="exact"/>
              <w:jc w:val="center"/>
              <w:rPr>
                <w:rFonts w:hint="eastAsia" w:ascii="宋体" w:hAnsi="宋体" w:eastAsia="宋体" w:cs="宋体"/>
                <w:szCs w:val="21"/>
              </w:rPr>
            </w:pPr>
            <w:r>
              <w:rPr>
                <w:rFonts w:hint="eastAsia" w:ascii="宋体" w:hAnsi="宋体" w:eastAsia="宋体" w:cs="宋体"/>
                <w:szCs w:val="21"/>
              </w:rPr>
              <w:t>技术服务要求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9DC96FC">
            <w:pPr>
              <w:spacing w:line="340" w:lineRule="exact"/>
              <w:jc w:val="center"/>
              <w:rPr>
                <w:rFonts w:ascii="宋体" w:hAnsi="宋体" w:eastAsia="宋体" w:cs="宋体"/>
                <w:szCs w:val="21"/>
              </w:rPr>
            </w:pPr>
            <w:r>
              <w:rPr>
                <w:rFonts w:hint="eastAsia" w:ascii="宋体" w:hAnsi="宋体" w:eastAsia="宋体" w:cs="宋体"/>
                <w:szCs w:val="21"/>
              </w:rPr>
              <w:t>分项预算（万元）</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6003DB5">
            <w:pPr>
              <w:spacing w:line="340" w:lineRule="exact"/>
              <w:jc w:val="center"/>
              <w:rPr>
                <w:rFonts w:hint="eastAsia" w:ascii="宋体" w:hAnsi="宋体" w:eastAsia="宋体" w:cs="宋体"/>
                <w:szCs w:val="21"/>
              </w:rPr>
            </w:pPr>
            <w:r>
              <w:rPr>
                <w:rFonts w:hint="eastAsia" w:ascii="宋体" w:hAnsi="宋体" w:eastAsia="宋体" w:cs="Times New Roman"/>
                <w:szCs w:val="21"/>
              </w:rPr>
              <w:t>中小企业划分标准所属行业名称（行业名称及划分见本章其他附件2）</w:t>
            </w:r>
          </w:p>
        </w:tc>
      </w:tr>
      <w:tr w14:paraId="6E87B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EB0BF79">
            <w:pPr>
              <w:spacing w:line="340" w:lineRule="exact"/>
              <w:jc w:val="center"/>
              <w:rPr>
                <w:rFonts w:hint="eastAsia" w:ascii="宋体" w:hAnsi="宋体" w:eastAsia="宋体" w:cs="Times New Roman"/>
                <w:bCs/>
                <w:szCs w:val="21"/>
              </w:rPr>
            </w:pPr>
            <w:bookmarkStart w:id="0" w:name="OLE_LINK14" w:colFirst="3" w:colLast="68"/>
            <w:bookmarkStart w:id="1" w:name="OLE_LINK15" w:colFirst="3" w:colLast="68"/>
            <w:bookmarkStart w:id="2" w:name="_Hlk176962364"/>
          </w:p>
        </w:tc>
        <w:tc>
          <w:tcPr>
            <w:tcW w:w="545" w:type="dxa"/>
            <w:tcBorders>
              <w:top w:val="single" w:color="auto" w:sz="4" w:space="0"/>
              <w:left w:val="single" w:color="auto" w:sz="4" w:space="0"/>
              <w:bottom w:val="single" w:color="auto" w:sz="4" w:space="0"/>
              <w:right w:val="single" w:color="auto" w:sz="4" w:space="0"/>
            </w:tcBorders>
            <w:noWrap w:val="0"/>
            <w:vAlign w:val="center"/>
          </w:tcPr>
          <w:p w14:paraId="78AFEDF1">
            <w:pPr>
              <w:spacing w:line="340" w:lineRule="exact"/>
              <w:jc w:val="center"/>
              <w:rPr>
                <w:rFonts w:ascii="宋体" w:hAnsi="宋体" w:eastAsia="宋体" w:cs="Times New Roman"/>
                <w:szCs w:val="21"/>
              </w:rPr>
            </w:pPr>
            <w:r>
              <w:rPr>
                <w:rFonts w:hint="eastAsia" w:ascii="宋体" w:hAnsi="宋体" w:eastAsia="宋体" w:cs="Times New Roman"/>
                <w:szCs w:val="21"/>
              </w:rPr>
              <w:t>1</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59BA9712">
            <w:pPr>
              <w:wordWrap w:val="0"/>
              <w:spacing w:line="360" w:lineRule="exact"/>
              <w:jc w:val="center"/>
              <w:rPr>
                <w:rFonts w:ascii="宋体" w:hAnsi="宋体" w:eastAsia="宋体" w:cs="Times New Roman"/>
                <w:szCs w:val="21"/>
              </w:rPr>
            </w:pPr>
            <w:r>
              <w:rPr>
                <w:rFonts w:hint="eastAsia" w:ascii="宋体" w:hAnsi="宋体" w:eastAsia="宋体" w:cs="Times New Roman"/>
                <w:szCs w:val="21"/>
              </w:rPr>
              <w:t>应用软件及业务系统维护服务</w:t>
            </w:r>
          </w:p>
        </w:tc>
        <w:tc>
          <w:tcPr>
            <w:tcW w:w="567" w:type="dxa"/>
            <w:tcBorders>
              <w:top w:val="single" w:color="auto" w:sz="4" w:space="0"/>
              <w:left w:val="single" w:color="auto" w:sz="4" w:space="0"/>
              <w:right w:val="single" w:color="auto" w:sz="4" w:space="0"/>
            </w:tcBorders>
            <w:noWrap w:val="0"/>
            <w:vAlign w:val="center"/>
          </w:tcPr>
          <w:p w14:paraId="32FEE0F9">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1项</w:t>
            </w:r>
          </w:p>
        </w:tc>
        <w:tc>
          <w:tcPr>
            <w:tcW w:w="5103" w:type="dxa"/>
            <w:tcBorders>
              <w:top w:val="single" w:color="auto" w:sz="4" w:space="0"/>
              <w:left w:val="single" w:color="auto" w:sz="4" w:space="0"/>
              <w:right w:val="single" w:color="auto" w:sz="4" w:space="0"/>
            </w:tcBorders>
            <w:noWrap w:val="0"/>
            <w:vAlign w:val="center"/>
          </w:tcPr>
          <w:p w14:paraId="7A3E5230">
            <w:pPr>
              <w:pStyle w:val="8"/>
              <w:ind w:firstLine="422"/>
              <w:rPr>
                <w:rFonts w:hint="eastAsia" w:ascii="Times New Roman" w:hAnsi="Times New Roman" w:eastAsia="宋体" w:cs="Times New Roman"/>
                <w:b/>
              </w:rPr>
            </w:pPr>
            <w:r>
              <w:rPr>
                <w:rFonts w:hint="eastAsia" w:ascii="Times New Roman" w:hAnsi="Times New Roman" w:eastAsia="宋体" w:cs="Times New Roman"/>
                <w:b/>
              </w:rPr>
              <w:t>一、应用软件维护服务要求：</w:t>
            </w:r>
          </w:p>
          <w:p w14:paraId="70900149">
            <w:pPr>
              <w:pStyle w:val="8"/>
              <w:rPr>
                <w:rFonts w:hint="eastAsia" w:ascii="Times New Roman" w:hAnsi="Times New Roman" w:eastAsia="宋体" w:cs="Times New Roman"/>
              </w:rPr>
            </w:pPr>
            <w:r>
              <w:rPr>
                <w:rFonts w:hint="eastAsia" w:ascii="Times New Roman" w:hAnsi="Times New Roman" w:eastAsia="宋体" w:cs="Times New Roman"/>
              </w:rPr>
              <w:t>▲1.提供不少于1名驻点维护人员，要求工作时间与采购人同步，熟悉windows、linux操作系统的管理维护及Oracle数据的管理维护，投标文件中需提供截标前半年内任意1个月缴纳的社保证明、或劳动合同、或供应商为其发放工资的银行流水证明、或供应商代缴其个人所得税证明。</w:t>
            </w:r>
          </w:p>
          <w:p w14:paraId="3312641D">
            <w:pPr>
              <w:pStyle w:val="8"/>
              <w:rPr>
                <w:rFonts w:hint="eastAsia" w:ascii="Times New Roman" w:hAnsi="Times New Roman" w:eastAsia="宋体" w:cs="Times New Roman"/>
              </w:rPr>
            </w:pPr>
            <w:r>
              <w:rPr>
                <w:rFonts w:hint="eastAsia" w:ascii="Times New Roman" w:hAnsi="Times New Roman" w:eastAsia="宋体" w:cs="Times New Roman"/>
              </w:rPr>
              <w:t>▲2.提供每月不少于一次的定期健康检查服务，检查系统运行状态，检查系统错误记录、系统日志文件、以及系统资源使用率等，分析系统存在的隐患，提出解决方案和措施。同时提供一年一次现场灾备演练，要求操作人员精通Windows和Linux操作系统的安装维护和安全策略设置。</w:t>
            </w:r>
          </w:p>
          <w:p w14:paraId="6550F7DD">
            <w:pPr>
              <w:pStyle w:val="8"/>
              <w:rPr>
                <w:rFonts w:hint="eastAsia" w:ascii="Times New Roman" w:hAnsi="Times New Roman" w:eastAsia="宋体" w:cs="Times New Roman"/>
              </w:rPr>
            </w:pPr>
            <w:r>
              <w:rPr>
                <w:rFonts w:hint="eastAsia" w:ascii="Times New Roman" w:hAnsi="Times New Roman" w:eastAsia="宋体" w:cs="Times New Roman"/>
              </w:rPr>
              <w:t>3.当系统有新的版本、补丁、微码发布时，根据采购人的实际需求做好系统的快照及回滚测试后进行维护安装。</w:t>
            </w:r>
          </w:p>
          <w:p w14:paraId="7E7A94D3">
            <w:pPr>
              <w:pStyle w:val="8"/>
              <w:rPr>
                <w:rFonts w:hint="eastAsia" w:ascii="Times New Roman" w:hAnsi="Times New Roman" w:eastAsia="宋体" w:cs="Times New Roman"/>
              </w:rPr>
            </w:pPr>
            <w:r>
              <w:rPr>
                <w:rFonts w:hint="eastAsia" w:ascii="Times New Roman" w:hAnsi="Times New Roman" w:eastAsia="宋体" w:cs="Times New Roman"/>
              </w:rPr>
              <w:t>4.定期对基础系统安全漏洞，提出解决方案和措施。</w:t>
            </w:r>
          </w:p>
          <w:p w14:paraId="66AE032A">
            <w:pPr>
              <w:pStyle w:val="8"/>
              <w:rPr>
                <w:rFonts w:hint="eastAsia" w:ascii="Times New Roman" w:hAnsi="Times New Roman" w:eastAsia="宋体" w:cs="Times New Roman"/>
              </w:rPr>
            </w:pPr>
            <w:r>
              <w:rPr>
                <w:rFonts w:hint="eastAsia" w:ascii="Times New Roman" w:hAnsi="Times New Roman" w:eastAsia="宋体" w:cs="Times New Roman"/>
              </w:rPr>
              <w:t>5.定期分析系统性能，根据检查及分析结果，对系统的参数进行调整。</w:t>
            </w:r>
          </w:p>
          <w:p w14:paraId="79E1A715">
            <w:pPr>
              <w:pStyle w:val="8"/>
              <w:rPr>
                <w:rFonts w:hint="eastAsia" w:ascii="Times New Roman" w:hAnsi="Times New Roman" w:eastAsia="宋体" w:cs="Times New Roman"/>
              </w:rPr>
            </w:pPr>
            <w:r>
              <w:rPr>
                <w:rFonts w:hint="eastAsia" w:ascii="Times New Roman" w:hAnsi="Times New Roman" w:eastAsia="宋体" w:cs="Times New Roman"/>
              </w:rPr>
              <w:t>6.定期检查系统及数据库的备份情况并帮助采购人制定备份策略。</w:t>
            </w:r>
          </w:p>
          <w:p w14:paraId="5947D053">
            <w:pPr>
              <w:pStyle w:val="8"/>
              <w:rPr>
                <w:rFonts w:hint="eastAsia" w:ascii="Times New Roman" w:hAnsi="Times New Roman" w:eastAsia="宋体" w:cs="Times New Roman"/>
              </w:rPr>
            </w:pPr>
            <w:r>
              <w:rPr>
                <w:rFonts w:hint="eastAsia" w:ascii="Times New Roman" w:hAnsi="Times New Roman" w:eastAsia="宋体" w:cs="Times New Roman"/>
              </w:rPr>
              <w:t>7.协助用户加强对数据库的访问控制，最小化数据库账户使用权限，防止权限滥用。同时，协助管理员加强口令管理，使用高强度口令，删除系统默认账号口令等。启用数据库安全审计功能，并协助管理员完成日常检查工作。</w:t>
            </w:r>
          </w:p>
          <w:p w14:paraId="38F80C23">
            <w:pPr>
              <w:pStyle w:val="8"/>
              <w:rPr>
                <w:rFonts w:hint="eastAsia" w:ascii="Times New Roman" w:hAnsi="Times New Roman" w:eastAsia="宋体" w:cs="Times New Roman"/>
              </w:rPr>
            </w:pPr>
            <w:r>
              <w:rPr>
                <w:rFonts w:hint="eastAsia" w:ascii="Times New Roman" w:hAnsi="Times New Roman" w:eastAsia="宋体" w:cs="Times New Roman"/>
              </w:rPr>
              <w:t>8.在保障系统正常运行的基础上，提出对系统资源分配的合理优化的建议，定期检查操作系统中的系统设置和系统日志，以确认系统是否在正常的状态下运行，同时对系统运行过程中所产生的垃圾文件和日益膨胀的日志文件进行清理。如果系统运行出现异常，应协助采购人对服务器进行系统性能调整和系统优化，提高系统效率和安全性。</w:t>
            </w:r>
          </w:p>
          <w:p w14:paraId="55B6F94F">
            <w:pPr>
              <w:pStyle w:val="8"/>
              <w:rPr>
                <w:rFonts w:hint="eastAsia" w:ascii="Times New Roman" w:hAnsi="Times New Roman" w:eastAsia="宋体" w:cs="Times New Roman"/>
              </w:rPr>
            </w:pPr>
            <w:r>
              <w:rPr>
                <w:rFonts w:hint="eastAsia" w:ascii="Times New Roman" w:hAnsi="Times New Roman" w:eastAsia="宋体" w:cs="Times New Roman"/>
              </w:rPr>
              <w:t>9.定期或不定期地提供预防性巡检，及时发现故障的前兆，以提高数据库运维效率，同时完成数据库的系统参数、配置调优、补丁分发及安装服务等内容，并形成相关巡检报告。</w:t>
            </w:r>
          </w:p>
          <w:p w14:paraId="58981379">
            <w:pPr>
              <w:pStyle w:val="8"/>
              <w:rPr>
                <w:rFonts w:hint="eastAsia" w:ascii="Times New Roman" w:hAnsi="Times New Roman" w:eastAsia="宋体" w:cs="Times New Roman"/>
              </w:rPr>
            </w:pPr>
            <w:r>
              <w:rPr>
                <w:rFonts w:hint="eastAsia" w:ascii="Times New Roman" w:hAnsi="Times New Roman" w:eastAsia="宋体" w:cs="Times New Roman"/>
              </w:rPr>
              <w:t>10.在重大活动及国家法定节假日，针对设备各项功能进行检查，并提供重大活动的现场支持。</w:t>
            </w:r>
          </w:p>
          <w:p w14:paraId="169DACAB">
            <w:pPr>
              <w:pStyle w:val="8"/>
              <w:rPr>
                <w:rFonts w:hint="eastAsia" w:ascii="Times New Roman" w:hAnsi="Times New Roman" w:eastAsia="宋体" w:cs="Times New Roman"/>
              </w:rPr>
            </w:pPr>
            <w:r>
              <w:rPr>
                <w:rFonts w:hint="eastAsia" w:ascii="Times New Roman" w:hAnsi="Times New Roman" w:eastAsia="宋体" w:cs="Times New Roman"/>
              </w:rPr>
              <w:t>11.提供数据库和系统补丁维护服务。定期更新补丁库，对操作系统版本维护计划提供建议。</w:t>
            </w:r>
          </w:p>
          <w:p w14:paraId="7D905AFB">
            <w:pPr>
              <w:pStyle w:val="8"/>
              <w:ind w:firstLine="422"/>
              <w:rPr>
                <w:rFonts w:hint="eastAsia" w:ascii="Times New Roman" w:hAnsi="Times New Roman" w:eastAsia="宋体" w:cs="Times New Roman"/>
                <w:b/>
              </w:rPr>
            </w:pPr>
            <w:r>
              <w:rPr>
                <w:rFonts w:hint="eastAsia" w:ascii="Times New Roman" w:hAnsi="Times New Roman" w:eastAsia="宋体" w:cs="Times New Roman"/>
                <w:b/>
              </w:rPr>
              <w:t>二、业务系统及服务要求：</w:t>
            </w:r>
          </w:p>
          <w:p w14:paraId="084128C5">
            <w:pPr>
              <w:pStyle w:val="8"/>
              <w:rPr>
                <w:rFonts w:hint="eastAsia" w:ascii="Times New Roman" w:hAnsi="Times New Roman" w:eastAsia="宋体" w:cs="Times New Roman"/>
              </w:rPr>
            </w:pPr>
            <w:r>
              <w:rPr>
                <w:rFonts w:hint="eastAsia" w:ascii="Times New Roman" w:hAnsi="Times New Roman" w:eastAsia="宋体" w:cs="Times New Roman"/>
              </w:rPr>
              <w:t>▲1.支队发布库（oracle）</w:t>
            </w:r>
          </w:p>
          <w:p w14:paraId="2D7E2615">
            <w:pPr>
              <w:pStyle w:val="8"/>
              <w:rPr>
                <w:rFonts w:hint="eastAsia" w:ascii="Times New Roman" w:hAnsi="Times New Roman" w:eastAsia="宋体" w:cs="Times New Roman"/>
              </w:rPr>
            </w:pPr>
            <w:r>
              <w:rPr>
                <w:rFonts w:hint="eastAsia" w:ascii="Times New Roman" w:hAnsi="Times New Roman" w:eastAsia="宋体" w:cs="Times New Roman"/>
              </w:rPr>
              <w:t>（1）维护发布库正常运行，并保持与总队数据同步。</w:t>
            </w:r>
          </w:p>
          <w:p w14:paraId="1FB3A4E9">
            <w:pPr>
              <w:pStyle w:val="8"/>
              <w:rPr>
                <w:rFonts w:hint="eastAsia" w:ascii="Times New Roman" w:hAnsi="Times New Roman" w:eastAsia="宋体" w:cs="Times New Roman"/>
              </w:rPr>
            </w:pPr>
            <w:r>
              <w:rPr>
                <w:rFonts w:hint="eastAsia" w:ascii="Times New Roman" w:hAnsi="Times New Roman" w:eastAsia="宋体" w:cs="Times New Roman"/>
              </w:rPr>
              <w:t>（2）异常数据的处理、日常统计。</w:t>
            </w:r>
          </w:p>
          <w:p w14:paraId="43F5D406">
            <w:pPr>
              <w:pStyle w:val="8"/>
              <w:rPr>
                <w:rFonts w:hint="eastAsia" w:ascii="Times New Roman" w:hAnsi="Times New Roman" w:eastAsia="宋体" w:cs="Times New Roman"/>
              </w:rPr>
            </w:pPr>
            <w:r>
              <w:rPr>
                <w:rFonts w:hint="eastAsia" w:ascii="Times New Roman" w:hAnsi="Times New Roman" w:eastAsia="宋体" w:cs="Times New Roman"/>
              </w:rPr>
              <w:t>（3）每日检查日志文件，对异常进行处理，异常同步数据进行修订。</w:t>
            </w:r>
          </w:p>
          <w:p w14:paraId="5E75D932">
            <w:pPr>
              <w:pStyle w:val="8"/>
              <w:rPr>
                <w:rFonts w:hint="eastAsia" w:ascii="Times New Roman" w:hAnsi="Times New Roman" w:eastAsia="宋体" w:cs="Times New Roman"/>
              </w:rPr>
            </w:pPr>
            <w:r>
              <w:rPr>
                <w:rFonts w:hint="eastAsia" w:ascii="Times New Roman" w:hAnsi="Times New Roman" w:eastAsia="宋体" w:cs="Times New Roman"/>
              </w:rPr>
              <w:t>（4）根据要求增加、删除、修改视图、存储过程、触发器。</w:t>
            </w:r>
          </w:p>
          <w:p w14:paraId="27D70DF6">
            <w:pPr>
              <w:pStyle w:val="8"/>
              <w:rPr>
                <w:rFonts w:hint="eastAsia" w:ascii="Times New Roman" w:hAnsi="Times New Roman" w:eastAsia="宋体" w:cs="Times New Roman"/>
              </w:rPr>
            </w:pPr>
            <w:r>
              <w:rPr>
                <w:rFonts w:hint="eastAsia" w:ascii="Times New Roman" w:hAnsi="Times New Roman" w:eastAsia="宋体" w:cs="Times New Roman"/>
              </w:rPr>
              <w:t>（5）系统定期巡检，不少于每月一次检查OGG同步软件，数据库，操作系统健康状况。</w:t>
            </w:r>
          </w:p>
          <w:p w14:paraId="0459D958">
            <w:pPr>
              <w:pStyle w:val="8"/>
              <w:rPr>
                <w:rFonts w:ascii="Times New Roman" w:hAnsi="Times New Roman" w:eastAsia="宋体" w:cs="Times New Roman"/>
              </w:rPr>
            </w:pPr>
            <w:r>
              <w:rPr>
                <w:rFonts w:hint="eastAsia" w:ascii="Times New Roman" w:hAnsi="Times New Roman" w:eastAsia="宋体" w:cs="Times New Roman"/>
              </w:rPr>
              <w:t>（6）数据库维护。保障数据库正常运行，保障数据库数据完整备份、恢复，满足采购人提出的数据整理导出、分析统计及数据同步等业务的数据维护。</w:t>
            </w:r>
          </w:p>
          <w:p w14:paraId="0C9261D5">
            <w:pPr>
              <w:pStyle w:val="8"/>
              <w:rPr>
                <w:rFonts w:hint="eastAsia" w:ascii="Times New Roman" w:hAnsi="Times New Roman" w:eastAsia="宋体" w:cs="Times New Roman"/>
              </w:rPr>
            </w:pPr>
            <w:r>
              <w:rPr>
                <w:rFonts w:hint="eastAsia" w:ascii="Times New Roman" w:hAnsi="Times New Roman" w:eastAsia="宋体" w:cs="Times New Roman"/>
              </w:rPr>
              <w:t>▲2.南宁市公安局交通警察支队网站</w:t>
            </w:r>
          </w:p>
          <w:p w14:paraId="1443B5BC">
            <w:pPr>
              <w:pStyle w:val="8"/>
              <w:rPr>
                <w:rFonts w:hint="eastAsia" w:ascii="Times New Roman" w:hAnsi="Times New Roman" w:eastAsia="宋体" w:cs="Times New Roman"/>
              </w:rPr>
            </w:pPr>
            <w:r>
              <w:rPr>
                <w:rFonts w:hint="eastAsia" w:ascii="Times New Roman" w:hAnsi="Times New Roman" w:eastAsia="宋体" w:cs="Times New Roman"/>
              </w:rPr>
              <w:t>（1）保障系统正常运行，网站页面能兼容IE及其他主流浏览器正常显示，网站后台能正常发布新闻，文章的增删改查，对文章进行管理与统计。</w:t>
            </w:r>
          </w:p>
          <w:p w14:paraId="2F43B191">
            <w:pPr>
              <w:pStyle w:val="8"/>
              <w:rPr>
                <w:rFonts w:hint="eastAsia" w:ascii="Times New Roman" w:hAnsi="Times New Roman" w:eastAsia="宋体" w:cs="Times New Roman"/>
              </w:rPr>
            </w:pPr>
            <w:r>
              <w:rPr>
                <w:rFonts w:hint="eastAsia" w:ascii="Times New Roman" w:hAnsi="Times New Roman" w:eastAsia="宋体" w:cs="Times New Roman"/>
              </w:rPr>
              <w:t>（2）根据支队要求实现特定内容的显示。</w:t>
            </w:r>
          </w:p>
          <w:p w14:paraId="1964DB48">
            <w:pPr>
              <w:pStyle w:val="8"/>
              <w:rPr>
                <w:rFonts w:hint="eastAsia" w:ascii="Times New Roman" w:hAnsi="Times New Roman" w:eastAsia="宋体" w:cs="Times New Roman"/>
              </w:rPr>
            </w:pPr>
            <w:r>
              <w:rPr>
                <w:rFonts w:hint="eastAsia" w:ascii="Times New Roman" w:hAnsi="Times New Roman" w:eastAsia="宋体" w:cs="Times New Roman"/>
              </w:rPr>
              <w:t>（3）系统故障检测及排除。</w:t>
            </w:r>
          </w:p>
          <w:p w14:paraId="7DE9655A">
            <w:pPr>
              <w:pStyle w:val="8"/>
              <w:rPr>
                <w:rFonts w:hint="eastAsia" w:ascii="Times New Roman" w:hAnsi="Times New Roman" w:eastAsia="宋体" w:cs="Times New Roman"/>
              </w:rPr>
            </w:pPr>
            <w:r>
              <w:rPr>
                <w:rFonts w:hint="eastAsia" w:ascii="Times New Roman" w:hAnsi="Times New Roman" w:eastAsia="宋体" w:cs="Times New Roman"/>
              </w:rPr>
              <w:t>（4）定期分析系统性能，根据检查及分析结果，对系统的参数进行调整及维护。</w:t>
            </w:r>
          </w:p>
          <w:p w14:paraId="04062D31">
            <w:pPr>
              <w:pStyle w:val="8"/>
              <w:rPr>
                <w:rFonts w:hint="eastAsia" w:ascii="Times New Roman" w:hAnsi="Times New Roman" w:eastAsia="宋体" w:cs="Times New Roman"/>
              </w:rPr>
            </w:pPr>
            <w:r>
              <w:rPr>
                <w:rFonts w:hint="eastAsia" w:ascii="Times New Roman" w:hAnsi="Times New Roman" w:eastAsia="宋体" w:cs="Times New Roman"/>
              </w:rPr>
              <w:t>（5）系统定期巡检，不少于每月一次检查应用软件，数据库，操作系统健康状况。</w:t>
            </w:r>
          </w:p>
          <w:p w14:paraId="67D6C28A">
            <w:pPr>
              <w:pStyle w:val="8"/>
              <w:rPr>
                <w:rFonts w:hint="eastAsia" w:ascii="Times New Roman" w:hAnsi="Times New Roman" w:eastAsia="宋体" w:cs="Times New Roman"/>
              </w:rPr>
            </w:pPr>
            <w:r>
              <w:rPr>
                <w:rFonts w:hint="eastAsia" w:ascii="Times New Roman" w:hAnsi="Times New Roman" w:eastAsia="宋体" w:cs="Times New Roman"/>
              </w:rPr>
              <w:t>（6）系统安装部署及数据迁移技术支持。</w:t>
            </w:r>
          </w:p>
          <w:p w14:paraId="30E48E23">
            <w:pPr>
              <w:pStyle w:val="8"/>
              <w:rPr>
                <w:rFonts w:ascii="Times New Roman" w:hAnsi="Times New Roman" w:eastAsia="宋体" w:cs="Times New Roman"/>
              </w:rPr>
            </w:pPr>
            <w:r>
              <w:rPr>
                <w:rFonts w:hint="eastAsia" w:ascii="Times New Roman" w:hAnsi="Times New Roman" w:eastAsia="宋体" w:cs="Times New Roman"/>
              </w:rPr>
              <w:t>（7）操作系统补丁完善。</w:t>
            </w:r>
          </w:p>
          <w:p w14:paraId="567E2F86">
            <w:pPr>
              <w:pStyle w:val="8"/>
              <w:rPr>
                <w:rFonts w:hint="eastAsia" w:ascii="Times New Roman" w:hAnsi="Times New Roman" w:eastAsia="宋体" w:cs="Times New Roman"/>
              </w:rPr>
            </w:pPr>
            <w:r>
              <w:rPr>
                <w:rFonts w:hint="eastAsia" w:ascii="Times New Roman" w:hAnsi="Times New Roman" w:eastAsia="宋体" w:cs="Times New Roman"/>
              </w:rPr>
              <w:t>▲3.公安交通管理综合应用平台专网服务系统</w:t>
            </w:r>
          </w:p>
          <w:p w14:paraId="59FD7FE0">
            <w:pPr>
              <w:pStyle w:val="8"/>
              <w:rPr>
                <w:rFonts w:hint="eastAsia" w:ascii="Times New Roman" w:hAnsi="Times New Roman" w:eastAsia="宋体" w:cs="Times New Roman"/>
              </w:rPr>
            </w:pPr>
            <w:r>
              <w:rPr>
                <w:rFonts w:hint="eastAsia" w:ascii="Times New Roman" w:hAnsi="Times New Roman" w:eastAsia="宋体" w:cs="Times New Roman"/>
              </w:rPr>
              <w:t>（1）维护系统的IBM Websphere中间件服务器，保障系统和服务器间应有状态良好的通信链路。</w:t>
            </w:r>
          </w:p>
          <w:p w14:paraId="4ED6B44B">
            <w:pPr>
              <w:pStyle w:val="8"/>
              <w:rPr>
                <w:rFonts w:hint="eastAsia" w:ascii="Times New Roman" w:hAnsi="Times New Roman" w:eastAsia="宋体" w:cs="Times New Roman"/>
              </w:rPr>
            </w:pPr>
            <w:r>
              <w:rPr>
                <w:rFonts w:hint="eastAsia" w:ascii="Times New Roman" w:hAnsi="Times New Roman" w:eastAsia="宋体" w:cs="Times New Roman"/>
              </w:rPr>
              <w:t>（2）维护机动车安全技术检验监管系统【代理服务】系统。</w:t>
            </w:r>
          </w:p>
          <w:p w14:paraId="101FC764">
            <w:pPr>
              <w:pStyle w:val="8"/>
              <w:rPr>
                <w:rFonts w:hint="eastAsia" w:ascii="Times New Roman" w:hAnsi="Times New Roman" w:eastAsia="宋体" w:cs="Times New Roman"/>
              </w:rPr>
            </w:pPr>
            <w:r>
              <w:rPr>
                <w:rFonts w:hint="eastAsia" w:ascii="Times New Roman" w:hAnsi="Times New Roman" w:eastAsia="宋体" w:cs="Times New Roman"/>
              </w:rPr>
              <w:t>（3）维护公安交通管理综合应用平台专网服务系统数据同步链路。</w:t>
            </w:r>
          </w:p>
          <w:p w14:paraId="58EF65A7">
            <w:pPr>
              <w:pStyle w:val="8"/>
              <w:rPr>
                <w:rFonts w:hint="eastAsia" w:ascii="Times New Roman" w:hAnsi="Times New Roman" w:eastAsia="宋体" w:cs="Times New Roman"/>
              </w:rPr>
            </w:pPr>
            <w:r>
              <w:rPr>
                <w:rFonts w:hint="eastAsia" w:ascii="Times New Roman" w:hAnsi="Times New Roman" w:eastAsia="宋体" w:cs="Times New Roman"/>
              </w:rPr>
              <w:t>（4）中间件系统维护：基于监视所记录的各种中间件的状态数据，可帮助业务人员分析服务响应速度变化的技术原因和规律，在业务受到影响前，主动发现潜在问题。提供对中间件各类关键参数指标的监控，这些指标包括：基本信息，数据库连接池信息、会话信息、任务信息、JTA、JVM、Servlet、EJB、JDBC、运行队列、内存信息、线程信息等等。应用：支持对多种 web应用的实时监控，对端口状态、响应时间、连接信息等提供关键参数管理。</w:t>
            </w:r>
          </w:p>
          <w:p w14:paraId="275E52B0">
            <w:pPr>
              <w:pStyle w:val="8"/>
              <w:rPr>
                <w:rFonts w:hint="eastAsia" w:ascii="Times New Roman" w:hAnsi="Times New Roman" w:eastAsia="宋体" w:cs="Times New Roman"/>
              </w:rPr>
            </w:pPr>
            <w:r>
              <w:rPr>
                <w:rFonts w:hint="eastAsia" w:ascii="Times New Roman" w:hAnsi="Times New Roman" w:eastAsia="宋体" w:cs="Times New Roman"/>
              </w:rPr>
              <w:t>（5）对日常异常业务数据处理。</w:t>
            </w:r>
          </w:p>
          <w:p w14:paraId="346521B0">
            <w:pPr>
              <w:pStyle w:val="8"/>
              <w:rPr>
                <w:rFonts w:hint="eastAsia" w:ascii="Times New Roman" w:hAnsi="Times New Roman" w:eastAsia="宋体" w:cs="Times New Roman"/>
              </w:rPr>
            </w:pPr>
            <w:r>
              <w:rPr>
                <w:rFonts w:hint="eastAsia" w:ascii="Times New Roman" w:hAnsi="Times New Roman" w:eastAsia="宋体" w:cs="Times New Roman"/>
              </w:rPr>
              <w:t>（6）根据业务需要进行各类数据统计。</w:t>
            </w:r>
          </w:p>
          <w:p w14:paraId="71B1DF65">
            <w:pPr>
              <w:pStyle w:val="8"/>
              <w:rPr>
                <w:rFonts w:hint="eastAsia" w:ascii="Times New Roman" w:hAnsi="Times New Roman" w:eastAsia="宋体" w:cs="Times New Roman"/>
              </w:rPr>
            </w:pPr>
            <w:r>
              <w:rPr>
                <w:rFonts w:hint="eastAsia" w:ascii="Times New Roman" w:hAnsi="Times New Roman" w:eastAsia="宋体" w:cs="Times New Roman"/>
              </w:rPr>
              <w:t>（7）按照公安部要求对系统完善。</w:t>
            </w:r>
          </w:p>
          <w:p w14:paraId="6421C398">
            <w:pPr>
              <w:pStyle w:val="8"/>
              <w:rPr>
                <w:rFonts w:hint="eastAsia" w:ascii="Times New Roman" w:hAnsi="Times New Roman" w:eastAsia="宋体" w:cs="Times New Roman"/>
              </w:rPr>
            </w:pPr>
            <w:r>
              <w:rPr>
                <w:rFonts w:hint="eastAsia" w:ascii="Times New Roman" w:hAnsi="Times New Roman" w:eastAsia="宋体" w:cs="Times New Roman"/>
              </w:rPr>
              <w:t>（8）定期分析系统性能，根据检查及分析结果，对系统的参数进行调整及维护。</w:t>
            </w:r>
          </w:p>
          <w:p w14:paraId="1DEB74F9">
            <w:pPr>
              <w:pStyle w:val="8"/>
              <w:rPr>
                <w:rFonts w:ascii="Times New Roman" w:hAnsi="Times New Roman" w:eastAsia="宋体" w:cs="Times New Roman"/>
              </w:rPr>
            </w:pPr>
            <w:r>
              <w:rPr>
                <w:rFonts w:hint="eastAsia" w:ascii="Times New Roman" w:hAnsi="Times New Roman" w:eastAsia="宋体" w:cs="Times New Roman"/>
              </w:rPr>
              <w:t>（9）数据库维护。保障数据库正常运行，保障数据库数据完整备份、恢复，满足采购人提出的数据整理导出、分析统计及数据同步、异常数据处理等业务的数据维护。</w:t>
            </w:r>
          </w:p>
          <w:p w14:paraId="7DE4B169">
            <w:pPr>
              <w:pStyle w:val="8"/>
              <w:rPr>
                <w:rFonts w:hint="eastAsia" w:ascii="Times New Roman" w:hAnsi="Times New Roman" w:eastAsia="宋体" w:cs="Times New Roman"/>
              </w:rPr>
            </w:pPr>
            <w:r>
              <w:rPr>
                <w:rFonts w:hint="eastAsia" w:ascii="Times New Roman" w:hAnsi="Times New Roman" w:eastAsia="宋体" w:cs="Times New Roman"/>
              </w:rPr>
              <w:t>▲4.公安交通管理信息安全监管系统</w:t>
            </w:r>
          </w:p>
          <w:p w14:paraId="71FEB1D9">
            <w:pPr>
              <w:pStyle w:val="8"/>
              <w:rPr>
                <w:rFonts w:hint="eastAsia" w:ascii="Times New Roman" w:hAnsi="Times New Roman" w:eastAsia="宋体" w:cs="Times New Roman"/>
              </w:rPr>
            </w:pPr>
            <w:r>
              <w:rPr>
                <w:rFonts w:hint="eastAsia" w:ascii="Times New Roman" w:hAnsi="Times New Roman" w:eastAsia="宋体" w:cs="Times New Roman"/>
              </w:rPr>
              <w:t>（1）维护系统正常运行，保持心跳，正常采集数据。</w:t>
            </w:r>
          </w:p>
          <w:p w14:paraId="0E91B1BB">
            <w:pPr>
              <w:pStyle w:val="8"/>
              <w:rPr>
                <w:rFonts w:hint="eastAsia" w:ascii="Times New Roman" w:hAnsi="Times New Roman" w:eastAsia="宋体" w:cs="Times New Roman"/>
              </w:rPr>
            </w:pPr>
            <w:r>
              <w:rPr>
                <w:rFonts w:hint="eastAsia" w:ascii="Times New Roman" w:hAnsi="Times New Roman" w:eastAsia="宋体" w:cs="Times New Roman"/>
              </w:rPr>
              <w:t>（2）根据公安部交管局要求对系统进行完善。</w:t>
            </w:r>
          </w:p>
          <w:p w14:paraId="1242028D">
            <w:pPr>
              <w:pStyle w:val="8"/>
              <w:rPr>
                <w:rFonts w:hint="eastAsia" w:ascii="Times New Roman" w:hAnsi="Times New Roman" w:eastAsia="宋体" w:cs="Times New Roman"/>
              </w:rPr>
            </w:pPr>
            <w:r>
              <w:rPr>
                <w:rFonts w:hint="eastAsia" w:ascii="Times New Roman" w:hAnsi="Times New Roman" w:eastAsia="宋体" w:cs="Times New Roman"/>
              </w:rPr>
              <w:t>（3）根据需要进行系统补丁维护。</w:t>
            </w:r>
          </w:p>
          <w:p w14:paraId="33585E96">
            <w:pPr>
              <w:pStyle w:val="8"/>
              <w:rPr>
                <w:rFonts w:ascii="Times New Roman" w:hAnsi="Times New Roman" w:eastAsia="宋体" w:cs="Times New Roman"/>
              </w:rPr>
            </w:pPr>
            <w:r>
              <w:rPr>
                <w:rFonts w:hint="eastAsia" w:ascii="Times New Roman" w:hAnsi="Times New Roman" w:eastAsia="宋体" w:cs="Times New Roman"/>
              </w:rPr>
              <w:t>（4）数据库维护。保障数据库正常运行，保障数据库数据完整备份、恢复，满足采购人提出的数据整理导出、分析统计及数据同步、异常数据处理等业务的数据维护。</w:t>
            </w:r>
          </w:p>
          <w:p w14:paraId="5DCECBE8">
            <w:pPr>
              <w:pStyle w:val="8"/>
              <w:rPr>
                <w:rFonts w:hint="eastAsia" w:ascii="Times New Roman" w:hAnsi="Times New Roman" w:eastAsia="宋体" w:cs="Times New Roman"/>
              </w:rPr>
            </w:pPr>
            <w:r>
              <w:rPr>
                <w:rFonts w:hint="eastAsia" w:ascii="Times New Roman" w:hAnsi="Times New Roman" w:eastAsia="宋体" w:cs="Times New Roman"/>
              </w:rPr>
              <w:t>▲5.驾驶人理论考试系统（科目一、科目四）</w:t>
            </w:r>
          </w:p>
          <w:p w14:paraId="4D5382A4">
            <w:pPr>
              <w:pStyle w:val="8"/>
              <w:rPr>
                <w:rFonts w:hint="eastAsia" w:ascii="Times New Roman" w:hAnsi="Times New Roman" w:eastAsia="宋体" w:cs="Times New Roman"/>
              </w:rPr>
            </w:pPr>
            <w:r>
              <w:rPr>
                <w:rFonts w:hint="eastAsia" w:ascii="Times New Roman" w:hAnsi="Times New Roman" w:eastAsia="宋体" w:cs="Times New Roman"/>
              </w:rPr>
              <w:t>（1）维护系统的IBM Websphere中间件服务器，保障系统和服务器间应有状态良好的通信链路。</w:t>
            </w:r>
          </w:p>
          <w:p w14:paraId="51332260">
            <w:pPr>
              <w:pStyle w:val="8"/>
              <w:rPr>
                <w:rFonts w:hint="eastAsia" w:ascii="Times New Roman" w:hAnsi="Times New Roman" w:eastAsia="宋体" w:cs="Times New Roman"/>
              </w:rPr>
            </w:pPr>
            <w:r>
              <w:rPr>
                <w:rFonts w:hint="eastAsia" w:ascii="Times New Roman" w:hAnsi="Times New Roman" w:eastAsia="宋体" w:cs="Times New Roman"/>
              </w:rPr>
              <w:t>（2）根据公安部交管局或公安部交通工程科学研究所或区厅交管总队要求对系统进行运维。</w:t>
            </w:r>
          </w:p>
          <w:p w14:paraId="2AF66657">
            <w:pPr>
              <w:pStyle w:val="8"/>
              <w:rPr>
                <w:rFonts w:hint="eastAsia" w:ascii="Times New Roman" w:hAnsi="Times New Roman" w:eastAsia="宋体" w:cs="Times New Roman"/>
              </w:rPr>
            </w:pPr>
            <w:r>
              <w:rPr>
                <w:rFonts w:hint="eastAsia" w:ascii="Times New Roman" w:hAnsi="Times New Roman" w:eastAsia="宋体" w:cs="Times New Roman"/>
              </w:rPr>
              <w:t>（3）中间件系统维护：基于监视所记录的各种中间件的状态数据，可帮助业务人员分析服务响应速度变化的技术原因和规律，在业务受到影响前，主动发现潜在问题。提供对中间件各类关键参数指标的监控，这些指标包括：基本信息，数据库连接池信息、会话信息、任务信息、JTA、JVM、Servlet、EJB、JDBC、运行队列、内存信息、线程信息等等。应用：支持对多种 web应用的实时监控，对端口状态、响应时间、连接信息等提供关键参数管理。</w:t>
            </w:r>
          </w:p>
          <w:p w14:paraId="751EDD96">
            <w:pPr>
              <w:pStyle w:val="8"/>
              <w:rPr>
                <w:rFonts w:hint="eastAsia" w:ascii="Times New Roman" w:hAnsi="Times New Roman" w:eastAsia="宋体" w:cs="Times New Roman"/>
              </w:rPr>
            </w:pPr>
            <w:r>
              <w:rPr>
                <w:rFonts w:hint="eastAsia" w:ascii="Times New Roman" w:hAnsi="Times New Roman" w:eastAsia="宋体" w:cs="Times New Roman"/>
              </w:rPr>
              <w:t>（4）对日常异常业务数据处理。</w:t>
            </w:r>
          </w:p>
          <w:p w14:paraId="1A4DDBE2">
            <w:pPr>
              <w:pStyle w:val="8"/>
              <w:rPr>
                <w:rFonts w:hint="eastAsia" w:ascii="Times New Roman" w:hAnsi="Times New Roman" w:eastAsia="宋体" w:cs="Times New Roman"/>
              </w:rPr>
            </w:pPr>
            <w:r>
              <w:rPr>
                <w:rFonts w:hint="eastAsia" w:ascii="Times New Roman" w:hAnsi="Times New Roman" w:eastAsia="宋体" w:cs="Times New Roman"/>
              </w:rPr>
              <w:t>（5）根据业务需要进行各类数据统计。</w:t>
            </w:r>
          </w:p>
          <w:p w14:paraId="1E7D8319">
            <w:pPr>
              <w:pStyle w:val="8"/>
              <w:rPr>
                <w:rFonts w:hint="eastAsia" w:ascii="Times New Roman" w:hAnsi="Times New Roman" w:eastAsia="宋体" w:cs="Times New Roman"/>
              </w:rPr>
            </w:pPr>
            <w:r>
              <w:rPr>
                <w:rFonts w:hint="eastAsia" w:ascii="Times New Roman" w:hAnsi="Times New Roman" w:eastAsia="宋体" w:cs="Times New Roman"/>
              </w:rPr>
              <w:t>（6）定期分析系统性能，根据检查及分析结果，对系统的参数进行调整及维护。</w:t>
            </w:r>
          </w:p>
          <w:p w14:paraId="3109065C">
            <w:pPr>
              <w:pStyle w:val="8"/>
              <w:rPr>
                <w:rFonts w:ascii="Times New Roman" w:hAnsi="Times New Roman" w:eastAsia="宋体" w:cs="Times New Roman"/>
              </w:rPr>
            </w:pPr>
            <w:r>
              <w:rPr>
                <w:rFonts w:hint="eastAsia" w:ascii="Times New Roman" w:hAnsi="Times New Roman" w:eastAsia="宋体" w:cs="Times New Roman"/>
              </w:rPr>
              <w:t>（7）数据库维护。保障数据库正常运行，保障数据库数据完整备份、恢复，满足采购人提出的数据整理导出、分析统计及数据同步、异常数据处理等业务的数据维护。</w:t>
            </w:r>
          </w:p>
          <w:p w14:paraId="7BA3A210">
            <w:pPr>
              <w:pStyle w:val="8"/>
              <w:rPr>
                <w:rFonts w:hint="eastAsia" w:ascii="Times New Roman" w:hAnsi="Times New Roman" w:eastAsia="宋体" w:cs="Times New Roman"/>
              </w:rPr>
            </w:pPr>
            <w:r>
              <w:rPr>
                <w:rFonts w:hint="eastAsia" w:ascii="Times New Roman" w:hAnsi="Times New Roman" w:eastAsia="宋体" w:cs="Times New Roman"/>
              </w:rPr>
              <w:t>▲6.驾驶人考试培训监管系统（科目二、科目三）</w:t>
            </w:r>
          </w:p>
          <w:p w14:paraId="7C5ED9C5">
            <w:pPr>
              <w:pStyle w:val="8"/>
              <w:rPr>
                <w:rFonts w:hint="eastAsia" w:ascii="Times New Roman" w:hAnsi="Times New Roman" w:eastAsia="宋体" w:cs="Times New Roman"/>
              </w:rPr>
            </w:pPr>
            <w:r>
              <w:rPr>
                <w:rFonts w:hint="eastAsia" w:ascii="Times New Roman" w:hAnsi="Times New Roman" w:eastAsia="宋体" w:cs="Times New Roman"/>
              </w:rPr>
              <w:t>（1）维护系统的IBM Websphere中间件服务器，保障系统和服务器间应有状态良好的通信链路。</w:t>
            </w:r>
          </w:p>
          <w:p w14:paraId="36080FF3">
            <w:pPr>
              <w:pStyle w:val="8"/>
              <w:rPr>
                <w:rFonts w:hint="eastAsia" w:ascii="Times New Roman" w:hAnsi="Times New Roman" w:eastAsia="宋体" w:cs="Times New Roman"/>
              </w:rPr>
            </w:pPr>
            <w:r>
              <w:rPr>
                <w:rFonts w:hint="eastAsia" w:ascii="Times New Roman" w:hAnsi="Times New Roman" w:eastAsia="宋体" w:cs="Times New Roman"/>
              </w:rPr>
              <w:t>（2）根据公安部交管局或公安部交通工程科学研究所或区厅交管总队要求对系统进行运维。</w:t>
            </w:r>
          </w:p>
          <w:p w14:paraId="35C52E36">
            <w:pPr>
              <w:pStyle w:val="8"/>
              <w:rPr>
                <w:rFonts w:hint="eastAsia" w:ascii="Times New Roman" w:hAnsi="Times New Roman" w:eastAsia="宋体" w:cs="Times New Roman"/>
              </w:rPr>
            </w:pPr>
            <w:r>
              <w:rPr>
                <w:rFonts w:hint="eastAsia" w:ascii="Times New Roman" w:hAnsi="Times New Roman" w:eastAsia="宋体" w:cs="Times New Roman"/>
              </w:rPr>
              <w:t>（3）中间件系统维护：基于监视所记录的各种中间件的状态数据，可帮助业务人员分析服务响应速度变化的技术原因和规律，在业务受到影响前，主动发现潜在问题。提供对中间件各类关键参数指标的监控，这些指标包括：基本信息，数据库连接池信息、会话信息、任务信息、JTA、JVM、Servlet、EJB、JDBC、运行队列、内存信息、线程信息等等。应用：支持对多种 web应用的实时监控，对端口状态、响应时间、连接信息等提供关键参数管理。</w:t>
            </w:r>
          </w:p>
          <w:p w14:paraId="6F1C590B">
            <w:pPr>
              <w:pStyle w:val="8"/>
              <w:rPr>
                <w:rFonts w:hint="eastAsia" w:ascii="Times New Roman" w:hAnsi="Times New Roman" w:eastAsia="宋体" w:cs="Times New Roman"/>
              </w:rPr>
            </w:pPr>
            <w:r>
              <w:rPr>
                <w:rFonts w:hint="eastAsia" w:ascii="Times New Roman" w:hAnsi="Times New Roman" w:eastAsia="宋体" w:cs="Times New Roman"/>
              </w:rPr>
              <w:t>（4）对日常异常业务数据处理。</w:t>
            </w:r>
          </w:p>
          <w:p w14:paraId="40706371">
            <w:pPr>
              <w:pStyle w:val="8"/>
              <w:rPr>
                <w:rFonts w:hint="eastAsia" w:ascii="Times New Roman" w:hAnsi="Times New Roman" w:eastAsia="宋体" w:cs="Times New Roman"/>
              </w:rPr>
            </w:pPr>
            <w:r>
              <w:rPr>
                <w:rFonts w:hint="eastAsia" w:ascii="Times New Roman" w:hAnsi="Times New Roman" w:eastAsia="宋体" w:cs="Times New Roman"/>
              </w:rPr>
              <w:t>（5）根据业务需求进行各类数据统计。</w:t>
            </w:r>
          </w:p>
          <w:p w14:paraId="3C1DB344">
            <w:pPr>
              <w:pStyle w:val="8"/>
              <w:rPr>
                <w:rFonts w:hint="eastAsia" w:ascii="Times New Roman" w:hAnsi="Times New Roman" w:eastAsia="宋体" w:cs="Times New Roman"/>
              </w:rPr>
            </w:pPr>
            <w:r>
              <w:rPr>
                <w:rFonts w:hint="eastAsia" w:ascii="Times New Roman" w:hAnsi="Times New Roman" w:eastAsia="宋体" w:cs="Times New Roman"/>
              </w:rPr>
              <w:t>（6）定期分析系统性能，根据检查及分析结果，对系统的参数进行调整及维护。</w:t>
            </w:r>
          </w:p>
          <w:p w14:paraId="273149F5">
            <w:pPr>
              <w:pStyle w:val="8"/>
              <w:rPr>
                <w:rFonts w:hint="eastAsia" w:ascii="Times New Roman" w:hAnsi="Times New Roman" w:eastAsia="宋体" w:cs="Times New Roman"/>
              </w:rPr>
            </w:pPr>
            <w:r>
              <w:rPr>
                <w:rFonts w:hint="eastAsia" w:ascii="Times New Roman" w:hAnsi="Times New Roman" w:eastAsia="宋体" w:cs="Times New Roman"/>
              </w:rPr>
              <w:t>（7）数据库维护。保障数据库正常运行，保障数据库数据完整备份、恢复，满足采购人提出的数据整理导出、分析统计及数据同步、异常数据处理等业务的数据维护。</w:t>
            </w:r>
          </w:p>
        </w:tc>
        <w:tc>
          <w:tcPr>
            <w:tcW w:w="992" w:type="dxa"/>
            <w:tcBorders>
              <w:top w:val="single" w:color="auto" w:sz="4" w:space="0"/>
              <w:left w:val="single" w:color="auto" w:sz="4" w:space="0"/>
              <w:right w:val="single" w:color="auto" w:sz="4" w:space="0"/>
            </w:tcBorders>
            <w:noWrap w:val="0"/>
            <w:vAlign w:val="center"/>
          </w:tcPr>
          <w:p w14:paraId="6E3EC62C">
            <w:pPr>
              <w:wordWrap w:val="0"/>
              <w:spacing w:line="360" w:lineRule="exact"/>
              <w:jc w:val="center"/>
              <w:rPr>
                <w:rFonts w:hint="eastAsia" w:ascii="宋体" w:hAnsi="宋体" w:eastAsia="宋体" w:cs="Times New Roman"/>
                <w:szCs w:val="21"/>
              </w:rPr>
            </w:pPr>
            <w:r>
              <w:rPr>
                <w:rFonts w:ascii="宋体" w:hAnsi="宋体" w:eastAsia="宋体" w:cs="Times New Roman"/>
                <w:szCs w:val="21"/>
              </w:rPr>
              <w:t>20</w:t>
            </w:r>
          </w:p>
        </w:tc>
        <w:tc>
          <w:tcPr>
            <w:tcW w:w="1090" w:type="dxa"/>
            <w:tcBorders>
              <w:top w:val="single" w:color="auto" w:sz="4" w:space="0"/>
              <w:left w:val="single" w:color="auto" w:sz="4" w:space="0"/>
              <w:right w:val="single" w:color="auto" w:sz="4" w:space="0"/>
            </w:tcBorders>
            <w:noWrap w:val="0"/>
            <w:vAlign w:val="center"/>
          </w:tcPr>
          <w:p w14:paraId="6EF8CE7A">
            <w:pPr>
              <w:spacing w:line="340" w:lineRule="exact"/>
              <w:jc w:val="center"/>
              <w:rPr>
                <w:rFonts w:ascii="宋体" w:hAnsi="宋体" w:eastAsia="宋体" w:cs="Times New Roman"/>
                <w:szCs w:val="21"/>
              </w:rPr>
            </w:pPr>
            <w:r>
              <w:rPr>
                <w:rFonts w:hint="eastAsia" w:ascii="宋体" w:hAnsi="宋体" w:eastAsia="宋体" w:cs="Times New Roman"/>
                <w:szCs w:val="21"/>
              </w:rPr>
              <w:t>软件和信息技术服务业</w:t>
            </w:r>
          </w:p>
        </w:tc>
      </w:tr>
      <w:bookmarkEnd w:id="0"/>
      <w:bookmarkEnd w:id="1"/>
      <w:bookmarkEnd w:id="2"/>
      <w:tr w14:paraId="6FB88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415115A">
            <w:pPr>
              <w:spacing w:line="340" w:lineRule="exact"/>
              <w:jc w:val="center"/>
              <w:rPr>
                <w:rFonts w:hint="eastAsia" w:ascii="宋体" w:hAnsi="宋体" w:eastAsia="宋体" w:cs="Times New Roman"/>
                <w:szCs w:val="21"/>
              </w:rPr>
            </w:pPr>
            <w:r>
              <w:rPr>
                <w:rFonts w:hint="eastAsia" w:ascii="宋体" w:hAnsi="宋体" w:eastAsia="宋体" w:cs="Times New Roman"/>
                <w:szCs w:val="21"/>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1A5C169E">
            <w:pPr>
              <w:widowControl/>
              <w:shd w:val="clear" w:color="auto" w:fill="FFFFFF"/>
              <w:spacing w:line="340" w:lineRule="exact"/>
              <w:rPr>
                <w:rFonts w:ascii="宋体" w:hAnsi="宋体" w:eastAsia="宋体" w:cs="Times New Roman"/>
                <w:szCs w:val="21"/>
              </w:rPr>
            </w:pPr>
            <w:r>
              <w:rPr>
                <w:rFonts w:hint="eastAsia" w:ascii="宋体" w:hAnsi="宋体" w:eastAsia="宋体" w:cs="Times New Roman"/>
                <w:b/>
                <w:szCs w:val="21"/>
              </w:rPr>
              <w:t>一、合同签订期：</w:t>
            </w:r>
            <w:r>
              <w:rPr>
                <w:rFonts w:hint="eastAsia" w:ascii="宋体" w:hAnsi="宋体" w:eastAsia="宋体" w:cs="Times New Roman"/>
                <w:szCs w:val="21"/>
              </w:rPr>
              <w:t>自中标通知书发出之日起</w:t>
            </w:r>
            <w:r>
              <w:rPr>
                <w:rFonts w:ascii="宋体" w:hAnsi="宋体" w:eastAsia="宋体" w:cs="Times New Roman"/>
                <w:szCs w:val="21"/>
                <w:u w:val="single"/>
              </w:rPr>
              <w:t>15日内</w:t>
            </w:r>
            <w:r>
              <w:rPr>
                <w:rFonts w:hint="eastAsia" w:ascii="宋体" w:hAnsi="宋体" w:eastAsia="宋体" w:cs="Times New Roman"/>
                <w:szCs w:val="21"/>
              </w:rPr>
              <w:t>。</w:t>
            </w:r>
          </w:p>
          <w:p w14:paraId="3D1DACA0">
            <w:pPr>
              <w:widowControl/>
              <w:shd w:val="clear" w:color="auto" w:fill="FFFFFF"/>
              <w:spacing w:line="340" w:lineRule="exact"/>
              <w:rPr>
                <w:rFonts w:ascii="宋体" w:hAnsi="宋体" w:eastAsia="宋体" w:cs="Times New Roman"/>
                <w:szCs w:val="21"/>
                <w:u w:val="single"/>
              </w:rPr>
            </w:pPr>
            <w:r>
              <w:rPr>
                <w:rFonts w:hint="eastAsia" w:ascii="宋体" w:hAnsi="宋体" w:eastAsia="宋体" w:cs="宋体"/>
                <w:szCs w:val="21"/>
              </w:rPr>
              <w:t>▲</w:t>
            </w:r>
            <w:r>
              <w:rPr>
                <w:rFonts w:hint="eastAsia" w:ascii="宋体" w:hAnsi="宋体" w:eastAsia="宋体" w:cs="Times New Roman"/>
                <w:b/>
                <w:szCs w:val="21"/>
              </w:rPr>
              <w:t>二、服务期</w:t>
            </w:r>
            <w:r>
              <w:rPr>
                <w:rFonts w:hint="eastAsia" w:ascii="宋体" w:hAnsi="宋体" w:eastAsia="宋体" w:cs="Times New Roman"/>
                <w:b/>
                <w:bCs/>
                <w:szCs w:val="21"/>
              </w:rPr>
              <w:t>：</w:t>
            </w:r>
            <w:r>
              <w:rPr>
                <w:rFonts w:hint="eastAsia" w:ascii="宋体" w:hAnsi="宋体" w:eastAsia="宋体" w:cs="Times New Roman"/>
                <w:bCs/>
                <w:szCs w:val="21"/>
              </w:rPr>
              <w:t>自合同签订之日起1年。</w:t>
            </w:r>
          </w:p>
          <w:p w14:paraId="6D9E492E">
            <w:pPr>
              <w:widowControl/>
              <w:shd w:val="clear" w:color="auto" w:fill="FFFFFF"/>
              <w:spacing w:line="340" w:lineRule="exact"/>
              <w:rPr>
                <w:rFonts w:hint="eastAsia" w:ascii="宋体" w:hAnsi="宋体" w:eastAsia="宋体" w:cs="Times New Roman"/>
                <w:bCs/>
                <w:szCs w:val="21"/>
                <w:u w:val="single"/>
              </w:rPr>
            </w:pPr>
            <w:r>
              <w:rPr>
                <w:rFonts w:hint="eastAsia" w:ascii="宋体" w:hAnsi="宋体" w:eastAsia="宋体" w:cs="宋体"/>
                <w:szCs w:val="21"/>
              </w:rPr>
              <w:t>▲</w:t>
            </w:r>
            <w:r>
              <w:rPr>
                <w:rFonts w:hint="eastAsia" w:ascii="宋体" w:hAnsi="宋体" w:eastAsia="宋体" w:cs="Times New Roman"/>
                <w:b/>
                <w:szCs w:val="21"/>
              </w:rPr>
              <w:t>三、服务地点</w:t>
            </w:r>
            <w:r>
              <w:rPr>
                <w:rFonts w:hint="eastAsia" w:ascii="宋体" w:hAnsi="宋体" w:eastAsia="宋体" w:cs="Times New Roman"/>
                <w:szCs w:val="21"/>
              </w:rPr>
              <w:t>：</w:t>
            </w:r>
            <w:r>
              <w:rPr>
                <w:rFonts w:hint="eastAsia" w:ascii="宋体" w:hAnsi="宋体" w:eastAsia="宋体" w:cs="Times New Roman"/>
                <w:szCs w:val="21"/>
                <w:u w:val="single"/>
              </w:rPr>
              <w:t>广西</w:t>
            </w:r>
            <w:r>
              <w:rPr>
                <w:rFonts w:hint="eastAsia" w:ascii="宋体" w:hAnsi="宋体" w:eastAsia="宋体" w:cs="Times New Roman"/>
                <w:bCs/>
                <w:szCs w:val="21"/>
                <w:u w:val="single"/>
              </w:rPr>
              <w:t>南宁市采购人指定地点。</w:t>
            </w:r>
          </w:p>
          <w:p w14:paraId="5DF12E81">
            <w:pPr>
              <w:spacing w:line="340" w:lineRule="exact"/>
              <w:rPr>
                <w:rFonts w:hint="eastAsia" w:ascii="宋体" w:hAnsi="宋体" w:eastAsia="宋体" w:cs="宋体"/>
                <w:szCs w:val="21"/>
              </w:rPr>
            </w:pPr>
            <w:r>
              <w:rPr>
                <w:rFonts w:hint="eastAsia" w:ascii="宋体" w:hAnsi="宋体" w:eastAsia="宋体" w:cs="宋体"/>
                <w:b/>
                <w:bCs/>
                <w:szCs w:val="21"/>
              </w:rPr>
              <w:t>四、服务要求</w:t>
            </w:r>
            <w:r>
              <w:rPr>
                <w:rFonts w:hint="eastAsia" w:ascii="宋体" w:hAnsi="宋体" w:eastAsia="宋体" w:cs="宋体"/>
                <w:szCs w:val="21"/>
              </w:rPr>
              <w:t>：</w:t>
            </w:r>
          </w:p>
          <w:p w14:paraId="09CDE956">
            <w:pPr>
              <w:spacing w:line="340" w:lineRule="exact"/>
              <w:ind w:firstLine="420" w:firstLineChars="200"/>
              <w:rPr>
                <w:rFonts w:ascii="宋体" w:hAnsi="宋体" w:eastAsia="宋体" w:cs="宋体"/>
                <w:szCs w:val="21"/>
              </w:rPr>
            </w:pPr>
            <w:r>
              <w:rPr>
                <w:rFonts w:hint="eastAsia" w:ascii="宋体" w:hAnsi="宋体" w:eastAsia="宋体" w:cs="宋体"/>
                <w:szCs w:val="21"/>
              </w:rPr>
              <w:t>▲1.根据采购人要求，在重大活动或重大节假日及重要安保活动期间，提供具有计算机软件专业不少于1人24小时驻点服务，确保使用服务正常。</w:t>
            </w:r>
          </w:p>
          <w:p w14:paraId="05EF34C4">
            <w:pPr>
              <w:spacing w:line="340" w:lineRule="exact"/>
              <w:ind w:firstLine="420" w:firstLineChars="200"/>
              <w:rPr>
                <w:rFonts w:ascii="宋体" w:hAnsi="宋体" w:eastAsia="宋体" w:cs="宋体"/>
                <w:szCs w:val="21"/>
              </w:rPr>
            </w:pPr>
            <w:r>
              <w:rPr>
                <w:rFonts w:hint="eastAsia" w:ascii="宋体" w:hAnsi="宋体" w:eastAsia="宋体" w:cs="宋体"/>
                <w:szCs w:val="21"/>
              </w:rPr>
              <w:t>2.在服务期内，中标人须保证系统能够长期安全、可靠、高效运行，提供本地化服务，并配置能胜任本项目日常技术维护工作的技术人员，能够提供长期的良好的本地化技术支持。</w:t>
            </w:r>
          </w:p>
          <w:p w14:paraId="11B06731">
            <w:pPr>
              <w:spacing w:line="340" w:lineRule="exact"/>
              <w:ind w:firstLine="420" w:firstLineChars="200"/>
              <w:rPr>
                <w:rFonts w:ascii="宋体" w:hAnsi="宋体" w:eastAsia="宋体" w:cs="宋体"/>
                <w:szCs w:val="21"/>
              </w:rPr>
            </w:pPr>
            <w:r>
              <w:rPr>
                <w:rFonts w:hint="eastAsia" w:ascii="宋体" w:hAnsi="宋体" w:eastAsia="宋体" w:cs="宋体"/>
                <w:szCs w:val="21"/>
              </w:rPr>
              <w:t>▲3.故障响应时间：出现故障时，接到采购人处理问题通知后，技术人员30分钟内响应，技术维护力量2小时内到达采购人指定现场，4小时内解决故障并恢复系统运行。</w:t>
            </w:r>
          </w:p>
          <w:p w14:paraId="22DC0A96">
            <w:pPr>
              <w:spacing w:line="340" w:lineRule="exact"/>
              <w:ind w:firstLine="420" w:firstLineChars="200"/>
              <w:rPr>
                <w:rFonts w:ascii="宋体" w:hAnsi="宋体" w:eastAsia="宋体" w:cs="宋体"/>
                <w:szCs w:val="21"/>
              </w:rPr>
            </w:pPr>
            <w:r>
              <w:rPr>
                <w:rFonts w:hint="eastAsia" w:ascii="宋体" w:hAnsi="宋体" w:eastAsia="宋体" w:cs="宋体"/>
                <w:szCs w:val="21"/>
              </w:rPr>
              <w:t>▲4.中</w:t>
            </w:r>
            <w:r>
              <w:rPr>
                <w:rFonts w:ascii="宋体" w:hAnsi="宋体" w:eastAsia="宋体" w:cs="宋体"/>
                <w:szCs w:val="21"/>
              </w:rPr>
              <w:t>标人</w:t>
            </w:r>
            <w:r>
              <w:rPr>
                <w:rFonts w:hint="eastAsia" w:ascii="宋体" w:hAnsi="宋体" w:eastAsia="宋体" w:cs="宋体"/>
                <w:szCs w:val="21"/>
              </w:rPr>
              <w:t>服务期内免费软件升级服务，软件部分的修改与系统升级，不向采购</w:t>
            </w:r>
            <w:r>
              <w:rPr>
                <w:rFonts w:ascii="宋体" w:hAnsi="宋体" w:eastAsia="宋体" w:cs="宋体"/>
                <w:szCs w:val="21"/>
              </w:rPr>
              <w:t>人</w:t>
            </w:r>
            <w:r>
              <w:rPr>
                <w:rFonts w:hint="eastAsia" w:ascii="宋体" w:hAnsi="宋体" w:eastAsia="宋体" w:cs="宋体"/>
                <w:szCs w:val="21"/>
              </w:rPr>
              <w:t>收取额外费用。</w:t>
            </w:r>
          </w:p>
          <w:p w14:paraId="2E475525">
            <w:pPr>
              <w:spacing w:line="340" w:lineRule="exact"/>
              <w:ind w:firstLine="420" w:firstLineChars="200"/>
              <w:rPr>
                <w:rFonts w:ascii="宋体" w:hAnsi="宋体" w:eastAsia="宋体" w:cs="宋体"/>
                <w:szCs w:val="21"/>
              </w:rPr>
            </w:pPr>
            <w:r>
              <w:rPr>
                <w:rFonts w:hint="eastAsia" w:ascii="宋体" w:hAnsi="宋体" w:eastAsia="宋体" w:cs="宋体"/>
                <w:szCs w:val="21"/>
              </w:rPr>
              <w:t>5.验收要求：由采购人组织验收，并出具验收报告。</w:t>
            </w:r>
          </w:p>
          <w:p w14:paraId="78FBDA6B">
            <w:pPr>
              <w:spacing w:line="340" w:lineRule="exact"/>
              <w:ind w:firstLine="420" w:firstLineChars="200"/>
              <w:rPr>
                <w:rFonts w:ascii="宋体" w:hAnsi="宋体" w:eastAsia="宋体" w:cs="宋体"/>
                <w:szCs w:val="21"/>
              </w:rPr>
            </w:pPr>
            <w:r>
              <w:rPr>
                <w:rFonts w:hint="eastAsia" w:ascii="宋体" w:hAnsi="宋体" w:eastAsia="宋体" w:cs="宋体"/>
                <w:szCs w:val="21"/>
              </w:rPr>
              <w:t>6.中</w:t>
            </w:r>
            <w:r>
              <w:rPr>
                <w:rFonts w:ascii="宋体" w:hAnsi="宋体" w:eastAsia="宋体" w:cs="宋体"/>
                <w:szCs w:val="21"/>
              </w:rPr>
              <w:t>标人</w:t>
            </w:r>
            <w:r>
              <w:rPr>
                <w:rFonts w:hint="eastAsia" w:ascii="宋体" w:hAnsi="宋体" w:eastAsia="宋体" w:cs="宋体"/>
                <w:szCs w:val="21"/>
              </w:rPr>
              <w:t>在运维服务期内，应配备设备、系统和软件维保需要的管理软件、常用检测设备工具及其它必要器具，以及重要系统要求的备品备件。</w:t>
            </w:r>
          </w:p>
          <w:p w14:paraId="6125940F">
            <w:pPr>
              <w:spacing w:line="34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五</w:t>
            </w:r>
            <w:r>
              <w:rPr>
                <w:rFonts w:hint="eastAsia" w:ascii="宋体" w:hAnsi="宋体" w:eastAsia="宋体" w:cs="宋体"/>
                <w:b/>
                <w:szCs w:val="21"/>
              </w:rPr>
              <w:t>、其他要求</w:t>
            </w:r>
            <w:r>
              <w:rPr>
                <w:rFonts w:hint="eastAsia" w:ascii="宋体" w:hAnsi="宋体" w:eastAsia="宋体" w:cs="宋体"/>
                <w:szCs w:val="21"/>
              </w:rPr>
              <w:t>：</w:t>
            </w:r>
          </w:p>
          <w:p w14:paraId="1E2EDE0B">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报价为人民币含税价，总价包干。包括但不限于：</w:t>
            </w:r>
          </w:p>
          <w:p w14:paraId="28D3DD7A">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（1）服务的价格（含服务人员报酬、技术服务等）；</w:t>
            </w:r>
          </w:p>
          <w:p w14:paraId="3384DE55">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（2）必要的保险费用和各项税金；</w:t>
            </w:r>
          </w:p>
          <w:p w14:paraId="33B4E94D">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（3）项目验收的费用；</w:t>
            </w:r>
          </w:p>
          <w:p w14:paraId="35C273D5">
            <w:pPr>
              <w:spacing w:line="340" w:lineRule="exact"/>
              <w:ind w:firstLine="420" w:firstLineChars="200"/>
              <w:rPr>
                <w:rFonts w:ascii="宋体" w:hAnsi="宋体" w:eastAsia="宋体" w:cs="宋体"/>
                <w:szCs w:val="21"/>
              </w:rPr>
            </w:pPr>
            <w:r>
              <w:rPr>
                <w:rFonts w:hint="eastAsia" w:ascii="宋体" w:hAnsi="宋体" w:eastAsia="宋体" w:cs="宋体"/>
                <w:szCs w:val="21"/>
              </w:rPr>
              <w:t>（4）培训、技术支持、售后服务、更新维护等费用；</w:t>
            </w:r>
          </w:p>
          <w:p w14:paraId="452A9703">
            <w:pPr>
              <w:spacing w:line="340" w:lineRule="exact"/>
              <w:ind w:firstLine="420" w:firstLineChars="200"/>
              <w:rPr>
                <w:rFonts w:ascii="宋体" w:hAnsi="宋体" w:eastAsia="宋体" w:cs="宋体"/>
                <w:szCs w:val="21"/>
              </w:rPr>
            </w:pPr>
            <w:r>
              <w:rPr>
                <w:rFonts w:hint="eastAsia" w:ascii="宋体" w:hAnsi="宋体" w:eastAsia="宋体" w:cs="宋体"/>
                <w:szCs w:val="21"/>
              </w:rPr>
              <w:t>（5）招标代理服务费。</w:t>
            </w:r>
          </w:p>
          <w:p w14:paraId="7100852C">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2.中标供应商所提供的相关服务须免受第三方提出的侵犯其专利权或其它知识产权的起诉。如果第三方提出侵权指控，中标供应商应承担由此而引起的一切法律责任和费用。</w:t>
            </w:r>
          </w:p>
          <w:p w14:paraId="164A88A1">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477EBF30">
            <w:pPr>
              <w:spacing w:line="340" w:lineRule="exact"/>
              <w:rPr>
                <w:rFonts w:ascii="宋体" w:hAnsi="宋体" w:eastAsia="宋体" w:cs="Times New Roman"/>
                <w:szCs w:val="21"/>
              </w:rPr>
            </w:pPr>
            <w:r>
              <w:rPr>
                <w:rFonts w:hint="eastAsia" w:ascii="宋体" w:hAnsi="宋体" w:eastAsia="宋体" w:cs="宋体"/>
                <w:szCs w:val="21"/>
              </w:rPr>
              <w:t>▲六</w:t>
            </w:r>
            <w:r>
              <w:rPr>
                <w:rFonts w:hint="eastAsia" w:ascii="宋体" w:hAnsi="宋体" w:eastAsia="宋体" w:cs="宋体"/>
                <w:b/>
                <w:szCs w:val="21"/>
              </w:rPr>
              <w:t>、付款方式</w:t>
            </w:r>
            <w:r>
              <w:rPr>
                <w:rFonts w:hint="eastAsia" w:ascii="宋体" w:hAnsi="宋体" w:eastAsia="宋体" w:cs="宋体"/>
                <w:szCs w:val="21"/>
              </w:rPr>
              <w:t>：</w:t>
            </w:r>
          </w:p>
          <w:p w14:paraId="1A8734BD">
            <w:pPr>
              <w:spacing w:line="340" w:lineRule="exact"/>
              <w:ind w:firstLine="420" w:firstLineChars="200"/>
              <w:rPr>
                <w:rFonts w:ascii="宋体" w:hAnsi="宋体" w:eastAsia="宋体" w:cs="宋体"/>
                <w:szCs w:val="21"/>
              </w:rPr>
            </w:pPr>
            <w:r>
              <w:rPr>
                <w:rFonts w:hint="eastAsia" w:ascii="宋体" w:hAnsi="宋体" w:eastAsia="宋体" w:cs="宋体"/>
                <w:szCs w:val="21"/>
              </w:rPr>
              <w:t>签订合同后支付50%合同款，完成验收后支付剩余50%合同款。付款前，中标供应商需向采购人出具等额合法有效的发票，否则采购人有权延期付款并不承担逾期付款的责任。</w:t>
            </w:r>
          </w:p>
          <w:p w14:paraId="1E99960D">
            <w:pPr>
              <w:spacing w:line="340" w:lineRule="exact"/>
              <w:rPr>
                <w:rFonts w:hint="eastAsia" w:ascii="宋体" w:hAnsi="宋体" w:eastAsia="宋体" w:cs="宋体"/>
                <w:b/>
                <w:szCs w:val="21"/>
              </w:rPr>
            </w:pPr>
            <w:r>
              <w:rPr>
                <w:rFonts w:hint="eastAsia" w:ascii="宋体" w:hAnsi="宋体" w:eastAsia="宋体" w:cs="宋体"/>
                <w:b/>
                <w:szCs w:val="21"/>
              </w:rPr>
              <w:t>七、验收标准</w:t>
            </w:r>
          </w:p>
          <w:p w14:paraId="0072936B">
            <w:pPr>
              <w:spacing w:line="34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4C7AA983">
            <w:pPr>
              <w:spacing w:line="340" w:lineRule="exact"/>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其他未尽事宜应严格按照《关于南宁市本级启用政府采购履约验收系统有关事项的通知》（南财采〔2024〕34号）以及《南宁市政府采购供应商履约验收评价管理办法》（南财采[2019]217号）规定执行。</w:t>
            </w:r>
          </w:p>
          <w:p w14:paraId="0B39429E">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3.其他未尽事宜由双方签订补充协议进行约定。</w:t>
            </w:r>
          </w:p>
        </w:tc>
      </w:tr>
      <w:tr w14:paraId="7237E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58E731E8">
            <w:pPr>
              <w:spacing w:line="340" w:lineRule="exact"/>
              <w:jc w:val="center"/>
              <w:rPr>
                <w:rFonts w:hint="eastAsia" w:ascii="宋体" w:hAnsi="宋体" w:eastAsia="宋体" w:cs="Times New Roman"/>
                <w:szCs w:val="21"/>
              </w:rPr>
            </w:pPr>
            <w:r>
              <w:rPr>
                <w:rFonts w:hint="eastAsia" w:ascii="宋体" w:hAnsi="宋体" w:eastAsia="宋体" w:cs="Times New Roman"/>
                <w:szCs w:val="21"/>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3C7B3B36">
            <w:pPr>
              <w:widowControl/>
              <w:shd w:val="clear" w:color="auto" w:fill="FFFFFF"/>
              <w:spacing w:line="340" w:lineRule="exact"/>
              <w:rPr>
                <w:rFonts w:hint="eastAsia" w:ascii="宋体" w:hAnsi="宋体" w:eastAsia="宋体" w:cs="Times New Roman"/>
                <w:szCs w:val="21"/>
              </w:rPr>
            </w:pPr>
            <w:r>
              <w:rPr>
                <w:rFonts w:hint="eastAsia" w:ascii="宋体" w:hAnsi="宋体" w:eastAsia="宋体" w:cs="Times New Roman"/>
                <w:szCs w:val="21"/>
              </w:rPr>
              <w:t>一、进口产品说明</w:t>
            </w:r>
          </w:p>
          <w:p w14:paraId="7D50BA24">
            <w:pPr>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□本表的第</w:t>
            </w:r>
            <w:r>
              <w:rPr>
                <w:rFonts w:hint="eastAsia" w:ascii="宋体" w:hAnsi="宋体" w:eastAsia="宋体" w:cs="Times New Roman"/>
                <w:szCs w:val="21"/>
                <w:u w:val="single"/>
              </w:rPr>
              <w:t xml:space="preserve">  </w:t>
            </w:r>
            <w:r>
              <w:rPr>
                <w:rFonts w:hint="eastAsia" w:ascii="宋体" w:hAnsi="宋体" w:eastAsia="宋体" w:cs="Times New Roman"/>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eastAsia="宋体" w:cs="Times New Roman"/>
                <w:b/>
                <w:bCs/>
                <w:szCs w:val="21"/>
              </w:rPr>
              <w:t>其他货物不接受进口产品参与投标</w:t>
            </w:r>
            <w:r>
              <w:rPr>
                <w:rFonts w:hint="eastAsia" w:ascii="宋体" w:hAnsi="宋体" w:eastAsia="宋体" w:cs="Times New Roman"/>
                <w:szCs w:val="21"/>
              </w:rPr>
              <w:t>，</w:t>
            </w:r>
            <w:r>
              <w:rPr>
                <w:rFonts w:hint="eastAsia" w:ascii="宋体" w:hAnsi="宋体" w:eastAsia="宋体" w:cs="Times New Roman"/>
                <w:b/>
                <w:szCs w:val="21"/>
              </w:rPr>
              <w:t>否则作无效标处理。</w:t>
            </w:r>
          </w:p>
          <w:p w14:paraId="41C1CB48">
            <w:pPr>
              <w:tabs>
                <w:tab w:val="left" w:pos="180"/>
                <w:tab w:val="left" w:pos="1620"/>
              </w:tabs>
              <w:spacing w:line="340" w:lineRule="exact"/>
              <w:ind w:firstLine="420" w:firstLineChars="200"/>
              <w:rPr>
                <w:rFonts w:ascii="宋体" w:hAnsi="宋体" w:eastAsia="宋体" w:cs="Times New Roman"/>
                <w:szCs w:val="21"/>
              </w:rPr>
            </w:pPr>
            <w:r>
              <w:rPr>
                <w:rFonts w:hint="eastAsia" w:ascii="宋体" w:hAnsi="宋体" w:eastAsia="宋体" w:cs="Times New Roman"/>
                <w:szCs w:val="21"/>
              </w:rPr>
              <w:t>□本分标服务所涉及的货物不接受进口产品（即通过中国海关报关验放进入中国境内且产自关境外的产品）参与投标，</w:t>
            </w:r>
            <w:r>
              <w:rPr>
                <w:rFonts w:hint="eastAsia" w:ascii="宋体" w:hAnsi="宋体" w:eastAsia="宋体" w:cs="Times New Roman"/>
                <w:b/>
                <w:szCs w:val="21"/>
              </w:rPr>
              <w:t>如有进口产品参与投标的作无效标处理</w:t>
            </w:r>
            <w:r>
              <w:rPr>
                <w:rFonts w:hint="eastAsia" w:ascii="宋体" w:hAnsi="宋体" w:eastAsia="宋体" w:cs="Times New Roman"/>
                <w:szCs w:val="21"/>
              </w:rPr>
              <w:t>。</w:t>
            </w:r>
          </w:p>
          <w:p w14:paraId="3A6E319D">
            <w:pPr>
              <w:tabs>
                <w:tab w:val="left" w:pos="180"/>
                <w:tab w:val="left" w:pos="1620"/>
              </w:tabs>
              <w:spacing w:line="340" w:lineRule="exact"/>
              <w:ind w:firstLine="420" w:firstLineChars="200"/>
              <w:rPr>
                <w:rFonts w:hint="eastAsia" w:ascii="宋体" w:hAnsi="宋体" w:eastAsia="宋体" w:cs="Times New Roman"/>
                <w:szCs w:val="21"/>
              </w:rPr>
            </w:pPr>
            <w:r>
              <w:rPr>
                <w:rFonts w:ascii="宋体" w:hAnsi="宋体" w:eastAsia="宋体" w:cs="Times New Roman"/>
                <w:szCs w:val="21"/>
              </w:rPr>
              <w:sym w:font="Wingdings 2" w:char="0052"/>
            </w:r>
            <w:r>
              <w:rPr>
                <w:rFonts w:hint="eastAsia" w:ascii="宋体" w:hAnsi="宋体" w:eastAsia="宋体" w:cs="Times New Roman"/>
                <w:szCs w:val="21"/>
              </w:rPr>
              <w:t>本分标服务不涉及货物。</w:t>
            </w:r>
          </w:p>
          <w:p w14:paraId="54E0EC27">
            <w:pPr>
              <w:widowControl/>
              <w:shd w:val="clear" w:color="auto" w:fill="FFFFFF"/>
              <w:spacing w:line="340" w:lineRule="exact"/>
              <w:rPr>
                <w:rFonts w:hint="eastAsia" w:ascii="宋体" w:hAnsi="宋体" w:eastAsia="宋体" w:cs="Times New Roman"/>
                <w:b/>
                <w:szCs w:val="21"/>
              </w:rPr>
            </w:pPr>
            <w:r>
              <w:rPr>
                <w:rFonts w:hint="eastAsia" w:ascii="宋体" w:hAnsi="宋体" w:eastAsia="宋体" w:cs="Times New Roman"/>
                <w:szCs w:val="21"/>
              </w:rPr>
              <w:t>二、</w:t>
            </w:r>
            <w:r>
              <w:rPr>
                <w:rFonts w:hint="eastAsia" w:ascii="宋体" w:hAnsi="宋体" w:eastAsia="宋体" w:cs="Times New Roman"/>
                <w:b/>
                <w:szCs w:val="21"/>
              </w:rPr>
              <w:t>投标要求</w:t>
            </w:r>
          </w:p>
          <w:p w14:paraId="3070518D">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1.投标人认为有利于采购人的采购要求之外的优惠条款应单独列明。</w:t>
            </w:r>
          </w:p>
          <w:p w14:paraId="68F91C6A">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2.投标人结合本项目服务需求及本招标文件第四章“评标方法及评分标准”评审因素于投标文件中提供针对本项目的运维方案或相关服务方案等（格式</w:t>
            </w:r>
            <w:r>
              <w:rPr>
                <w:rFonts w:ascii="宋体" w:hAnsi="宋体" w:eastAsia="宋体" w:cs="Times New Roman"/>
                <w:szCs w:val="21"/>
              </w:rPr>
              <w:t>自拟</w:t>
            </w:r>
            <w:r>
              <w:rPr>
                <w:rFonts w:hint="eastAsia" w:ascii="宋体" w:hAnsi="宋体" w:eastAsia="宋体" w:cs="Times New Roman"/>
                <w:szCs w:val="21"/>
              </w:rPr>
              <w:t>）。</w:t>
            </w:r>
          </w:p>
          <w:p w14:paraId="5A651191">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3.投标人需投入具备专业能力的技术实施人员，在投标文件中提供项目实施人员名单。</w:t>
            </w:r>
          </w:p>
          <w:p w14:paraId="35DFA2FC">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4.如有，请提供履约能力相关证明或业绩证明、奖项情况等。</w:t>
            </w:r>
          </w:p>
          <w:p w14:paraId="19ADF101">
            <w:pPr>
              <w:widowControl/>
              <w:shd w:val="clear" w:color="auto" w:fill="FFFFFF"/>
              <w:spacing w:line="340" w:lineRule="exact"/>
              <w:rPr>
                <w:rFonts w:hint="eastAsia" w:ascii="宋体" w:hAnsi="宋体" w:eastAsia="宋体" w:cs="Times New Roman"/>
                <w:b/>
                <w:szCs w:val="21"/>
              </w:rPr>
            </w:pPr>
            <w:r>
              <w:rPr>
                <w:rFonts w:hint="eastAsia" w:ascii="宋体" w:hAnsi="宋体" w:eastAsia="宋体" w:cs="Times New Roman"/>
                <w:b/>
                <w:szCs w:val="21"/>
              </w:rPr>
              <w:t>三、其他事项</w:t>
            </w:r>
          </w:p>
          <w:p w14:paraId="0157F56B">
            <w:pPr>
              <w:widowControl/>
              <w:shd w:val="clear" w:color="auto" w:fill="FFFFFF"/>
              <w:spacing w:line="34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.除招标文件另有规定外，若出现有关法律、法规和规章有强制性规定但招标文件未列明的情形，则投标人应按照有关法律、法规和规章强制性规定执行。</w:t>
            </w:r>
          </w:p>
          <w:p w14:paraId="31B3514B">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本项目合同文本中的条款如与项目需求不一致的，以采购文件项目需求表、中标供应商响应条款为准。</w:t>
            </w:r>
          </w:p>
          <w:p w14:paraId="64F08FC7">
            <w:pPr>
              <w:widowControl/>
              <w:shd w:val="clear" w:color="auto" w:fill="FFFFFF"/>
              <w:spacing w:line="340" w:lineRule="exact"/>
              <w:ind w:firstLine="422" w:firstLineChars="200"/>
              <w:rPr>
                <w:rFonts w:ascii="宋体" w:hAnsi="宋体" w:eastAsia="宋体" w:cs="Times New Roman"/>
                <w:b/>
                <w:szCs w:val="21"/>
              </w:rPr>
            </w:pPr>
            <w:r>
              <w:rPr>
                <w:rFonts w:hint="eastAsia" w:ascii="宋体" w:hAnsi="宋体" w:eastAsia="宋体" w:cs="Times New Roman"/>
                <w:b/>
                <w:szCs w:val="21"/>
              </w:rPr>
              <w:t>▲3.本项目采购预算</w:t>
            </w:r>
            <w:bookmarkStart w:id="3" w:name="OLE_LINK2"/>
            <w:r>
              <w:rPr>
                <w:rFonts w:hint="eastAsia" w:ascii="宋体" w:hAnsi="宋体" w:eastAsia="宋体" w:cs="Times New Roman"/>
                <w:b/>
                <w:szCs w:val="21"/>
              </w:rPr>
              <w:t>（含分项预算）</w:t>
            </w:r>
            <w:bookmarkEnd w:id="3"/>
            <w:r>
              <w:rPr>
                <w:rFonts w:hint="eastAsia" w:ascii="宋体" w:hAnsi="宋体" w:eastAsia="宋体" w:cs="Times New Roman"/>
                <w:b/>
                <w:szCs w:val="21"/>
              </w:rPr>
              <w:t>为最高限价，投标人的投标报价不得超出最高限价，否则投标无效。</w:t>
            </w:r>
          </w:p>
          <w:p w14:paraId="6A98617C">
            <w:pPr>
              <w:widowControl/>
              <w:shd w:val="clear" w:color="auto" w:fill="FFFFFF"/>
              <w:spacing w:line="340" w:lineRule="exact"/>
              <w:ind w:firstLine="422" w:firstLineChars="200"/>
              <w:rPr>
                <w:rFonts w:ascii="宋体" w:hAnsi="宋体" w:eastAsia="宋体" w:cs="Times New Roman"/>
                <w:b/>
                <w:szCs w:val="21"/>
              </w:rPr>
            </w:pPr>
            <w:r>
              <w:rPr>
                <w:rFonts w:hint="eastAsia" w:ascii="宋体" w:hAnsi="宋体" w:eastAsia="宋体" w:cs="Times New Roman"/>
                <w:b/>
                <w:szCs w:val="21"/>
              </w:rPr>
              <w:t>▲4.投标人对本项目任何一个服务项只能有一个报价，采购人不接受有选择的报价，否则投标无效。</w:t>
            </w:r>
          </w:p>
          <w:p w14:paraId="2D24E1EE">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5.本项目为服务项目，不涉及核心产品。</w:t>
            </w:r>
          </w:p>
        </w:tc>
      </w:tr>
    </w:tbl>
    <w:p w14:paraId="3A5618A5">
      <w:pPr>
        <w:spacing w:line="428" w:lineRule="exact"/>
        <w:ind w:left="119"/>
        <w:rPr>
          <w:rFonts w:ascii="Times New Roman" w:hAnsi="宋体" w:eastAsia="宋体" w:cs="Times New Roman"/>
        </w:rPr>
      </w:pPr>
    </w:p>
    <w:p w14:paraId="6397A903">
      <w:pPr>
        <w:spacing w:line="360" w:lineRule="auto"/>
        <w:ind w:firstLine="424" w:firstLineChars="202"/>
        <w:jc w:val="left"/>
        <w:rPr>
          <w:rFonts w:hint="eastAsia" w:ascii="宋体" w:hAnsi="宋体" w:eastAsia="宋体" w:cs="宋体"/>
          <w:szCs w:val="21"/>
        </w:rPr>
      </w:pPr>
    </w:p>
    <w:tbl>
      <w:tblPr>
        <w:tblStyle w:val="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95"/>
        <w:gridCol w:w="384"/>
        <w:gridCol w:w="567"/>
        <w:gridCol w:w="5103"/>
        <w:gridCol w:w="992"/>
        <w:gridCol w:w="1090"/>
      </w:tblGrid>
      <w:tr w14:paraId="1296E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0723F032">
            <w:pPr>
              <w:spacing w:line="340" w:lineRule="exact"/>
              <w:jc w:val="center"/>
              <w:rPr>
                <w:rFonts w:hint="eastAsia" w:ascii="宋体" w:hAnsi="宋体" w:eastAsia="宋体" w:cs="宋体"/>
                <w:szCs w:val="21"/>
              </w:rPr>
            </w:pPr>
            <w:r>
              <w:rPr>
                <w:rFonts w:hint="eastAsia" w:ascii="宋体" w:hAnsi="宋体" w:eastAsia="宋体" w:cs="Arial"/>
                <w:szCs w:val="21"/>
              </w:rPr>
              <w:t>服务需求一览表</w:t>
            </w:r>
          </w:p>
        </w:tc>
      </w:tr>
      <w:tr w14:paraId="07109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3"/>
            <w:tcBorders>
              <w:top w:val="single" w:color="auto" w:sz="4" w:space="0"/>
              <w:left w:val="single" w:color="auto" w:sz="4" w:space="0"/>
              <w:right w:val="single" w:color="auto" w:sz="4" w:space="0"/>
            </w:tcBorders>
            <w:noWrap w:val="0"/>
            <w:vAlign w:val="center"/>
          </w:tcPr>
          <w:p w14:paraId="4EC10789">
            <w:pPr>
              <w:spacing w:line="340" w:lineRule="exact"/>
              <w:jc w:val="center"/>
              <w:rPr>
                <w:rFonts w:hint="eastAsia" w:ascii="宋体" w:hAnsi="宋体" w:eastAsia="宋体" w:cs="Arial"/>
                <w:b/>
                <w:szCs w:val="21"/>
              </w:rPr>
            </w:pPr>
            <w:r>
              <w:rPr>
                <w:rFonts w:hint="eastAsia" w:ascii="宋体" w:hAnsi="宋体" w:eastAsia="宋体" w:cs="Arial"/>
                <w:b/>
                <w:szCs w:val="21"/>
              </w:rPr>
              <w:t>标段</w:t>
            </w:r>
          </w:p>
        </w:tc>
        <w:tc>
          <w:tcPr>
            <w:tcW w:w="8136" w:type="dxa"/>
            <w:gridSpan w:val="5"/>
            <w:tcBorders>
              <w:top w:val="single" w:color="auto" w:sz="4" w:space="0"/>
              <w:left w:val="single" w:color="auto" w:sz="4" w:space="0"/>
              <w:right w:val="single" w:color="auto" w:sz="4" w:space="0"/>
            </w:tcBorders>
            <w:noWrap w:val="0"/>
            <w:vAlign w:val="center"/>
          </w:tcPr>
          <w:p w14:paraId="59ECFDB3">
            <w:pPr>
              <w:spacing w:line="340" w:lineRule="exact"/>
              <w:jc w:val="left"/>
              <w:rPr>
                <w:rFonts w:hint="eastAsia" w:ascii="宋体" w:hAnsi="宋体" w:eastAsia="宋体" w:cs="Times New Roman"/>
                <w:b/>
                <w:bCs/>
                <w:szCs w:val="21"/>
              </w:rPr>
            </w:pPr>
            <w:r>
              <w:rPr>
                <w:rFonts w:hint="eastAsia" w:ascii="宋体" w:hAnsi="宋体" w:eastAsia="宋体" w:cs="Times New Roman"/>
                <w:b/>
                <w:bCs/>
                <w:szCs w:val="21"/>
              </w:rPr>
              <w:t>分标2</w:t>
            </w:r>
          </w:p>
        </w:tc>
      </w:tr>
      <w:tr w14:paraId="07E1E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00DCA471">
            <w:pPr>
              <w:spacing w:line="340" w:lineRule="exact"/>
              <w:jc w:val="center"/>
              <w:rPr>
                <w:rFonts w:hint="eastAsia" w:ascii="宋体" w:hAnsi="宋体" w:eastAsia="宋体" w:cs="宋体"/>
                <w:szCs w:val="21"/>
              </w:rPr>
            </w:pPr>
            <w:r>
              <w:rPr>
                <w:rFonts w:hint="eastAsia" w:ascii="宋体" w:hAnsi="宋体" w:eastAsia="宋体" w:cs="宋体"/>
                <w:szCs w:val="21"/>
              </w:rPr>
              <w:t>采购清单及服务参数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605C1E1">
            <w:pPr>
              <w:spacing w:line="340" w:lineRule="exact"/>
              <w:jc w:val="center"/>
              <w:rPr>
                <w:rFonts w:ascii="宋体" w:hAnsi="宋体" w:eastAsia="宋体" w:cs="宋体"/>
                <w:szCs w:val="21"/>
              </w:rPr>
            </w:pPr>
            <w:r>
              <w:rPr>
                <w:rFonts w:hint="eastAsia" w:ascii="宋体" w:hAnsi="宋体" w:eastAsia="宋体" w:cs="宋体"/>
                <w:szCs w:val="21"/>
              </w:rPr>
              <w:t>序号</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5B1FE11F">
            <w:pPr>
              <w:spacing w:line="340" w:lineRule="exact"/>
              <w:jc w:val="center"/>
              <w:rPr>
                <w:rFonts w:ascii="宋体" w:hAnsi="宋体" w:eastAsia="宋体" w:cs="宋体"/>
                <w:szCs w:val="21"/>
              </w:rPr>
            </w:pPr>
            <w:r>
              <w:rPr>
                <w:rFonts w:hint="eastAsia" w:ascii="宋体" w:hAnsi="宋体" w:eastAsia="宋体" w:cs="Times New Roman"/>
                <w:szCs w:val="21"/>
              </w:rPr>
              <w:t>标的名称</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AD2550F">
            <w:pPr>
              <w:spacing w:line="340" w:lineRule="exact"/>
              <w:jc w:val="center"/>
              <w:rPr>
                <w:rFonts w:ascii="宋体" w:hAnsi="宋体" w:eastAsia="宋体" w:cs="宋体"/>
                <w:szCs w:val="21"/>
              </w:rPr>
            </w:pPr>
            <w:r>
              <w:rPr>
                <w:rFonts w:hint="eastAsia" w:ascii="宋体" w:hAnsi="宋体" w:eastAsia="宋体" w:cs="宋体"/>
                <w:szCs w:val="21"/>
              </w:rPr>
              <w:t>数量单位</w:t>
            </w:r>
          </w:p>
        </w:tc>
        <w:tc>
          <w:tcPr>
            <w:tcW w:w="5103" w:type="dxa"/>
            <w:tcBorders>
              <w:top w:val="single" w:color="auto" w:sz="4" w:space="0"/>
              <w:left w:val="single" w:color="auto" w:sz="4" w:space="0"/>
              <w:bottom w:val="single" w:color="auto" w:sz="4" w:space="0"/>
              <w:right w:val="single" w:color="auto" w:sz="4" w:space="0"/>
            </w:tcBorders>
            <w:noWrap w:val="0"/>
            <w:vAlign w:val="center"/>
          </w:tcPr>
          <w:p w14:paraId="691395E7">
            <w:pPr>
              <w:spacing w:line="340" w:lineRule="exact"/>
              <w:jc w:val="center"/>
              <w:rPr>
                <w:rFonts w:hint="eastAsia" w:ascii="宋体" w:hAnsi="宋体" w:eastAsia="宋体" w:cs="宋体"/>
                <w:szCs w:val="21"/>
              </w:rPr>
            </w:pPr>
            <w:r>
              <w:rPr>
                <w:rFonts w:hint="eastAsia" w:ascii="宋体" w:hAnsi="宋体" w:eastAsia="宋体" w:cs="宋体"/>
                <w:szCs w:val="21"/>
              </w:rPr>
              <w:t>技术服务要求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5B23B4">
            <w:pPr>
              <w:spacing w:line="340" w:lineRule="exact"/>
              <w:jc w:val="center"/>
              <w:rPr>
                <w:rFonts w:ascii="宋体" w:hAnsi="宋体" w:eastAsia="宋体" w:cs="宋体"/>
                <w:szCs w:val="21"/>
              </w:rPr>
            </w:pPr>
            <w:r>
              <w:rPr>
                <w:rFonts w:hint="eastAsia" w:ascii="宋体" w:hAnsi="宋体" w:eastAsia="宋体" w:cs="Times New Roman"/>
                <w:szCs w:val="21"/>
              </w:rPr>
              <w:t>分项预算（万元）</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FDD1DC3">
            <w:pPr>
              <w:spacing w:line="340" w:lineRule="exact"/>
              <w:jc w:val="center"/>
              <w:rPr>
                <w:rFonts w:hint="eastAsia" w:ascii="宋体" w:hAnsi="宋体" w:eastAsia="宋体" w:cs="宋体"/>
                <w:szCs w:val="21"/>
              </w:rPr>
            </w:pPr>
            <w:r>
              <w:rPr>
                <w:rFonts w:hint="eastAsia" w:ascii="宋体" w:hAnsi="宋体" w:eastAsia="宋体" w:cs="Times New Roman"/>
                <w:szCs w:val="21"/>
              </w:rPr>
              <w:t>中小企业划分标准所属行业名称（行业名称及划分见本章其他附件2）</w:t>
            </w:r>
          </w:p>
        </w:tc>
      </w:tr>
      <w:tr w14:paraId="17585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32FF33E4">
            <w:pPr>
              <w:spacing w:line="340" w:lineRule="exact"/>
              <w:jc w:val="center"/>
              <w:rPr>
                <w:rFonts w:hint="eastAsia" w:ascii="宋体" w:hAnsi="宋体" w:eastAsia="宋体" w:cs="Times New Roman"/>
                <w:bCs/>
                <w:szCs w:val="21"/>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50488FD">
            <w:pPr>
              <w:spacing w:line="340" w:lineRule="exact"/>
              <w:jc w:val="center"/>
              <w:rPr>
                <w:rFonts w:ascii="宋体" w:hAnsi="宋体" w:eastAsia="宋体" w:cs="Times New Roman"/>
                <w:szCs w:val="21"/>
              </w:rPr>
            </w:pPr>
            <w:r>
              <w:rPr>
                <w:rFonts w:hint="eastAsia" w:ascii="宋体" w:hAnsi="宋体" w:eastAsia="宋体" w:cs="Times New Roman"/>
                <w:szCs w:val="21"/>
              </w:rPr>
              <w:t>1</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450D1981">
            <w:pPr>
              <w:wordWrap w:val="0"/>
              <w:spacing w:line="360" w:lineRule="exact"/>
              <w:jc w:val="center"/>
              <w:rPr>
                <w:rFonts w:ascii="宋体" w:hAnsi="宋体" w:eastAsia="宋体" w:cs="Times New Roman"/>
                <w:szCs w:val="21"/>
              </w:rPr>
            </w:pPr>
            <w:r>
              <w:rPr>
                <w:rFonts w:hint="eastAsia" w:ascii="宋体" w:hAnsi="宋体" w:eastAsia="宋体" w:cs="Times New Roman"/>
                <w:szCs w:val="21"/>
              </w:rPr>
              <w:t>公安交通管理业务综合监管系统运维服务</w:t>
            </w:r>
          </w:p>
        </w:tc>
        <w:tc>
          <w:tcPr>
            <w:tcW w:w="567" w:type="dxa"/>
            <w:tcBorders>
              <w:top w:val="single" w:color="auto" w:sz="4" w:space="0"/>
              <w:left w:val="single" w:color="auto" w:sz="4" w:space="0"/>
              <w:right w:val="single" w:color="auto" w:sz="4" w:space="0"/>
            </w:tcBorders>
            <w:noWrap w:val="0"/>
            <w:vAlign w:val="center"/>
          </w:tcPr>
          <w:p w14:paraId="3FEA77F5">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1项</w:t>
            </w:r>
          </w:p>
        </w:tc>
        <w:tc>
          <w:tcPr>
            <w:tcW w:w="5103" w:type="dxa"/>
            <w:tcBorders>
              <w:top w:val="single" w:color="auto" w:sz="4" w:space="0"/>
              <w:left w:val="single" w:color="auto" w:sz="4" w:space="0"/>
              <w:right w:val="single" w:color="auto" w:sz="4" w:space="0"/>
            </w:tcBorders>
            <w:noWrap w:val="0"/>
            <w:vAlign w:val="center"/>
          </w:tcPr>
          <w:p w14:paraId="50343D1D">
            <w:pPr>
              <w:pStyle w:val="9"/>
              <w:ind w:firstLine="422"/>
              <w:rPr>
                <w:rFonts w:ascii="Times New Roman" w:hAnsi="Times New Roman" w:eastAsia="宋体" w:cs="Times New Roman"/>
                <w:b/>
              </w:rPr>
            </w:pPr>
            <w:r>
              <w:rPr>
                <w:rFonts w:hint="eastAsia" w:ascii="Times New Roman" w:hAnsi="Times New Roman" w:eastAsia="宋体" w:cs="Times New Roman"/>
                <w:b/>
              </w:rPr>
              <w:t>▲一、视频图像融合接入网关</w:t>
            </w:r>
          </w:p>
          <w:p w14:paraId="0A1BF70E">
            <w:pPr>
              <w:pStyle w:val="9"/>
              <w:rPr>
                <w:rFonts w:hint="eastAsia" w:ascii="Times New Roman" w:hAnsi="Times New Roman" w:eastAsia="宋体" w:cs="Times New Roman"/>
              </w:rPr>
            </w:pPr>
            <w:r>
              <w:rPr>
                <w:rFonts w:hint="eastAsia" w:ascii="Times New Roman" w:hAnsi="Times New Roman" w:eastAsia="宋体" w:cs="Times New Roman"/>
              </w:rPr>
              <w:t>公安交通管理业务综合监管系统共两套视频图像融合接入网关。</w:t>
            </w:r>
          </w:p>
          <w:p w14:paraId="0F8A0C03">
            <w:pPr>
              <w:pStyle w:val="9"/>
              <w:rPr>
                <w:rFonts w:hint="eastAsia" w:ascii="Times New Roman" w:hAnsi="Times New Roman" w:eastAsia="宋体" w:cs="Times New Roman"/>
              </w:rPr>
            </w:pPr>
            <w:r>
              <w:rPr>
                <w:rFonts w:hint="eastAsia" w:ascii="Times New Roman" w:hAnsi="Times New Roman" w:eastAsia="宋体" w:cs="Times New Roman"/>
              </w:rPr>
              <w:t>1.提供运行的问题咨询、运行异常、故障排除等技术支持服务，解决运维期间发生的各类问题。</w:t>
            </w:r>
          </w:p>
          <w:p w14:paraId="7A6DBE8B">
            <w:pPr>
              <w:pStyle w:val="9"/>
              <w:rPr>
                <w:rFonts w:hint="eastAsia" w:ascii="Times New Roman" w:hAnsi="Times New Roman" w:eastAsia="宋体" w:cs="Times New Roman"/>
              </w:rPr>
            </w:pPr>
            <w:r>
              <w:rPr>
                <w:rFonts w:hint="eastAsia" w:ascii="Times New Roman" w:hAnsi="Times New Roman" w:eastAsia="宋体" w:cs="Times New Roman"/>
              </w:rPr>
              <w:t>2.每月定期对视频联网接入系统和设备进行优化，根据采购人的网络需求进行合理规划、优化。</w:t>
            </w:r>
          </w:p>
          <w:p w14:paraId="6C588336">
            <w:pPr>
              <w:pStyle w:val="9"/>
              <w:rPr>
                <w:rFonts w:hint="eastAsia" w:ascii="Times New Roman" w:hAnsi="Times New Roman" w:eastAsia="宋体" w:cs="Times New Roman"/>
              </w:rPr>
            </w:pPr>
            <w:r>
              <w:rPr>
                <w:rFonts w:hint="eastAsia" w:ascii="Times New Roman" w:hAnsi="Times New Roman" w:eastAsia="宋体" w:cs="Times New Roman"/>
              </w:rPr>
              <w:t>3.服务期间，产品每更新一次版本，加入更多的问题修正和新功能。</w:t>
            </w:r>
          </w:p>
          <w:p w14:paraId="16C2A988">
            <w:pPr>
              <w:pStyle w:val="9"/>
              <w:rPr>
                <w:rFonts w:hint="eastAsia" w:ascii="Times New Roman" w:hAnsi="Times New Roman" w:eastAsia="宋体" w:cs="Times New Roman"/>
              </w:rPr>
            </w:pPr>
            <w:r>
              <w:rPr>
                <w:rFonts w:hint="eastAsia" w:ascii="Times New Roman" w:hAnsi="Times New Roman" w:eastAsia="宋体" w:cs="Times New Roman"/>
              </w:rPr>
              <w:t>4.在服务期间期内，应客户要求，提供产品升级服务。</w:t>
            </w:r>
          </w:p>
          <w:p w14:paraId="1A475387">
            <w:pPr>
              <w:pStyle w:val="9"/>
              <w:rPr>
                <w:rFonts w:hint="eastAsia" w:ascii="Times New Roman" w:hAnsi="Times New Roman" w:eastAsia="宋体" w:cs="Times New Roman"/>
              </w:rPr>
            </w:pPr>
            <w:r>
              <w:rPr>
                <w:rFonts w:hint="eastAsia" w:ascii="Times New Roman" w:hAnsi="Times New Roman" w:eastAsia="宋体" w:cs="Times New Roman"/>
              </w:rPr>
              <w:t>提供统一服务联系方式 7</w:t>
            </w:r>
            <w:r>
              <w:rPr>
                <w:rFonts w:hint="eastAsia" w:ascii="宋体" w:hAnsi="宋体" w:eastAsia="宋体" w:cs="Times New Roman"/>
              </w:rPr>
              <w:t>×</w:t>
            </w:r>
            <w:r>
              <w:rPr>
                <w:rFonts w:hint="eastAsia" w:ascii="Times New Roman" w:hAnsi="Times New Roman" w:eastAsia="宋体" w:cs="Times New Roman"/>
              </w:rPr>
              <w:t>24小时联系中</w:t>
            </w:r>
            <w:r>
              <w:rPr>
                <w:rFonts w:ascii="Times New Roman" w:hAnsi="Times New Roman" w:eastAsia="宋体" w:cs="Times New Roman"/>
              </w:rPr>
              <w:t>标供应商</w:t>
            </w:r>
            <w:r>
              <w:rPr>
                <w:rFonts w:hint="eastAsia" w:ascii="Times New Roman" w:hAnsi="Times New Roman" w:eastAsia="宋体" w:cs="Times New Roman"/>
              </w:rPr>
              <w:t>工程师或技术人员，在用户能提供问题细节描述和问题严重性等级时，须按照服务协议提供远程响应。服务内容包括：</w:t>
            </w:r>
          </w:p>
          <w:p w14:paraId="5CDE8C33">
            <w:pPr>
              <w:pStyle w:val="9"/>
              <w:rPr>
                <w:rFonts w:ascii="Times New Roman" w:hAnsi="Times New Roman" w:eastAsia="宋体" w:cs="Times New Roman"/>
              </w:rPr>
            </w:pPr>
            <w:r>
              <w:rPr>
                <w:rFonts w:hint="eastAsia" w:ascii="Times New Roman" w:hAnsi="Times New Roman" w:eastAsia="宋体" w:cs="Times New Roman"/>
              </w:rPr>
              <w:t>（1）有效服务期内，根据用户给出的问题严重性以及描述进行响应；</w:t>
            </w:r>
          </w:p>
          <w:p w14:paraId="0E951F58">
            <w:pPr>
              <w:pStyle w:val="9"/>
              <w:rPr>
                <w:rFonts w:ascii="Times New Roman" w:hAnsi="Times New Roman" w:eastAsia="宋体" w:cs="Times New Roman"/>
              </w:rPr>
            </w:pPr>
            <w:r>
              <w:rPr>
                <w:rFonts w:hint="eastAsia" w:ascii="Times New Roman" w:hAnsi="Times New Roman" w:eastAsia="宋体" w:cs="Times New Roman"/>
              </w:rPr>
              <w:t>（2）有效服务期内，为用户提供软件补丁，或者新版本软件升级。</w:t>
            </w:r>
          </w:p>
          <w:p w14:paraId="1095411E">
            <w:pPr>
              <w:pStyle w:val="9"/>
              <w:rPr>
                <w:rFonts w:hint="eastAsia" w:ascii="Times New Roman" w:hAnsi="Times New Roman" w:eastAsia="宋体" w:cs="Times New Roman"/>
              </w:rPr>
            </w:pPr>
            <w:r>
              <w:rPr>
                <w:rFonts w:hint="eastAsia" w:ascii="Times New Roman" w:hAnsi="Times New Roman" w:eastAsia="宋体" w:cs="Times New Roman"/>
              </w:rPr>
              <w:t>5.提供巡检服务：</w:t>
            </w:r>
          </w:p>
          <w:p w14:paraId="6DD578AD">
            <w:pPr>
              <w:pStyle w:val="9"/>
              <w:rPr>
                <w:rFonts w:hint="eastAsia" w:ascii="Times New Roman" w:hAnsi="Times New Roman" w:eastAsia="宋体" w:cs="Times New Roman"/>
              </w:rPr>
            </w:pPr>
            <w:r>
              <w:rPr>
                <w:rFonts w:hint="eastAsia" w:ascii="Times New Roman" w:hAnsi="Times New Roman" w:eastAsia="宋体" w:cs="Times New Roman"/>
              </w:rPr>
              <w:t>（1）及时有效的发现系统相关问题，第一时间掌握系统运行状况并及时跟踪、解决；</w:t>
            </w:r>
          </w:p>
          <w:p w14:paraId="34337EAF">
            <w:pPr>
              <w:pStyle w:val="9"/>
              <w:rPr>
                <w:rFonts w:hint="eastAsia" w:ascii="Times New Roman" w:hAnsi="Times New Roman" w:eastAsia="宋体" w:cs="Times New Roman"/>
              </w:rPr>
            </w:pPr>
            <w:r>
              <w:rPr>
                <w:rFonts w:hint="eastAsia" w:ascii="Times New Roman" w:hAnsi="Times New Roman" w:eastAsia="宋体" w:cs="Times New Roman"/>
              </w:rPr>
              <w:t>（2）不定时提供抽查巡检，并提供问题解决方案及技术支持。</w:t>
            </w:r>
          </w:p>
          <w:p w14:paraId="703B6FAB">
            <w:pPr>
              <w:pStyle w:val="9"/>
              <w:ind w:firstLine="422"/>
              <w:rPr>
                <w:rFonts w:hint="eastAsia" w:ascii="Times New Roman" w:hAnsi="Times New Roman" w:eastAsia="宋体" w:cs="Times New Roman"/>
                <w:b/>
              </w:rPr>
            </w:pPr>
            <w:r>
              <w:rPr>
                <w:rFonts w:hint="eastAsia" w:ascii="Times New Roman" w:hAnsi="Times New Roman" w:eastAsia="宋体" w:cs="Times New Roman"/>
                <w:b/>
              </w:rPr>
              <w:t>▲二、人脸识别支撑服务系统</w:t>
            </w:r>
          </w:p>
          <w:p w14:paraId="77C88D6E">
            <w:pPr>
              <w:pStyle w:val="9"/>
              <w:rPr>
                <w:rFonts w:hint="eastAsia" w:ascii="Times New Roman" w:hAnsi="Times New Roman" w:eastAsia="宋体" w:cs="Times New Roman"/>
              </w:rPr>
            </w:pPr>
            <w:r>
              <w:rPr>
                <w:rFonts w:hint="eastAsia" w:ascii="Times New Roman" w:hAnsi="Times New Roman" w:eastAsia="宋体" w:cs="Times New Roman"/>
              </w:rPr>
              <w:t>1.保障经办人身份认证准确，避免冒用别人身份办理业务。对于具备特定菜单权限的经办人，在登录系统或是打开相应菜单时，要求通过刷二代身份证或人脸比对进行身份认证。</w:t>
            </w:r>
          </w:p>
          <w:p w14:paraId="0E46F405">
            <w:pPr>
              <w:pStyle w:val="9"/>
              <w:rPr>
                <w:rFonts w:hint="eastAsia" w:ascii="Times New Roman" w:hAnsi="Times New Roman" w:eastAsia="宋体" w:cs="Times New Roman"/>
              </w:rPr>
            </w:pPr>
            <w:r>
              <w:rPr>
                <w:rFonts w:hint="eastAsia" w:ascii="Times New Roman" w:hAnsi="Times New Roman" w:eastAsia="宋体" w:cs="Times New Roman"/>
              </w:rPr>
              <w:t>2.检查申请人（代理人）人证一致性比对无误。区分申请人本人办理业务还是代理人办理业务，在此基础上，实现按工作规范限制允许代理人办理的业务范围。</w:t>
            </w:r>
          </w:p>
          <w:p w14:paraId="73D33975">
            <w:pPr>
              <w:pStyle w:val="9"/>
              <w:rPr>
                <w:rFonts w:hint="eastAsia" w:ascii="Times New Roman" w:hAnsi="Times New Roman" w:eastAsia="宋体" w:cs="Times New Roman"/>
              </w:rPr>
            </w:pPr>
            <w:r>
              <w:rPr>
                <w:rFonts w:hint="eastAsia" w:ascii="Times New Roman" w:hAnsi="Times New Roman" w:eastAsia="宋体" w:cs="Times New Roman"/>
              </w:rPr>
              <w:t>3.保障考生人证一致性比对准确无误。在理论考试的考试签到和考试过程中，以及在科目二、三考试签到和考试过程中，进行人证一致性比对或是人脸比对，避免替考行为。</w:t>
            </w:r>
          </w:p>
          <w:p w14:paraId="32367CC8">
            <w:pPr>
              <w:pStyle w:val="9"/>
              <w:rPr>
                <w:rFonts w:hint="eastAsia" w:ascii="Times New Roman" w:hAnsi="Times New Roman" w:eastAsia="宋体" w:cs="Times New Roman"/>
              </w:rPr>
            </w:pPr>
            <w:r>
              <w:rPr>
                <w:rFonts w:hint="eastAsia" w:ascii="Times New Roman" w:hAnsi="Times New Roman" w:eastAsia="宋体" w:cs="Times New Roman"/>
              </w:rPr>
              <w:t>4.自助业务人证一致性比对监管。要求自助机程序提供人证一致性比对功能，在调用综合应用平台接口受理业务时，将用于比对的基准照片以及拍摄的现场照片随同业务信息一起上传。</w:t>
            </w:r>
          </w:p>
          <w:p w14:paraId="28A7D108">
            <w:pPr>
              <w:pStyle w:val="9"/>
              <w:rPr>
                <w:rFonts w:hint="eastAsia" w:ascii="Times New Roman" w:hAnsi="Times New Roman" w:eastAsia="宋体" w:cs="Times New Roman"/>
              </w:rPr>
            </w:pPr>
            <w:r>
              <w:rPr>
                <w:rFonts w:hint="eastAsia" w:ascii="Times New Roman" w:hAnsi="Times New Roman" w:eastAsia="宋体" w:cs="Times New Roman"/>
              </w:rPr>
              <w:t>5.定期检查对人脸识别的效率和准确性，及时分析故障点，保障各项应用功能完好。</w:t>
            </w:r>
          </w:p>
          <w:p w14:paraId="6C13A165">
            <w:pPr>
              <w:pStyle w:val="9"/>
              <w:rPr>
                <w:rFonts w:hint="eastAsia" w:ascii="Times New Roman" w:hAnsi="Times New Roman" w:eastAsia="宋体" w:cs="Times New Roman"/>
              </w:rPr>
            </w:pPr>
            <w:r>
              <w:rPr>
                <w:rFonts w:hint="eastAsia" w:ascii="Times New Roman" w:hAnsi="Times New Roman" w:eastAsia="宋体" w:cs="Times New Roman"/>
              </w:rPr>
              <w:t>6.协调联系上级开发运维部门和支队其他平台程序运维部门做好日常数据对接检查，按交警上级部门要求对系统进行升级、调试等工作，确保系统正常平稳运行。</w:t>
            </w:r>
          </w:p>
        </w:tc>
        <w:tc>
          <w:tcPr>
            <w:tcW w:w="992" w:type="dxa"/>
            <w:tcBorders>
              <w:top w:val="single" w:color="auto" w:sz="4" w:space="0"/>
              <w:left w:val="single" w:color="auto" w:sz="4" w:space="0"/>
              <w:right w:val="single" w:color="auto" w:sz="4" w:space="0"/>
            </w:tcBorders>
            <w:noWrap w:val="0"/>
            <w:vAlign w:val="center"/>
          </w:tcPr>
          <w:p w14:paraId="17F1DD12">
            <w:pPr>
              <w:wordWrap w:val="0"/>
              <w:spacing w:line="360" w:lineRule="exact"/>
              <w:jc w:val="center"/>
              <w:rPr>
                <w:rFonts w:ascii="宋体" w:hAnsi="宋体" w:eastAsia="宋体" w:cs="Times New Roman"/>
                <w:szCs w:val="21"/>
              </w:rPr>
            </w:pPr>
            <w:r>
              <w:rPr>
                <w:rFonts w:hint="eastAsia" w:ascii="宋体" w:hAnsi="宋体" w:eastAsia="宋体" w:cs="Times New Roman"/>
                <w:szCs w:val="21"/>
              </w:rPr>
              <w:t>3</w:t>
            </w:r>
          </w:p>
        </w:tc>
        <w:tc>
          <w:tcPr>
            <w:tcW w:w="1090" w:type="dxa"/>
            <w:tcBorders>
              <w:top w:val="single" w:color="auto" w:sz="4" w:space="0"/>
              <w:left w:val="single" w:color="auto" w:sz="4" w:space="0"/>
              <w:right w:val="single" w:color="auto" w:sz="4" w:space="0"/>
            </w:tcBorders>
            <w:noWrap w:val="0"/>
            <w:vAlign w:val="center"/>
          </w:tcPr>
          <w:p w14:paraId="1F8B48EA">
            <w:pPr>
              <w:spacing w:line="340" w:lineRule="exact"/>
              <w:jc w:val="center"/>
              <w:rPr>
                <w:rFonts w:ascii="宋体" w:hAnsi="宋体" w:eastAsia="宋体" w:cs="Times New Roman"/>
                <w:szCs w:val="21"/>
              </w:rPr>
            </w:pPr>
            <w:r>
              <w:rPr>
                <w:rFonts w:hint="eastAsia" w:ascii="宋体" w:hAnsi="宋体" w:eastAsia="宋体" w:cs="Times New Roman"/>
                <w:szCs w:val="21"/>
              </w:rPr>
              <w:t>软件和信息技术服务业</w:t>
            </w:r>
          </w:p>
        </w:tc>
      </w:tr>
      <w:tr w14:paraId="7C61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left w:val="single" w:color="auto" w:sz="4" w:space="0"/>
              <w:right w:val="single" w:color="auto" w:sz="4" w:space="0"/>
            </w:tcBorders>
            <w:noWrap w:val="0"/>
            <w:vAlign w:val="top"/>
          </w:tcPr>
          <w:p w14:paraId="224D610A">
            <w:pPr>
              <w:spacing w:line="340" w:lineRule="exact"/>
              <w:jc w:val="center"/>
              <w:rPr>
                <w:rFonts w:hint="eastAsia" w:ascii="宋体" w:hAnsi="宋体" w:eastAsia="宋体" w:cs="Times New Roman"/>
                <w:bCs/>
                <w:szCs w:val="21"/>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0FF3C23">
            <w:pPr>
              <w:spacing w:line="340" w:lineRule="exact"/>
              <w:jc w:val="center"/>
              <w:rPr>
                <w:rFonts w:hint="eastAsia" w:ascii="宋体" w:hAnsi="宋体" w:eastAsia="宋体" w:cs="Times New Roman"/>
                <w:szCs w:val="21"/>
              </w:rPr>
            </w:pPr>
            <w:r>
              <w:rPr>
                <w:rFonts w:hint="eastAsia" w:ascii="宋体" w:hAnsi="宋体" w:eastAsia="宋体" w:cs="Times New Roman"/>
                <w:szCs w:val="21"/>
              </w:rPr>
              <w:t>2</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C84D9ED">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公安交通集成指挥平台运维服务</w:t>
            </w:r>
          </w:p>
        </w:tc>
        <w:tc>
          <w:tcPr>
            <w:tcW w:w="567" w:type="dxa"/>
            <w:tcBorders>
              <w:top w:val="single" w:color="auto" w:sz="4" w:space="0"/>
              <w:left w:val="single" w:color="auto" w:sz="4" w:space="0"/>
              <w:right w:val="single" w:color="auto" w:sz="4" w:space="0"/>
            </w:tcBorders>
            <w:noWrap w:val="0"/>
            <w:vAlign w:val="center"/>
          </w:tcPr>
          <w:p w14:paraId="09DD0673">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1项</w:t>
            </w:r>
          </w:p>
        </w:tc>
        <w:tc>
          <w:tcPr>
            <w:tcW w:w="5103" w:type="dxa"/>
            <w:tcBorders>
              <w:top w:val="single" w:color="auto" w:sz="4" w:space="0"/>
              <w:left w:val="single" w:color="auto" w:sz="4" w:space="0"/>
              <w:right w:val="single" w:color="auto" w:sz="4" w:space="0"/>
            </w:tcBorders>
            <w:noWrap w:val="0"/>
            <w:vAlign w:val="center"/>
          </w:tcPr>
          <w:p w14:paraId="339647D8">
            <w:pPr>
              <w:pStyle w:val="9"/>
              <w:ind w:firstLine="422"/>
              <w:rPr>
                <w:rFonts w:hint="eastAsia" w:ascii="Times New Roman" w:hAnsi="Times New Roman" w:eastAsia="宋体" w:cs="Times New Roman"/>
                <w:b/>
              </w:rPr>
            </w:pPr>
            <w:r>
              <w:rPr>
                <w:rFonts w:hint="eastAsia" w:ascii="Times New Roman" w:hAnsi="Times New Roman" w:eastAsia="宋体" w:cs="Times New Roman"/>
                <w:b/>
              </w:rPr>
              <w:t>▲一、公安交通集成指挥平台运维服务</w:t>
            </w:r>
          </w:p>
          <w:p w14:paraId="4687BFA1">
            <w:pPr>
              <w:pStyle w:val="9"/>
              <w:rPr>
                <w:rFonts w:hint="eastAsia" w:ascii="Times New Roman" w:hAnsi="Times New Roman" w:eastAsia="宋体" w:cs="Times New Roman"/>
              </w:rPr>
            </w:pPr>
            <w:r>
              <w:rPr>
                <w:rFonts w:hint="eastAsia" w:ascii="Times New Roman" w:hAnsi="Times New Roman" w:eastAsia="宋体" w:cs="Times New Roman"/>
              </w:rPr>
              <w:t>1.公安交通集成指挥平台系统运维服务，包括缉查布控、非现场执法、交通状态监管、应急指挥、勤务管理、交通态势分析、交警基础信息等核心功能及其它管理功能。</w:t>
            </w:r>
          </w:p>
          <w:p w14:paraId="53B2CB1F">
            <w:pPr>
              <w:pStyle w:val="9"/>
              <w:rPr>
                <w:rFonts w:hint="eastAsia" w:ascii="Times New Roman" w:hAnsi="Times New Roman" w:eastAsia="宋体" w:cs="Times New Roman"/>
              </w:rPr>
            </w:pPr>
            <w:r>
              <w:rPr>
                <w:rFonts w:hint="eastAsia" w:ascii="Times New Roman" w:hAnsi="Times New Roman" w:eastAsia="宋体" w:cs="Times New Roman"/>
              </w:rPr>
              <w:t>2.公安交通集成指挥平台是道路交通事故预防工作提供信息支撑服务的平台，是完成相关性能考核指标的重要平台，需保障支队考核达标要求。</w:t>
            </w:r>
          </w:p>
          <w:p w14:paraId="76D985B1">
            <w:pPr>
              <w:pStyle w:val="9"/>
              <w:rPr>
                <w:rFonts w:hint="eastAsia" w:ascii="Times New Roman" w:hAnsi="Times New Roman" w:eastAsia="宋体" w:cs="Times New Roman"/>
              </w:rPr>
            </w:pPr>
            <w:r>
              <w:rPr>
                <w:rFonts w:hint="eastAsia" w:ascii="Times New Roman" w:hAnsi="Times New Roman" w:eastAsia="宋体" w:cs="Times New Roman"/>
              </w:rPr>
              <w:t>3.为了确保公安交通集成指挥平台安全稳定运行，用户体验良好，需要开展日常运行维护工作，保证平台软件正常运行，运维响应时间7</w:t>
            </w:r>
            <w:r>
              <w:rPr>
                <w:rFonts w:hint="eastAsia" w:ascii="宋体" w:hAnsi="宋体" w:eastAsia="宋体" w:cs="Times New Roman"/>
              </w:rPr>
              <w:t>×</w:t>
            </w:r>
            <w:r>
              <w:rPr>
                <w:rFonts w:hint="eastAsia" w:ascii="Times New Roman" w:hAnsi="Times New Roman" w:eastAsia="宋体" w:cs="Times New Roman"/>
              </w:rPr>
              <w:t>24 小时。</w:t>
            </w:r>
          </w:p>
          <w:p w14:paraId="749C3E3F">
            <w:pPr>
              <w:pStyle w:val="9"/>
              <w:rPr>
                <w:rFonts w:hint="eastAsia" w:ascii="Times New Roman" w:hAnsi="Times New Roman" w:eastAsia="宋体" w:cs="Times New Roman"/>
              </w:rPr>
            </w:pPr>
            <w:r>
              <w:rPr>
                <w:rFonts w:hint="eastAsia" w:ascii="Times New Roman" w:hAnsi="Times New Roman" w:eastAsia="宋体" w:cs="Times New Roman"/>
              </w:rPr>
              <w:t>4.运维期内，至少派2 名技术工程师长期常驻交警支队，提供现场技术服务，并按交警支队安排的时间上班，遵守交警支队的规章制度，服从交警支队的日常管理。</w:t>
            </w:r>
          </w:p>
          <w:p w14:paraId="19760A33">
            <w:pPr>
              <w:pStyle w:val="9"/>
              <w:rPr>
                <w:rFonts w:hint="eastAsia" w:ascii="Times New Roman" w:hAnsi="Times New Roman" w:eastAsia="宋体" w:cs="Times New Roman"/>
              </w:rPr>
            </w:pPr>
            <w:r>
              <w:rPr>
                <w:rFonts w:hint="eastAsia" w:ascii="Times New Roman" w:hAnsi="Times New Roman" w:eastAsia="宋体" w:cs="Times New Roman"/>
              </w:rPr>
              <w:t>5.公安交通集成指挥平台技术服务应当包括标准技术服务内容和四大组件专项服务内容（包括公安集成指挥平台核心版+oracle数据库组件、视频图像统一接入的视频、图片服务网关组件、实时计算的Kafka+Spark组件+云环境Hadoop大数据集群组件、车辆特征智能识别组件等）。</w:t>
            </w:r>
          </w:p>
          <w:p w14:paraId="01857EA4">
            <w:pPr>
              <w:pStyle w:val="9"/>
              <w:ind w:firstLine="422"/>
              <w:rPr>
                <w:rFonts w:hint="eastAsia" w:ascii="Times New Roman" w:hAnsi="Times New Roman" w:eastAsia="宋体" w:cs="Times New Roman"/>
                <w:b/>
              </w:rPr>
            </w:pPr>
            <w:r>
              <w:rPr>
                <w:rFonts w:hint="eastAsia" w:ascii="Times New Roman" w:hAnsi="Times New Roman" w:eastAsia="宋体" w:cs="Times New Roman"/>
                <w:b/>
              </w:rPr>
              <w:t>▲二、公安交通集成指挥平台大数据软件技术服务</w:t>
            </w:r>
          </w:p>
          <w:p w14:paraId="5C398A54">
            <w:pPr>
              <w:pStyle w:val="9"/>
              <w:rPr>
                <w:rFonts w:hint="eastAsia" w:ascii="Times New Roman" w:hAnsi="Times New Roman" w:eastAsia="宋体" w:cs="Times New Roman"/>
              </w:rPr>
            </w:pPr>
            <w:r>
              <w:rPr>
                <w:rFonts w:hint="eastAsia" w:ascii="Times New Roman" w:hAnsi="Times New Roman" w:eastAsia="宋体" w:cs="Times New Roman"/>
              </w:rPr>
              <w:t>1.标准5</w:t>
            </w:r>
            <w:r>
              <w:rPr>
                <w:rFonts w:hint="eastAsia" w:ascii="宋体" w:hAnsi="宋体" w:eastAsia="宋体" w:cs="Times New Roman"/>
              </w:rPr>
              <w:t>×</w:t>
            </w:r>
            <w:r>
              <w:rPr>
                <w:rFonts w:hint="eastAsia" w:ascii="Times New Roman" w:hAnsi="Times New Roman" w:eastAsia="宋体" w:cs="Times New Roman"/>
              </w:rPr>
              <w:t xml:space="preserve">8小时技术支持和维保服务。 </w:t>
            </w:r>
          </w:p>
          <w:p w14:paraId="116D38D5">
            <w:pPr>
              <w:pStyle w:val="9"/>
              <w:rPr>
                <w:rFonts w:hint="eastAsia" w:ascii="Times New Roman" w:hAnsi="Times New Roman" w:eastAsia="宋体" w:cs="Times New Roman"/>
              </w:rPr>
            </w:pPr>
            <w:r>
              <w:rPr>
                <w:rFonts w:hint="eastAsia" w:ascii="Times New Roman" w:hAnsi="Times New Roman" w:eastAsia="宋体" w:cs="Times New Roman"/>
              </w:rPr>
              <w:t>2.有效服务期内，平台大数据软件补丁程序运维服务。</w:t>
            </w:r>
          </w:p>
          <w:p w14:paraId="15B50C9E">
            <w:pPr>
              <w:pStyle w:val="9"/>
              <w:rPr>
                <w:rFonts w:hint="eastAsia" w:ascii="Times New Roman" w:hAnsi="Times New Roman" w:eastAsia="宋体" w:cs="Times New Roman"/>
              </w:rPr>
            </w:pPr>
            <w:r>
              <w:rPr>
                <w:rFonts w:hint="eastAsia" w:ascii="Times New Roman" w:hAnsi="Times New Roman" w:eastAsia="宋体" w:cs="Times New Roman"/>
              </w:rPr>
              <w:t>3.有效服务期内，平台大数据软件产品新版本的运维服务。</w:t>
            </w:r>
          </w:p>
          <w:p w14:paraId="5C02EAFE">
            <w:pPr>
              <w:pStyle w:val="9"/>
              <w:rPr>
                <w:rFonts w:hint="eastAsia" w:ascii="Times New Roman" w:hAnsi="Times New Roman" w:eastAsia="宋体" w:cs="Times New Roman"/>
              </w:rPr>
            </w:pPr>
            <w:r>
              <w:rPr>
                <w:rFonts w:hint="eastAsia" w:ascii="Times New Roman" w:hAnsi="Times New Roman" w:eastAsia="宋体" w:cs="Times New Roman"/>
              </w:rPr>
              <w:t>4.巡检报告，平台大数据年度巡检服务。</w:t>
            </w:r>
          </w:p>
          <w:p w14:paraId="4CB86AA2">
            <w:pPr>
              <w:pStyle w:val="9"/>
              <w:rPr>
                <w:rFonts w:hint="eastAsia" w:ascii="Times New Roman" w:hAnsi="Times New Roman" w:eastAsia="宋体" w:cs="Times New Roman"/>
              </w:rPr>
            </w:pPr>
            <w:r>
              <w:rPr>
                <w:rFonts w:hint="eastAsia" w:ascii="Times New Roman" w:hAnsi="Times New Roman" w:eastAsia="宋体" w:cs="Times New Roman"/>
              </w:rPr>
              <w:t>5.平台重大问题处理，如系统频繁重启、系统部分节点宕机、系统停运或挂起等问题，做技术支持保障服务。</w:t>
            </w:r>
          </w:p>
          <w:p w14:paraId="39D9426D">
            <w:pPr>
              <w:pStyle w:val="9"/>
              <w:ind w:firstLine="422"/>
              <w:rPr>
                <w:rFonts w:hint="eastAsia" w:ascii="Times New Roman" w:hAnsi="Times New Roman" w:eastAsia="宋体" w:cs="Times New Roman"/>
                <w:b/>
              </w:rPr>
            </w:pPr>
            <w:r>
              <w:rPr>
                <w:rFonts w:hint="eastAsia" w:ascii="Times New Roman" w:hAnsi="Times New Roman" w:eastAsia="宋体" w:cs="Times New Roman"/>
                <w:b/>
              </w:rPr>
              <w:t>▲三、区域通行证系统维护服务</w:t>
            </w:r>
          </w:p>
          <w:p w14:paraId="4F6F89FF">
            <w:pPr>
              <w:pStyle w:val="9"/>
              <w:rPr>
                <w:rFonts w:hint="eastAsia" w:ascii="Times New Roman" w:hAnsi="Times New Roman" w:eastAsia="宋体" w:cs="Times New Roman"/>
              </w:rPr>
            </w:pPr>
            <w:r>
              <w:rPr>
                <w:rFonts w:hint="eastAsia" w:ascii="Times New Roman" w:hAnsi="Times New Roman" w:eastAsia="宋体" w:cs="Times New Roman"/>
              </w:rPr>
              <w:t>1.维护应用服务器，接口服务器保障系统正常运行。</w:t>
            </w:r>
          </w:p>
          <w:p w14:paraId="54AC27D1">
            <w:pPr>
              <w:pStyle w:val="9"/>
              <w:rPr>
                <w:rFonts w:hint="eastAsia" w:ascii="Times New Roman" w:hAnsi="Times New Roman" w:eastAsia="宋体" w:cs="Times New Roman"/>
              </w:rPr>
            </w:pPr>
            <w:r>
              <w:rPr>
                <w:rFonts w:hint="eastAsia" w:ascii="Times New Roman" w:hAnsi="Times New Roman" w:eastAsia="宋体" w:cs="Times New Roman"/>
              </w:rPr>
              <w:t>2.根据采购人要求对系统进行功能完善</w:t>
            </w:r>
          </w:p>
          <w:p w14:paraId="0B2D1352">
            <w:pPr>
              <w:pStyle w:val="9"/>
              <w:rPr>
                <w:rFonts w:hint="eastAsia" w:ascii="Times New Roman" w:hAnsi="Times New Roman" w:eastAsia="宋体" w:cs="Times New Roman"/>
              </w:rPr>
            </w:pPr>
            <w:r>
              <w:rPr>
                <w:rFonts w:hint="eastAsia" w:ascii="Times New Roman" w:hAnsi="Times New Roman" w:eastAsia="宋体" w:cs="Times New Roman"/>
              </w:rPr>
              <w:t>3.系统日常维护，包括：技术咨询、功能完善、性能提升、故障检测、接口数据入库及用户新增等相关工作，保证系统软件的正常运行。</w:t>
            </w:r>
          </w:p>
          <w:p w14:paraId="04C5822A">
            <w:pPr>
              <w:pStyle w:val="9"/>
              <w:rPr>
                <w:rFonts w:hint="eastAsia"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w:t>
            </w:r>
            <w:r>
              <w:rPr>
                <w:rFonts w:hint="eastAsia" w:ascii="Times New Roman" w:hAnsi="Times New Roman" w:eastAsia="宋体" w:cs="Times New Roman"/>
              </w:rPr>
              <w:t>系统代码维护，根据业务需求或经与采购人确认后，对相关系统做维护性修改开发，完善并优化系统，预防系统bug产生，提高系统健壮性。</w:t>
            </w:r>
          </w:p>
          <w:p w14:paraId="7D4FC144">
            <w:pPr>
              <w:pStyle w:val="9"/>
              <w:rPr>
                <w:rFonts w:hint="eastAsia" w:ascii="Times New Roman" w:hAnsi="Times New Roman" w:eastAsia="宋体" w:cs="Times New Roman"/>
              </w:rPr>
            </w:pPr>
            <w:r>
              <w:rPr>
                <w:rFonts w:hint="eastAsia" w:ascii="Times New Roman" w:hAnsi="Times New Roman" w:eastAsia="宋体" w:cs="Times New Roman"/>
              </w:rPr>
              <w:t>5.系统故障检测及排除。</w:t>
            </w:r>
          </w:p>
          <w:p w14:paraId="56BAABF5">
            <w:pPr>
              <w:pStyle w:val="9"/>
              <w:rPr>
                <w:rFonts w:hint="eastAsia" w:ascii="Times New Roman" w:hAnsi="Times New Roman" w:eastAsia="宋体" w:cs="Times New Roman"/>
              </w:rPr>
            </w:pPr>
            <w:r>
              <w:rPr>
                <w:rFonts w:hint="eastAsia" w:ascii="Times New Roman" w:hAnsi="Times New Roman" w:eastAsia="宋体" w:cs="Times New Roman"/>
              </w:rPr>
              <w:t>6.分析系统性能，根据检查及分析结果，对系统的参数进行调整及维护。</w:t>
            </w:r>
          </w:p>
          <w:p w14:paraId="740F0467">
            <w:pPr>
              <w:pStyle w:val="9"/>
              <w:rPr>
                <w:rFonts w:hint="eastAsia" w:ascii="Times New Roman" w:hAnsi="Times New Roman" w:eastAsia="宋体" w:cs="Times New Roman"/>
              </w:rPr>
            </w:pPr>
            <w:r>
              <w:rPr>
                <w:rFonts w:hint="eastAsia" w:ascii="Times New Roman" w:hAnsi="Times New Roman" w:eastAsia="宋体" w:cs="Times New Roman"/>
              </w:rPr>
              <w:t>7.系统巡检,每个季度提供巡检报告。</w:t>
            </w:r>
          </w:p>
          <w:p w14:paraId="100DAF8A">
            <w:pPr>
              <w:pStyle w:val="9"/>
              <w:rPr>
                <w:rFonts w:hint="eastAsia" w:ascii="Times New Roman" w:hAnsi="Times New Roman" w:eastAsia="宋体" w:cs="Times New Roman"/>
              </w:rPr>
            </w:pPr>
            <w:r>
              <w:rPr>
                <w:rFonts w:hint="eastAsia" w:ascii="Times New Roman" w:hAnsi="Times New Roman" w:eastAsia="宋体" w:cs="Times New Roman"/>
              </w:rPr>
              <w:t>8.系统安装部署及数据迁移技术支持。</w:t>
            </w:r>
          </w:p>
          <w:p w14:paraId="25879A98">
            <w:pPr>
              <w:pStyle w:val="9"/>
              <w:rPr>
                <w:rFonts w:hint="eastAsia" w:ascii="Times New Roman" w:hAnsi="Times New Roman" w:eastAsia="宋体" w:cs="Times New Roman"/>
              </w:rPr>
            </w:pPr>
            <w:r>
              <w:rPr>
                <w:rFonts w:hint="eastAsia" w:ascii="Times New Roman" w:hAnsi="Times New Roman" w:eastAsia="宋体" w:cs="Times New Roman"/>
              </w:rPr>
              <w:t>9系统缺陷修订、补漏。</w:t>
            </w:r>
          </w:p>
          <w:p w14:paraId="445D319D">
            <w:pPr>
              <w:pStyle w:val="9"/>
              <w:rPr>
                <w:rFonts w:hint="eastAsia" w:ascii="Times New Roman" w:hAnsi="Times New Roman" w:eastAsia="宋体" w:cs="Times New Roman"/>
              </w:rPr>
            </w:pPr>
            <w:r>
              <w:rPr>
                <w:rFonts w:hint="eastAsia" w:ascii="Times New Roman" w:hAnsi="Times New Roman" w:eastAsia="宋体" w:cs="Times New Roman"/>
              </w:rPr>
              <w:t>10.系统接口维护、完善。</w:t>
            </w:r>
          </w:p>
          <w:p w14:paraId="3E6C0C45">
            <w:pPr>
              <w:pStyle w:val="9"/>
              <w:rPr>
                <w:rFonts w:hint="eastAsia" w:ascii="Times New Roman" w:hAnsi="Times New Roman" w:eastAsia="宋体" w:cs="Times New Roman"/>
              </w:rPr>
            </w:pPr>
            <w:r>
              <w:rPr>
                <w:rFonts w:hint="eastAsia" w:ascii="Times New Roman" w:hAnsi="Times New Roman" w:eastAsia="宋体" w:cs="Times New Roman"/>
              </w:rPr>
              <w:t>11.数据库维护。保障数据库正常运行，保障数据库数据完整备份、恢复，满足采购人提出的数据整理导出、分析统计及数据同步等业务的数据维护。</w:t>
            </w:r>
          </w:p>
          <w:p w14:paraId="1D515A74">
            <w:pPr>
              <w:pStyle w:val="9"/>
              <w:rPr>
                <w:rFonts w:hint="eastAsia" w:ascii="Times New Roman" w:hAnsi="Times New Roman" w:eastAsia="宋体" w:cs="Times New Roman"/>
              </w:rPr>
            </w:pPr>
            <w:r>
              <w:rPr>
                <w:rFonts w:hint="eastAsia" w:ascii="Times New Roman" w:hAnsi="Times New Roman" w:eastAsia="宋体" w:cs="Times New Roman"/>
              </w:rPr>
              <w:t>12.按采购人要求进行项目的按需定制及二次开发，在实施和使用过程中，应采购人工作实际需要调整软件功能的，在不超过原代码量15%的情况下，中标供应商保证更改和维护各个模块。</w:t>
            </w:r>
          </w:p>
        </w:tc>
        <w:tc>
          <w:tcPr>
            <w:tcW w:w="992" w:type="dxa"/>
            <w:tcBorders>
              <w:top w:val="single" w:color="auto" w:sz="4" w:space="0"/>
              <w:left w:val="single" w:color="auto" w:sz="4" w:space="0"/>
              <w:right w:val="single" w:color="auto" w:sz="4" w:space="0"/>
            </w:tcBorders>
            <w:noWrap w:val="0"/>
            <w:vAlign w:val="center"/>
          </w:tcPr>
          <w:p w14:paraId="6F7567BE">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30</w:t>
            </w:r>
          </w:p>
        </w:tc>
        <w:tc>
          <w:tcPr>
            <w:tcW w:w="1090" w:type="dxa"/>
            <w:tcBorders>
              <w:top w:val="single" w:color="auto" w:sz="4" w:space="0"/>
              <w:left w:val="single" w:color="auto" w:sz="4" w:space="0"/>
              <w:right w:val="single" w:color="auto" w:sz="4" w:space="0"/>
            </w:tcBorders>
            <w:noWrap w:val="0"/>
            <w:vAlign w:val="center"/>
          </w:tcPr>
          <w:p w14:paraId="6EECCFE8">
            <w:pPr>
              <w:spacing w:line="340" w:lineRule="exact"/>
              <w:jc w:val="center"/>
              <w:rPr>
                <w:rFonts w:hint="eastAsia" w:ascii="宋体" w:hAnsi="宋体" w:eastAsia="宋体" w:cs="Times New Roman"/>
                <w:szCs w:val="21"/>
              </w:rPr>
            </w:pPr>
            <w:r>
              <w:rPr>
                <w:rFonts w:hint="eastAsia" w:ascii="宋体" w:hAnsi="宋体" w:eastAsia="宋体" w:cs="Times New Roman"/>
                <w:szCs w:val="21"/>
              </w:rPr>
              <w:t>软件和信息技术服务业</w:t>
            </w:r>
          </w:p>
        </w:tc>
      </w:tr>
      <w:tr w14:paraId="4E887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left w:val="single" w:color="auto" w:sz="4" w:space="0"/>
              <w:right w:val="single" w:color="auto" w:sz="4" w:space="0"/>
            </w:tcBorders>
            <w:noWrap w:val="0"/>
            <w:vAlign w:val="top"/>
          </w:tcPr>
          <w:p w14:paraId="250E9F09">
            <w:pPr>
              <w:spacing w:line="340" w:lineRule="exact"/>
              <w:jc w:val="center"/>
              <w:rPr>
                <w:rFonts w:hint="eastAsia" w:ascii="宋体" w:hAnsi="宋体" w:eastAsia="宋体" w:cs="Times New Roman"/>
                <w:bCs/>
                <w:szCs w:val="21"/>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F667B5E">
            <w:pPr>
              <w:spacing w:line="340" w:lineRule="exact"/>
              <w:jc w:val="center"/>
              <w:rPr>
                <w:rFonts w:hint="eastAsia" w:ascii="宋体" w:hAnsi="宋体" w:eastAsia="宋体" w:cs="Times New Roman"/>
                <w:szCs w:val="21"/>
              </w:rPr>
            </w:pPr>
            <w:r>
              <w:rPr>
                <w:rFonts w:hint="eastAsia" w:ascii="宋体" w:hAnsi="宋体" w:eastAsia="宋体" w:cs="Times New Roman"/>
                <w:szCs w:val="21"/>
              </w:rPr>
              <w:t>3</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42C3CC13">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公安交通集成指挥平台融合通信语音卡设备</w:t>
            </w:r>
          </w:p>
        </w:tc>
        <w:tc>
          <w:tcPr>
            <w:tcW w:w="567" w:type="dxa"/>
            <w:tcBorders>
              <w:top w:val="single" w:color="auto" w:sz="4" w:space="0"/>
              <w:left w:val="single" w:color="auto" w:sz="4" w:space="0"/>
              <w:right w:val="single" w:color="auto" w:sz="4" w:space="0"/>
            </w:tcBorders>
            <w:noWrap w:val="0"/>
            <w:vAlign w:val="center"/>
          </w:tcPr>
          <w:p w14:paraId="5BB1B22A">
            <w:pPr>
              <w:wordWrap w:val="0"/>
              <w:snapToGrid w:val="0"/>
              <w:spacing w:line="360" w:lineRule="exact"/>
              <w:jc w:val="center"/>
              <w:rPr>
                <w:rFonts w:hint="eastAsia" w:ascii="宋体" w:hAnsi="宋体" w:eastAsia="宋体" w:cs="Times New Roman"/>
                <w:szCs w:val="21"/>
              </w:rPr>
            </w:pPr>
            <w:r>
              <w:rPr>
                <w:rFonts w:hint="eastAsia" w:ascii="宋体" w:hAnsi="宋体" w:eastAsia="宋体" w:cs="Times New Roman"/>
                <w:szCs w:val="21"/>
              </w:rPr>
              <w:t>1张</w:t>
            </w:r>
          </w:p>
        </w:tc>
        <w:tc>
          <w:tcPr>
            <w:tcW w:w="5103" w:type="dxa"/>
            <w:tcBorders>
              <w:top w:val="single" w:color="auto" w:sz="4" w:space="0"/>
              <w:left w:val="single" w:color="auto" w:sz="4" w:space="0"/>
              <w:right w:val="single" w:color="auto" w:sz="4" w:space="0"/>
            </w:tcBorders>
            <w:noWrap w:val="0"/>
            <w:vAlign w:val="center"/>
          </w:tcPr>
          <w:p w14:paraId="6BB8DB8F">
            <w:pPr>
              <w:pStyle w:val="9"/>
              <w:rPr>
                <w:rFonts w:hint="eastAsia" w:ascii="Times New Roman" w:hAnsi="Times New Roman" w:eastAsia="宋体" w:cs="Times New Roman"/>
              </w:rPr>
            </w:pPr>
            <w:r>
              <w:rPr>
                <w:rFonts w:hint="eastAsia" w:ascii="Times New Roman" w:hAnsi="Times New Roman" w:eastAsia="宋体" w:cs="Times New Roman"/>
              </w:rPr>
              <w:t>1.并发呼叫能力：60路（2个E1）</w:t>
            </w:r>
          </w:p>
          <w:p w14:paraId="0810716A">
            <w:pPr>
              <w:pStyle w:val="9"/>
              <w:rPr>
                <w:rFonts w:hint="eastAsia" w:ascii="Times New Roman" w:hAnsi="Times New Roman" w:eastAsia="宋体" w:cs="Times New Roman"/>
              </w:rPr>
            </w:pPr>
            <w:r>
              <w:rPr>
                <w:rFonts w:hint="eastAsia" w:ascii="Times New Roman" w:hAnsi="Times New Roman" w:eastAsia="宋体" w:cs="Times New Roman"/>
              </w:rPr>
              <w:t>（1）信令：支持中国1号信令、7号信令(TUP、ISUP)、ISDN信令；</w:t>
            </w:r>
          </w:p>
          <w:p w14:paraId="740A7841">
            <w:pPr>
              <w:pStyle w:val="9"/>
              <w:rPr>
                <w:rFonts w:hint="eastAsia" w:ascii="Times New Roman" w:hAnsi="Times New Roman" w:eastAsia="宋体" w:cs="Times New Roman"/>
              </w:rPr>
            </w:pPr>
            <w:r>
              <w:rPr>
                <w:rFonts w:hint="eastAsia" w:ascii="Times New Roman" w:hAnsi="Times New Roman" w:eastAsia="宋体" w:cs="Times New Roman"/>
              </w:rPr>
              <w:t>（2）音频编码：支持硬件处理的A-law (G.711)、μ-law、IMA-ADPCM、GSM、MP3及G.729A格式的编码，软件处理的16-bit linear PCM、VOX格式的编码。</w:t>
            </w:r>
          </w:p>
          <w:p w14:paraId="49C910BA">
            <w:pPr>
              <w:pStyle w:val="9"/>
              <w:rPr>
                <w:rFonts w:hint="eastAsia" w:ascii="Times New Roman" w:hAnsi="Times New Roman" w:eastAsia="宋体" w:cs="Times New Roman"/>
              </w:rPr>
            </w:pPr>
            <w:r>
              <w:rPr>
                <w:rFonts w:hint="eastAsia" w:ascii="Times New Roman" w:hAnsi="Times New Roman" w:eastAsia="宋体" w:cs="Times New Roman"/>
              </w:rPr>
              <w:t>2.工作温度：0℃—55℃。</w:t>
            </w:r>
          </w:p>
          <w:p w14:paraId="018AB2DC">
            <w:pPr>
              <w:pStyle w:val="9"/>
              <w:rPr>
                <w:rFonts w:hint="eastAsia" w:ascii="Times New Roman" w:hAnsi="Times New Roman" w:eastAsia="宋体" w:cs="Times New Roman"/>
              </w:rPr>
            </w:pPr>
            <w:r>
              <w:rPr>
                <w:rFonts w:hint="eastAsia" w:ascii="Times New Roman" w:hAnsi="Times New Roman" w:eastAsia="宋体" w:cs="Times New Roman"/>
              </w:rPr>
              <w:t>3.储存温度：-20℃—85℃。</w:t>
            </w:r>
          </w:p>
          <w:p w14:paraId="021D2EE1">
            <w:pPr>
              <w:pStyle w:val="9"/>
              <w:rPr>
                <w:rFonts w:hint="eastAsia" w:ascii="Times New Roman" w:hAnsi="Times New Roman" w:eastAsia="宋体" w:cs="Times New Roman"/>
              </w:rPr>
            </w:pPr>
            <w:r>
              <w:rPr>
                <w:rFonts w:hint="eastAsia" w:ascii="Times New Roman" w:hAnsi="Times New Roman" w:eastAsia="宋体" w:cs="Times New Roman"/>
              </w:rPr>
              <w:t>4.湿度：8%—90% 无结露。</w:t>
            </w:r>
          </w:p>
          <w:p w14:paraId="2315617B">
            <w:pPr>
              <w:pStyle w:val="9"/>
              <w:rPr>
                <w:rFonts w:hint="eastAsia" w:ascii="Times New Roman" w:hAnsi="Times New Roman" w:eastAsia="宋体" w:cs="Times New Roman"/>
              </w:rPr>
            </w:pPr>
            <w:r>
              <w:rPr>
                <w:rFonts w:hint="eastAsia" w:ascii="Times New Roman" w:hAnsi="Times New Roman" w:eastAsia="宋体" w:cs="Times New Roman"/>
              </w:rPr>
              <w:t>5.储存湿度：8%—90% 无结露。</w:t>
            </w:r>
          </w:p>
          <w:p w14:paraId="11F51296">
            <w:pPr>
              <w:pStyle w:val="9"/>
              <w:rPr>
                <w:rFonts w:ascii="Times New Roman" w:hAnsi="Times New Roman" w:eastAsia="宋体" w:cs="Times New Roman"/>
              </w:rPr>
            </w:pPr>
            <w:r>
              <w:rPr>
                <w:rFonts w:hint="eastAsia" w:ascii="Times New Roman" w:hAnsi="Times New Roman" w:eastAsia="宋体" w:cs="Times New Roman"/>
              </w:rPr>
              <w:t>6.输入/输出接口：E1物理接口：符合G.703建议，包括</w:t>
            </w:r>
            <w:r>
              <w:rPr>
                <w:rFonts w:ascii="Times New Roman" w:hAnsi="Times New Roman" w:eastAsia="宋体" w:cs="Times New Roman"/>
              </w:rPr>
              <w:t>75Ω</w:t>
            </w:r>
            <w:r>
              <w:rPr>
                <w:rFonts w:hint="eastAsia" w:ascii="Times New Roman" w:hAnsi="Times New Roman" w:eastAsia="宋体" w:cs="Times New Roman"/>
              </w:rPr>
              <w:t>非平衡接口和</w:t>
            </w:r>
            <w:r>
              <w:rPr>
                <w:rFonts w:ascii="Times New Roman" w:hAnsi="Times New Roman" w:eastAsia="宋体" w:cs="Times New Roman"/>
              </w:rPr>
              <w:t>120Ω</w:t>
            </w:r>
            <w:r>
              <w:rPr>
                <w:rFonts w:hint="eastAsia" w:ascii="Times New Roman" w:hAnsi="Times New Roman" w:eastAsia="宋体" w:cs="Times New Roman"/>
              </w:rPr>
              <w:t>平衡接口。</w:t>
            </w:r>
            <w:r>
              <w:rPr>
                <w:rFonts w:ascii="Times New Roman" w:hAnsi="Times New Roman" w:eastAsia="宋体" w:cs="Times New Roman"/>
              </w:rPr>
              <w:t>T1</w:t>
            </w:r>
            <w:r>
              <w:rPr>
                <w:rFonts w:hint="eastAsia" w:ascii="Times New Roman" w:hAnsi="Times New Roman" w:eastAsia="宋体" w:cs="Times New Roman"/>
              </w:rPr>
              <w:t>物理接口：具有不同损耗的</w:t>
            </w:r>
            <w:r>
              <w:rPr>
                <w:rFonts w:ascii="Times New Roman" w:hAnsi="Times New Roman" w:eastAsia="宋体" w:cs="Times New Roman"/>
              </w:rPr>
              <w:t>DSX-1</w:t>
            </w:r>
            <w:r>
              <w:rPr>
                <w:rFonts w:hint="eastAsia" w:ascii="Times New Roman" w:hAnsi="Times New Roman" w:eastAsia="宋体" w:cs="Times New Roman"/>
              </w:rPr>
              <w:t>和</w:t>
            </w:r>
            <w:r>
              <w:rPr>
                <w:rFonts w:ascii="Times New Roman" w:hAnsi="Times New Roman" w:eastAsia="宋体" w:cs="Times New Roman"/>
              </w:rPr>
              <w:t>CSU</w:t>
            </w:r>
            <w:r>
              <w:rPr>
                <w:rFonts w:hint="eastAsia" w:ascii="Times New Roman" w:hAnsi="Times New Roman" w:eastAsia="宋体" w:cs="Times New Roman"/>
              </w:rPr>
              <w:t>线路补偿，包括</w:t>
            </w:r>
            <w:r>
              <w:rPr>
                <w:rFonts w:ascii="Times New Roman" w:hAnsi="Times New Roman" w:eastAsia="宋体" w:cs="Times New Roman"/>
              </w:rPr>
              <w:t>100Ω</w:t>
            </w:r>
            <w:r>
              <w:rPr>
                <w:rFonts w:hint="eastAsia" w:ascii="Times New Roman" w:hAnsi="Times New Roman" w:eastAsia="宋体" w:cs="Times New Roman"/>
              </w:rPr>
              <w:t>和</w:t>
            </w:r>
            <w:r>
              <w:rPr>
                <w:rFonts w:ascii="Times New Roman" w:hAnsi="Times New Roman" w:eastAsia="宋体" w:cs="Times New Roman"/>
              </w:rPr>
              <w:t>110Ω</w:t>
            </w:r>
            <w:r>
              <w:rPr>
                <w:rFonts w:hint="eastAsia" w:ascii="Times New Roman" w:hAnsi="Times New Roman" w:eastAsia="宋体" w:cs="Times New Roman"/>
              </w:rPr>
              <w:t>平衡接口。</w:t>
            </w:r>
          </w:p>
          <w:p w14:paraId="6E81B188">
            <w:pPr>
              <w:pStyle w:val="9"/>
              <w:rPr>
                <w:rFonts w:hint="eastAsia" w:ascii="Times New Roman" w:hAnsi="Times New Roman" w:eastAsia="宋体" w:cs="Times New Roman"/>
              </w:rPr>
            </w:pPr>
            <w:r>
              <w:rPr>
                <w:rFonts w:hint="eastAsia" w:ascii="Times New Roman" w:hAnsi="Times New Roman" w:eastAsia="宋体" w:cs="Times New Roman"/>
              </w:rPr>
              <w:t>7.录放音技术指标：录放音编解码格式：CCITT A/μ-Law 64kbps。录放音失真度：≤3%，频响：300-3400Hz（±3dB），信噪比：≥38dB，放音回声抑制比：≥40dB。</w:t>
            </w:r>
          </w:p>
          <w:p w14:paraId="28F6F78D">
            <w:pPr>
              <w:pStyle w:val="9"/>
              <w:rPr>
                <w:rFonts w:hint="eastAsia" w:ascii="Times New Roman" w:hAnsi="Times New Roman" w:eastAsia="宋体" w:cs="Times New Roman"/>
              </w:rPr>
            </w:pPr>
            <w:r>
              <w:rPr>
                <w:rFonts w:hint="eastAsia" w:ascii="Times New Roman" w:hAnsi="Times New Roman" w:eastAsia="宋体" w:cs="Times New Roman"/>
              </w:rPr>
              <w:t xml:space="preserve">8.安全防护：防雷击能力：4级。 </w:t>
            </w:r>
          </w:p>
          <w:p w14:paraId="28178F21">
            <w:pPr>
              <w:pStyle w:val="9"/>
              <w:rPr>
                <w:rFonts w:hint="eastAsia" w:ascii="Times New Roman" w:hAnsi="Times New Roman" w:eastAsia="宋体" w:cs="Times New Roman"/>
              </w:rPr>
            </w:pPr>
            <w:r>
              <w:rPr>
                <w:rFonts w:hint="eastAsia" w:ascii="Times New Roman" w:hAnsi="Times New Roman" w:eastAsia="宋体" w:cs="Times New Roman"/>
              </w:rPr>
              <w:t>9.文字转语音：支持不少于3种语音库（男声、女声、童声）。</w:t>
            </w:r>
          </w:p>
        </w:tc>
        <w:tc>
          <w:tcPr>
            <w:tcW w:w="992" w:type="dxa"/>
            <w:tcBorders>
              <w:top w:val="single" w:color="auto" w:sz="4" w:space="0"/>
              <w:left w:val="single" w:color="auto" w:sz="4" w:space="0"/>
              <w:right w:val="single" w:color="auto" w:sz="4" w:space="0"/>
            </w:tcBorders>
            <w:noWrap w:val="0"/>
            <w:vAlign w:val="center"/>
          </w:tcPr>
          <w:p w14:paraId="4FE256E9">
            <w:pPr>
              <w:wordWrap w:val="0"/>
              <w:spacing w:line="360" w:lineRule="exact"/>
              <w:jc w:val="center"/>
              <w:rPr>
                <w:rFonts w:hint="eastAsia" w:ascii="宋体" w:hAnsi="宋体" w:eastAsia="宋体" w:cs="Times New Roman"/>
                <w:szCs w:val="21"/>
              </w:rPr>
            </w:pPr>
            <w:r>
              <w:rPr>
                <w:rFonts w:hint="eastAsia" w:ascii="宋体" w:hAnsi="宋体" w:eastAsia="宋体" w:cs="Times New Roman"/>
                <w:szCs w:val="21"/>
              </w:rPr>
              <w:t>3</w:t>
            </w:r>
          </w:p>
        </w:tc>
        <w:tc>
          <w:tcPr>
            <w:tcW w:w="1090" w:type="dxa"/>
            <w:tcBorders>
              <w:top w:val="single" w:color="auto" w:sz="4" w:space="0"/>
              <w:left w:val="single" w:color="auto" w:sz="4" w:space="0"/>
              <w:right w:val="single" w:color="auto" w:sz="4" w:space="0"/>
            </w:tcBorders>
            <w:noWrap w:val="0"/>
            <w:vAlign w:val="center"/>
          </w:tcPr>
          <w:p w14:paraId="10D616EF">
            <w:pPr>
              <w:spacing w:line="340" w:lineRule="exact"/>
              <w:jc w:val="center"/>
              <w:rPr>
                <w:rFonts w:hint="eastAsia" w:ascii="宋体" w:hAnsi="宋体" w:eastAsia="宋体" w:cs="Times New Roman"/>
                <w:szCs w:val="21"/>
              </w:rPr>
            </w:pPr>
            <w:r>
              <w:rPr>
                <w:rFonts w:hint="eastAsia" w:ascii="宋体" w:hAnsi="宋体" w:eastAsia="宋体" w:cs="Times New Roman"/>
                <w:szCs w:val="21"/>
              </w:rPr>
              <w:t>软件和信息技术服务业</w:t>
            </w:r>
          </w:p>
        </w:tc>
      </w:tr>
      <w:tr w14:paraId="7BB3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6F9F42EB">
            <w:pPr>
              <w:spacing w:line="340" w:lineRule="exact"/>
              <w:jc w:val="center"/>
              <w:rPr>
                <w:rFonts w:hint="eastAsia" w:ascii="宋体" w:hAnsi="宋体" w:eastAsia="宋体" w:cs="Times New Roman"/>
                <w:szCs w:val="21"/>
              </w:rPr>
            </w:pPr>
            <w:r>
              <w:rPr>
                <w:rFonts w:hint="eastAsia" w:ascii="宋体" w:hAnsi="宋体" w:eastAsia="宋体" w:cs="Times New Roman"/>
                <w:szCs w:val="21"/>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6257DCC6">
            <w:pPr>
              <w:widowControl/>
              <w:shd w:val="clear" w:color="auto" w:fill="FFFFFF"/>
              <w:spacing w:line="340" w:lineRule="exact"/>
              <w:rPr>
                <w:rFonts w:ascii="宋体" w:hAnsi="宋体" w:eastAsia="宋体" w:cs="Times New Roman"/>
                <w:szCs w:val="21"/>
              </w:rPr>
            </w:pPr>
            <w:r>
              <w:rPr>
                <w:rFonts w:hint="eastAsia" w:ascii="宋体" w:hAnsi="宋体" w:eastAsia="宋体" w:cs="Times New Roman"/>
                <w:b/>
                <w:szCs w:val="21"/>
              </w:rPr>
              <w:t>一、合同签订期：</w:t>
            </w:r>
            <w:r>
              <w:rPr>
                <w:rFonts w:hint="eastAsia" w:ascii="宋体" w:hAnsi="宋体" w:eastAsia="宋体" w:cs="Times New Roman"/>
                <w:szCs w:val="21"/>
              </w:rPr>
              <w:t>自中标通知书发出之日起</w:t>
            </w:r>
            <w:r>
              <w:rPr>
                <w:rFonts w:ascii="宋体" w:hAnsi="宋体" w:eastAsia="宋体" w:cs="Times New Roman"/>
                <w:szCs w:val="21"/>
                <w:u w:val="single"/>
              </w:rPr>
              <w:t>15日内</w:t>
            </w:r>
            <w:r>
              <w:rPr>
                <w:rFonts w:hint="eastAsia" w:ascii="宋体" w:hAnsi="宋体" w:eastAsia="宋体" w:cs="Times New Roman"/>
                <w:szCs w:val="21"/>
              </w:rPr>
              <w:t>。</w:t>
            </w:r>
          </w:p>
          <w:p w14:paraId="689A6DE2">
            <w:pPr>
              <w:widowControl/>
              <w:shd w:val="clear" w:color="auto" w:fill="FFFFFF"/>
              <w:spacing w:line="340" w:lineRule="exact"/>
              <w:rPr>
                <w:rFonts w:ascii="宋体" w:hAnsi="宋体" w:eastAsia="宋体" w:cs="Times New Roman"/>
                <w:szCs w:val="21"/>
                <w:u w:val="single"/>
              </w:rPr>
            </w:pPr>
            <w:r>
              <w:rPr>
                <w:rFonts w:hint="eastAsia" w:ascii="宋体" w:hAnsi="宋体" w:eastAsia="宋体" w:cs="宋体"/>
                <w:szCs w:val="21"/>
              </w:rPr>
              <w:t>▲</w:t>
            </w:r>
            <w:r>
              <w:rPr>
                <w:rFonts w:hint="eastAsia" w:ascii="宋体" w:hAnsi="宋体" w:eastAsia="宋体" w:cs="Times New Roman"/>
                <w:b/>
                <w:szCs w:val="21"/>
              </w:rPr>
              <w:t>二、服务期</w:t>
            </w:r>
            <w:r>
              <w:rPr>
                <w:rFonts w:hint="eastAsia" w:ascii="宋体" w:hAnsi="宋体" w:eastAsia="宋体" w:cs="Times New Roman"/>
                <w:b/>
                <w:bCs/>
                <w:szCs w:val="21"/>
              </w:rPr>
              <w:t>：</w:t>
            </w:r>
            <w:r>
              <w:rPr>
                <w:rFonts w:hint="eastAsia" w:ascii="宋体" w:hAnsi="宋体" w:eastAsia="宋体" w:cs="Times New Roman"/>
                <w:bCs/>
                <w:szCs w:val="21"/>
              </w:rPr>
              <w:t>自合同签订之日起1年。</w:t>
            </w:r>
          </w:p>
          <w:p w14:paraId="6B561F6E">
            <w:pPr>
              <w:widowControl/>
              <w:shd w:val="clear" w:color="auto" w:fill="FFFFFF"/>
              <w:spacing w:line="340" w:lineRule="exact"/>
              <w:rPr>
                <w:rFonts w:hint="eastAsia" w:ascii="宋体" w:hAnsi="宋体" w:eastAsia="宋体" w:cs="Times New Roman"/>
                <w:bCs/>
                <w:szCs w:val="21"/>
                <w:u w:val="single"/>
              </w:rPr>
            </w:pPr>
            <w:r>
              <w:rPr>
                <w:rFonts w:hint="eastAsia" w:ascii="宋体" w:hAnsi="宋体" w:eastAsia="宋体" w:cs="宋体"/>
                <w:szCs w:val="21"/>
              </w:rPr>
              <w:t>▲</w:t>
            </w:r>
            <w:r>
              <w:rPr>
                <w:rFonts w:hint="eastAsia" w:ascii="宋体" w:hAnsi="宋体" w:eastAsia="宋体" w:cs="Times New Roman"/>
                <w:b/>
                <w:szCs w:val="21"/>
              </w:rPr>
              <w:t>三、服务地点</w:t>
            </w:r>
            <w:r>
              <w:rPr>
                <w:rFonts w:hint="eastAsia" w:ascii="宋体" w:hAnsi="宋体" w:eastAsia="宋体" w:cs="Times New Roman"/>
                <w:szCs w:val="21"/>
              </w:rPr>
              <w:t>：</w:t>
            </w:r>
            <w:r>
              <w:rPr>
                <w:rFonts w:hint="eastAsia" w:ascii="宋体" w:hAnsi="宋体" w:eastAsia="宋体" w:cs="Times New Roman"/>
                <w:szCs w:val="21"/>
                <w:u w:val="single"/>
              </w:rPr>
              <w:t>广西</w:t>
            </w:r>
            <w:r>
              <w:rPr>
                <w:rFonts w:hint="eastAsia" w:ascii="宋体" w:hAnsi="宋体" w:eastAsia="宋体" w:cs="Times New Roman"/>
                <w:bCs/>
                <w:szCs w:val="21"/>
                <w:u w:val="single"/>
              </w:rPr>
              <w:t>南宁市采购人指定地点。</w:t>
            </w:r>
          </w:p>
          <w:p w14:paraId="48276EA0">
            <w:pPr>
              <w:spacing w:line="340" w:lineRule="exact"/>
              <w:rPr>
                <w:rFonts w:hint="eastAsia" w:ascii="宋体" w:hAnsi="宋体" w:eastAsia="宋体" w:cs="宋体"/>
                <w:szCs w:val="21"/>
              </w:rPr>
            </w:pPr>
            <w:r>
              <w:rPr>
                <w:rFonts w:hint="eastAsia" w:ascii="宋体" w:hAnsi="宋体" w:eastAsia="宋体" w:cs="宋体"/>
                <w:b/>
                <w:bCs/>
                <w:szCs w:val="21"/>
              </w:rPr>
              <w:t>四、服务要求</w:t>
            </w:r>
            <w:r>
              <w:rPr>
                <w:rFonts w:hint="eastAsia" w:ascii="宋体" w:hAnsi="宋体" w:eastAsia="宋体" w:cs="宋体"/>
                <w:szCs w:val="21"/>
              </w:rPr>
              <w:t>：</w:t>
            </w:r>
          </w:p>
          <w:p w14:paraId="5086D1B3">
            <w:pPr>
              <w:spacing w:line="340" w:lineRule="exact"/>
              <w:ind w:firstLine="420" w:firstLineChars="200"/>
              <w:rPr>
                <w:rFonts w:ascii="宋体" w:hAnsi="宋体" w:eastAsia="宋体" w:cs="宋体"/>
                <w:szCs w:val="21"/>
              </w:rPr>
            </w:pPr>
            <w:r>
              <w:rPr>
                <w:rFonts w:hint="eastAsia" w:ascii="宋体" w:hAnsi="宋体" w:eastAsia="宋体" w:cs="宋体"/>
                <w:szCs w:val="21"/>
              </w:rPr>
              <w:t>▲1.根据采购人要求，在重大活动或重大节假日及重要安保活动期间，提供具有计算机软件专业不少于1人24小时驻点服务，确保使用服务正常。</w:t>
            </w:r>
          </w:p>
          <w:p w14:paraId="498D9E05">
            <w:pPr>
              <w:spacing w:line="340" w:lineRule="exact"/>
              <w:ind w:firstLine="420" w:firstLineChars="200"/>
              <w:rPr>
                <w:rFonts w:ascii="宋体" w:hAnsi="宋体" w:eastAsia="宋体" w:cs="宋体"/>
                <w:szCs w:val="21"/>
              </w:rPr>
            </w:pPr>
            <w:r>
              <w:rPr>
                <w:rFonts w:hint="eastAsia" w:ascii="宋体" w:hAnsi="宋体" w:eastAsia="宋体" w:cs="宋体"/>
                <w:szCs w:val="21"/>
              </w:rPr>
              <w:t>2.在服务期内，中标人须保证系统能够长期安全、可靠、高效运行，提供本地化服务，并配置能胜任本项目日常技术维护工作的技术人员，能够提供长期的良好的本地化技术支持。</w:t>
            </w:r>
          </w:p>
          <w:p w14:paraId="63F10FB2">
            <w:pPr>
              <w:spacing w:line="340" w:lineRule="exact"/>
              <w:ind w:firstLine="420" w:firstLineChars="200"/>
              <w:rPr>
                <w:rFonts w:ascii="宋体" w:hAnsi="宋体" w:eastAsia="宋体" w:cs="宋体"/>
                <w:szCs w:val="21"/>
              </w:rPr>
            </w:pPr>
            <w:r>
              <w:rPr>
                <w:rFonts w:hint="eastAsia" w:ascii="宋体" w:hAnsi="宋体" w:eastAsia="宋体" w:cs="宋体"/>
                <w:szCs w:val="21"/>
              </w:rPr>
              <w:t>▲3.故障响应时间：出现故障时，接到采购人处理问题通知后，技术人员30分钟内响应，技术维护力量2小时内到达采购人指定现场，4小时内解决故障并恢复系统运行。</w:t>
            </w:r>
          </w:p>
          <w:p w14:paraId="5FB1EF16">
            <w:pPr>
              <w:spacing w:line="340" w:lineRule="exact"/>
              <w:ind w:firstLine="420" w:firstLineChars="200"/>
              <w:rPr>
                <w:rFonts w:ascii="宋体" w:hAnsi="宋体" w:eastAsia="宋体" w:cs="宋体"/>
                <w:szCs w:val="21"/>
              </w:rPr>
            </w:pPr>
            <w:r>
              <w:rPr>
                <w:rFonts w:hint="eastAsia" w:ascii="宋体" w:hAnsi="宋体" w:eastAsia="宋体" w:cs="宋体"/>
                <w:szCs w:val="21"/>
              </w:rPr>
              <w:t>▲4.中</w:t>
            </w:r>
            <w:r>
              <w:rPr>
                <w:rFonts w:ascii="宋体" w:hAnsi="宋体" w:eastAsia="宋体" w:cs="宋体"/>
                <w:szCs w:val="21"/>
              </w:rPr>
              <w:t>标人</w:t>
            </w:r>
            <w:r>
              <w:rPr>
                <w:rFonts w:hint="eastAsia" w:ascii="宋体" w:hAnsi="宋体" w:eastAsia="宋体" w:cs="宋体"/>
                <w:szCs w:val="21"/>
              </w:rPr>
              <w:t>服务期内免费软件升级服务，软件部分的修改与系统升级，不向采购</w:t>
            </w:r>
            <w:r>
              <w:rPr>
                <w:rFonts w:ascii="宋体" w:hAnsi="宋体" w:eastAsia="宋体" w:cs="宋体"/>
                <w:szCs w:val="21"/>
              </w:rPr>
              <w:t>人</w:t>
            </w:r>
            <w:r>
              <w:rPr>
                <w:rFonts w:hint="eastAsia" w:ascii="宋体" w:hAnsi="宋体" w:eastAsia="宋体" w:cs="宋体"/>
                <w:szCs w:val="21"/>
              </w:rPr>
              <w:t>收取额外费用。</w:t>
            </w:r>
          </w:p>
          <w:p w14:paraId="1A3373BE">
            <w:pPr>
              <w:spacing w:line="340" w:lineRule="exact"/>
              <w:ind w:firstLine="420" w:firstLineChars="200"/>
              <w:rPr>
                <w:rFonts w:ascii="宋体" w:hAnsi="宋体" w:eastAsia="宋体" w:cs="宋体"/>
                <w:szCs w:val="21"/>
              </w:rPr>
            </w:pPr>
            <w:r>
              <w:rPr>
                <w:rFonts w:hint="eastAsia" w:ascii="宋体" w:hAnsi="宋体" w:eastAsia="宋体" w:cs="宋体"/>
                <w:szCs w:val="21"/>
              </w:rPr>
              <w:t>5.验收要求：由采购人组织验收，并出具验收报告。</w:t>
            </w:r>
          </w:p>
          <w:p w14:paraId="54C59C26">
            <w:pPr>
              <w:spacing w:line="340" w:lineRule="exact"/>
              <w:ind w:firstLine="420" w:firstLineChars="200"/>
              <w:rPr>
                <w:rFonts w:ascii="宋体" w:hAnsi="宋体" w:eastAsia="宋体" w:cs="宋体"/>
                <w:szCs w:val="21"/>
              </w:rPr>
            </w:pPr>
            <w:r>
              <w:rPr>
                <w:rFonts w:hint="eastAsia" w:ascii="宋体" w:hAnsi="宋体" w:eastAsia="宋体" w:cs="宋体"/>
                <w:szCs w:val="21"/>
              </w:rPr>
              <w:t>6.中</w:t>
            </w:r>
            <w:r>
              <w:rPr>
                <w:rFonts w:ascii="宋体" w:hAnsi="宋体" w:eastAsia="宋体" w:cs="宋体"/>
                <w:szCs w:val="21"/>
              </w:rPr>
              <w:t>标人</w:t>
            </w:r>
            <w:r>
              <w:rPr>
                <w:rFonts w:hint="eastAsia" w:ascii="宋体" w:hAnsi="宋体" w:eastAsia="宋体" w:cs="宋体"/>
                <w:szCs w:val="21"/>
              </w:rPr>
              <w:t>在运维服务期内，应配备设备、系统和软件维保需要的管理软件、常用检测设备工具及其它必要器具，以及重要系统要求的备品备件。</w:t>
            </w:r>
          </w:p>
          <w:p w14:paraId="45800CD0">
            <w:pPr>
              <w:spacing w:line="340" w:lineRule="exac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bCs/>
                <w:szCs w:val="21"/>
              </w:rPr>
              <w:t>五</w:t>
            </w:r>
            <w:r>
              <w:rPr>
                <w:rFonts w:hint="eastAsia" w:ascii="宋体" w:hAnsi="宋体" w:eastAsia="宋体" w:cs="宋体"/>
                <w:b/>
                <w:szCs w:val="21"/>
              </w:rPr>
              <w:t>、其他要求</w:t>
            </w:r>
            <w:r>
              <w:rPr>
                <w:rFonts w:hint="eastAsia" w:ascii="宋体" w:hAnsi="宋体" w:eastAsia="宋体" w:cs="宋体"/>
                <w:szCs w:val="21"/>
              </w:rPr>
              <w:t>：</w:t>
            </w:r>
          </w:p>
          <w:p w14:paraId="2787DEBD">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报价为人民币含税价，总价包干。包括但不限于：</w:t>
            </w:r>
          </w:p>
          <w:p w14:paraId="144C857B">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（1）服务的价格（含服务人员报酬、技术服务等）；</w:t>
            </w:r>
          </w:p>
          <w:p w14:paraId="67125EFF">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（2）必要的保险费用和各项税金；</w:t>
            </w:r>
          </w:p>
          <w:p w14:paraId="1C1F9510">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（3）项目验收的费用；</w:t>
            </w:r>
          </w:p>
          <w:p w14:paraId="3767666F">
            <w:pPr>
              <w:spacing w:line="340" w:lineRule="exact"/>
              <w:ind w:firstLine="420" w:firstLineChars="200"/>
              <w:rPr>
                <w:rFonts w:ascii="宋体" w:hAnsi="宋体" w:eastAsia="宋体" w:cs="宋体"/>
                <w:szCs w:val="21"/>
              </w:rPr>
            </w:pPr>
            <w:r>
              <w:rPr>
                <w:rFonts w:hint="eastAsia" w:ascii="宋体" w:hAnsi="宋体" w:eastAsia="宋体" w:cs="宋体"/>
                <w:szCs w:val="21"/>
              </w:rPr>
              <w:t>（4）培训、技术支持、售后服务、更新维护等费用；</w:t>
            </w:r>
          </w:p>
          <w:p w14:paraId="507B9D0C">
            <w:pPr>
              <w:spacing w:line="340" w:lineRule="exact"/>
              <w:ind w:firstLine="420" w:firstLineChars="200"/>
              <w:rPr>
                <w:rFonts w:ascii="宋体" w:hAnsi="宋体" w:eastAsia="宋体" w:cs="宋体"/>
                <w:szCs w:val="21"/>
              </w:rPr>
            </w:pPr>
            <w:r>
              <w:rPr>
                <w:rFonts w:hint="eastAsia" w:ascii="宋体" w:hAnsi="宋体" w:eastAsia="宋体" w:cs="宋体"/>
                <w:szCs w:val="21"/>
              </w:rPr>
              <w:t>（5）招标代理服务费。</w:t>
            </w:r>
          </w:p>
          <w:p w14:paraId="584CE579">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2.中标供应商所提供的相关服务须免受第三方提出的侵犯其专利权或其它知识产权的起诉。如果第三方提出侵权指控，中标供应商应承担由此而引起的一切法律责任和费用。</w:t>
            </w:r>
          </w:p>
          <w:p w14:paraId="3C722F1E">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22FECED5">
            <w:pPr>
              <w:spacing w:line="340" w:lineRule="exact"/>
              <w:rPr>
                <w:rFonts w:ascii="宋体" w:hAnsi="宋体" w:eastAsia="宋体" w:cs="Times New Roman"/>
                <w:szCs w:val="21"/>
              </w:rPr>
            </w:pPr>
            <w:r>
              <w:rPr>
                <w:rFonts w:hint="eastAsia" w:ascii="宋体" w:hAnsi="宋体" w:eastAsia="宋体" w:cs="宋体"/>
                <w:szCs w:val="21"/>
              </w:rPr>
              <w:t>▲六</w:t>
            </w:r>
            <w:r>
              <w:rPr>
                <w:rFonts w:hint="eastAsia" w:ascii="宋体" w:hAnsi="宋体" w:eastAsia="宋体" w:cs="宋体"/>
                <w:b/>
                <w:szCs w:val="21"/>
              </w:rPr>
              <w:t>、付款方式</w:t>
            </w:r>
            <w:r>
              <w:rPr>
                <w:rFonts w:hint="eastAsia" w:ascii="宋体" w:hAnsi="宋体" w:eastAsia="宋体" w:cs="宋体"/>
                <w:szCs w:val="21"/>
              </w:rPr>
              <w:t>：</w:t>
            </w:r>
          </w:p>
          <w:p w14:paraId="66337FE9">
            <w:pPr>
              <w:spacing w:line="340" w:lineRule="exact"/>
              <w:ind w:firstLine="420" w:firstLineChars="200"/>
              <w:rPr>
                <w:rFonts w:ascii="宋体" w:hAnsi="宋体" w:eastAsia="宋体" w:cs="宋体"/>
                <w:szCs w:val="21"/>
              </w:rPr>
            </w:pPr>
            <w:r>
              <w:rPr>
                <w:rFonts w:hint="eastAsia" w:ascii="宋体" w:hAnsi="宋体" w:eastAsia="宋体" w:cs="宋体"/>
                <w:szCs w:val="21"/>
              </w:rPr>
              <w:t>签订合同后支付50%合同款，完成验收后支付剩余50%合同款。付款前，中标供应商需向采购人出具等额合法有效的发票，否则采购人有权延期付款并不承担逾期付款的责任。</w:t>
            </w:r>
          </w:p>
          <w:p w14:paraId="679FC4F3">
            <w:pPr>
              <w:spacing w:line="340" w:lineRule="exact"/>
              <w:rPr>
                <w:rFonts w:hint="eastAsia" w:ascii="宋体" w:hAnsi="宋体" w:eastAsia="宋体" w:cs="宋体"/>
                <w:b/>
                <w:szCs w:val="21"/>
              </w:rPr>
            </w:pPr>
            <w:r>
              <w:rPr>
                <w:rFonts w:hint="eastAsia" w:ascii="宋体" w:hAnsi="宋体" w:eastAsia="宋体" w:cs="宋体"/>
                <w:b/>
                <w:szCs w:val="21"/>
              </w:rPr>
              <w:t>七、验收标准</w:t>
            </w:r>
          </w:p>
          <w:p w14:paraId="2F16575D">
            <w:pPr>
              <w:spacing w:line="34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6062CEE9">
            <w:pPr>
              <w:spacing w:line="340" w:lineRule="exact"/>
              <w:ind w:firstLine="420" w:firstLineChars="20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其他未尽事宜应严格按照《关于南宁市本级启用政府采购履约验收系统有关事项的通知》（南财采〔2024〕34号）以及《南宁市政府采购供应商履约验收评价管理办法》（南财采[2019]217号）规定执行。</w:t>
            </w:r>
          </w:p>
          <w:p w14:paraId="62559841">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3.其他未尽事宜由双方签订补充协议进行约定。</w:t>
            </w:r>
          </w:p>
        </w:tc>
      </w:tr>
      <w:tr w14:paraId="3F05E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577671A">
            <w:pPr>
              <w:spacing w:line="340" w:lineRule="exact"/>
              <w:jc w:val="center"/>
              <w:rPr>
                <w:rFonts w:hint="eastAsia" w:ascii="宋体" w:hAnsi="宋体" w:eastAsia="宋体" w:cs="Times New Roman"/>
                <w:szCs w:val="21"/>
              </w:rPr>
            </w:pPr>
            <w:r>
              <w:rPr>
                <w:rFonts w:hint="eastAsia" w:ascii="宋体" w:hAnsi="宋体" w:eastAsia="宋体" w:cs="Times New Roman"/>
                <w:szCs w:val="21"/>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3505653B">
            <w:pPr>
              <w:widowControl/>
              <w:shd w:val="clear" w:color="auto" w:fill="FFFFFF"/>
              <w:spacing w:line="340" w:lineRule="exact"/>
              <w:rPr>
                <w:rFonts w:hint="eastAsia" w:ascii="宋体" w:hAnsi="宋体" w:eastAsia="宋体" w:cs="Times New Roman"/>
                <w:szCs w:val="21"/>
              </w:rPr>
            </w:pPr>
            <w:r>
              <w:rPr>
                <w:rFonts w:hint="eastAsia" w:ascii="宋体" w:hAnsi="宋体" w:eastAsia="宋体" w:cs="Times New Roman"/>
                <w:szCs w:val="21"/>
              </w:rPr>
              <w:t>一、进口产品说明</w:t>
            </w:r>
          </w:p>
          <w:p w14:paraId="77C138D5">
            <w:pPr>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□本表的第</w:t>
            </w:r>
            <w:r>
              <w:rPr>
                <w:rFonts w:hint="eastAsia" w:ascii="宋体" w:hAnsi="宋体" w:eastAsia="宋体" w:cs="Times New Roman"/>
                <w:szCs w:val="21"/>
                <w:u w:val="single"/>
              </w:rPr>
              <w:t xml:space="preserve">  </w:t>
            </w:r>
            <w:r>
              <w:rPr>
                <w:rFonts w:hint="eastAsia" w:ascii="宋体" w:hAnsi="宋体" w:eastAsia="宋体" w:cs="Times New Roman"/>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hAnsi="宋体" w:eastAsia="宋体" w:cs="Times New Roman"/>
                <w:b/>
                <w:bCs/>
                <w:szCs w:val="21"/>
              </w:rPr>
              <w:t>其他货物不接受进口产品参与投标</w:t>
            </w:r>
            <w:r>
              <w:rPr>
                <w:rFonts w:hint="eastAsia" w:ascii="宋体" w:hAnsi="宋体" w:eastAsia="宋体" w:cs="Times New Roman"/>
                <w:szCs w:val="21"/>
              </w:rPr>
              <w:t>，</w:t>
            </w:r>
            <w:r>
              <w:rPr>
                <w:rFonts w:hint="eastAsia" w:ascii="宋体" w:hAnsi="宋体" w:eastAsia="宋体" w:cs="Times New Roman"/>
                <w:b/>
                <w:szCs w:val="21"/>
              </w:rPr>
              <w:t>否则作无效标处理。</w:t>
            </w:r>
          </w:p>
          <w:p w14:paraId="05385E66">
            <w:pPr>
              <w:tabs>
                <w:tab w:val="left" w:pos="180"/>
                <w:tab w:val="left" w:pos="1620"/>
              </w:tabs>
              <w:spacing w:line="340" w:lineRule="exact"/>
              <w:ind w:firstLine="420" w:firstLineChars="200"/>
              <w:rPr>
                <w:rFonts w:ascii="宋体" w:hAnsi="宋体" w:eastAsia="宋体" w:cs="Times New Roman"/>
                <w:szCs w:val="21"/>
              </w:rPr>
            </w:pPr>
            <w:r>
              <w:rPr>
                <w:rFonts w:hint="eastAsia" w:ascii="宋体" w:hAnsi="宋体" w:eastAsia="宋体" w:cs="Times New Roman"/>
                <w:szCs w:val="21"/>
              </w:rPr>
              <w:t>□本分标服务所涉及的货物不接受进口产品（即通过中国海关报关验放进入中国境内且产自关境外的产品）参与投标，</w:t>
            </w:r>
            <w:r>
              <w:rPr>
                <w:rFonts w:hint="eastAsia" w:ascii="宋体" w:hAnsi="宋体" w:eastAsia="宋体" w:cs="Times New Roman"/>
                <w:b/>
                <w:szCs w:val="21"/>
              </w:rPr>
              <w:t>如有进口产品参与投标的作无效标处理</w:t>
            </w:r>
            <w:r>
              <w:rPr>
                <w:rFonts w:hint="eastAsia" w:ascii="宋体" w:hAnsi="宋体" w:eastAsia="宋体" w:cs="Times New Roman"/>
                <w:szCs w:val="21"/>
              </w:rPr>
              <w:t>。</w:t>
            </w:r>
          </w:p>
          <w:p w14:paraId="01E940CA">
            <w:pPr>
              <w:tabs>
                <w:tab w:val="left" w:pos="180"/>
                <w:tab w:val="left" w:pos="1620"/>
              </w:tabs>
              <w:spacing w:line="340" w:lineRule="exact"/>
              <w:ind w:firstLine="420" w:firstLineChars="200"/>
              <w:rPr>
                <w:rFonts w:hint="eastAsia" w:ascii="宋体" w:hAnsi="宋体" w:eastAsia="宋体" w:cs="Times New Roman"/>
                <w:szCs w:val="21"/>
              </w:rPr>
            </w:pPr>
            <w:r>
              <w:rPr>
                <w:rFonts w:ascii="宋体" w:hAnsi="宋体" w:eastAsia="宋体" w:cs="Times New Roman"/>
                <w:szCs w:val="21"/>
              </w:rPr>
              <w:sym w:font="Wingdings 2" w:char="0052"/>
            </w:r>
            <w:r>
              <w:rPr>
                <w:rFonts w:hint="eastAsia" w:ascii="宋体" w:hAnsi="宋体" w:eastAsia="宋体" w:cs="Times New Roman"/>
                <w:szCs w:val="21"/>
              </w:rPr>
              <w:t>本分标服务不涉及货物。</w:t>
            </w:r>
          </w:p>
          <w:p w14:paraId="360C227F">
            <w:pPr>
              <w:widowControl/>
              <w:shd w:val="clear" w:color="auto" w:fill="FFFFFF"/>
              <w:spacing w:line="340" w:lineRule="exact"/>
              <w:rPr>
                <w:rFonts w:hint="eastAsia" w:ascii="宋体" w:hAnsi="宋体" w:eastAsia="宋体" w:cs="Times New Roman"/>
                <w:b/>
                <w:szCs w:val="21"/>
              </w:rPr>
            </w:pPr>
            <w:r>
              <w:rPr>
                <w:rFonts w:hint="eastAsia" w:ascii="宋体" w:hAnsi="宋体" w:eastAsia="宋体" w:cs="Times New Roman"/>
                <w:szCs w:val="21"/>
              </w:rPr>
              <w:t>二、</w:t>
            </w:r>
            <w:r>
              <w:rPr>
                <w:rFonts w:hint="eastAsia" w:ascii="宋体" w:hAnsi="宋体" w:eastAsia="宋体" w:cs="Times New Roman"/>
                <w:b/>
                <w:szCs w:val="21"/>
              </w:rPr>
              <w:t>投标要求</w:t>
            </w:r>
          </w:p>
          <w:p w14:paraId="4BE7BC3D">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1.投标人认为有利于采购人的采购要求之外的优惠条款应单独列明。</w:t>
            </w:r>
          </w:p>
          <w:p w14:paraId="43CAEF2E">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2.投标人结合本项目服务需求及本招标文件第四章“评标方法及评分标准”评审因素于投标文件中提供针对本项目的运维方案或相关服务方案等（格式</w:t>
            </w:r>
            <w:r>
              <w:rPr>
                <w:rFonts w:ascii="宋体" w:hAnsi="宋体" w:eastAsia="宋体" w:cs="Times New Roman"/>
                <w:szCs w:val="21"/>
              </w:rPr>
              <w:t>自拟</w:t>
            </w:r>
            <w:r>
              <w:rPr>
                <w:rFonts w:hint="eastAsia" w:ascii="宋体" w:hAnsi="宋体" w:eastAsia="宋体" w:cs="Times New Roman"/>
                <w:szCs w:val="21"/>
              </w:rPr>
              <w:t>）。</w:t>
            </w:r>
          </w:p>
          <w:p w14:paraId="02C5B824">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3.投标人需投入具备专业能力的技术实施人员，在投标文件中提供项目实施人员名单。</w:t>
            </w:r>
          </w:p>
          <w:p w14:paraId="46A6C749">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4.如有，请提供履约能力相关证明或业绩证明、奖项情况等。</w:t>
            </w:r>
          </w:p>
          <w:p w14:paraId="75E79197">
            <w:pPr>
              <w:widowControl/>
              <w:shd w:val="clear" w:color="auto" w:fill="FFFFFF"/>
              <w:spacing w:line="340" w:lineRule="exact"/>
              <w:rPr>
                <w:rFonts w:hint="eastAsia" w:ascii="宋体" w:hAnsi="宋体" w:eastAsia="宋体" w:cs="Times New Roman"/>
                <w:b/>
                <w:szCs w:val="21"/>
              </w:rPr>
            </w:pPr>
            <w:r>
              <w:rPr>
                <w:rFonts w:hint="eastAsia" w:ascii="宋体" w:hAnsi="宋体" w:eastAsia="宋体" w:cs="Times New Roman"/>
                <w:b/>
                <w:szCs w:val="21"/>
              </w:rPr>
              <w:t>三、其他事项</w:t>
            </w:r>
          </w:p>
          <w:p w14:paraId="114AB630">
            <w:pPr>
              <w:widowControl/>
              <w:shd w:val="clear" w:color="auto" w:fill="FFFFFF"/>
              <w:spacing w:line="340" w:lineRule="exact"/>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.除招标文件另有规定外，若出现有关法律、法规和规章有强制性规定但招标文件未列明的情形，则投标人应按照有关法律、法规和规章强制性规定执行。</w:t>
            </w:r>
          </w:p>
          <w:p w14:paraId="17092D1C">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本项目合同文本中的条款如与项目需求不一致的，以采购文件项目需求表、中标供应商响应条款为准。</w:t>
            </w:r>
          </w:p>
          <w:p w14:paraId="1D6E3AFC">
            <w:pPr>
              <w:widowControl/>
              <w:shd w:val="clear" w:color="auto" w:fill="FFFFFF"/>
              <w:spacing w:line="340" w:lineRule="exact"/>
              <w:ind w:firstLine="422" w:firstLineChars="200"/>
              <w:rPr>
                <w:rFonts w:ascii="宋体" w:hAnsi="宋体" w:eastAsia="宋体" w:cs="Times New Roman"/>
                <w:b/>
                <w:szCs w:val="21"/>
              </w:rPr>
            </w:pPr>
            <w:r>
              <w:rPr>
                <w:rFonts w:hint="eastAsia" w:ascii="宋体" w:hAnsi="宋体" w:eastAsia="宋体" w:cs="Times New Roman"/>
                <w:b/>
                <w:szCs w:val="21"/>
              </w:rPr>
              <w:t>▲3.本项目采购预算为最高限价（含分项预算），投标人的投标报价不得超出最高限价，否则投标无效。</w:t>
            </w:r>
          </w:p>
          <w:p w14:paraId="749A88E0">
            <w:pPr>
              <w:widowControl/>
              <w:shd w:val="clear" w:color="auto" w:fill="FFFFFF"/>
              <w:spacing w:line="340" w:lineRule="exact"/>
              <w:ind w:firstLine="422" w:firstLineChars="200"/>
              <w:rPr>
                <w:rFonts w:ascii="宋体" w:hAnsi="宋体" w:eastAsia="宋体" w:cs="Times New Roman"/>
                <w:b/>
                <w:szCs w:val="21"/>
              </w:rPr>
            </w:pPr>
            <w:r>
              <w:rPr>
                <w:rFonts w:hint="eastAsia" w:ascii="宋体" w:hAnsi="宋体" w:eastAsia="宋体" w:cs="Times New Roman"/>
                <w:b/>
                <w:szCs w:val="21"/>
              </w:rPr>
              <w:t>▲4.投标人对本项目任何一个服务项只能有一个报价，采购人不接受有选择的报价，否则投标无效。</w:t>
            </w:r>
          </w:p>
          <w:p w14:paraId="042EFF76">
            <w:pPr>
              <w:widowControl/>
              <w:shd w:val="clear" w:color="auto" w:fill="FFFFFF"/>
              <w:spacing w:line="340" w:lineRule="exact"/>
              <w:ind w:firstLine="420" w:firstLineChars="200"/>
              <w:rPr>
                <w:rFonts w:hint="eastAsia" w:ascii="宋体" w:hAnsi="宋体" w:eastAsia="宋体" w:cs="Times New Roman"/>
                <w:szCs w:val="21"/>
              </w:rPr>
            </w:pPr>
            <w:r>
              <w:rPr>
                <w:rFonts w:hint="eastAsia" w:ascii="宋体" w:hAnsi="宋体" w:eastAsia="宋体" w:cs="Times New Roman"/>
                <w:szCs w:val="21"/>
              </w:rPr>
              <w:t>5.本项目为服务项目，不涉及核心产品。</w:t>
            </w:r>
          </w:p>
        </w:tc>
      </w:tr>
    </w:tbl>
    <w:p w14:paraId="0FD9AA81">
      <w:pPr>
        <w:spacing w:line="428" w:lineRule="exact"/>
        <w:ind w:left="119"/>
        <w:rPr>
          <w:rFonts w:ascii="Times New Roman" w:hAnsi="宋体" w:eastAsia="宋体" w:cs="Times New Roman"/>
        </w:rPr>
      </w:pPr>
    </w:p>
    <w:p w14:paraId="4A229154">
      <w:pPr>
        <w:spacing w:line="428" w:lineRule="exact"/>
        <w:ind w:left="119"/>
        <w:rPr>
          <w:rFonts w:ascii="Arial Unicode MS" w:hAnsi="Arial Unicode MS" w:eastAsia="Arial Unicode MS" w:cs="Arial Unicode MS"/>
          <w:sz w:val="32"/>
          <w:szCs w:val="32"/>
        </w:rPr>
      </w:pPr>
      <w:r>
        <w:rPr>
          <w:rFonts w:ascii="Times New Roman" w:hAnsi="宋体" w:eastAsia="宋体" w:cs="Times New Roman"/>
        </w:rPr>
        <w:br w:type="page"/>
      </w:r>
      <w:r>
        <w:rPr>
          <w:rFonts w:ascii="Times New Roman" w:hAnsi="宋体" w:eastAsia="宋体" w:cs="Times New Roman"/>
        </w:rPr>
        <w:t xml:space="preserve"> </w:t>
      </w:r>
      <w:r>
        <w:rPr>
          <w:rFonts w:hint="eastAsia" w:ascii="Arial Unicode MS" w:hAnsi="Arial Unicode MS" w:eastAsia="Arial Unicode MS" w:cs="Arial Unicode MS"/>
          <w:sz w:val="32"/>
          <w:szCs w:val="32"/>
        </w:rPr>
        <w:t>其他附件1：</w:t>
      </w:r>
    </w:p>
    <w:p w14:paraId="2A5FEF17">
      <w:pPr>
        <w:spacing w:before="7"/>
        <w:rPr>
          <w:rFonts w:hint="eastAsia" w:ascii="Arial Unicode MS" w:hAnsi="Arial Unicode MS" w:eastAsia="Arial Unicode MS" w:cs="Arial Unicode MS"/>
          <w:sz w:val="17"/>
          <w:szCs w:val="17"/>
        </w:rPr>
      </w:pPr>
    </w:p>
    <w:p w14:paraId="61270ADF">
      <w:pPr>
        <w:spacing w:line="528" w:lineRule="exact"/>
        <w:jc w:val="center"/>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tbl>
      <w:tblPr>
        <w:tblStyle w:val="6"/>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4F986605">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5A04AAC6">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73E5BD73">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1AC49B5C">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依据的标准</w:t>
            </w:r>
          </w:p>
        </w:tc>
      </w:tr>
      <w:tr w14:paraId="4A080135">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3738F657">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98B23EE">
            <w:pPr>
              <w:widowControl/>
              <w:jc w:val="center"/>
              <w:rPr>
                <w:rFonts w:ascii="宋体" w:hAnsi="宋体" w:eastAsia="宋体" w:cs="宋体"/>
                <w:kern w:val="0"/>
                <w:sz w:val="20"/>
                <w:szCs w:val="20"/>
              </w:rPr>
            </w:pPr>
            <w:r>
              <w:rPr>
                <w:rFonts w:hint="eastAsia" w:ascii="宋体" w:hAnsi="宋体" w:eastAsia="宋体" w:cs="宋体"/>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71912E12">
            <w:pPr>
              <w:widowControl/>
              <w:jc w:val="center"/>
              <w:rPr>
                <w:rFonts w:ascii="宋体" w:hAnsi="宋体" w:eastAsia="宋体" w:cs="宋体"/>
                <w:kern w:val="0"/>
                <w:sz w:val="20"/>
                <w:szCs w:val="20"/>
              </w:rPr>
            </w:pPr>
            <w:r>
              <w:rPr>
                <w:rFonts w:hint="eastAsia" w:ascii="宋体" w:hAnsi="宋体" w:eastAsia="宋体" w:cs="宋体"/>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214ACA7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1ED8EEA0">
            <w:pPr>
              <w:widowControl/>
              <w:jc w:val="left"/>
              <w:rPr>
                <w:rFonts w:ascii="宋体" w:hAnsi="宋体" w:eastAsia="宋体" w:cs="宋体"/>
                <w:kern w:val="0"/>
                <w:sz w:val="20"/>
                <w:szCs w:val="20"/>
              </w:rPr>
            </w:pPr>
            <w:r>
              <w:rPr>
                <w:rFonts w:hint="eastAsia" w:ascii="宋体" w:hAnsi="宋体" w:eastAsia="宋体" w:cs="宋体"/>
                <w:kern w:val="0"/>
                <w:sz w:val="20"/>
                <w:szCs w:val="20"/>
              </w:rPr>
              <w:t>《微型计算机能效限定值及能效等级》（GB28380）</w:t>
            </w:r>
          </w:p>
        </w:tc>
      </w:tr>
      <w:tr w14:paraId="70A70F8E">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3E7170C">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2F1ECE0">
            <w:pPr>
              <w:widowControl/>
              <w:jc w:val="left"/>
              <w:rPr>
                <w:rFonts w:ascii="宋体" w:hAnsi="宋体" w:eastAsia="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497AE7FC">
            <w:pPr>
              <w:widowControl/>
              <w:jc w:val="center"/>
              <w:rPr>
                <w:rFonts w:ascii="宋体" w:hAnsi="宋体" w:eastAsia="宋体" w:cs="宋体"/>
                <w:kern w:val="0"/>
                <w:sz w:val="20"/>
                <w:szCs w:val="20"/>
              </w:rPr>
            </w:pPr>
            <w:r>
              <w:rPr>
                <w:rFonts w:hint="eastAsia" w:ascii="宋体" w:hAnsi="宋体" w:eastAsia="宋体" w:cs="宋体"/>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2323AE8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50AB82D4">
            <w:pPr>
              <w:widowControl/>
              <w:jc w:val="left"/>
              <w:rPr>
                <w:rFonts w:ascii="宋体" w:hAnsi="宋体" w:eastAsia="宋体" w:cs="宋体"/>
                <w:kern w:val="0"/>
                <w:sz w:val="20"/>
                <w:szCs w:val="20"/>
              </w:rPr>
            </w:pPr>
            <w:r>
              <w:rPr>
                <w:rFonts w:hint="eastAsia" w:ascii="宋体" w:hAnsi="宋体" w:eastAsia="宋体" w:cs="宋体"/>
                <w:kern w:val="0"/>
                <w:sz w:val="20"/>
                <w:szCs w:val="20"/>
              </w:rPr>
              <w:t>《微型计算机能效限定值及能效等级》（GB28380）</w:t>
            </w:r>
          </w:p>
        </w:tc>
      </w:tr>
      <w:tr w14:paraId="7F74ADBC">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4DDDBF1">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3EA8C7F">
            <w:pPr>
              <w:widowControl/>
              <w:jc w:val="left"/>
              <w:rPr>
                <w:rFonts w:ascii="宋体" w:hAnsi="宋体" w:eastAsia="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401C6A17">
            <w:pPr>
              <w:widowControl/>
              <w:jc w:val="center"/>
              <w:rPr>
                <w:rFonts w:ascii="宋体" w:hAnsi="宋体" w:eastAsia="宋体" w:cs="宋体"/>
                <w:kern w:val="0"/>
                <w:sz w:val="20"/>
                <w:szCs w:val="20"/>
              </w:rPr>
            </w:pPr>
            <w:r>
              <w:rPr>
                <w:rFonts w:hint="eastAsia" w:ascii="宋体" w:hAnsi="宋体" w:eastAsia="宋体" w:cs="宋体"/>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7C3C2EF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04D6AE31">
            <w:pPr>
              <w:widowControl/>
              <w:jc w:val="left"/>
              <w:rPr>
                <w:rFonts w:ascii="宋体" w:hAnsi="宋体" w:eastAsia="宋体" w:cs="宋体"/>
                <w:kern w:val="0"/>
                <w:sz w:val="20"/>
                <w:szCs w:val="20"/>
              </w:rPr>
            </w:pPr>
            <w:r>
              <w:rPr>
                <w:rFonts w:hint="eastAsia" w:ascii="宋体" w:hAnsi="宋体" w:eastAsia="宋体" w:cs="宋体"/>
                <w:kern w:val="0"/>
                <w:sz w:val="20"/>
                <w:szCs w:val="20"/>
              </w:rPr>
              <w:t>《微型计算机能效限定值及能效等级》（GB28380）</w:t>
            </w:r>
          </w:p>
        </w:tc>
      </w:tr>
      <w:tr w14:paraId="35C9810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4AB2E62">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C7B8ADF">
            <w:pPr>
              <w:widowControl/>
              <w:jc w:val="center"/>
              <w:rPr>
                <w:rFonts w:ascii="宋体" w:hAnsi="宋体" w:eastAsia="宋体" w:cs="宋体"/>
                <w:kern w:val="0"/>
                <w:sz w:val="20"/>
                <w:szCs w:val="20"/>
              </w:rPr>
            </w:pPr>
            <w:r>
              <w:rPr>
                <w:rFonts w:hint="eastAsia" w:ascii="宋体" w:hAnsi="宋体" w:eastAsia="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EAC4F48">
            <w:pPr>
              <w:widowControl/>
              <w:jc w:val="center"/>
              <w:rPr>
                <w:rFonts w:ascii="宋体" w:hAnsi="宋体" w:eastAsia="宋体" w:cs="宋体"/>
                <w:kern w:val="0"/>
                <w:sz w:val="20"/>
                <w:szCs w:val="20"/>
              </w:rPr>
            </w:pPr>
            <w:r>
              <w:rPr>
                <w:rFonts w:hint="eastAsia" w:ascii="宋体" w:hAnsi="宋体" w:eastAsia="宋体" w:cs="宋体"/>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4D99D204">
            <w:pPr>
              <w:widowControl/>
              <w:jc w:val="center"/>
              <w:rPr>
                <w:rFonts w:ascii="宋体" w:hAnsi="宋体" w:eastAsia="宋体" w:cs="宋体"/>
                <w:kern w:val="0"/>
                <w:sz w:val="20"/>
                <w:szCs w:val="20"/>
              </w:rPr>
            </w:pPr>
            <w:r>
              <w:rPr>
                <w:rFonts w:hint="eastAsia" w:ascii="宋体" w:hAnsi="宋体" w:eastAsia="宋体" w:cs="宋体"/>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3F999E3C">
            <w:pPr>
              <w:widowControl/>
              <w:jc w:val="left"/>
              <w:rPr>
                <w:rFonts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14:paraId="07985F2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CD72AEC">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1618DB2">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83B3BA0">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57EBB8A2">
            <w:pPr>
              <w:widowControl/>
              <w:jc w:val="center"/>
              <w:rPr>
                <w:rFonts w:ascii="宋体" w:hAnsi="宋体" w:eastAsia="宋体" w:cs="宋体"/>
                <w:kern w:val="0"/>
                <w:sz w:val="20"/>
                <w:szCs w:val="20"/>
              </w:rPr>
            </w:pPr>
            <w:r>
              <w:rPr>
                <w:rFonts w:hint="eastAsia" w:ascii="宋体" w:hAnsi="宋体" w:eastAsia="宋体" w:cs="宋体"/>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0635F672">
            <w:pPr>
              <w:widowControl/>
              <w:jc w:val="left"/>
              <w:rPr>
                <w:rFonts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14:paraId="08F7247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B886131">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A7EC1F7">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576679E">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5B1AB398">
            <w:pPr>
              <w:widowControl/>
              <w:jc w:val="center"/>
              <w:rPr>
                <w:rFonts w:ascii="宋体" w:hAnsi="宋体" w:eastAsia="宋体" w:cs="宋体"/>
                <w:kern w:val="0"/>
                <w:sz w:val="20"/>
                <w:szCs w:val="20"/>
              </w:rPr>
            </w:pPr>
            <w:r>
              <w:rPr>
                <w:rFonts w:hint="eastAsia" w:ascii="宋体" w:hAnsi="宋体" w:eastAsia="宋体" w:cs="宋体"/>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674B0B39">
            <w:pPr>
              <w:widowControl/>
              <w:jc w:val="left"/>
              <w:rPr>
                <w:rFonts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14:paraId="69722141">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17B7B2B">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60D2621">
            <w:pPr>
              <w:widowControl/>
              <w:jc w:val="left"/>
              <w:rPr>
                <w:rFonts w:ascii="宋体" w:hAnsi="宋体" w:eastAsia="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76C4181E">
            <w:pPr>
              <w:widowControl/>
              <w:jc w:val="center"/>
              <w:rPr>
                <w:rFonts w:ascii="宋体" w:hAnsi="宋体" w:eastAsia="宋体" w:cs="宋体"/>
                <w:kern w:val="0"/>
                <w:sz w:val="20"/>
                <w:szCs w:val="20"/>
              </w:rPr>
            </w:pPr>
            <w:r>
              <w:rPr>
                <w:rFonts w:hint="eastAsia" w:ascii="宋体" w:hAnsi="宋体" w:eastAsia="宋体" w:cs="宋体"/>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13316FF1">
            <w:pPr>
              <w:widowControl/>
              <w:jc w:val="center"/>
              <w:rPr>
                <w:rFonts w:ascii="宋体" w:hAnsi="宋体" w:eastAsia="宋体" w:cs="宋体"/>
                <w:kern w:val="0"/>
                <w:sz w:val="20"/>
                <w:szCs w:val="20"/>
              </w:rPr>
            </w:pPr>
            <w:r>
              <w:rPr>
                <w:rFonts w:hint="eastAsia" w:ascii="宋体" w:hAnsi="宋体" w:eastAsia="宋体" w:cs="宋体"/>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4B25D26A">
            <w:pPr>
              <w:widowControl/>
              <w:jc w:val="left"/>
              <w:rPr>
                <w:rFonts w:ascii="宋体" w:hAnsi="宋体" w:eastAsia="宋体" w:cs="宋体"/>
                <w:kern w:val="0"/>
                <w:sz w:val="20"/>
                <w:szCs w:val="20"/>
              </w:rPr>
            </w:pPr>
            <w:r>
              <w:rPr>
                <w:rFonts w:hint="eastAsia" w:ascii="宋体" w:hAnsi="宋体" w:eastAsia="宋体" w:cs="宋体"/>
                <w:kern w:val="0"/>
                <w:sz w:val="20"/>
                <w:szCs w:val="20"/>
              </w:rPr>
              <w:t>《计算机显示器能效限定值及能效等级》（GB21520）</w:t>
            </w:r>
          </w:p>
        </w:tc>
      </w:tr>
      <w:tr w14:paraId="3F5099FF">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B056FFF">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FC90656">
            <w:pPr>
              <w:widowControl/>
              <w:jc w:val="left"/>
              <w:rPr>
                <w:rFonts w:ascii="宋体" w:hAnsi="宋体" w:eastAsia="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614F2C6C">
            <w:pPr>
              <w:widowControl/>
              <w:jc w:val="center"/>
              <w:rPr>
                <w:rFonts w:ascii="宋体" w:hAnsi="宋体" w:eastAsia="宋体" w:cs="宋体"/>
                <w:kern w:val="0"/>
                <w:sz w:val="20"/>
                <w:szCs w:val="20"/>
              </w:rPr>
            </w:pPr>
            <w:r>
              <w:rPr>
                <w:rFonts w:hint="eastAsia" w:ascii="宋体" w:hAnsi="宋体" w:eastAsia="宋体" w:cs="宋体"/>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21C977CE">
            <w:pPr>
              <w:widowControl/>
              <w:jc w:val="center"/>
              <w:rPr>
                <w:rFonts w:ascii="宋体" w:hAnsi="宋体" w:eastAsia="宋体" w:cs="宋体"/>
                <w:kern w:val="0"/>
                <w:sz w:val="20"/>
                <w:szCs w:val="20"/>
              </w:rPr>
            </w:pPr>
            <w:r>
              <w:rPr>
                <w:rFonts w:hint="eastAsia" w:ascii="宋体" w:hAnsi="宋体" w:eastAsia="宋体" w:cs="宋体"/>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71BC5630">
            <w:pPr>
              <w:widowControl/>
              <w:jc w:val="left"/>
              <w:rPr>
                <w:rFonts w:ascii="宋体" w:hAnsi="宋体" w:eastAsia="宋体" w:cs="宋体"/>
                <w:kern w:val="0"/>
                <w:sz w:val="20"/>
                <w:szCs w:val="20"/>
              </w:rPr>
            </w:pPr>
            <w:r>
              <w:rPr>
                <w:rFonts w:hint="eastAsia" w:ascii="宋体" w:hAnsi="宋体" w:eastAsia="宋体" w:cs="宋体"/>
                <w:kern w:val="0"/>
                <w:sz w:val="20"/>
                <w:szCs w:val="20"/>
              </w:rPr>
              <w:t>参照《复印机、打印机和传真机能效限定值及能效等级》（GB21521中打印速度为15页/分的针式打印机相关要求中打印速度为15页/分的针式打印机相关要求</w:t>
            </w:r>
          </w:p>
        </w:tc>
      </w:tr>
      <w:tr w14:paraId="54C5606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3743661">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80" w:type="dxa"/>
            <w:tcBorders>
              <w:top w:val="nil"/>
              <w:left w:val="nil"/>
              <w:bottom w:val="single" w:color="000000" w:sz="8" w:space="0"/>
              <w:right w:val="single" w:color="000000" w:sz="8" w:space="0"/>
            </w:tcBorders>
            <w:noWrap w:val="0"/>
            <w:vAlign w:val="center"/>
          </w:tcPr>
          <w:p w14:paraId="27710DA8">
            <w:pPr>
              <w:widowControl/>
              <w:jc w:val="center"/>
              <w:rPr>
                <w:rFonts w:ascii="宋体" w:hAnsi="宋体" w:eastAsia="宋体" w:cs="宋体"/>
                <w:kern w:val="0"/>
                <w:sz w:val="20"/>
                <w:szCs w:val="20"/>
              </w:rPr>
            </w:pPr>
            <w:r>
              <w:rPr>
                <w:rFonts w:hint="eastAsia" w:ascii="宋体" w:hAnsi="宋体" w:eastAsia="宋体" w:cs="宋体"/>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14A664D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1FBB57F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74AAFAAD">
            <w:pPr>
              <w:widowControl/>
              <w:jc w:val="left"/>
              <w:rPr>
                <w:rFonts w:ascii="宋体" w:hAnsi="宋体" w:eastAsia="宋体" w:cs="宋体"/>
                <w:kern w:val="0"/>
                <w:sz w:val="20"/>
                <w:szCs w:val="20"/>
              </w:rPr>
            </w:pPr>
            <w:r>
              <w:rPr>
                <w:rFonts w:hint="eastAsia" w:ascii="宋体" w:hAnsi="宋体" w:eastAsia="宋体" w:cs="宋体"/>
                <w:kern w:val="0"/>
                <w:sz w:val="20"/>
                <w:szCs w:val="20"/>
              </w:rPr>
              <w:t>《投影机能效限定值及能效等级》（GB32028）</w:t>
            </w:r>
          </w:p>
        </w:tc>
      </w:tr>
      <w:tr w14:paraId="4808918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00968E6">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80" w:type="dxa"/>
            <w:tcBorders>
              <w:top w:val="nil"/>
              <w:left w:val="nil"/>
              <w:bottom w:val="single" w:color="000000" w:sz="8" w:space="0"/>
              <w:right w:val="single" w:color="000000" w:sz="8" w:space="0"/>
            </w:tcBorders>
            <w:noWrap w:val="0"/>
            <w:vAlign w:val="center"/>
          </w:tcPr>
          <w:p w14:paraId="3961D082">
            <w:pPr>
              <w:widowControl/>
              <w:jc w:val="center"/>
              <w:rPr>
                <w:rFonts w:ascii="宋体" w:hAnsi="宋体" w:eastAsia="宋体" w:cs="宋体"/>
                <w:kern w:val="0"/>
                <w:sz w:val="20"/>
                <w:szCs w:val="20"/>
              </w:rPr>
            </w:pPr>
            <w:r>
              <w:rPr>
                <w:rFonts w:hint="eastAsia" w:ascii="宋体" w:hAnsi="宋体" w:eastAsia="宋体" w:cs="宋体"/>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658205B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6E27FFE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1840F14E">
            <w:pPr>
              <w:widowControl/>
              <w:jc w:val="left"/>
              <w:rPr>
                <w:rFonts w:ascii="宋体" w:hAnsi="宋体" w:eastAsia="宋体" w:cs="宋体"/>
                <w:kern w:val="0"/>
                <w:sz w:val="20"/>
                <w:szCs w:val="20"/>
              </w:rPr>
            </w:pPr>
            <w:r>
              <w:rPr>
                <w:rFonts w:hint="eastAsia" w:ascii="宋体" w:hAnsi="宋体" w:eastAsia="宋体" w:cs="宋体"/>
                <w:kern w:val="0"/>
                <w:sz w:val="20"/>
                <w:szCs w:val="20"/>
              </w:rPr>
              <w:t>《复印机、打印机和传真机能效限定值及能效等级》（GB21521）</w:t>
            </w:r>
          </w:p>
        </w:tc>
      </w:tr>
      <w:tr w14:paraId="76D4874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90FE113">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80" w:type="dxa"/>
            <w:tcBorders>
              <w:top w:val="nil"/>
              <w:left w:val="nil"/>
              <w:bottom w:val="single" w:color="000000" w:sz="8" w:space="0"/>
              <w:right w:val="single" w:color="000000" w:sz="8" w:space="0"/>
            </w:tcBorders>
            <w:noWrap w:val="0"/>
            <w:vAlign w:val="center"/>
          </w:tcPr>
          <w:p w14:paraId="2CD55A7F">
            <w:pPr>
              <w:widowControl/>
              <w:jc w:val="center"/>
              <w:rPr>
                <w:rFonts w:ascii="宋体" w:hAnsi="宋体" w:eastAsia="宋体" w:cs="宋体"/>
                <w:kern w:val="0"/>
                <w:sz w:val="20"/>
                <w:szCs w:val="20"/>
              </w:rPr>
            </w:pPr>
            <w:r>
              <w:rPr>
                <w:rFonts w:hint="eastAsia" w:ascii="宋体" w:hAnsi="宋体" w:eastAsia="宋体" w:cs="宋体"/>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2BCF9EA5">
            <w:pPr>
              <w:widowControl/>
              <w:jc w:val="center"/>
              <w:rPr>
                <w:rFonts w:ascii="宋体" w:hAnsi="宋体" w:eastAsia="宋体" w:cs="宋体"/>
                <w:kern w:val="0"/>
                <w:sz w:val="20"/>
                <w:szCs w:val="20"/>
              </w:rPr>
            </w:pPr>
            <w:r>
              <w:rPr>
                <w:rFonts w:hint="eastAsia" w:ascii="宋体" w:hAnsi="宋体" w:eastAsia="宋体" w:cs="宋体"/>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7B256A6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766E0782">
            <w:pPr>
              <w:widowControl/>
              <w:jc w:val="left"/>
              <w:rPr>
                <w:rFonts w:ascii="宋体" w:hAnsi="宋体" w:eastAsia="宋体" w:cs="宋体"/>
                <w:kern w:val="0"/>
                <w:sz w:val="20"/>
                <w:szCs w:val="20"/>
              </w:rPr>
            </w:pPr>
            <w:r>
              <w:rPr>
                <w:rFonts w:hint="eastAsia" w:ascii="宋体" w:hAnsi="宋体" w:eastAsia="宋体" w:cs="宋体"/>
                <w:kern w:val="0"/>
                <w:sz w:val="20"/>
                <w:szCs w:val="20"/>
              </w:rPr>
              <w:t>《清水离心泵能效限定值及节能评价值》（GB19762）</w:t>
            </w:r>
          </w:p>
        </w:tc>
      </w:tr>
      <w:tr w14:paraId="2BEA3FC8">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8FFAD51">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853C123">
            <w:pPr>
              <w:widowControl/>
              <w:jc w:val="center"/>
              <w:rPr>
                <w:rFonts w:ascii="宋体" w:hAnsi="宋体" w:eastAsia="宋体" w:cs="宋体"/>
                <w:kern w:val="0"/>
                <w:sz w:val="20"/>
                <w:szCs w:val="20"/>
              </w:rPr>
            </w:pPr>
            <w:r>
              <w:rPr>
                <w:rFonts w:hint="eastAsia" w:ascii="宋体" w:hAnsi="宋体" w:eastAsia="宋体" w:cs="宋体"/>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A1068E2">
            <w:pPr>
              <w:widowControl/>
              <w:jc w:val="center"/>
              <w:rPr>
                <w:rFonts w:ascii="宋体" w:hAnsi="宋体" w:eastAsia="宋体" w:cs="宋体"/>
                <w:kern w:val="0"/>
                <w:sz w:val="20"/>
                <w:szCs w:val="20"/>
              </w:rPr>
            </w:pPr>
            <w:r>
              <w:rPr>
                <w:rFonts w:hint="eastAsia" w:ascii="宋体" w:hAnsi="宋体" w:eastAsia="宋体" w:cs="宋体"/>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2D8F1EE4">
            <w:pPr>
              <w:widowControl/>
              <w:jc w:val="center"/>
              <w:rPr>
                <w:rFonts w:ascii="宋体" w:hAnsi="宋体" w:eastAsia="宋体" w:cs="宋体"/>
                <w:kern w:val="0"/>
                <w:sz w:val="20"/>
                <w:szCs w:val="20"/>
              </w:rPr>
            </w:pPr>
            <w:r>
              <w:rPr>
                <w:rFonts w:hint="eastAsia" w:ascii="宋体" w:hAnsi="宋体" w:eastAsia="宋体" w:cs="宋体"/>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14C731A1">
            <w:pPr>
              <w:widowControl/>
              <w:jc w:val="left"/>
              <w:rPr>
                <w:rFonts w:ascii="宋体" w:hAnsi="宋体" w:eastAsia="宋体" w:cs="宋体"/>
                <w:kern w:val="0"/>
                <w:sz w:val="20"/>
                <w:szCs w:val="20"/>
              </w:rPr>
            </w:pPr>
            <w:r>
              <w:rPr>
                <w:rFonts w:hint="eastAsia" w:ascii="宋体" w:hAnsi="宋体" w:eastAsia="宋体" w:cs="宋体"/>
                <w:kern w:val="0"/>
                <w:sz w:val="20"/>
                <w:szCs w:val="20"/>
              </w:rPr>
              <w:t>《冷水机组能效限定值及能效等级》（GB19577），《低环境温度空气源热泵（冷水）机组能效限定值及能效等级》（GB37480）</w:t>
            </w:r>
          </w:p>
        </w:tc>
      </w:tr>
      <w:tr w14:paraId="28D561E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5B9CB12">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142EC26">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DEFEBAC">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7FD23EC0">
            <w:pPr>
              <w:widowControl/>
              <w:jc w:val="center"/>
              <w:rPr>
                <w:rFonts w:ascii="宋体" w:hAnsi="宋体" w:eastAsia="宋体" w:cs="宋体"/>
                <w:kern w:val="0"/>
                <w:sz w:val="20"/>
                <w:szCs w:val="20"/>
              </w:rPr>
            </w:pPr>
            <w:r>
              <w:rPr>
                <w:rFonts w:hint="eastAsia" w:ascii="宋体" w:hAnsi="宋体" w:eastAsia="宋体" w:cs="宋体"/>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6E6886F0">
            <w:pPr>
              <w:widowControl/>
              <w:jc w:val="left"/>
              <w:rPr>
                <w:rFonts w:ascii="宋体" w:hAnsi="宋体" w:eastAsia="宋体" w:cs="宋体"/>
                <w:kern w:val="0"/>
                <w:sz w:val="20"/>
                <w:szCs w:val="20"/>
              </w:rPr>
            </w:pPr>
            <w:r>
              <w:rPr>
                <w:rFonts w:hint="eastAsia" w:ascii="宋体" w:hAnsi="宋体" w:eastAsia="宋体" w:cs="宋体"/>
                <w:kern w:val="0"/>
                <w:sz w:val="20"/>
                <w:szCs w:val="20"/>
              </w:rPr>
              <w:t>《水（地）源热泵机组能效限定值及能效等级》（GB30721）</w:t>
            </w:r>
          </w:p>
        </w:tc>
      </w:tr>
      <w:tr w14:paraId="5FE8C14C">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E107301">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A9DB0E8">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53C0794">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030A1FAA">
            <w:pPr>
              <w:widowControl/>
              <w:jc w:val="center"/>
              <w:rPr>
                <w:rFonts w:ascii="宋体" w:hAnsi="宋体" w:eastAsia="宋体" w:cs="宋体"/>
                <w:kern w:val="0"/>
                <w:sz w:val="20"/>
                <w:szCs w:val="20"/>
              </w:rPr>
            </w:pPr>
            <w:r>
              <w:rPr>
                <w:rFonts w:hint="eastAsia" w:ascii="宋体" w:hAnsi="宋体" w:eastAsia="宋体" w:cs="宋体"/>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1074153D">
            <w:pPr>
              <w:widowControl/>
              <w:jc w:val="left"/>
              <w:rPr>
                <w:rFonts w:ascii="宋体" w:hAnsi="宋体" w:eastAsia="宋体" w:cs="宋体"/>
                <w:kern w:val="0"/>
                <w:sz w:val="20"/>
                <w:szCs w:val="20"/>
              </w:rPr>
            </w:pPr>
            <w:r>
              <w:rPr>
                <w:rFonts w:hint="eastAsia" w:ascii="宋体" w:hAnsi="宋体" w:eastAsia="宋体" w:cs="宋体"/>
                <w:kern w:val="0"/>
                <w:sz w:val="20"/>
                <w:szCs w:val="20"/>
              </w:rPr>
              <w:t>《溴化锂吸收式冷水机组能效限定值及能效等级》（GB29540）</w:t>
            </w:r>
          </w:p>
        </w:tc>
      </w:tr>
      <w:tr w14:paraId="2A985F6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3637AAB">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7AF7245">
            <w:pPr>
              <w:widowControl/>
              <w:jc w:val="left"/>
              <w:rPr>
                <w:rFonts w:ascii="宋体" w:hAnsi="宋体" w:eastAsia="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19441C6D">
            <w:pPr>
              <w:widowControl/>
              <w:jc w:val="center"/>
              <w:rPr>
                <w:rFonts w:ascii="宋体" w:hAnsi="宋体" w:eastAsia="宋体" w:cs="宋体"/>
                <w:kern w:val="0"/>
                <w:sz w:val="20"/>
                <w:szCs w:val="20"/>
              </w:rPr>
            </w:pPr>
            <w:r>
              <w:rPr>
                <w:rFonts w:hint="eastAsia" w:ascii="宋体" w:hAnsi="宋体" w:eastAsia="宋体" w:cs="宋体"/>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470D7E55">
            <w:pPr>
              <w:widowControl/>
              <w:jc w:val="center"/>
              <w:rPr>
                <w:rFonts w:ascii="宋体" w:hAnsi="宋体" w:eastAsia="宋体" w:cs="宋体"/>
                <w:kern w:val="0"/>
                <w:sz w:val="20"/>
                <w:szCs w:val="20"/>
              </w:rPr>
            </w:pPr>
            <w:r>
              <w:rPr>
                <w:rFonts w:hint="eastAsia" w:ascii="宋体" w:hAnsi="宋体" w:eastAsia="宋体" w:cs="宋体"/>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65FFD66F">
            <w:pPr>
              <w:widowControl/>
              <w:jc w:val="left"/>
              <w:rPr>
                <w:rFonts w:ascii="宋体" w:hAnsi="宋体" w:eastAsia="宋体" w:cs="宋体"/>
                <w:kern w:val="0"/>
                <w:sz w:val="20"/>
                <w:szCs w:val="20"/>
              </w:rPr>
            </w:pPr>
            <w:r>
              <w:rPr>
                <w:rFonts w:hint="eastAsia" w:ascii="宋体" w:hAnsi="宋体" w:eastAsia="宋体" w:cs="宋体"/>
                <w:kern w:val="0"/>
                <w:sz w:val="20"/>
                <w:szCs w:val="20"/>
              </w:rPr>
              <w:t>《多联式空调（热泵）机组能效限定值及能源效率等级》（GB21454）</w:t>
            </w:r>
          </w:p>
        </w:tc>
      </w:tr>
      <w:tr w14:paraId="21B51BE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7559225">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3A85296">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6A219BB">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614F2E28">
            <w:pPr>
              <w:widowControl/>
              <w:jc w:val="center"/>
              <w:rPr>
                <w:rFonts w:ascii="宋体" w:hAnsi="宋体" w:eastAsia="宋体" w:cs="宋体"/>
                <w:kern w:val="0"/>
                <w:sz w:val="20"/>
                <w:szCs w:val="20"/>
              </w:rPr>
            </w:pPr>
            <w:r>
              <w:rPr>
                <w:rFonts w:hint="eastAsia" w:ascii="宋体" w:hAnsi="宋体" w:eastAsia="宋体" w:cs="宋体"/>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76612981">
            <w:pPr>
              <w:widowControl/>
              <w:jc w:val="left"/>
              <w:rPr>
                <w:rFonts w:ascii="宋体" w:hAnsi="宋体" w:eastAsia="宋体" w:cs="宋体"/>
                <w:kern w:val="0"/>
                <w:sz w:val="20"/>
                <w:szCs w:val="20"/>
              </w:rPr>
            </w:pPr>
            <w:r>
              <w:rPr>
                <w:rFonts w:hint="eastAsia" w:ascii="宋体" w:hAnsi="宋体" w:eastAsia="宋体" w:cs="宋体"/>
                <w:kern w:val="0"/>
                <w:sz w:val="20"/>
                <w:szCs w:val="20"/>
              </w:rPr>
              <w:t>《单元式空气调节机能效限定值及能效等级》（GB19576）《风管送风式空调机组能效限定值及能效等级》（GB37479）</w:t>
            </w:r>
          </w:p>
        </w:tc>
      </w:tr>
      <w:tr w14:paraId="486BD6C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FD5A15F">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BB36B56">
            <w:pPr>
              <w:widowControl/>
              <w:jc w:val="left"/>
              <w:rPr>
                <w:rFonts w:ascii="宋体" w:hAnsi="宋体" w:eastAsia="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086403C1">
            <w:pPr>
              <w:widowControl/>
              <w:jc w:val="center"/>
              <w:rPr>
                <w:rFonts w:ascii="宋体" w:hAnsi="宋体" w:eastAsia="宋体" w:cs="宋体"/>
                <w:kern w:val="0"/>
                <w:sz w:val="20"/>
                <w:szCs w:val="20"/>
              </w:rPr>
            </w:pPr>
            <w:r>
              <w:rPr>
                <w:rFonts w:hint="eastAsia" w:ascii="宋体" w:hAnsi="宋体" w:eastAsia="宋体" w:cs="宋体"/>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7D80C66F">
            <w:pPr>
              <w:widowControl/>
              <w:jc w:val="center"/>
              <w:rPr>
                <w:rFonts w:ascii="宋体" w:hAnsi="宋体" w:eastAsia="宋体" w:cs="宋体"/>
                <w:kern w:val="0"/>
                <w:sz w:val="20"/>
                <w:szCs w:val="20"/>
              </w:rPr>
            </w:pPr>
            <w:r>
              <w:rPr>
                <w:rFonts w:hint="eastAsia" w:ascii="宋体" w:hAnsi="宋体" w:eastAsia="宋体" w:cs="宋体"/>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3849952F">
            <w:pPr>
              <w:widowControl/>
              <w:jc w:val="left"/>
              <w:rPr>
                <w:rFonts w:ascii="宋体" w:hAnsi="宋体" w:eastAsia="宋体" w:cs="宋体"/>
                <w:kern w:val="0"/>
                <w:sz w:val="20"/>
                <w:szCs w:val="20"/>
              </w:rPr>
            </w:pPr>
            <w:r>
              <w:rPr>
                <w:rFonts w:hint="eastAsia" w:ascii="宋体" w:hAnsi="宋体" w:eastAsia="宋体" w:cs="宋体"/>
                <w:kern w:val="0"/>
                <w:sz w:val="20"/>
                <w:szCs w:val="20"/>
              </w:rPr>
              <w:t>《单元式空气调节机能效限定值及能效等级》（GB19576）</w:t>
            </w:r>
          </w:p>
        </w:tc>
      </w:tr>
      <w:tr w14:paraId="3CCE2B9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F7D051D">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96C0362">
            <w:pPr>
              <w:widowControl/>
              <w:jc w:val="left"/>
              <w:rPr>
                <w:rFonts w:ascii="宋体" w:hAnsi="宋体" w:eastAsia="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4097B025">
            <w:pPr>
              <w:widowControl/>
              <w:jc w:val="center"/>
              <w:rPr>
                <w:rFonts w:ascii="宋体" w:hAnsi="宋体" w:eastAsia="宋体" w:cs="宋体"/>
                <w:kern w:val="0"/>
                <w:sz w:val="20"/>
                <w:szCs w:val="20"/>
              </w:rPr>
            </w:pPr>
            <w:r>
              <w:rPr>
                <w:rFonts w:hint="eastAsia" w:ascii="宋体" w:hAnsi="宋体" w:eastAsia="宋体" w:cs="宋体"/>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29CD2B54">
            <w:pPr>
              <w:widowControl/>
              <w:jc w:val="center"/>
              <w:rPr>
                <w:rFonts w:ascii="宋体" w:hAnsi="宋体" w:eastAsia="宋体" w:cs="宋体"/>
                <w:kern w:val="0"/>
                <w:sz w:val="20"/>
                <w:szCs w:val="20"/>
              </w:rPr>
            </w:pPr>
            <w:r>
              <w:rPr>
                <w:rFonts w:hint="eastAsia" w:ascii="宋体" w:hAnsi="宋体" w:eastAsia="宋体" w:cs="宋体"/>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7E01883F">
            <w:pPr>
              <w:widowControl/>
              <w:jc w:val="left"/>
              <w:rPr>
                <w:rFonts w:ascii="宋体" w:hAnsi="宋体" w:eastAsia="宋体" w:cs="宋体"/>
                <w:kern w:val="0"/>
                <w:sz w:val="20"/>
                <w:szCs w:val="20"/>
              </w:rPr>
            </w:pPr>
            <w:r>
              <w:rPr>
                <w:rFonts w:hint="eastAsia" w:ascii="宋体" w:hAnsi="宋体" w:eastAsia="宋体" w:cs="宋体"/>
                <w:kern w:val="0"/>
                <w:sz w:val="20"/>
                <w:szCs w:val="20"/>
              </w:rPr>
              <w:t>《机械通风冷却塔第1部分：中小型开式冷却塔》（GB/T7190.1）；《机械通风冷却塔第2部分：大型开式冷却塔》（GB/T7190.2）</w:t>
            </w:r>
          </w:p>
        </w:tc>
      </w:tr>
      <w:tr w14:paraId="6E10892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8927C46">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80" w:type="dxa"/>
            <w:tcBorders>
              <w:top w:val="nil"/>
              <w:left w:val="nil"/>
              <w:bottom w:val="single" w:color="000000" w:sz="8" w:space="0"/>
              <w:right w:val="single" w:color="000000" w:sz="8" w:space="0"/>
            </w:tcBorders>
            <w:noWrap w:val="0"/>
            <w:vAlign w:val="center"/>
          </w:tcPr>
          <w:p w14:paraId="01C58950">
            <w:pPr>
              <w:widowControl/>
              <w:jc w:val="center"/>
              <w:rPr>
                <w:rFonts w:ascii="宋体" w:hAnsi="宋体" w:eastAsia="宋体" w:cs="宋体"/>
                <w:kern w:val="0"/>
                <w:sz w:val="20"/>
                <w:szCs w:val="20"/>
              </w:rPr>
            </w:pPr>
            <w:r>
              <w:rPr>
                <w:rFonts w:hint="eastAsia" w:ascii="宋体" w:hAnsi="宋体" w:eastAsia="宋体" w:cs="宋体"/>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297ABCDF">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2038C80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691260BA">
            <w:pPr>
              <w:widowControl/>
              <w:jc w:val="left"/>
              <w:rPr>
                <w:rFonts w:ascii="宋体" w:hAnsi="宋体" w:eastAsia="宋体" w:cs="宋体"/>
                <w:kern w:val="0"/>
                <w:sz w:val="20"/>
                <w:szCs w:val="20"/>
              </w:rPr>
            </w:pPr>
            <w:r>
              <w:rPr>
                <w:rFonts w:hint="eastAsia" w:ascii="宋体" w:hAnsi="宋体" w:eastAsia="宋体" w:cs="宋体"/>
                <w:kern w:val="0"/>
                <w:sz w:val="20"/>
                <w:szCs w:val="20"/>
              </w:rPr>
              <w:t>《中小型三相异步电动机能效限定值及能效等级》（GB18613）</w:t>
            </w:r>
          </w:p>
        </w:tc>
      </w:tr>
      <w:tr w14:paraId="43DE71A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D180F2E">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80" w:type="dxa"/>
            <w:tcBorders>
              <w:top w:val="nil"/>
              <w:left w:val="nil"/>
              <w:bottom w:val="single" w:color="000000" w:sz="8" w:space="0"/>
              <w:right w:val="single" w:color="000000" w:sz="8" w:space="0"/>
            </w:tcBorders>
            <w:noWrap w:val="0"/>
            <w:vAlign w:val="center"/>
          </w:tcPr>
          <w:p w14:paraId="10BAD23F">
            <w:pPr>
              <w:widowControl/>
              <w:jc w:val="center"/>
              <w:rPr>
                <w:rFonts w:ascii="宋体" w:hAnsi="宋体" w:eastAsia="宋体" w:cs="宋体"/>
                <w:kern w:val="0"/>
                <w:sz w:val="20"/>
                <w:szCs w:val="20"/>
              </w:rPr>
            </w:pPr>
            <w:r>
              <w:rPr>
                <w:rFonts w:hint="eastAsia" w:ascii="宋体" w:hAnsi="宋体" w:eastAsia="宋体" w:cs="宋体"/>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6733912C">
            <w:pPr>
              <w:widowControl/>
              <w:jc w:val="center"/>
              <w:rPr>
                <w:rFonts w:ascii="宋体" w:hAnsi="宋体" w:eastAsia="宋体" w:cs="宋体"/>
                <w:kern w:val="0"/>
                <w:sz w:val="20"/>
                <w:szCs w:val="20"/>
              </w:rPr>
            </w:pPr>
            <w:r>
              <w:rPr>
                <w:rFonts w:hint="eastAsia" w:ascii="宋体" w:hAnsi="宋体" w:eastAsia="宋体" w:cs="宋体"/>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4F483FA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738AEACE">
            <w:pPr>
              <w:widowControl/>
              <w:jc w:val="left"/>
              <w:rPr>
                <w:rFonts w:ascii="宋体" w:hAnsi="宋体" w:eastAsia="宋体" w:cs="宋体"/>
                <w:kern w:val="0"/>
                <w:sz w:val="20"/>
                <w:szCs w:val="20"/>
              </w:rPr>
            </w:pPr>
            <w:r>
              <w:rPr>
                <w:rFonts w:hint="eastAsia" w:ascii="宋体" w:hAnsi="宋体" w:eastAsia="宋体" w:cs="宋体"/>
                <w:kern w:val="0"/>
                <w:sz w:val="20"/>
                <w:szCs w:val="20"/>
              </w:rPr>
              <w:t>《三相配电变压器能效限定值及能效等级》（GB20052）</w:t>
            </w:r>
          </w:p>
        </w:tc>
      </w:tr>
      <w:tr w14:paraId="46C64F6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F19B7C0">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80" w:type="dxa"/>
            <w:tcBorders>
              <w:top w:val="nil"/>
              <w:left w:val="nil"/>
              <w:bottom w:val="single" w:color="000000" w:sz="8" w:space="0"/>
              <w:right w:val="single" w:color="000000" w:sz="8" w:space="0"/>
            </w:tcBorders>
            <w:noWrap w:val="0"/>
            <w:vAlign w:val="center"/>
          </w:tcPr>
          <w:p w14:paraId="4AB3F465">
            <w:pPr>
              <w:widowControl/>
              <w:jc w:val="center"/>
              <w:rPr>
                <w:rFonts w:ascii="宋体" w:hAnsi="宋体" w:eastAsia="宋体" w:cs="宋体"/>
                <w:kern w:val="0"/>
                <w:sz w:val="20"/>
                <w:szCs w:val="20"/>
              </w:rPr>
            </w:pPr>
            <w:r>
              <w:rPr>
                <w:rFonts w:hint="eastAsia" w:ascii="宋体" w:hAnsi="宋体" w:eastAsia="宋体" w:cs="宋体"/>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4C143D27">
            <w:pPr>
              <w:widowControl/>
              <w:jc w:val="center"/>
              <w:rPr>
                <w:rFonts w:ascii="宋体" w:hAnsi="宋体" w:eastAsia="宋体" w:cs="宋体"/>
                <w:kern w:val="0"/>
                <w:sz w:val="20"/>
                <w:szCs w:val="20"/>
              </w:rPr>
            </w:pPr>
            <w:r>
              <w:rPr>
                <w:rFonts w:hint="eastAsia" w:ascii="宋体" w:hAnsi="宋体" w:eastAsia="宋体" w:cs="宋体"/>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17C962A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0B76E184">
            <w:pPr>
              <w:widowControl/>
              <w:jc w:val="left"/>
              <w:rPr>
                <w:rFonts w:ascii="宋体" w:hAnsi="宋体" w:eastAsia="宋体" w:cs="宋体"/>
                <w:kern w:val="0"/>
                <w:sz w:val="20"/>
                <w:szCs w:val="20"/>
              </w:rPr>
            </w:pPr>
            <w:r>
              <w:rPr>
                <w:rFonts w:hint="eastAsia" w:ascii="宋体" w:hAnsi="宋体" w:eastAsia="宋体" w:cs="宋体"/>
                <w:kern w:val="0"/>
                <w:sz w:val="20"/>
                <w:szCs w:val="20"/>
              </w:rPr>
              <w:t>《管形荧光灯镇流器能效限定值及能效等级》（GB17896）</w:t>
            </w:r>
          </w:p>
        </w:tc>
      </w:tr>
      <w:tr w14:paraId="649CD25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3CD0F89">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47FE9B5">
            <w:pPr>
              <w:widowControl/>
              <w:jc w:val="center"/>
              <w:rPr>
                <w:rFonts w:ascii="宋体" w:hAnsi="宋体" w:eastAsia="宋体" w:cs="宋体"/>
                <w:kern w:val="0"/>
                <w:sz w:val="20"/>
                <w:szCs w:val="20"/>
              </w:rPr>
            </w:pPr>
            <w:r>
              <w:rPr>
                <w:rFonts w:hint="eastAsia" w:ascii="宋体" w:hAnsi="宋体" w:eastAsia="宋体" w:cs="宋体"/>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21F958F6">
            <w:pPr>
              <w:widowControl/>
              <w:jc w:val="center"/>
              <w:rPr>
                <w:rFonts w:ascii="宋体" w:hAnsi="宋体" w:eastAsia="宋体" w:cs="宋体"/>
                <w:kern w:val="0"/>
                <w:sz w:val="20"/>
                <w:szCs w:val="20"/>
              </w:rPr>
            </w:pPr>
            <w:r>
              <w:rPr>
                <w:rFonts w:hint="eastAsia" w:ascii="宋体" w:hAnsi="宋体" w:eastAsia="宋体" w:cs="宋体"/>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5E9546F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4BA8E650">
            <w:pPr>
              <w:widowControl/>
              <w:jc w:val="left"/>
              <w:rPr>
                <w:rFonts w:ascii="宋体" w:hAnsi="宋体" w:eastAsia="宋体" w:cs="宋体"/>
                <w:kern w:val="0"/>
                <w:sz w:val="20"/>
                <w:szCs w:val="20"/>
              </w:rPr>
            </w:pPr>
            <w:r>
              <w:rPr>
                <w:rFonts w:hint="eastAsia" w:ascii="宋体" w:hAnsi="宋体" w:eastAsia="宋体" w:cs="宋体"/>
                <w:kern w:val="0"/>
                <w:sz w:val="20"/>
                <w:szCs w:val="20"/>
              </w:rPr>
              <w:t>《家用电冰箱耗电量限定值及能效等级》（GB 12021.2）</w:t>
            </w:r>
          </w:p>
        </w:tc>
      </w:tr>
      <w:tr w14:paraId="0FE48EE9">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8A52554">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AB6A7AC">
            <w:pPr>
              <w:widowControl/>
              <w:jc w:val="left"/>
              <w:rPr>
                <w:rFonts w:ascii="宋体" w:hAnsi="宋体" w:eastAsia="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697C35F">
            <w:pPr>
              <w:widowControl/>
              <w:jc w:val="center"/>
              <w:rPr>
                <w:rFonts w:ascii="宋体" w:hAnsi="宋体" w:eastAsia="宋体" w:cs="宋体"/>
                <w:kern w:val="0"/>
                <w:sz w:val="20"/>
                <w:szCs w:val="20"/>
              </w:rPr>
            </w:pPr>
            <w:r>
              <w:rPr>
                <w:rFonts w:hint="eastAsia" w:ascii="宋体" w:hAnsi="宋体" w:eastAsia="宋体" w:cs="宋体"/>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474BB1CF">
            <w:pPr>
              <w:widowControl/>
              <w:jc w:val="center"/>
              <w:rPr>
                <w:rFonts w:ascii="宋体" w:hAnsi="宋体" w:eastAsia="宋体" w:cs="宋体"/>
                <w:kern w:val="0"/>
                <w:sz w:val="20"/>
                <w:szCs w:val="20"/>
              </w:rPr>
            </w:pPr>
            <w:r>
              <w:rPr>
                <w:rFonts w:hint="eastAsia" w:ascii="宋体" w:hAnsi="宋体" w:eastAsia="宋体" w:cs="宋体"/>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2630BF79">
            <w:pPr>
              <w:widowControl/>
              <w:jc w:val="left"/>
              <w:rPr>
                <w:rFonts w:ascii="宋体" w:hAnsi="宋体" w:eastAsia="宋体" w:cs="宋体"/>
                <w:kern w:val="0"/>
                <w:sz w:val="20"/>
                <w:szCs w:val="20"/>
              </w:rPr>
            </w:pPr>
            <w:r>
              <w:rPr>
                <w:rFonts w:hint="eastAsia" w:ascii="宋体" w:hAnsi="宋体" w:eastAsia="宋体" w:cs="宋体"/>
                <w:kern w:val="0"/>
                <w:sz w:val="20"/>
                <w:szCs w:val="20"/>
              </w:rPr>
              <w:t>《转速可控型房间空气调节器能效限定值及能效等级》（GB21455-2013），待2019年修订发布后，按《房间空气调节器能效限定值及能效等级》（GB21455-2019实施。</w:t>
            </w:r>
          </w:p>
        </w:tc>
      </w:tr>
      <w:tr w14:paraId="6BD71747">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B2A80A7">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6C87B65">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076A043">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7A8913FF">
            <w:pPr>
              <w:widowControl/>
              <w:jc w:val="center"/>
              <w:rPr>
                <w:rFonts w:ascii="宋体" w:hAnsi="宋体" w:eastAsia="宋体" w:cs="宋体"/>
                <w:kern w:val="0"/>
                <w:sz w:val="20"/>
                <w:szCs w:val="20"/>
              </w:rPr>
            </w:pPr>
            <w:r>
              <w:rPr>
                <w:rFonts w:hint="eastAsia" w:ascii="宋体" w:hAnsi="宋体" w:eastAsia="宋体" w:cs="宋体"/>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7646FE9D">
            <w:pPr>
              <w:widowControl/>
              <w:jc w:val="left"/>
              <w:rPr>
                <w:rFonts w:ascii="宋体" w:hAnsi="宋体" w:eastAsia="宋体" w:cs="宋体"/>
                <w:kern w:val="0"/>
                <w:sz w:val="20"/>
                <w:szCs w:val="20"/>
              </w:rPr>
            </w:pPr>
            <w:r>
              <w:rPr>
                <w:rFonts w:hint="eastAsia" w:ascii="宋体" w:hAnsi="宋体" w:eastAsia="宋体" w:cs="宋体"/>
                <w:kern w:val="0"/>
                <w:sz w:val="20"/>
                <w:szCs w:val="20"/>
              </w:rPr>
              <w:t>《多联式空调（热泵）机组能效限定值及能源效率等级》（GB21454）</w:t>
            </w:r>
          </w:p>
        </w:tc>
      </w:tr>
      <w:tr w14:paraId="514FD1B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A719251">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6542369">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3631EC9">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53F961A2">
            <w:pPr>
              <w:widowControl/>
              <w:jc w:val="center"/>
              <w:rPr>
                <w:rFonts w:ascii="宋体" w:hAnsi="宋体" w:eastAsia="宋体" w:cs="宋体"/>
                <w:kern w:val="0"/>
                <w:sz w:val="20"/>
                <w:szCs w:val="20"/>
              </w:rPr>
            </w:pPr>
            <w:r>
              <w:rPr>
                <w:rFonts w:hint="eastAsia" w:ascii="宋体" w:hAnsi="宋体" w:eastAsia="宋体" w:cs="宋体"/>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7E34603A">
            <w:pPr>
              <w:widowControl/>
              <w:jc w:val="left"/>
              <w:rPr>
                <w:rFonts w:ascii="宋体" w:hAnsi="宋体" w:eastAsia="宋体" w:cs="宋体"/>
                <w:kern w:val="0"/>
                <w:sz w:val="20"/>
                <w:szCs w:val="20"/>
              </w:rPr>
            </w:pPr>
            <w:r>
              <w:rPr>
                <w:rFonts w:hint="eastAsia" w:ascii="宋体" w:hAnsi="宋体" w:eastAsia="宋体" w:cs="宋体"/>
                <w:kern w:val="0"/>
                <w:sz w:val="20"/>
                <w:szCs w:val="20"/>
              </w:rPr>
              <w:t>《单元式空气调节机能效限定值及能源效率等级》（GB19576）《风管送风式空调机组能效限定值及能效等级》（GB37479）</w:t>
            </w:r>
          </w:p>
        </w:tc>
      </w:tr>
      <w:tr w14:paraId="63B072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4F24AD6">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B490390">
            <w:pPr>
              <w:widowControl/>
              <w:jc w:val="left"/>
              <w:rPr>
                <w:rFonts w:ascii="宋体" w:hAnsi="宋体" w:eastAsia="宋体" w:cs="宋体"/>
                <w:kern w:val="0"/>
                <w:sz w:val="20"/>
                <w:szCs w:val="20"/>
              </w:rPr>
            </w:pPr>
          </w:p>
        </w:tc>
        <w:tc>
          <w:tcPr>
            <w:tcW w:w="1320" w:type="dxa"/>
            <w:tcBorders>
              <w:top w:val="nil"/>
              <w:left w:val="nil"/>
              <w:bottom w:val="single" w:color="000000" w:sz="8" w:space="0"/>
              <w:right w:val="single" w:color="000000" w:sz="8" w:space="0"/>
            </w:tcBorders>
            <w:noWrap w:val="0"/>
            <w:vAlign w:val="center"/>
          </w:tcPr>
          <w:p w14:paraId="6DD7C740">
            <w:pPr>
              <w:widowControl/>
              <w:jc w:val="center"/>
              <w:rPr>
                <w:rFonts w:ascii="宋体" w:hAnsi="宋体" w:eastAsia="宋体" w:cs="宋体"/>
                <w:kern w:val="0"/>
                <w:sz w:val="20"/>
                <w:szCs w:val="20"/>
              </w:rPr>
            </w:pPr>
            <w:r>
              <w:rPr>
                <w:rFonts w:hint="eastAsia" w:ascii="宋体" w:hAnsi="宋体" w:eastAsia="宋体" w:cs="宋体"/>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39474AD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6C83AE18">
            <w:pPr>
              <w:widowControl/>
              <w:jc w:val="left"/>
              <w:rPr>
                <w:rFonts w:ascii="宋体" w:hAnsi="宋体" w:eastAsia="宋体" w:cs="宋体"/>
                <w:kern w:val="0"/>
                <w:sz w:val="20"/>
                <w:szCs w:val="20"/>
              </w:rPr>
            </w:pPr>
            <w:r>
              <w:rPr>
                <w:rFonts w:hint="eastAsia" w:ascii="宋体" w:hAnsi="宋体" w:eastAsia="宋体" w:cs="宋体"/>
                <w:kern w:val="0"/>
                <w:sz w:val="20"/>
                <w:szCs w:val="20"/>
              </w:rPr>
              <w:t>《电动洗衣机能效水效限定值及等级》（GB12021.4）</w:t>
            </w:r>
          </w:p>
        </w:tc>
      </w:tr>
      <w:tr w14:paraId="1EF332DD">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F4F0CC3">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4A64645">
            <w:pPr>
              <w:widowControl/>
              <w:jc w:val="left"/>
              <w:rPr>
                <w:rFonts w:ascii="宋体" w:hAnsi="宋体" w:eastAsia="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5EA28EE">
            <w:pPr>
              <w:widowControl/>
              <w:jc w:val="center"/>
              <w:rPr>
                <w:rFonts w:ascii="宋体" w:hAnsi="宋体" w:eastAsia="宋体" w:cs="宋体"/>
                <w:kern w:val="0"/>
                <w:sz w:val="20"/>
                <w:szCs w:val="20"/>
              </w:rPr>
            </w:pPr>
            <w:r>
              <w:rPr>
                <w:rFonts w:hint="eastAsia" w:ascii="宋体" w:hAnsi="宋体" w:eastAsia="宋体" w:cs="宋体"/>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5980E674">
            <w:pPr>
              <w:widowControl/>
              <w:jc w:val="center"/>
              <w:rPr>
                <w:rFonts w:ascii="宋体" w:hAnsi="宋体" w:eastAsia="宋体" w:cs="宋体"/>
                <w:kern w:val="0"/>
                <w:sz w:val="20"/>
                <w:szCs w:val="20"/>
              </w:rPr>
            </w:pPr>
            <w:r>
              <w:rPr>
                <w:rFonts w:hint="eastAsia" w:ascii="宋体" w:hAnsi="宋体" w:eastAsia="宋体" w:cs="宋体"/>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1E3EE521">
            <w:pPr>
              <w:widowControl/>
              <w:jc w:val="left"/>
              <w:rPr>
                <w:rFonts w:ascii="宋体" w:hAnsi="宋体" w:eastAsia="宋体" w:cs="宋体"/>
                <w:kern w:val="0"/>
                <w:sz w:val="20"/>
                <w:szCs w:val="20"/>
              </w:rPr>
            </w:pPr>
            <w:r>
              <w:rPr>
                <w:rFonts w:hint="eastAsia" w:ascii="宋体" w:hAnsi="宋体" w:eastAsia="宋体" w:cs="宋体"/>
                <w:kern w:val="0"/>
                <w:sz w:val="20"/>
                <w:szCs w:val="20"/>
              </w:rPr>
              <w:t>《储水式电热水器能效限定值及能效等级》（GB21519）</w:t>
            </w:r>
          </w:p>
        </w:tc>
      </w:tr>
      <w:tr w14:paraId="7D318C97">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F0E1812">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0598775">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A5379FA">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77C5805D">
            <w:pPr>
              <w:widowControl/>
              <w:jc w:val="center"/>
              <w:rPr>
                <w:rFonts w:ascii="宋体" w:hAnsi="宋体" w:eastAsia="宋体" w:cs="宋体"/>
                <w:kern w:val="0"/>
                <w:sz w:val="20"/>
                <w:szCs w:val="20"/>
              </w:rPr>
            </w:pPr>
            <w:r>
              <w:rPr>
                <w:rFonts w:hint="eastAsia" w:ascii="宋体" w:hAnsi="宋体" w:eastAsia="宋体" w:cs="宋体"/>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2B02BD4A">
            <w:pPr>
              <w:widowControl/>
              <w:jc w:val="left"/>
              <w:rPr>
                <w:rFonts w:ascii="宋体" w:hAnsi="宋体" w:eastAsia="宋体" w:cs="宋体"/>
                <w:kern w:val="0"/>
                <w:sz w:val="20"/>
                <w:szCs w:val="20"/>
              </w:rPr>
            </w:pPr>
            <w:r>
              <w:rPr>
                <w:rFonts w:hint="eastAsia" w:ascii="宋体" w:hAnsi="宋体" w:eastAsia="宋体" w:cs="宋体"/>
                <w:kern w:val="0"/>
                <w:sz w:val="20"/>
                <w:szCs w:val="20"/>
              </w:rPr>
              <w:t>《家用燃气快速热水器和燃气采暖热水炉能效限定值及能效等级》（GB20665）</w:t>
            </w:r>
          </w:p>
        </w:tc>
      </w:tr>
      <w:tr w14:paraId="4FEB5D0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B4037F8">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C88DADB">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7F0446F7">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50A003FA">
            <w:pPr>
              <w:widowControl/>
              <w:jc w:val="center"/>
              <w:rPr>
                <w:rFonts w:ascii="宋体" w:hAnsi="宋体" w:eastAsia="宋体" w:cs="宋体"/>
                <w:kern w:val="0"/>
                <w:sz w:val="20"/>
                <w:szCs w:val="20"/>
              </w:rPr>
            </w:pPr>
            <w:r>
              <w:rPr>
                <w:rFonts w:hint="eastAsia" w:ascii="宋体" w:hAnsi="宋体" w:eastAsia="宋体" w:cs="宋体"/>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1F367910">
            <w:pPr>
              <w:widowControl/>
              <w:jc w:val="left"/>
              <w:rPr>
                <w:rFonts w:ascii="宋体" w:hAnsi="宋体" w:eastAsia="宋体" w:cs="宋体"/>
                <w:kern w:val="0"/>
                <w:sz w:val="20"/>
                <w:szCs w:val="20"/>
              </w:rPr>
            </w:pPr>
            <w:r>
              <w:rPr>
                <w:rFonts w:hint="eastAsia" w:ascii="宋体" w:hAnsi="宋体" w:eastAsia="宋体" w:cs="宋体"/>
                <w:kern w:val="0"/>
                <w:sz w:val="20"/>
                <w:szCs w:val="20"/>
              </w:rPr>
              <w:t>《热泵热水机（器）能效限定值及能效等级》（GB29541）</w:t>
            </w:r>
          </w:p>
        </w:tc>
      </w:tr>
      <w:tr w14:paraId="6CC9179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6772814">
            <w:pPr>
              <w:widowControl/>
              <w:jc w:val="left"/>
              <w:rPr>
                <w:rFonts w:ascii="宋体" w:hAnsi="宋体" w:eastAsia="宋体" w:cs="宋体"/>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8E94281">
            <w:pPr>
              <w:widowControl/>
              <w:jc w:val="left"/>
              <w:rPr>
                <w:rFonts w:ascii="宋体" w:hAnsi="宋体" w:eastAsia="宋体" w:cs="宋体"/>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28C8D21">
            <w:pPr>
              <w:widowControl/>
              <w:jc w:val="left"/>
              <w:rPr>
                <w:rFonts w:ascii="宋体" w:hAnsi="宋体" w:eastAsia="宋体" w:cs="宋体"/>
                <w:kern w:val="0"/>
                <w:sz w:val="20"/>
                <w:szCs w:val="20"/>
              </w:rPr>
            </w:pPr>
          </w:p>
        </w:tc>
        <w:tc>
          <w:tcPr>
            <w:tcW w:w="1620" w:type="dxa"/>
            <w:tcBorders>
              <w:top w:val="nil"/>
              <w:left w:val="nil"/>
              <w:bottom w:val="single" w:color="000000" w:sz="8" w:space="0"/>
              <w:right w:val="single" w:color="000000" w:sz="8" w:space="0"/>
            </w:tcBorders>
            <w:noWrap w:val="0"/>
            <w:vAlign w:val="center"/>
          </w:tcPr>
          <w:p w14:paraId="7F48ECED">
            <w:pPr>
              <w:widowControl/>
              <w:jc w:val="center"/>
              <w:rPr>
                <w:rFonts w:ascii="宋体" w:hAnsi="宋体" w:eastAsia="宋体" w:cs="宋体"/>
                <w:kern w:val="0"/>
                <w:sz w:val="20"/>
                <w:szCs w:val="20"/>
              </w:rPr>
            </w:pPr>
            <w:r>
              <w:rPr>
                <w:rFonts w:hint="eastAsia" w:ascii="宋体" w:hAnsi="宋体" w:eastAsia="宋体" w:cs="宋体"/>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19D3B8BC">
            <w:pPr>
              <w:widowControl/>
              <w:jc w:val="left"/>
              <w:rPr>
                <w:rFonts w:ascii="宋体" w:hAnsi="宋体" w:eastAsia="宋体" w:cs="宋体"/>
                <w:kern w:val="0"/>
                <w:sz w:val="20"/>
                <w:szCs w:val="20"/>
              </w:rPr>
            </w:pPr>
            <w:r>
              <w:rPr>
                <w:rFonts w:hint="eastAsia" w:ascii="宋体" w:hAnsi="宋体" w:eastAsia="宋体" w:cs="宋体"/>
                <w:kern w:val="0"/>
                <w:sz w:val="20"/>
                <w:szCs w:val="20"/>
              </w:rPr>
              <w:t>《家用太阳能热水系统能效限定值及能效等级》（GB26969）</w:t>
            </w:r>
          </w:p>
        </w:tc>
      </w:tr>
      <w:tr w14:paraId="237CB2C9">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5F9D2826">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464A5399">
            <w:pPr>
              <w:widowControl/>
              <w:jc w:val="center"/>
              <w:rPr>
                <w:rFonts w:ascii="宋体" w:hAnsi="宋体" w:eastAsia="宋体" w:cs="宋体"/>
                <w:kern w:val="0"/>
                <w:sz w:val="20"/>
                <w:szCs w:val="20"/>
              </w:rPr>
            </w:pPr>
            <w:r>
              <w:rPr>
                <w:rFonts w:hint="eastAsia" w:ascii="宋体" w:hAnsi="宋体" w:eastAsia="宋体" w:cs="宋体"/>
                <w:kern w:val="0"/>
                <w:sz w:val="20"/>
                <w:szCs w:val="20"/>
              </w:rPr>
              <w:t>A020619照明设备</w:t>
            </w:r>
          </w:p>
        </w:tc>
        <w:tc>
          <w:tcPr>
            <w:tcW w:w="1320" w:type="dxa"/>
            <w:tcBorders>
              <w:top w:val="nil"/>
              <w:left w:val="nil"/>
              <w:bottom w:val="single" w:color="auto" w:sz="8" w:space="0"/>
              <w:right w:val="single" w:color="auto" w:sz="8" w:space="0"/>
            </w:tcBorders>
            <w:noWrap w:val="0"/>
            <w:vAlign w:val="center"/>
          </w:tcPr>
          <w:p w14:paraId="3DE8A494">
            <w:pPr>
              <w:widowControl/>
              <w:jc w:val="center"/>
              <w:rPr>
                <w:rFonts w:ascii="宋体" w:hAnsi="宋体" w:eastAsia="宋体" w:cs="宋体"/>
                <w:kern w:val="0"/>
                <w:sz w:val="20"/>
                <w:szCs w:val="20"/>
              </w:rPr>
            </w:pPr>
            <w:r>
              <w:rPr>
                <w:rFonts w:hint="eastAsia" w:ascii="宋体" w:hAnsi="宋体" w:eastAsia="宋体" w:cs="宋体"/>
                <w:kern w:val="0"/>
                <w:sz w:val="20"/>
                <w:szCs w:val="20"/>
              </w:rPr>
              <w:t>★普通照明用双端荧光灯</w:t>
            </w:r>
          </w:p>
        </w:tc>
        <w:tc>
          <w:tcPr>
            <w:tcW w:w="1620" w:type="dxa"/>
            <w:tcBorders>
              <w:top w:val="nil"/>
              <w:left w:val="nil"/>
              <w:bottom w:val="single" w:color="auto" w:sz="8" w:space="0"/>
              <w:right w:val="single" w:color="auto" w:sz="8" w:space="0"/>
            </w:tcBorders>
            <w:noWrap w:val="0"/>
            <w:vAlign w:val="center"/>
          </w:tcPr>
          <w:p w14:paraId="629BED0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60E5B412">
            <w:pPr>
              <w:widowControl/>
              <w:jc w:val="left"/>
              <w:rPr>
                <w:rFonts w:ascii="宋体" w:hAnsi="宋体" w:eastAsia="宋体" w:cs="宋体"/>
                <w:kern w:val="0"/>
                <w:sz w:val="20"/>
                <w:szCs w:val="20"/>
              </w:rPr>
            </w:pPr>
            <w:r>
              <w:rPr>
                <w:rFonts w:hint="eastAsia" w:ascii="宋体" w:hAnsi="宋体" w:eastAsia="宋体" w:cs="宋体"/>
                <w:kern w:val="0"/>
                <w:sz w:val="20"/>
                <w:szCs w:val="20"/>
              </w:rPr>
              <w:t>《普通照明用双端荧光灯能效限定值及能效等级》（GB19043）</w:t>
            </w:r>
          </w:p>
        </w:tc>
      </w:tr>
      <w:tr w14:paraId="013F011C">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A5D70CA">
            <w:pPr>
              <w:widowControl/>
              <w:jc w:val="left"/>
              <w:rPr>
                <w:rFonts w:ascii="宋体" w:hAnsi="宋体" w:eastAsia="宋体" w:cs="宋体"/>
                <w:kern w:val="0"/>
                <w:sz w:val="20"/>
                <w:szCs w:val="20"/>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020DDD5D">
            <w:pPr>
              <w:widowControl/>
              <w:jc w:val="left"/>
              <w:rPr>
                <w:rFonts w:ascii="宋体" w:hAnsi="宋体" w:eastAsia="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12C5816B">
            <w:pPr>
              <w:widowControl/>
              <w:jc w:val="center"/>
              <w:rPr>
                <w:rFonts w:ascii="宋体" w:hAnsi="宋体" w:eastAsia="宋体" w:cs="宋体"/>
                <w:kern w:val="0"/>
                <w:sz w:val="20"/>
                <w:szCs w:val="20"/>
              </w:rPr>
            </w:pPr>
            <w:r>
              <w:rPr>
                <w:rFonts w:hint="eastAsia" w:ascii="宋体" w:hAnsi="宋体" w:eastAsia="宋体" w:cs="宋体"/>
                <w:kern w:val="0"/>
                <w:sz w:val="20"/>
                <w:szCs w:val="20"/>
              </w:rPr>
              <w:t>LED道路/隧道照明产品</w:t>
            </w:r>
          </w:p>
        </w:tc>
        <w:tc>
          <w:tcPr>
            <w:tcW w:w="1620" w:type="dxa"/>
            <w:tcBorders>
              <w:top w:val="nil"/>
              <w:left w:val="nil"/>
              <w:bottom w:val="single" w:color="auto" w:sz="8" w:space="0"/>
              <w:right w:val="single" w:color="auto" w:sz="8" w:space="0"/>
            </w:tcBorders>
            <w:noWrap w:val="0"/>
            <w:vAlign w:val="center"/>
          </w:tcPr>
          <w:p w14:paraId="6F13AEA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370C5A41">
            <w:pPr>
              <w:widowControl/>
              <w:jc w:val="left"/>
              <w:rPr>
                <w:rFonts w:ascii="宋体" w:hAnsi="宋体" w:eastAsia="宋体" w:cs="宋体"/>
                <w:kern w:val="0"/>
                <w:sz w:val="20"/>
                <w:szCs w:val="20"/>
              </w:rPr>
            </w:pPr>
            <w:r>
              <w:rPr>
                <w:rFonts w:hint="eastAsia" w:ascii="宋体" w:hAnsi="宋体" w:eastAsia="宋体" w:cs="宋体"/>
                <w:kern w:val="0"/>
                <w:sz w:val="20"/>
                <w:szCs w:val="20"/>
              </w:rPr>
              <w:t>《道路和隧道照明用LED灯具能效限定值及能效等级》（GB37478）</w:t>
            </w:r>
          </w:p>
        </w:tc>
      </w:tr>
      <w:tr w14:paraId="7DD3726E">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1A73C5DD">
            <w:pPr>
              <w:widowControl/>
              <w:jc w:val="left"/>
              <w:rPr>
                <w:rFonts w:ascii="宋体" w:hAnsi="宋体" w:eastAsia="宋体" w:cs="宋体"/>
                <w:kern w:val="0"/>
                <w:sz w:val="20"/>
                <w:szCs w:val="20"/>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755332C5">
            <w:pPr>
              <w:widowControl/>
              <w:jc w:val="left"/>
              <w:rPr>
                <w:rFonts w:ascii="宋体" w:hAnsi="宋体" w:eastAsia="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1A66F410">
            <w:pPr>
              <w:widowControl/>
              <w:jc w:val="center"/>
              <w:rPr>
                <w:rFonts w:ascii="宋体" w:hAnsi="宋体" w:eastAsia="宋体" w:cs="宋体"/>
                <w:kern w:val="0"/>
                <w:sz w:val="20"/>
                <w:szCs w:val="20"/>
              </w:rPr>
            </w:pPr>
            <w:r>
              <w:rPr>
                <w:rFonts w:hint="eastAsia" w:ascii="宋体" w:hAnsi="宋体" w:eastAsia="宋体" w:cs="宋体"/>
                <w:kern w:val="0"/>
                <w:sz w:val="20"/>
                <w:szCs w:val="20"/>
              </w:rPr>
              <w:t>LED筒灯</w:t>
            </w:r>
          </w:p>
        </w:tc>
        <w:tc>
          <w:tcPr>
            <w:tcW w:w="1620" w:type="dxa"/>
            <w:tcBorders>
              <w:top w:val="nil"/>
              <w:left w:val="nil"/>
              <w:bottom w:val="single" w:color="auto" w:sz="8" w:space="0"/>
              <w:right w:val="single" w:color="auto" w:sz="8" w:space="0"/>
            </w:tcBorders>
            <w:noWrap w:val="0"/>
            <w:vAlign w:val="center"/>
          </w:tcPr>
          <w:p w14:paraId="3C7311A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4B24405C">
            <w:pPr>
              <w:widowControl/>
              <w:jc w:val="left"/>
              <w:rPr>
                <w:rFonts w:ascii="宋体" w:hAnsi="宋体" w:eastAsia="宋体" w:cs="宋体"/>
                <w:kern w:val="0"/>
                <w:sz w:val="20"/>
                <w:szCs w:val="20"/>
              </w:rPr>
            </w:pPr>
            <w:r>
              <w:rPr>
                <w:rFonts w:hint="eastAsia" w:ascii="宋体" w:hAnsi="宋体" w:eastAsia="宋体" w:cs="宋体"/>
                <w:kern w:val="0"/>
                <w:sz w:val="20"/>
                <w:szCs w:val="20"/>
              </w:rPr>
              <w:t>《室内照明用LED产品能效限定值及能效等级》（GB30255）</w:t>
            </w:r>
          </w:p>
        </w:tc>
      </w:tr>
      <w:tr w14:paraId="39B6FD24">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15832725">
            <w:pPr>
              <w:widowControl/>
              <w:jc w:val="left"/>
              <w:rPr>
                <w:rFonts w:ascii="宋体" w:hAnsi="宋体" w:eastAsia="宋体" w:cs="宋体"/>
                <w:kern w:val="0"/>
                <w:sz w:val="20"/>
                <w:szCs w:val="20"/>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726966FC">
            <w:pPr>
              <w:widowControl/>
              <w:jc w:val="left"/>
              <w:rPr>
                <w:rFonts w:ascii="宋体" w:hAnsi="宋体" w:eastAsia="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3D92584E">
            <w:pPr>
              <w:widowControl/>
              <w:jc w:val="center"/>
              <w:rPr>
                <w:rFonts w:ascii="宋体" w:hAnsi="宋体" w:eastAsia="宋体" w:cs="宋体"/>
                <w:kern w:val="0"/>
                <w:sz w:val="20"/>
                <w:szCs w:val="20"/>
              </w:rPr>
            </w:pPr>
            <w:r>
              <w:rPr>
                <w:rFonts w:hint="eastAsia" w:ascii="宋体" w:hAnsi="宋体" w:eastAsia="宋体" w:cs="宋体"/>
                <w:kern w:val="0"/>
                <w:sz w:val="20"/>
                <w:szCs w:val="20"/>
              </w:rPr>
              <w:t>普通照明用非定向自镇流LED灯</w:t>
            </w:r>
          </w:p>
        </w:tc>
        <w:tc>
          <w:tcPr>
            <w:tcW w:w="1620" w:type="dxa"/>
            <w:tcBorders>
              <w:top w:val="nil"/>
              <w:left w:val="nil"/>
              <w:bottom w:val="single" w:color="auto" w:sz="8" w:space="0"/>
              <w:right w:val="single" w:color="auto" w:sz="8" w:space="0"/>
            </w:tcBorders>
            <w:noWrap w:val="0"/>
            <w:vAlign w:val="center"/>
          </w:tcPr>
          <w:p w14:paraId="39E0302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2A8D250F">
            <w:pPr>
              <w:widowControl/>
              <w:jc w:val="left"/>
              <w:rPr>
                <w:rFonts w:ascii="宋体" w:hAnsi="宋体" w:eastAsia="宋体" w:cs="宋体"/>
                <w:kern w:val="0"/>
                <w:sz w:val="20"/>
                <w:szCs w:val="20"/>
              </w:rPr>
            </w:pPr>
            <w:r>
              <w:rPr>
                <w:rFonts w:hint="eastAsia" w:ascii="宋体" w:hAnsi="宋体" w:eastAsia="宋体" w:cs="宋体"/>
                <w:kern w:val="0"/>
                <w:sz w:val="20"/>
                <w:szCs w:val="20"/>
              </w:rPr>
              <w:t>《室内照明用LED产品能效限定值及能效等级》（GB30255）</w:t>
            </w:r>
          </w:p>
        </w:tc>
      </w:tr>
      <w:tr w14:paraId="1CF7FAA8">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0BCC534E">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080" w:type="dxa"/>
            <w:tcBorders>
              <w:top w:val="nil"/>
              <w:left w:val="nil"/>
              <w:bottom w:val="single" w:color="auto" w:sz="8" w:space="0"/>
              <w:right w:val="single" w:color="auto" w:sz="8" w:space="0"/>
            </w:tcBorders>
            <w:noWrap w:val="0"/>
            <w:vAlign w:val="center"/>
          </w:tcPr>
          <w:p w14:paraId="163F86FB">
            <w:pPr>
              <w:widowControl/>
              <w:jc w:val="center"/>
              <w:rPr>
                <w:rFonts w:ascii="宋体" w:hAnsi="宋体" w:eastAsia="宋体" w:cs="宋体"/>
                <w:kern w:val="0"/>
                <w:sz w:val="20"/>
                <w:szCs w:val="20"/>
              </w:rPr>
            </w:pPr>
            <w:r>
              <w:rPr>
                <w:rFonts w:hint="eastAsia" w:ascii="宋体" w:hAnsi="宋体" w:eastAsia="宋体" w:cs="宋体"/>
                <w:kern w:val="0"/>
                <w:sz w:val="20"/>
                <w:szCs w:val="20"/>
              </w:rPr>
              <w:t>★A020910电视设备</w:t>
            </w:r>
          </w:p>
        </w:tc>
        <w:tc>
          <w:tcPr>
            <w:tcW w:w="1320" w:type="dxa"/>
            <w:tcBorders>
              <w:top w:val="nil"/>
              <w:left w:val="nil"/>
              <w:bottom w:val="single" w:color="auto" w:sz="8" w:space="0"/>
              <w:right w:val="single" w:color="auto" w:sz="8" w:space="0"/>
            </w:tcBorders>
            <w:noWrap w:val="0"/>
            <w:vAlign w:val="center"/>
          </w:tcPr>
          <w:p w14:paraId="5824682B">
            <w:pPr>
              <w:widowControl/>
              <w:jc w:val="center"/>
              <w:rPr>
                <w:rFonts w:ascii="宋体" w:hAnsi="宋体" w:eastAsia="宋体" w:cs="宋体"/>
                <w:kern w:val="0"/>
                <w:sz w:val="20"/>
                <w:szCs w:val="20"/>
              </w:rPr>
            </w:pPr>
            <w:r>
              <w:rPr>
                <w:rFonts w:hint="eastAsia" w:ascii="宋体" w:hAnsi="宋体" w:eastAsia="宋体" w:cs="宋体"/>
                <w:kern w:val="0"/>
                <w:sz w:val="20"/>
                <w:szCs w:val="20"/>
              </w:rPr>
              <w:t>A02091001普通电视设备（电视机）</w:t>
            </w:r>
          </w:p>
        </w:tc>
        <w:tc>
          <w:tcPr>
            <w:tcW w:w="1620" w:type="dxa"/>
            <w:tcBorders>
              <w:top w:val="nil"/>
              <w:left w:val="nil"/>
              <w:bottom w:val="single" w:color="auto" w:sz="8" w:space="0"/>
              <w:right w:val="single" w:color="auto" w:sz="8" w:space="0"/>
            </w:tcBorders>
            <w:noWrap w:val="0"/>
            <w:vAlign w:val="center"/>
          </w:tcPr>
          <w:p w14:paraId="04063BE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6E9F47FE">
            <w:pPr>
              <w:widowControl/>
              <w:jc w:val="left"/>
              <w:rPr>
                <w:rFonts w:ascii="宋体" w:hAnsi="宋体" w:eastAsia="宋体" w:cs="宋体"/>
                <w:kern w:val="0"/>
                <w:sz w:val="20"/>
                <w:szCs w:val="20"/>
              </w:rPr>
            </w:pPr>
            <w:r>
              <w:rPr>
                <w:rFonts w:hint="eastAsia" w:ascii="宋体" w:hAnsi="宋体" w:eastAsia="宋体" w:cs="宋体"/>
                <w:kern w:val="0"/>
                <w:sz w:val="20"/>
                <w:szCs w:val="20"/>
              </w:rPr>
              <w:t>《平板电视能效限定值及能效等级》（GB24850）</w:t>
            </w:r>
          </w:p>
        </w:tc>
      </w:tr>
      <w:tr w14:paraId="30A99462">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33F6A93B">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080" w:type="dxa"/>
            <w:tcBorders>
              <w:top w:val="nil"/>
              <w:left w:val="nil"/>
              <w:bottom w:val="single" w:color="auto" w:sz="8" w:space="0"/>
              <w:right w:val="single" w:color="auto" w:sz="8" w:space="0"/>
            </w:tcBorders>
            <w:noWrap w:val="0"/>
            <w:vAlign w:val="center"/>
          </w:tcPr>
          <w:p w14:paraId="2BC63BDA">
            <w:pPr>
              <w:widowControl/>
              <w:jc w:val="center"/>
              <w:rPr>
                <w:rFonts w:ascii="宋体" w:hAnsi="宋体" w:eastAsia="宋体" w:cs="宋体"/>
                <w:kern w:val="0"/>
                <w:sz w:val="20"/>
                <w:szCs w:val="20"/>
              </w:rPr>
            </w:pPr>
            <w:r>
              <w:rPr>
                <w:rFonts w:hint="eastAsia" w:ascii="宋体" w:hAnsi="宋体" w:eastAsia="宋体" w:cs="宋体"/>
                <w:kern w:val="0"/>
                <w:sz w:val="20"/>
                <w:szCs w:val="20"/>
              </w:rPr>
              <w:t>★A020911视频设备</w:t>
            </w:r>
          </w:p>
        </w:tc>
        <w:tc>
          <w:tcPr>
            <w:tcW w:w="1320" w:type="dxa"/>
            <w:tcBorders>
              <w:top w:val="nil"/>
              <w:left w:val="nil"/>
              <w:bottom w:val="single" w:color="auto" w:sz="8" w:space="0"/>
              <w:right w:val="single" w:color="auto" w:sz="8" w:space="0"/>
            </w:tcBorders>
            <w:noWrap w:val="0"/>
            <w:vAlign w:val="center"/>
          </w:tcPr>
          <w:p w14:paraId="00FD3E0A">
            <w:pPr>
              <w:widowControl/>
              <w:jc w:val="center"/>
              <w:rPr>
                <w:rFonts w:ascii="宋体" w:hAnsi="宋体" w:eastAsia="宋体" w:cs="宋体"/>
                <w:kern w:val="0"/>
                <w:sz w:val="20"/>
                <w:szCs w:val="20"/>
              </w:rPr>
            </w:pPr>
            <w:r>
              <w:rPr>
                <w:rFonts w:hint="eastAsia" w:ascii="宋体" w:hAnsi="宋体" w:eastAsia="宋体" w:cs="宋体"/>
                <w:kern w:val="0"/>
                <w:sz w:val="20"/>
                <w:szCs w:val="20"/>
              </w:rPr>
              <w:t>A02091107视频监控设备</w:t>
            </w:r>
          </w:p>
        </w:tc>
        <w:tc>
          <w:tcPr>
            <w:tcW w:w="1620" w:type="dxa"/>
            <w:tcBorders>
              <w:top w:val="nil"/>
              <w:left w:val="nil"/>
              <w:bottom w:val="single" w:color="auto" w:sz="8" w:space="0"/>
              <w:right w:val="single" w:color="auto" w:sz="8" w:space="0"/>
            </w:tcBorders>
            <w:noWrap w:val="0"/>
            <w:vAlign w:val="center"/>
          </w:tcPr>
          <w:p w14:paraId="1B134DD4">
            <w:pPr>
              <w:widowControl/>
              <w:jc w:val="center"/>
              <w:rPr>
                <w:rFonts w:ascii="宋体" w:hAnsi="宋体" w:eastAsia="宋体" w:cs="宋体"/>
                <w:kern w:val="0"/>
                <w:sz w:val="20"/>
                <w:szCs w:val="20"/>
              </w:rPr>
            </w:pPr>
            <w:r>
              <w:rPr>
                <w:rFonts w:hint="eastAsia" w:ascii="宋体" w:hAnsi="宋体" w:eastAsia="宋体" w:cs="宋体"/>
                <w:kern w:val="0"/>
                <w:sz w:val="20"/>
                <w:szCs w:val="20"/>
              </w:rPr>
              <w:t>监视器</w:t>
            </w:r>
          </w:p>
        </w:tc>
        <w:tc>
          <w:tcPr>
            <w:tcW w:w="4540" w:type="dxa"/>
            <w:tcBorders>
              <w:top w:val="nil"/>
              <w:left w:val="nil"/>
              <w:bottom w:val="single" w:color="auto" w:sz="8" w:space="0"/>
              <w:right w:val="single" w:color="auto" w:sz="8" w:space="0"/>
            </w:tcBorders>
            <w:noWrap w:val="0"/>
            <w:vAlign w:val="center"/>
          </w:tcPr>
          <w:p w14:paraId="471595F2">
            <w:pPr>
              <w:widowControl/>
              <w:jc w:val="left"/>
              <w:rPr>
                <w:rFonts w:ascii="宋体" w:hAnsi="宋体" w:eastAsia="宋体" w:cs="宋体"/>
                <w:kern w:val="0"/>
                <w:sz w:val="20"/>
                <w:szCs w:val="20"/>
              </w:rPr>
            </w:pPr>
            <w:r>
              <w:rPr>
                <w:rFonts w:hint="eastAsia" w:ascii="宋体" w:hAnsi="宋体" w:eastAsia="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6607BC6">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65FC0352">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080" w:type="dxa"/>
            <w:tcBorders>
              <w:top w:val="nil"/>
              <w:left w:val="nil"/>
              <w:bottom w:val="single" w:color="auto" w:sz="8" w:space="0"/>
              <w:right w:val="single" w:color="auto" w:sz="8" w:space="0"/>
            </w:tcBorders>
            <w:noWrap w:val="0"/>
            <w:vAlign w:val="center"/>
          </w:tcPr>
          <w:p w14:paraId="1D825308">
            <w:pPr>
              <w:widowControl/>
              <w:jc w:val="center"/>
              <w:rPr>
                <w:rFonts w:ascii="宋体" w:hAnsi="宋体" w:eastAsia="宋体" w:cs="宋体"/>
                <w:kern w:val="0"/>
                <w:sz w:val="20"/>
                <w:szCs w:val="20"/>
              </w:rPr>
            </w:pPr>
            <w:r>
              <w:rPr>
                <w:rFonts w:hint="eastAsia" w:ascii="宋体" w:hAnsi="宋体" w:eastAsia="宋体" w:cs="宋体"/>
                <w:kern w:val="0"/>
                <w:sz w:val="20"/>
                <w:szCs w:val="20"/>
              </w:rPr>
              <w:t>A031210饮食炊事机械</w:t>
            </w:r>
          </w:p>
        </w:tc>
        <w:tc>
          <w:tcPr>
            <w:tcW w:w="1320" w:type="dxa"/>
            <w:tcBorders>
              <w:top w:val="nil"/>
              <w:left w:val="nil"/>
              <w:bottom w:val="single" w:color="auto" w:sz="8" w:space="0"/>
              <w:right w:val="single" w:color="auto" w:sz="8" w:space="0"/>
            </w:tcBorders>
            <w:noWrap w:val="0"/>
            <w:vAlign w:val="center"/>
          </w:tcPr>
          <w:p w14:paraId="163B5C7A">
            <w:pPr>
              <w:widowControl/>
              <w:jc w:val="center"/>
              <w:rPr>
                <w:rFonts w:ascii="宋体" w:hAnsi="宋体" w:eastAsia="宋体" w:cs="宋体"/>
                <w:kern w:val="0"/>
                <w:sz w:val="20"/>
                <w:szCs w:val="20"/>
              </w:rPr>
            </w:pPr>
            <w:r>
              <w:rPr>
                <w:rFonts w:hint="eastAsia" w:ascii="宋体" w:hAnsi="宋体" w:eastAsia="宋体" w:cs="宋体"/>
                <w:kern w:val="0"/>
                <w:sz w:val="20"/>
                <w:szCs w:val="20"/>
              </w:rPr>
              <w:t>商用燃气灶具</w:t>
            </w:r>
          </w:p>
        </w:tc>
        <w:tc>
          <w:tcPr>
            <w:tcW w:w="1620" w:type="dxa"/>
            <w:tcBorders>
              <w:top w:val="nil"/>
              <w:left w:val="nil"/>
              <w:bottom w:val="single" w:color="auto" w:sz="8" w:space="0"/>
              <w:right w:val="single" w:color="auto" w:sz="8" w:space="0"/>
            </w:tcBorders>
            <w:noWrap w:val="0"/>
            <w:vAlign w:val="center"/>
          </w:tcPr>
          <w:p w14:paraId="36EFD07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3204847D">
            <w:pPr>
              <w:widowControl/>
              <w:jc w:val="left"/>
              <w:rPr>
                <w:rFonts w:ascii="宋体" w:hAnsi="宋体" w:eastAsia="宋体" w:cs="宋体"/>
                <w:kern w:val="0"/>
                <w:sz w:val="20"/>
                <w:szCs w:val="20"/>
              </w:rPr>
            </w:pPr>
            <w:r>
              <w:rPr>
                <w:rFonts w:hint="eastAsia" w:ascii="宋体" w:hAnsi="宋体" w:eastAsia="宋体" w:cs="宋体"/>
                <w:kern w:val="0"/>
                <w:sz w:val="20"/>
                <w:szCs w:val="20"/>
              </w:rPr>
              <w:t>《商用燃气灶具能效限定值及能效等级》（GB30531）</w:t>
            </w:r>
          </w:p>
        </w:tc>
      </w:tr>
      <w:tr w14:paraId="631542D2">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5C1A06A5">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19997E39">
            <w:pPr>
              <w:widowControl/>
              <w:jc w:val="center"/>
              <w:rPr>
                <w:rFonts w:ascii="宋体" w:hAnsi="宋体" w:eastAsia="宋体" w:cs="宋体"/>
                <w:kern w:val="0"/>
                <w:sz w:val="20"/>
                <w:szCs w:val="20"/>
              </w:rPr>
            </w:pPr>
            <w:r>
              <w:rPr>
                <w:rFonts w:hint="eastAsia" w:ascii="宋体" w:hAnsi="宋体" w:eastAsia="宋体" w:cs="宋体"/>
                <w:kern w:val="0"/>
                <w:sz w:val="20"/>
                <w:szCs w:val="20"/>
              </w:rPr>
              <w:t>★A060805便器</w:t>
            </w:r>
          </w:p>
        </w:tc>
        <w:tc>
          <w:tcPr>
            <w:tcW w:w="1320" w:type="dxa"/>
            <w:tcBorders>
              <w:top w:val="nil"/>
              <w:left w:val="nil"/>
              <w:bottom w:val="single" w:color="auto" w:sz="8" w:space="0"/>
              <w:right w:val="single" w:color="auto" w:sz="8" w:space="0"/>
            </w:tcBorders>
            <w:noWrap w:val="0"/>
            <w:vAlign w:val="center"/>
          </w:tcPr>
          <w:p w14:paraId="458F3E00">
            <w:pPr>
              <w:widowControl/>
              <w:jc w:val="center"/>
              <w:rPr>
                <w:rFonts w:ascii="宋体" w:hAnsi="宋体" w:eastAsia="宋体" w:cs="宋体"/>
                <w:kern w:val="0"/>
                <w:sz w:val="20"/>
                <w:szCs w:val="20"/>
              </w:rPr>
            </w:pPr>
            <w:r>
              <w:rPr>
                <w:rFonts w:hint="eastAsia" w:ascii="宋体" w:hAnsi="宋体" w:eastAsia="宋体" w:cs="宋体"/>
                <w:kern w:val="0"/>
                <w:sz w:val="20"/>
                <w:szCs w:val="20"/>
              </w:rPr>
              <w:t>坐便器</w:t>
            </w:r>
          </w:p>
        </w:tc>
        <w:tc>
          <w:tcPr>
            <w:tcW w:w="1620" w:type="dxa"/>
            <w:tcBorders>
              <w:top w:val="nil"/>
              <w:left w:val="nil"/>
              <w:bottom w:val="single" w:color="auto" w:sz="8" w:space="0"/>
              <w:right w:val="single" w:color="auto" w:sz="8" w:space="0"/>
            </w:tcBorders>
            <w:noWrap w:val="0"/>
            <w:vAlign w:val="center"/>
          </w:tcPr>
          <w:p w14:paraId="0243741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7C3ADD9E">
            <w:pPr>
              <w:widowControl/>
              <w:jc w:val="left"/>
              <w:rPr>
                <w:rFonts w:ascii="宋体" w:hAnsi="宋体" w:eastAsia="宋体" w:cs="宋体"/>
                <w:kern w:val="0"/>
                <w:sz w:val="20"/>
                <w:szCs w:val="20"/>
              </w:rPr>
            </w:pPr>
            <w:r>
              <w:rPr>
                <w:rFonts w:hint="eastAsia" w:ascii="宋体" w:hAnsi="宋体" w:eastAsia="宋体" w:cs="宋体"/>
                <w:kern w:val="0"/>
                <w:sz w:val="20"/>
                <w:szCs w:val="20"/>
              </w:rPr>
              <w:t>《坐便器水效限定值及水效等级》（GB25502）</w:t>
            </w:r>
          </w:p>
        </w:tc>
      </w:tr>
      <w:tr w14:paraId="5420B337">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3212764">
            <w:pPr>
              <w:widowControl/>
              <w:jc w:val="left"/>
              <w:rPr>
                <w:rFonts w:ascii="宋体" w:hAnsi="宋体" w:eastAsia="宋体" w:cs="宋体"/>
                <w:kern w:val="0"/>
                <w:sz w:val="20"/>
                <w:szCs w:val="20"/>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FA0AF74">
            <w:pPr>
              <w:widowControl/>
              <w:jc w:val="left"/>
              <w:rPr>
                <w:rFonts w:ascii="宋体" w:hAnsi="宋体" w:eastAsia="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65A36498">
            <w:pPr>
              <w:widowControl/>
              <w:jc w:val="center"/>
              <w:rPr>
                <w:rFonts w:ascii="宋体" w:hAnsi="宋体" w:eastAsia="宋体" w:cs="宋体"/>
                <w:kern w:val="0"/>
                <w:sz w:val="20"/>
                <w:szCs w:val="20"/>
              </w:rPr>
            </w:pPr>
            <w:r>
              <w:rPr>
                <w:rFonts w:hint="eastAsia" w:ascii="宋体" w:hAnsi="宋体" w:eastAsia="宋体" w:cs="宋体"/>
                <w:kern w:val="0"/>
                <w:sz w:val="20"/>
                <w:szCs w:val="20"/>
              </w:rPr>
              <w:t>蹲便器</w:t>
            </w:r>
          </w:p>
        </w:tc>
        <w:tc>
          <w:tcPr>
            <w:tcW w:w="1620" w:type="dxa"/>
            <w:tcBorders>
              <w:top w:val="nil"/>
              <w:left w:val="nil"/>
              <w:bottom w:val="single" w:color="auto" w:sz="8" w:space="0"/>
              <w:right w:val="single" w:color="auto" w:sz="8" w:space="0"/>
            </w:tcBorders>
            <w:noWrap w:val="0"/>
            <w:vAlign w:val="center"/>
          </w:tcPr>
          <w:p w14:paraId="6890FF9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3F540F55">
            <w:pPr>
              <w:widowControl/>
              <w:jc w:val="left"/>
              <w:rPr>
                <w:rFonts w:ascii="宋体" w:hAnsi="宋体" w:eastAsia="宋体" w:cs="宋体"/>
                <w:kern w:val="0"/>
                <w:sz w:val="20"/>
                <w:szCs w:val="20"/>
              </w:rPr>
            </w:pPr>
            <w:r>
              <w:rPr>
                <w:rFonts w:hint="eastAsia" w:ascii="宋体" w:hAnsi="宋体" w:eastAsia="宋体" w:cs="宋体"/>
                <w:kern w:val="0"/>
                <w:sz w:val="20"/>
                <w:szCs w:val="20"/>
              </w:rPr>
              <w:t>《蹲便器用水效率限定值及用水效率等级》（GB30717）</w:t>
            </w:r>
          </w:p>
        </w:tc>
      </w:tr>
      <w:tr w14:paraId="7DA69204">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18A1C707">
            <w:pPr>
              <w:widowControl/>
              <w:jc w:val="left"/>
              <w:rPr>
                <w:rFonts w:ascii="宋体" w:hAnsi="宋体" w:eastAsia="宋体" w:cs="宋体"/>
                <w:kern w:val="0"/>
                <w:sz w:val="20"/>
                <w:szCs w:val="20"/>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4C7A12E">
            <w:pPr>
              <w:widowControl/>
              <w:jc w:val="left"/>
              <w:rPr>
                <w:rFonts w:ascii="宋体" w:hAnsi="宋体" w:eastAsia="宋体" w:cs="宋体"/>
                <w:kern w:val="0"/>
                <w:sz w:val="20"/>
                <w:szCs w:val="20"/>
              </w:rPr>
            </w:pPr>
          </w:p>
        </w:tc>
        <w:tc>
          <w:tcPr>
            <w:tcW w:w="1320" w:type="dxa"/>
            <w:tcBorders>
              <w:top w:val="nil"/>
              <w:left w:val="nil"/>
              <w:bottom w:val="single" w:color="auto" w:sz="8" w:space="0"/>
              <w:right w:val="single" w:color="auto" w:sz="8" w:space="0"/>
            </w:tcBorders>
            <w:noWrap w:val="0"/>
            <w:vAlign w:val="center"/>
          </w:tcPr>
          <w:p w14:paraId="2D4BFABF">
            <w:pPr>
              <w:widowControl/>
              <w:jc w:val="center"/>
              <w:rPr>
                <w:rFonts w:ascii="宋体" w:hAnsi="宋体" w:eastAsia="宋体" w:cs="宋体"/>
                <w:kern w:val="0"/>
                <w:sz w:val="20"/>
                <w:szCs w:val="20"/>
              </w:rPr>
            </w:pPr>
            <w:r>
              <w:rPr>
                <w:rFonts w:hint="eastAsia" w:ascii="宋体" w:hAnsi="宋体" w:eastAsia="宋体" w:cs="宋体"/>
                <w:kern w:val="0"/>
                <w:sz w:val="20"/>
                <w:szCs w:val="20"/>
              </w:rPr>
              <w:t>小便器</w:t>
            </w:r>
          </w:p>
        </w:tc>
        <w:tc>
          <w:tcPr>
            <w:tcW w:w="1620" w:type="dxa"/>
            <w:tcBorders>
              <w:top w:val="nil"/>
              <w:left w:val="nil"/>
              <w:bottom w:val="single" w:color="auto" w:sz="8" w:space="0"/>
              <w:right w:val="single" w:color="auto" w:sz="8" w:space="0"/>
            </w:tcBorders>
            <w:noWrap w:val="0"/>
            <w:vAlign w:val="center"/>
          </w:tcPr>
          <w:p w14:paraId="5038084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auto" w:sz="8" w:space="0"/>
              <w:right w:val="single" w:color="auto" w:sz="8" w:space="0"/>
            </w:tcBorders>
            <w:noWrap w:val="0"/>
            <w:vAlign w:val="center"/>
          </w:tcPr>
          <w:p w14:paraId="04F302F4">
            <w:pPr>
              <w:widowControl/>
              <w:jc w:val="left"/>
              <w:rPr>
                <w:rFonts w:ascii="宋体" w:hAnsi="宋体" w:eastAsia="宋体" w:cs="宋体"/>
                <w:kern w:val="0"/>
                <w:sz w:val="20"/>
                <w:szCs w:val="20"/>
              </w:rPr>
            </w:pPr>
            <w:r>
              <w:rPr>
                <w:rFonts w:hint="eastAsia" w:ascii="宋体" w:hAnsi="宋体" w:eastAsia="宋体" w:cs="宋体"/>
                <w:kern w:val="0"/>
                <w:sz w:val="20"/>
                <w:szCs w:val="20"/>
              </w:rPr>
              <w:t>《小便器用水效率限定值及用水效率等级》（GB28377）</w:t>
            </w:r>
          </w:p>
        </w:tc>
      </w:tr>
      <w:tr w14:paraId="485D650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09E310A">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080" w:type="dxa"/>
            <w:tcBorders>
              <w:top w:val="nil"/>
              <w:left w:val="nil"/>
              <w:bottom w:val="single" w:color="000000" w:sz="8" w:space="0"/>
              <w:right w:val="single" w:color="000000" w:sz="8" w:space="0"/>
            </w:tcBorders>
            <w:noWrap w:val="0"/>
            <w:vAlign w:val="center"/>
          </w:tcPr>
          <w:p w14:paraId="359C5DF4">
            <w:pPr>
              <w:widowControl/>
              <w:jc w:val="center"/>
              <w:rPr>
                <w:rFonts w:ascii="宋体" w:hAnsi="宋体" w:eastAsia="宋体" w:cs="宋体"/>
                <w:kern w:val="0"/>
                <w:sz w:val="20"/>
                <w:szCs w:val="20"/>
              </w:rPr>
            </w:pPr>
            <w:r>
              <w:rPr>
                <w:rFonts w:hint="eastAsia" w:ascii="宋体" w:hAnsi="宋体" w:eastAsia="宋体" w:cs="宋体"/>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2071EBC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7D1B2988">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25558EA6">
            <w:pPr>
              <w:widowControl/>
              <w:jc w:val="left"/>
              <w:rPr>
                <w:rFonts w:ascii="宋体" w:hAnsi="宋体" w:eastAsia="宋体" w:cs="宋体"/>
                <w:kern w:val="0"/>
                <w:sz w:val="20"/>
                <w:szCs w:val="20"/>
              </w:rPr>
            </w:pPr>
            <w:r>
              <w:rPr>
                <w:rFonts w:hint="eastAsia" w:ascii="宋体" w:hAnsi="宋体" w:eastAsia="宋体" w:cs="宋体"/>
                <w:kern w:val="0"/>
                <w:sz w:val="20"/>
                <w:szCs w:val="20"/>
              </w:rPr>
              <w:t>《水嘴用水效率限定值及用水效率等级》（GB 25501）</w:t>
            </w:r>
          </w:p>
        </w:tc>
      </w:tr>
      <w:tr w14:paraId="1EE25C0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4A8D16F">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080" w:type="dxa"/>
            <w:tcBorders>
              <w:top w:val="nil"/>
              <w:left w:val="nil"/>
              <w:bottom w:val="single" w:color="000000" w:sz="8" w:space="0"/>
              <w:right w:val="single" w:color="000000" w:sz="8" w:space="0"/>
            </w:tcBorders>
            <w:noWrap w:val="0"/>
            <w:vAlign w:val="center"/>
          </w:tcPr>
          <w:p w14:paraId="362D2BBE">
            <w:pPr>
              <w:widowControl/>
              <w:jc w:val="center"/>
              <w:rPr>
                <w:rFonts w:ascii="宋体" w:hAnsi="宋体" w:eastAsia="宋体" w:cs="宋体"/>
                <w:kern w:val="0"/>
                <w:sz w:val="20"/>
                <w:szCs w:val="20"/>
              </w:rPr>
            </w:pPr>
            <w:r>
              <w:rPr>
                <w:rFonts w:hint="eastAsia" w:ascii="宋体" w:hAnsi="宋体" w:eastAsia="宋体" w:cs="宋体"/>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49BA727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2F6A5FF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2B672953">
            <w:pPr>
              <w:widowControl/>
              <w:jc w:val="left"/>
              <w:rPr>
                <w:rFonts w:ascii="宋体" w:hAnsi="宋体" w:eastAsia="宋体" w:cs="宋体"/>
                <w:kern w:val="0"/>
                <w:sz w:val="20"/>
                <w:szCs w:val="20"/>
              </w:rPr>
            </w:pPr>
            <w:r>
              <w:rPr>
                <w:rFonts w:hint="eastAsia" w:ascii="宋体" w:hAnsi="宋体" w:eastAsia="宋体" w:cs="宋体"/>
                <w:kern w:val="0"/>
                <w:sz w:val="20"/>
                <w:szCs w:val="20"/>
              </w:rPr>
              <w:t>《便器冲洗阀用水效率限定值及用水效率等级》（GB28379）</w:t>
            </w:r>
          </w:p>
        </w:tc>
      </w:tr>
      <w:tr w14:paraId="5D1B174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5B5813A">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080" w:type="dxa"/>
            <w:tcBorders>
              <w:top w:val="nil"/>
              <w:left w:val="nil"/>
              <w:bottom w:val="single" w:color="000000" w:sz="8" w:space="0"/>
              <w:right w:val="single" w:color="000000" w:sz="8" w:space="0"/>
            </w:tcBorders>
            <w:noWrap w:val="0"/>
            <w:vAlign w:val="center"/>
          </w:tcPr>
          <w:p w14:paraId="5871EACA">
            <w:pPr>
              <w:widowControl/>
              <w:jc w:val="center"/>
              <w:rPr>
                <w:rFonts w:ascii="宋体" w:hAnsi="宋体" w:eastAsia="宋体" w:cs="宋体"/>
                <w:kern w:val="0"/>
                <w:sz w:val="20"/>
                <w:szCs w:val="20"/>
              </w:rPr>
            </w:pPr>
            <w:r>
              <w:rPr>
                <w:rFonts w:hint="eastAsia" w:ascii="宋体" w:hAnsi="宋体" w:eastAsia="宋体" w:cs="宋体"/>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37B67B4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000000" w:sz="8" w:space="0"/>
              <w:right w:val="single" w:color="000000" w:sz="8" w:space="0"/>
            </w:tcBorders>
            <w:noWrap w:val="0"/>
            <w:vAlign w:val="center"/>
          </w:tcPr>
          <w:p w14:paraId="7306CF8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40" w:type="dxa"/>
            <w:tcBorders>
              <w:top w:val="nil"/>
              <w:left w:val="nil"/>
              <w:bottom w:val="single" w:color="000000" w:sz="8" w:space="0"/>
              <w:right w:val="single" w:color="000000" w:sz="8" w:space="0"/>
            </w:tcBorders>
            <w:noWrap w:val="0"/>
            <w:vAlign w:val="center"/>
          </w:tcPr>
          <w:p w14:paraId="0678501A">
            <w:pPr>
              <w:widowControl/>
              <w:jc w:val="left"/>
              <w:rPr>
                <w:rFonts w:ascii="宋体" w:hAnsi="宋体" w:eastAsia="宋体" w:cs="宋体"/>
                <w:kern w:val="0"/>
                <w:sz w:val="20"/>
                <w:szCs w:val="20"/>
              </w:rPr>
            </w:pPr>
            <w:r>
              <w:rPr>
                <w:rFonts w:hint="eastAsia" w:ascii="宋体" w:hAnsi="宋体" w:eastAsia="宋体" w:cs="宋体"/>
                <w:kern w:val="0"/>
                <w:sz w:val="20"/>
                <w:szCs w:val="20"/>
              </w:rPr>
              <w:t>《淋浴器用水效率限定值及用水效率等级》（GB28378）</w:t>
            </w:r>
          </w:p>
        </w:tc>
      </w:tr>
    </w:tbl>
    <w:p w14:paraId="007258EA">
      <w:pPr>
        <w:widowControl/>
        <w:rPr>
          <w:rFonts w:ascii="宋体" w:hAnsi="宋体" w:eastAsia="宋体" w:cs="宋体"/>
          <w:sz w:val="20"/>
          <w:szCs w:val="20"/>
        </w:rPr>
      </w:pPr>
    </w:p>
    <w:p w14:paraId="66FC4E90">
      <w:pPr>
        <w:pStyle w:val="2"/>
        <w:spacing w:line="360" w:lineRule="auto"/>
        <w:rPr>
          <w:rFonts w:hint="eastAsia" w:ascii="宋体" w:hAnsi="宋体" w:eastAsia="宋体" w:cs="Times New Roman"/>
          <w:szCs w:val="21"/>
        </w:rPr>
      </w:pPr>
      <w:r>
        <w:rPr>
          <w:rFonts w:hint="eastAsia" w:ascii="Times New Roman" w:hAnsi="Times New Roman" w:eastAsia="宋体" w:cs="Times New Roman"/>
          <w:spacing w:val="-3"/>
          <w:szCs w:val="21"/>
        </w:rPr>
        <w:t>注：1.节能产品认证应依据相关国家标准的最新版本，依据国家标准中二级能效（水效）</w:t>
      </w:r>
      <w:r>
        <w:rPr>
          <w:rFonts w:hint="eastAsia" w:ascii="Times New Roman" w:hAnsi="Times New Roman" w:eastAsia="宋体" w:cs="Times New Roman"/>
          <w:szCs w:val="21"/>
        </w:rPr>
        <w:t>指标。</w:t>
      </w:r>
    </w:p>
    <w:p w14:paraId="1A9D1974">
      <w:pPr>
        <w:pStyle w:val="2"/>
        <w:spacing w:line="360" w:lineRule="auto"/>
        <w:rPr>
          <w:rFonts w:hint="eastAsia" w:ascii="Times New Roman" w:hAnsi="Times New Roman" w:eastAsia="宋体" w:cs="Times New Roman"/>
          <w:b/>
          <w:bCs/>
          <w:szCs w:val="21"/>
        </w:rPr>
      </w:pPr>
      <w:r>
        <w:rPr>
          <w:rFonts w:hint="eastAsia" w:ascii="宋体" w:hAnsi="宋体" w:eastAsia="宋体" w:cs="Times New Roman"/>
          <w:szCs w:val="21"/>
        </w:rPr>
        <w:t xml:space="preserve">    </w:t>
      </w:r>
      <w:r>
        <w:rPr>
          <w:rFonts w:hint="eastAsia" w:ascii="Times New Roman" w:hAnsi="Times New Roman" w:eastAsia="宋体" w:cs="Times New Roman"/>
          <w:szCs w:val="21"/>
        </w:rPr>
        <w:t>2</w:t>
      </w:r>
      <w:r>
        <w:rPr>
          <w:rFonts w:ascii="Times New Roman" w:hAnsi="Times New Roman" w:eastAsia="宋体" w:cs="Times New Roman"/>
          <w:b/>
          <w:bCs/>
          <w:szCs w:val="21"/>
        </w:rPr>
        <w:t>.</w:t>
      </w:r>
      <w:r>
        <w:rPr>
          <w:rFonts w:hint="eastAsia" w:ascii="Times New Roman" w:hAnsi="Times New Roman" w:eastAsia="宋体" w:cs="Times New Roman"/>
          <w:b/>
          <w:bCs/>
          <w:szCs w:val="21"/>
        </w:rPr>
        <w:t>以</w:t>
      </w:r>
      <w:r>
        <w:rPr>
          <w:rFonts w:ascii="Times New Roman" w:hAnsi="Times New Roman" w:eastAsia="宋体" w:cs="Times New Roman"/>
          <w:b/>
          <w:bCs/>
          <w:szCs w:val="21"/>
        </w:rPr>
        <w:t>“</w:t>
      </w:r>
      <w:r>
        <w:rPr>
          <w:rFonts w:hint="eastAsia" w:ascii="Times New Roman" w:hAnsi="Times New Roman" w:eastAsia="宋体" w:cs="Times New Roman"/>
          <w:b/>
          <w:bCs/>
          <w:szCs w:val="21"/>
        </w:rPr>
        <w:t>★</w:t>
      </w:r>
      <w:r>
        <w:rPr>
          <w:rFonts w:ascii="Times New Roman" w:hAnsi="Times New Roman" w:eastAsia="宋体" w:cs="Times New Roman"/>
          <w:b/>
          <w:bCs/>
          <w:szCs w:val="21"/>
        </w:rPr>
        <w:t>”</w:t>
      </w:r>
      <w:r>
        <w:rPr>
          <w:rFonts w:hint="eastAsia" w:ascii="Times New Roman" w:hAnsi="Times New Roman" w:eastAsia="宋体" w:cs="Times New Roman"/>
          <w:b/>
          <w:bCs/>
          <w:szCs w:val="21"/>
        </w:rPr>
        <w:t>标注的为政府强制采购产品。</w:t>
      </w:r>
    </w:p>
    <w:p w14:paraId="07E34EEF">
      <w:pPr>
        <w:pStyle w:val="3"/>
        <w:jc w:val="left"/>
        <w:rPr>
          <w:rFonts w:hint="eastAsia" w:ascii="Arial Unicode MS" w:hAnsi="Arial Unicode MS" w:eastAsia="Arial Unicode MS" w:cs="Arial Unicode MS"/>
          <w:sz w:val="32"/>
          <w:szCs w:val="32"/>
        </w:rPr>
      </w:pPr>
      <w:r>
        <w:rPr>
          <w:rFonts w:hAnsi="宋体" w:eastAsia="宋体" w:cs="Times New Roman"/>
        </w:rPr>
        <w:br w:type="page"/>
      </w:r>
      <w:r>
        <w:rPr>
          <w:rFonts w:hint="eastAsia" w:ascii="Arial Unicode MS" w:hAnsi="Arial Unicode MS" w:eastAsia="Arial Unicode MS" w:cs="Arial Unicode MS"/>
          <w:sz w:val="32"/>
          <w:szCs w:val="32"/>
        </w:rPr>
        <w:t>其他附件2：</w:t>
      </w:r>
    </w:p>
    <w:p w14:paraId="1DFC77EA">
      <w:pPr>
        <w:spacing w:line="528" w:lineRule="exact"/>
        <w:jc w:val="center"/>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6"/>
        <w:tblW w:w="5000" w:type="pct"/>
        <w:tblInd w:w="0" w:type="dxa"/>
        <w:tblLayout w:type="autofit"/>
        <w:tblCellMar>
          <w:top w:w="0" w:type="dxa"/>
          <w:left w:w="108" w:type="dxa"/>
          <w:bottom w:w="0" w:type="dxa"/>
          <w:right w:w="108" w:type="dxa"/>
        </w:tblCellMar>
      </w:tblPr>
      <w:tblGrid>
        <w:gridCol w:w="1815"/>
        <w:gridCol w:w="1478"/>
        <w:gridCol w:w="975"/>
        <w:gridCol w:w="1730"/>
        <w:gridCol w:w="1537"/>
        <w:gridCol w:w="987"/>
      </w:tblGrid>
      <w:tr w14:paraId="3A44D5E5">
        <w:tblPrEx>
          <w:tblCellMar>
            <w:top w:w="0" w:type="dxa"/>
            <w:left w:w="108" w:type="dxa"/>
            <w:bottom w:w="0" w:type="dxa"/>
            <w:right w:w="108" w:type="dxa"/>
          </w:tblCellMar>
        </w:tblPrEx>
        <w:trPr>
          <w:trHeight w:val="285" w:hRule="atLeast"/>
        </w:trPr>
        <w:tc>
          <w:tcPr>
            <w:tcW w:w="1065" w:type="pct"/>
            <w:tcBorders>
              <w:top w:val="single" w:color="auto" w:sz="4" w:space="0"/>
              <w:left w:val="single" w:color="auto" w:sz="4" w:space="0"/>
              <w:bottom w:val="single" w:color="auto" w:sz="4" w:space="0"/>
              <w:right w:val="single" w:color="auto" w:sz="4" w:space="0"/>
            </w:tcBorders>
            <w:noWrap w:val="0"/>
            <w:vAlign w:val="center"/>
          </w:tcPr>
          <w:p w14:paraId="224A1593">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867" w:type="pct"/>
            <w:tcBorders>
              <w:top w:val="single" w:color="auto" w:sz="4" w:space="0"/>
              <w:left w:val="nil"/>
              <w:bottom w:val="single" w:color="auto" w:sz="4" w:space="0"/>
              <w:right w:val="single" w:color="auto" w:sz="4" w:space="0"/>
            </w:tcBorders>
            <w:noWrap w:val="0"/>
            <w:vAlign w:val="center"/>
          </w:tcPr>
          <w:p w14:paraId="5B54835A">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572" w:type="pct"/>
            <w:tcBorders>
              <w:top w:val="single" w:color="auto" w:sz="4" w:space="0"/>
              <w:left w:val="nil"/>
              <w:bottom w:val="single" w:color="auto" w:sz="4" w:space="0"/>
              <w:right w:val="single" w:color="auto" w:sz="4" w:space="0"/>
            </w:tcBorders>
            <w:noWrap w:val="0"/>
            <w:vAlign w:val="center"/>
          </w:tcPr>
          <w:p w14:paraId="389501C4">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015" w:type="pct"/>
            <w:tcBorders>
              <w:top w:val="single" w:color="auto" w:sz="4" w:space="0"/>
              <w:left w:val="nil"/>
              <w:bottom w:val="single" w:color="auto" w:sz="4" w:space="0"/>
              <w:right w:val="single" w:color="auto" w:sz="4" w:space="0"/>
            </w:tcBorders>
            <w:noWrap w:val="0"/>
            <w:vAlign w:val="center"/>
          </w:tcPr>
          <w:p w14:paraId="28B964AE">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902" w:type="pct"/>
            <w:tcBorders>
              <w:top w:val="single" w:color="auto" w:sz="4" w:space="0"/>
              <w:left w:val="nil"/>
              <w:bottom w:val="single" w:color="auto" w:sz="4" w:space="0"/>
              <w:right w:val="single" w:color="auto" w:sz="4" w:space="0"/>
            </w:tcBorders>
            <w:noWrap w:val="0"/>
            <w:vAlign w:val="center"/>
          </w:tcPr>
          <w:p w14:paraId="57E89501">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579" w:type="pct"/>
            <w:tcBorders>
              <w:top w:val="single" w:color="auto" w:sz="4" w:space="0"/>
              <w:left w:val="nil"/>
              <w:bottom w:val="single" w:color="auto" w:sz="4" w:space="0"/>
              <w:right w:val="single" w:color="auto" w:sz="4" w:space="0"/>
            </w:tcBorders>
            <w:noWrap w:val="0"/>
            <w:vAlign w:val="center"/>
          </w:tcPr>
          <w:p w14:paraId="3270B8C8">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08F2D30B">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noWrap w:val="0"/>
            <w:vAlign w:val="bottom"/>
          </w:tcPr>
          <w:p w14:paraId="73BD992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867" w:type="pct"/>
            <w:tcBorders>
              <w:top w:val="nil"/>
              <w:left w:val="nil"/>
              <w:bottom w:val="single" w:color="auto" w:sz="4" w:space="0"/>
              <w:right w:val="single" w:color="auto" w:sz="4" w:space="0"/>
            </w:tcBorders>
            <w:noWrap w:val="0"/>
            <w:vAlign w:val="center"/>
          </w:tcPr>
          <w:p w14:paraId="540E97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3FFF41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57BC75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902" w:type="pct"/>
            <w:tcBorders>
              <w:top w:val="nil"/>
              <w:left w:val="nil"/>
              <w:bottom w:val="single" w:color="auto" w:sz="4" w:space="0"/>
              <w:right w:val="single" w:color="auto" w:sz="4" w:space="0"/>
            </w:tcBorders>
            <w:noWrap w:val="0"/>
            <w:vAlign w:val="center"/>
          </w:tcPr>
          <w:p w14:paraId="2375F9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579" w:type="pct"/>
            <w:tcBorders>
              <w:top w:val="nil"/>
              <w:left w:val="nil"/>
              <w:bottom w:val="single" w:color="auto" w:sz="4" w:space="0"/>
              <w:right w:val="single" w:color="auto" w:sz="4" w:space="0"/>
            </w:tcBorders>
            <w:noWrap w:val="0"/>
            <w:vAlign w:val="center"/>
          </w:tcPr>
          <w:p w14:paraId="6F2524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591ED0B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66B4FEF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867" w:type="pct"/>
            <w:tcBorders>
              <w:top w:val="nil"/>
              <w:left w:val="nil"/>
              <w:bottom w:val="single" w:color="auto" w:sz="4" w:space="0"/>
              <w:right w:val="single" w:color="auto" w:sz="4" w:space="0"/>
            </w:tcBorders>
            <w:noWrap w:val="0"/>
            <w:vAlign w:val="center"/>
          </w:tcPr>
          <w:p w14:paraId="0EB0419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1FEA9F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3B8EE1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14:paraId="02E9412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noWrap w:val="0"/>
            <w:vAlign w:val="center"/>
          </w:tcPr>
          <w:p w14:paraId="6C0061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F9B0BA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D3B4872">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3C21245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26D234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4A24DB2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902" w:type="pct"/>
            <w:tcBorders>
              <w:top w:val="nil"/>
              <w:left w:val="nil"/>
              <w:bottom w:val="single" w:color="auto" w:sz="4" w:space="0"/>
              <w:right w:val="single" w:color="auto" w:sz="4" w:space="0"/>
            </w:tcBorders>
            <w:noWrap w:val="0"/>
            <w:vAlign w:val="center"/>
          </w:tcPr>
          <w:p w14:paraId="2167C0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579" w:type="pct"/>
            <w:tcBorders>
              <w:top w:val="nil"/>
              <w:left w:val="nil"/>
              <w:bottom w:val="single" w:color="auto" w:sz="4" w:space="0"/>
              <w:right w:val="single" w:color="auto" w:sz="4" w:space="0"/>
            </w:tcBorders>
            <w:noWrap w:val="0"/>
            <w:vAlign w:val="center"/>
          </w:tcPr>
          <w:p w14:paraId="531F88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0FD7600">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4B49FC0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867" w:type="pct"/>
            <w:tcBorders>
              <w:top w:val="nil"/>
              <w:left w:val="nil"/>
              <w:bottom w:val="single" w:color="auto" w:sz="4" w:space="0"/>
              <w:right w:val="single" w:color="auto" w:sz="4" w:space="0"/>
            </w:tcBorders>
            <w:noWrap w:val="0"/>
            <w:vAlign w:val="center"/>
          </w:tcPr>
          <w:p w14:paraId="066703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6AC57DD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430D63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902" w:type="pct"/>
            <w:tcBorders>
              <w:top w:val="nil"/>
              <w:left w:val="nil"/>
              <w:bottom w:val="single" w:color="auto" w:sz="4" w:space="0"/>
              <w:right w:val="single" w:color="auto" w:sz="4" w:space="0"/>
            </w:tcBorders>
            <w:noWrap w:val="0"/>
            <w:vAlign w:val="center"/>
          </w:tcPr>
          <w:p w14:paraId="0C1CC2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579" w:type="pct"/>
            <w:tcBorders>
              <w:top w:val="nil"/>
              <w:left w:val="nil"/>
              <w:bottom w:val="single" w:color="auto" w:sz="4" w:space="0"/>
              <w:right w:val="single" w:color="auto" w:sz="4" w:space="0"/>
            </w:tcBorders>
            <w:noWrap w:val="0"/>
            <w:vAlign w:val="center"/>
          </w:tcPr>
          <w:p w14:paraId="2FA92E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55A5500B">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F06565B">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76623B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572" w:type="pct"/>
            <w:tcBorders>
              <w:top w:val="nil"/>
              <w:left w:val="nil"/>
              <w:bottom w:val="single" w:color="auto" w:sz="4" w:space="0"/>
              <w:right w:val="single" w:color="auto" w:sz="4" w:space="0"/>
            </w:tcBorders>
            <w:noWrap w:val="0"/>
            <w:vAlign w:val="center"/>
          </w:tcPr>
          <w:p w14:paraId="6513FED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1A09A5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902" w:type="pct"/>
            <w:tcBorders>
              <w:top w:val="nil"/>
              <w:left w:val="nil"/>
              <w:bottom w:val="single" w:color="auto" w:sz="4" w:space="0"/>
              <w:right w:val="single" w:color="auto" w:sz="4" w:space="0"/>
            </w:tcBorders>
            <w:noWrap w:val="0"/>
            <w:vAlign w:val="center"/>
          </w:tcPr>
          <w:p w14:paraId="4E20E7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579" w:type="pct"/>
            <w:tcBorders>
              <w:top w:val="nil"/>
              <w:left w:val="nil"/>
              <w:bottom w:val="single" w:color="auto" w:sz="4" w:space="0"/>
              <w:right w:val="single" w:color="auto" w:sz="4" w:space="0"/>
            </w:tcBorders>
            <w:noWrap w:val="0"/>
            <w:vAlign w:val="center"/>
          </w:tcPr>
          <w:p w14:paraId="4CBEC09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5DBE6444">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03A1E00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867" w:type="pct"/>
            <w:tcBorders>
              <w:top w:val="nil"/>
              <w:left w:val="nil"/>
              <w:bottom w:val="single" w:color="auto" w:sz="4" w:space="0"/>
              <w:right w:val="single" w:color="auto" w:sz="4" w:space="0"/>
            </w:tcBorders>
            <w:noWrap w:val="0"/>
            <w:vAlign w:val="center"/>
          </w:tcPr>
          <w:p w14:paraId="179413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0F37CB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6F5CF61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902" w:type="pct"/>
            <w:tcBorders>
              <w:top w:val="nil"/>
              <w:left w:val="nil"/>
              <w:bottom w:val="single" w:color="auto" w:sz="4" w:space="0"/>
              <w:right w:val="single" w:color="auto" w:sz="4" w:space="0"/>
            </w:tcBorders>
            <w:noWrap w:val="0"/>
            <w:vAlign w:val="center"/>
          </w:tcPr>
          <w:p w14:paraId="331B7A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579" w:type="pct"/>
            <w:tcBorders>
              <w:top w:val="nil"/>
              <w:left w:val="nil"/>
              <w:bottom w:val="single" w:color="auto" w:sz="4" w:space="0"/>
              <w:right w:val="single" w:color="auto" w:sz="4" w:space="0"/>
            </w:tcBorders>
            <w:noWrap w:val="0"/>
            <w:vAlign w:val="center"/>
          </w:tcPr>
          <w:p w14:paraId="20A07A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4476F24B">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6D79773">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5527BB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2CBDEF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4162DF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902" w:type="pct"/>
            <w:tcBorders>
              <w:top w:val="nil"/>
              <w:left w:val="nil"/>
              <w:bottom w:val="single" w:color="auto" w:sz="4" w:space="0"/>
              <w:right w:val="single" w:color="auto" w:sz="4" w:space="0"/>
            </w:tcBorders>
            <w:noWrap w:val="0"/>
            <w:vAlign w:val="center"/>
          </w:tcPr>
          <w:p w14:paraId="0F6308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579" w:type="pct"/>
            <w:tcBorders>
              <w:top w:val="nil"/>
              <w:left w:val="nil"/>
              <w:bottom w:val="single" w:color="auto" w:sz="4" w:space="0"/>
              <w:right w:val="single" w:color="auto" w:sz="4" w:space="0"/>
            </w:tcBorders>
            <w:noWrap w:val="0"/>
            <w:vAlign w:val="center"/>
          </w:tcPr>
          <w:p w14:paraId="2AC08D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4D412FC">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199D046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867" w:type="pct"/>
            <w:tcBorders>
              <w:top w:val="nil"/>
              <w:left w:val="nil"/>
              <w:bottom w:val="single" w:color="auto" w:sz="4" w:space="0"/>
              <w:right w:val="single" w:color="auto" w:sz="4" w:space="0"/>
            </w:tcBorders>
            <w:noWrap w:val="0"/>
            <w:vAlign w:val="center"/>
          </w:tcPr>
          <w:p w14:paraId="6DEE4C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4F2E505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7E4128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902" w:type="pct"/>
            <w:tcBorders>
              <w:top w:val="nil"/>
              <w:left w:val="nil"/>
              <w:bottom w:val="single" w:color="auto" w:sz="4" w:space="0"/>
              <w:right w:val="single" w:color="auto" w:sz="4" w:space="0"/>
            </w:tcBorders>
            <w:noWrap w:val="0"/>
            <w:vAlign w:val="center"/>
          </w:tcPr>
          <w:p w14:paraId="127D89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579" w:type="pct"/>
            <w:tcBorders>
              <w:top w:val="nil"/>
              <w:left w:val="nil"/>
              <w:bottom w:val="single" w:color="auto" w:sz="4" w:space="0"/>
              <w:right w:val="single" w:color="auto" w:sz="4" w:space="0"/>
            </w:tcBorders>
            <w:noWrap w:val="0"/>
            <w:vAlign w:val="center"/>
          </w:tcPr>
          <w:p w14:paraId="51F8D34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D637F2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459C3C7F">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0F22C7D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7B56DC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758163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902" w:type="pct"/>
            <w:tcBorders>
              <w:top w:val="nil"/>
              <w:left w:val="nil"/>
              <w:bottom w:val="single" w:color="auto" w:sz="4" w:space="0"/>
              <w:right w:val="single" w:color="auto" w:sz="4" w:space="0"/>
            </w:tcBorders>
            <w:noWrap w:val="0"/>
            <w:vAlign w:val="center"/>
          </w:tcPr>
          <w:p w14:paraId="640331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579" w:type="pct"/>
            <w:tcBorders>
              <w:top w:val="nil"/>
              <w:left w:val="nil"/>
              <w:bottom w:val="single" w:color="auto" w:sz="4" w:space="0"/>
              <w:right w:val="single" w:color="auto" w:sz="4" w:space="0"/>
            </w:tcBorders>
            <w:noWrap w:val="0"/>
            <w:vAlign w:val="center"/>
          </w:tcPr>
          <w:p w14:paraId="1B6FD93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EEE75B4">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7EFB134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867" w:type="pct"/>
            <w:tcBorders>
              <w:top w:val="nil"/>
              <w:left w:val="nil"/>
              <w:bottom w:val="single" w:color="auto" w:sz="4" w:space="0"/>
              <w:right w:val="single" w:color="auto" w:sz="4" w:space="0"/>
            </w:tcBorders>
            <w:noWrap w:val="0"/>
            <w:vAlign w:val="center"/>
          </w:tcPr>
          <w:p w14:paraId="0F9B9F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537A94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547776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14:paraId="42E038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noWrap w:val="0"/>
            <w:vAlign w:val="center"/>
          </w:tcPr>
          <w:p w14:paraId="23CD15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F1EF392">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92897F5">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0AB6CA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2D1707C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38C9D1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902" w:type="pct"/>
            <w:tcBorders>
              <w:top w:val="nil"/>
              <w:left w:val="nil"/>
              <w:bottom w:val="single" w:color="auto" w:sz="4" w:space="0"/>
              <w:right w:val="single" w:color="auto" w:sz="4" w:space="0"/>
            </w:tcBorders>
            <w:noWrap w:val="0"/>
            <w:vAlign w:val="center"/>
          </w:tcPr>
          <w:p w14:paraId="43DEE7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579" w:type="pct"/>
            <w:tcBorders>
              <w:top w:val="nil"/>
              <w:left w:val="nil"/>
              <w:bottom w:val="single" w:color="auto" w:sz="4" w:space="0"/>
              <w:right w:val="single" w:color="auto" w:sz="4" w:space="0"/>
            </w:tcBorders>
            <w:noWrap w:val="0"/>
            <w:vAlign w:val="center"/>
          </w:tcPr>
          <w:p w14:paraId="37EE1C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54C76380">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10B3660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867" w:type="pct"/>
            <w:tcBorders>
              <w:top w:val="nil"/>
              <w:left w:val="nil"/>
              <w:bottom w:val="single" w:color="auto" w:sz="4" w:space="0"/>
              <w:right w:val="single" w:color="auto" w:sz="4" w:space="0"/>
            </w:tcBorders>
            <w:noWrap w:val="0"/>
            <w:vAlign w:val="center"/>
          </w:tcPr>
          <w:p w14:paraId="7D5030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728105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61C850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902" w:type="pct"/>
            <w:tcBorders>
              <w:top w:val="nil"/>
              <w:left w:val="nil"/>
              <w:bottom w:val="single" w:color="auto" w:sz="4" w:space="0"/>
              <w:right w:val="single" w:color="auto" w:sz="4" w:space="0"/>
            </w:tcBorders>
            <w:noWrap w:val="0"/>
            <w:vAlign w:val="center"/>
          </w:tcPr>
          <w:p w14:paraId="6270E39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579" w:type="pct"/>
            <w:tcBorders>
              <w:top w:val="nil"/>
              <w:left w:val="nil"/>
              <w:bottom w:val="single" w:color="auto" w:sz="4" w:space="0"/>
              <w:right w:val="single" w:color="auto" w:sz="4" w:space="0"/>
            </w:tcBorders>
            <w:noWrap w:val="0"/>
            <w:vAlign w:val="center"/>
          </w:tcPr>
          <w:p w14:paraId="161605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A09B6F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676CD072">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4B138D6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22F48A4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729A1B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902" w:type="pct"/>
            <w:tcBorders>
              <w:top w:val="nil"/>
              <w:left w:val="nil"/>
              <w:bottom w:val="single" w:color="auto" w:sz="4" w:space="0"/>
              <w:right w:val="single" w:color="auto" w:sz="4" w:space="0"/>
            </w:tcBorders>
            <w:noWrap w:val="0"/>
            <w:vAlign w:val="center"/>
          </w:tcPr>
          <w:p w14:paraId="71AB4B5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579" w:type="pct"/>
            <w:tcBorders>
              <w:top w:val="nil"/>
              <w:left w:val="nil"/>
              <w:bottom w:val="single" w:color="auto" w:sz="4" w:space="0"/>
              <w:right w:val="single" w:color="auto" w:sz="4" w:space="0"/>
            </w:tcBorders>
            <w:noWrap w:val="0"/>
            <w:vAlign w:val="center"/>
          </w:tcPr>
          <w:p w14:paraId="23A5D5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93DA7B8">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49A27E8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867" w:type="pct"/>
            <w:tcBorders>
              <w:top w:val="nil"/>
              <w:left w:val="nil"/>
              <w:bottom w:val="single" w:color="auto" w:sz="4" w:space="0"/>
              <w:right w:val="single" w:color="auto" w:sz="4" w:space="0"/>
            </w:tcBorders>
            <w:noWrap w:val="0"/>
            <w:vAlign w:val="center"/>
          </w:tcPr>
          <w:p w14:paraId="72C0ED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073AFB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5E408D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14:paraId="1A8AEDD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noWrap w:val="0"/>
            <w:vAlign w:val="center"/>
          </w:tcPr>
          <w:p w14:paraId="56C270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CD509CC">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6913D13F">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7D0A5F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3F5D39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683FBB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902" w:type="pct"/>
            <w:tcBorders>
              <w:top w:val="nil"/>
              <w:left w:val="nil"/>
              <w:bottom w:val="single" w:color="auto" w:sz="4" w:space="0"/>
              <w:right w:val="single" w:color="auto" w:sz="4" w:space="0"/>
            </w:tcBorders>
            <w:noWrap w:val="0"/>
            <w:vAlign w:val="center"/>
          </w:tcPr>
          <w:p w14:paraId="07C1B02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noWrap w:val="0"/>
            <w:vAlign w:val="center"/>
          </w:tcPr>
          <w:p w14:paraId="269173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D1655A3">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00CEFE8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867" w:type="pct"/>
            <w:tcBorders>
              <w:top w:val="nil"/>
              <w:left w:val="nil"/>
              <w:bottom w:val="single" w:color="auto" w:sz="4" w:space="0"/>
              <w:right w:val="single" w:color="auto" w:sz="4" w:space="0"/>
            </w:tcBorders>
            <w:noWrap w:val="0"/>
            <w:vAlign w:val="center"/>
          </w:tcPr>
          <w:p w14:paraId="5A58597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55148A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71B033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14:paraId="28192E4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14:paraId="70E3237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A90A47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13065D57">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179081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63E589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7B315F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902" w:type="pct"/>
            <w:tcBorders>
              <w:top w:val="nil"/>
              <w:left w:val="nil"/>
              <w:bottom w:val="single" w:color="auto" w:sz="4" w:space="0"/>
              <w:right w:val="single" w:color="auto" w:sz="4" w:space="0"/>
            </w:tcBorders>
            <w:noWrap w:val="0"/>
            <w:vAlign w:val="center"/>
          </w:tcPr>
          <w:p w14:paraId="6C2DE2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noWrap w:val="0"/>
            <w:vAlign w:val="center"/>
          </w:tcPr>
          <w:p w14:paraId="242EBF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280DD7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608524F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867" w:type="pct"/>
            <w:tcBorders>
              <w:top w:val="nil"/>
              <w:left w:val="nil"/>
              <w:bottom w:val="single" w:color="auto" w:sz="4" w:space="0"/>
              <w:right w:val="single" w:color="auto" w:sz="4" w:space="0"/>
            </w:tcBorders>
            <w:noWrap w:val="0"/>
            <w:vAlign w:val="center"/>
          </w:tcPr>
          <w:p w14:paraId="5244D9C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3C3408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210E1D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14:paraId="0676BA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14:paraId="3CAFBA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6C7696E">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2D81234B">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61C119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05A868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5EFE10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902" w:type="pct"/>
            <w:tcBorders>
              <w:top w:val="nil"/>
              <w:left w:val="nil"/>
              <w:bottom w:val="single" w:color="auto" w:sz="4" w:space="0"/>
              <w:right w:val="single" w:color="auto" w:sz="4" w:space="0"/>
            </w:tcBorders>
            <w:noWrap w:val="0"/>
            <w:vAlign w:val="center"/>
          </w:tcPr>
          <w:p w14:paraId="1DB5DB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noWrap w:val="0"/>
            <w:vAlign w:val="center"/>
          </w:tcPr>
          <w:p w14:paraId="6B9AEA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F90338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2E0E96BB">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867" w:type="pct"/>
            <w:tcBorders>
              <w:top w:val="nil"/>
              <w:left w:val="nil"/>
              <w:bottom w:val="single" w:color="auto" w:sz="4" w:space="0"/>
              <w:right w:val="single" w:color="auto" w:sz="4" w:space="0"/>
            </w:tcBorders>
            <w:noWrap w:val="0"/>
            <w:vAlign w:val="center"/>
          </w:tcPr>
          <w:p w14:paraId="45C76D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76A6AC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439F2C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902" w:type="pct"/>
            <w:tcBorders>
              <w:top w:val="nil"/>
              <w:left w:val="nil"/>
              <w:bottom w:val="single" w:color="auto" w:sz="4" w:space="0"/>
              <w:right w:val="single" w:color="auto" w:sz="4" w:space="0"/>
            </w:tcBorders>
            <w:noWrap w:val="0"/>
            <w:vAlign w:val="center"/>
          </w:tcPr>
          <w:p w14:paraId="341162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14:paraId="24A7E0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50595FA">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17B9B4BD">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1C9151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7A4D8B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162DFE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902" w:type="pct"/>
            <w:tcBorders>
              <w:top w:val="nil"/>
              <w:left w:val="nil"/>
              <w:bottom w:val="single" w:color="auto" w:sz="4" w:space="0"/>
              <w:right w:val="single" w:color="auto" w:sz="4" w:space="0"/>
            </w:tcBorders>
            <w:noWrap w:val="0"/>
            <w:vAlign w:val="center"/>
          </w:tcPr>
          <w:p w14:paraId="235C720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579" w:type="pct"/>
            <w:tcBorders>
              <w:top w:val="nil"/>
              <w:left w:val="nil"/>
              <w:bottom w:val="single" w:color="auto" w:sz="4" w:space="0"/>
              <w:right w:val="single" w:color="auto" w:sz="4" w:space="0"/>
            </w:tcBorders>
            <w:noWrap w:val="0"/>
            <w:vAlign w:val="center"/>
          </w:tcPr>
          <w:p w14:paraId="2C06C7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7769C75">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120DFA3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867" w:type="pct"/>
            <w:tcBorders>
              <w:top w:val="nil"/>
              <w:left w:val="nil"/>
              <w:bottom w:val="single" w:color="auto" w:sz="4" w:space="0"/>
              <w:right w:val="single" w:color="auto" w:sz="4" w:space="0"/>
            </w:tcBorders>
            <w:noWrap w:val="0"/>
            <w:vAlign w:val="center"/>
          </w:tcPr>
          <w:p w14:paraId="05C509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454A892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6346323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14:paraId="4AF5C66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14:paraId="7894F8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CAB16A0">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36C14440">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29A835B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3D91CF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28EDF18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902" w:type="pct"/>
            <w:tcBorders>
              <w:top w:val="nil"/>
              <w:left w:val="nil"/>
              <w:bottom w:val="single" w:color="auto" w:sz="4" w:space="0"/>
              <w:right w:val="single" w:color="auto" w:sz="4" w:space="0"/>
            </w:tcBorders>
            <w:noWrap w:val="0"/>
            <w:vAlign w:val="center"/>
          </w:tcPr>
          <w:p w14:paraId="07DA34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579" w:type="pct"/>
            <w:tcBorders>
              <w:top w:val="nil"/>
              <w:left w:val="nil"/>
              <w:bottom w:val="single" w:color="auto" w:sz="4" w:space="0"/>
              <w:right w:val="single" w:color="auto" w:sz="4" w:space="0"/>
            </w:tcBorders>
            <w:noWrap w:val="0"/>
            <w:vAlign w:val="center"/>
          </w:tcPr>
          <w:p w14:paraId="47B094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FC4DBC2">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3E5A0BD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867" w:type="pct"/>
            <w:tcBorders>
              <w:top w:val="nil"/>
              <w:left w:val="nil"/>
              <w:bottom w:val="single" w:color="auto" w:sz="4" w:space="0"/>
              <w:right w:val="single" w:color="auto" w:sz="4" w:space="0"/>
            </w:tcBorders>
            <w:noWrap w:val="0"/>
            <w:vAlign w:val="center"/>
          </w:tcPr>
          <w:p w14:paraId="16410D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7F665C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6860CA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902" w:type="pct"/>
            <w:tcBorders>
              <w:top w:val="nil"/>
              <w:left w:val="nil"/>
              <w:bottom w:val="single" w:color="auto" w:sz="4" w:space="0"/>
              <w:right w:val="single" w:color="auto" w:sz="4" w:space="0"/>
            </w:tcBorders>
            <w:noWrap w:val="0"/>
            <w:vAlign w:val="center"/>
          </w:tcPr>
          <w:p w14:paraId="5B143EE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579" w:type="pct"/>
            <w:tcBorders>
              <w:top w:val="nil"/>
              <w:left w:val="nil"/>
              <w:bottom w:val="single" w:color="auto" w:sz="4" w:space="0"/>
              <w:right w:val="single" w:color="auto" w:sz="4" w:space="0"/>
            </w:tcBorders>
            <w:noWrap w:val="0"/>
            <w:vAlign w:val="center"/>
          </w:tcPr>
          <w:p w14:paraId="79854D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D129712">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73570E72">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0E9EEEC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572" w:type="pct"/>
            <w:tcBorders>
              <w:top w:val="nil"/>
              <w:left w:val="nil"/>
              <w:bottom w:val="single" w:color="auto" w:sz="4" w:space="0"/>
              <w:right w:val="single" w:color="auto" w:sz="4" w:space="0"/>
            </w:tcBorders>
            <w:noWrap w:val="0"/>
            <w:vAlign w:val="center"/>
          </w:tcPr>
          <w:p w14:paraId="71566A5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531EDA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902" w:type="pct"/>
            <w:tcBorders>
              <w:top w:val="nil"/>
              <w:left w:val="nil"/>
              <w:bottom w:val="single" w:color="auto" w:sz="4" w:space="0"/>
              <w:right w:val="single" w:color="auto" w:sz="4" w:space="0"/>
            </w:tcBorders>
            <w:noWrap w:val="0"/>
            <w:vAlign w:val="center"/>
          </w:tcPr>
          <w:p w14:paraId="058E03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579" w:type="pct"/>
            <w:tcBorders>
              <w:top w:val="nil"/>
              <w:left w:val="nil"/>
              <w:bottom w:val="single" w:color="auto" w:sz="4" w:space="0"/>
              <w:right w:val="single" w:color="auto" w:sz="4" w:space="0"/>
            </w:tcBorders>
            <w:noWrap w:val="0"/>
            <w:vAlign w:val="center"/>
          </w:tcPr>
          <w:p w14:paraId="56220B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769F636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7A3D5DD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867" w:type="pct"/>
            <w:tcBorders>
              <w:top w:val="nil"/>
              <w:left w:val="nil"/>
              <w:bottom w:val="single" w:color="auto" w:sz="4" w:space="0"/>
              <w:right w:val="single" w:color="auto" w:sz="4" w:space="0"/>
            </w:tcBorders>
            <w:noWrap w:val="0"/>
            <w:vAlign w:val="center"/>
          </w:tcPr>
          <w:p w14:paraId="415A87A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262797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53B0296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noWrap w:val="0"/>
            <w:vAlign w:val="center"/>
          </w:tcPr>
          <w:p w14:paraId="756660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579" w:type="pct"/>
            <w:tcBorders>
              <w:top w:val="nil"/>
              <w:left w:val="nil"/>
              <w:bottom w:val="single" w:color="auto" w:sz="4" w:space="0"/>
              <w:right w:val="single" w:color="auto" w:sz="4" w:space="0"/>
            </w:tcBorders>
            <w:noWrap w:val="0"/>
            <w:vAlign w:val="center"/>
          </w:tcPr>
          <w:p w14:paraId="18A3D3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C0218B9">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75FD785C">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6958E5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2" w:type="pct"/>
            <w:tcBorders>
              <w:top w:val="nil"/>
              <w:left w:val="nil"/>
              <w:bottom w:val="single" w:color="auto" w:sz="4" w:space="0"/>
              <w:right w:val="single" w:color="auto" w:sz="4" w:space="0"/>
            </w:tcBorders>
            <w:noWrap w:val="0"/>
            <w:vAlign w:val="center"/>
          </w:tcPr>
          <w:p w14:paraId="0D3F95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3D89A3C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02" w:type="pct"/>
            <w:tcBorders>
              <w:top w:val="nil"/>
              <w:left w:val="nil"/>
              <w:bottom w:val="single" w:color="auto" w:sz="4" w:space="0"/>
              <w:right w:val="single" w:color="auto" w:sz="4" w:space="0"/>
            </w:tcBorders>
            <w:noWrap w:val="0"/>
            <w:vAlign w:val="center"/>
          </w:tcPr>
          <w:p w14:paraId="6516C21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579" w:type="pct"/>
            <w:tcBorders>
              <w:top w:val="nil"/>
              <w:left w:val="nil"/>
              <w:bottom w:val="single" w:color="auto" w:sz="4" w:space="0"/>
              <w:right w:val="single" w:color="auto" w:sz="4" w:space="0"/>
            </w:tcBorders>
            <w:noWrap w:val="0"/>
            <w:vAlign w:val="center"/>
          </w:tcPr>
          <w:p w14:paraId="738146E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8F8B58A">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noWrap w:val="0"/>
            <w:vAlign w:val="bottom"/>
          </w:tcPr>
          <w:p w14:paraId="28FE981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867" w:type="pct"/>
            <w:tcBorders>
              <w:top w:val="nil"/>
              <w:left w:val="nil"/>
              <w:bottom w:val="single" w:color="auto" w:sz="4" w:space="0"/>
              <w:right w:val="single" w:color="auto" w:sz="4" w:space="0"/>
            </w:tcBorders>
            <w:noWrap w:val="0"/>
            <w:vAlign w:val="center"/>
          </w:tcPr>
          <w:p w14:paraId="764800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1F0A98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67A053F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14:paraId="6AF637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14:paraId="2748A1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A0EB018">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noWrap w:val="0"/>
            <w:vAlign w:val="center"/>
          </w:tcPr>
          <w:p w14:paraId="6C44CCA6">
            <w:pPr>
              <w:widowControl/>
              <w:jc w:val="left"/>
              <w:rPr>
                <w:rFonts w:ascii="仿宋_GB2312" w:hAnsi="仿宋" w:eastAsia="仿宋_GB2312" w:cs="宋体"/>
                <w:b/>
                <w:bCs/>
                <w:kern w:val="0"/>
                <w:sz w:val="18"/>
                <w:szCs w:val="18"/>
              </w:rPr>
            </w:pPr>
          </w:p>
        </w:tc>
        <w:tc>
          <w:tcPr>
            <w:tcW w:w="867" w:type="pct"/>
            <w:tcBorders>
              <w:top w:val="nil"/>
              <w:left w:val="nil"/>
              <w:bottom w:val="single" w:color="auto" w:sz="4" w:space="0"/>
              <w:right w:val="single" w:color="auto" w:sz="4" w:space="0"/>
            </w:tcBorders>
            <w:noWrap w:val="0"/>
            <w:vAlign w:val="center"/>
          </w:tcPr>
          <w:p w14:paraId="7725C8E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572" w:type="pct"/>
            <w:tcBorders>
              <w:top w:val="nil"/>
              <w:left w:val="nil"/>
              <w:bottom w:val="single" w:color="auto" w:sz="4" w:space="0"/>
              <w:right w:val="single" w:color="auto" w:sz="4" w:space="0"/>
            </w:tcBorders>
            <w:noWrap w:val="0"/>
            <w:vAlign w:val="center"/>
          </w:tcPr>
          <w:p w14:paraId="5B1DE6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5" w:type="pct"/>
            <w:tcBorders>
              <w:top w:val="nil"/>
              <w:left w:val="nil"/>
              <w:bottom w:val="single" w:color="auto" w:sz="4" w:space="0"/>
              <w:right w:val="single" w:color="auto" w:sz="4" w:space="0"/>
            </w:tcBorders>
            <w:noWrap w:val="0"/>
            <w:vAlign w:val="center"/>
          </w:tcPr>
          <w:p w14:paraId="1CFB9B1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902" w:type="pct"/>
            <w:tcBorders>
              <w:top w:val="nil"/>
              <w:left w:val="nil"/>
              <w:bottom w:val="single" w:color="auto" w:sz="4" w:space="0"/>
              <w:right w:val="single" w:color="auto" w:sz="4" w:space="0"/>
            </w:tcBorders>
            <w:noWrap w:val="0"/>
            <w:vAlign w:val="center"/>
          </w:tcPr>
          <w:p w14:paraId="57E45C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579" w:type="pct"/>
            <w:tcBorders>
              <w:top w:val="nil"/>
              <w:left w:val="nil"/>
              <w:bottom w:val="single" w:color="auto" w:sz="4" w:space="0"/>
              <w:right w:val="single" w:color="auto" w:sz="4" w:space="0"/>
            </w:tcBorders>
            <w:noWrap w:val="0"/>
            <w:vAlign w:val="center"/>
          </w:tcPr>
          <w:p w14:paraId="09B999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3C487E1">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noWrap w:val="0"/>
            <w:vAlign w:val="bottom"/>
          </w:tcPr>
          <w:p w14:paraId="6236C55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867" w:type="pct"/>
            <w:tcBorders>
              <w:top w:val="nil"/>
              <w:left w:val="nil"/>
              <w:bottom w:val="single" w:color="auto" w:sz="4" w:space="0"/>
              <w:right w:val="single" w:color="auto" w:sz="4" w:space="0"/>
            </w:tcBorders>
            <w:noWrap w:val="0"/>
            <w:vAlign w:val="center"/>
          </w:tcPr>
          <w:p w14:paraId="2110FE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2" w:type="pct"/>
            <w:tcBorders>
              <w:top w:val="nil"/>
              <w:left w:val="nil"/>
              <w:bottom w:val="single" w:color="auto" w:sz="4" w:space="0"/>
              <w:right w:val="single" w:color="auto" w:sz="4" w:space="0"/>
            </w:tcBorders>
            <w:noWrap w:val="0"/>
            <w:vAlign w:val="center"/>
          </w:tcPr>
          <w:p w14:paraId="01DDF2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5" w:type="pct"/>
            <w:tcBorders>
              <w:top w:val="nil"/>
              <w:left w:val="nil"/>
              <w:bottom w:val="single" w:color="auto" w:sz="4" w:space="0"/>
              <w:right w:val="single" w:color="auto" w:sz="4" w:space="0"/>
            </w:tcBorders>
            <w:noWrap w:val="0"/>
            <w:vAlign w:val="center"/>
          </w:tcPr>
          <w:p w14:paraId="6B68FA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noWrap w:val="0"/>
            <w:vAlign w:val="center"/>
          </w:tcPr>
          <w:p w14:paraId="755975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noWrap w:val="0"/>
            <w:vAlign w:val="center"/>
          </w:tcPr>
          <w:p w14:paraId="392CC9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215FCD1">
      <w:pPr>
        <w:spacing w:line="360" w:lineRule="auto"/>
        <w:ind w:firstLine="525" w:firstLineChars="250"/>
        <w:rPr>
          <w:rFonts w:hint="eastAsia" w:ascii="仿宋_GB2312" w:hAnsi="仿宋" w:eastAsia="仿宋_GB2312" w:cs="Times New Roman"/>
          <w:szCs w:val="21"/>
        </w:rPr>
      </w:pPr>
      <w:r>
        <w:rPr>
          <w:rFonts w:hint="eastAsia" w:ascii="仿宋_GB2312" w:hAnsi="仿宋" w:eastAsia="仿宋_GB2312" w:cs="Times New Roman"/>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30D4CA2">
      <w:pPr>
        <w:spacing w:line="360" w:lineRule="auto"/>
        <w:ind w:firstLine="525" w:firstLineChars="250"/>
        <w:rPr>
          <w:rFonts w:hint="eastAsia" w:ascii="仿宋_GB2312" w:hAnsi="仿宋" w:eastAsia="仿宋_GB2312" w:cs="Times New Roman"/>
          <w:szCs w:val="21"/>
        </w:rPr>
      </w:pPr>
    </w:p>
    <w:p w14:paraId="0750953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83990">
    <w:pPr>
      <w:pStyle w:val="4"/>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PAGE   \* MERGEFORMAT</w:instrText>
    </w:r>
    <w:r>
      <w:rPr>
        <w:rFonts w:ascii="Times New Roman" w:hAnsi="Times New Roman" w:eastAsia="宋体" w:cs="Times New Roman"/>
      </w:rPr>
      <w:fldChar w:fldCharType="separate"/>
    </w:r>
    <w:r>
      <w:rPr>
        <w:rFonts w:ascii="Times New Roman" w:hAnsi="Times New Roman" w:eastAsia="宋体" w:cs="Times New Roman"/>
        <w:lang w:val="zh-CN"/>
      </w:rPr>
      <w:t>68</w:t>
    </w:r>
    <w:r>
      <w:rPr>
        <w:rFonts w:ascii="Times New Roman" w:hAnsi="Times New Roman" w:eastAsia="宋体" w:cs="Times New Roman"/>
      </w:rPr>
      <w:fldChar w:fldCharType="end"/>
    </w:r>
  </w:p>
  <w:p w14:paraId="3F0D9C81">
    <w:pPr>
      <w:pStyle w:val="4"/>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D4FC4"/>
    <w:rsid w:val="6F2D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Plain Text"/>
    <w:qFormat/>
    <w:uiPriority w:val="99"/>
    <w:pPr>
      <w:widowControl w:val="0"/>
      <w:jc w:val="both"/>
    </w:pPr>
    <w:rPr>
      <w:rFonts w:ascii="宋体" w:hAnsi="Courier New" w:eastAsia="宋体" w:cs="Times New Roman"/>
      <w:kern w:val="2"/>
      <w:sz w:val="21"/>
      <w:szCs w:val="20"/>
      <w:lang w:val="en-US" w:eastAsia="zh-CN" w:bidi="ar-SA"/>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9">
    <w:name w:val="_Style 247"/>
    <w:next w:val="8"/>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2025-05-27T07:21:00Z</dcterms:created>
  <dc:creator>扁你</dc:creator>
  <cp:lastModifiedBy>扁你</cp:lastModifiedBy>
  <dcterms:modified xsi:type="dcterms:W3CDTF">2025-05-27T07:22:51Z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72C59BBF7D1C40D4B461CA3106161FAB_11</vt:lpwstr>
  </property>
  <property fmtid="{D5CDD505-2E9C-101B-9397-08002B2CF9AE}" pid="4" name="KSOTemplateDocerSaveRecord">
    <vt:lpwstr>eyJoZGlkIjoiMzViYTFjNWUwYjJmZTZhOTJkZmJhNjY5ZmYzODg5MDAiLCJ1c2VySWQiOiIyNTM3NzUzMTAifQ==</vt:lpwstr>
  </property>
</Properties>
</file>