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50954">
      <w:pP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云之龙咨询集团有限公司广西工业职业技术学院学校电源供电容量增容及布设线路工程</w:t>
      </w:r>
      <w:r>
        <w:rPr>
          <w:rFonts w:hint="eastAsia" w:ascii="宋体" w:hAnsi="宋体"/>
          <w:b/>
          <w:bCs/>
          <w:color w:val="auto"/>
          <w:sz w:val="32"/>
          <w:szCs w:val="32"/>
          <w:highlight w:val="none"/>
          <w:lang w:eastAsia="zh-CN"/>
        </w:rPr>
        <w:t>（GXZC2025-C2-001806-YZLZ）</w:t>
      </w:r>
      <w:r>
        <w:rPr>
          <w:rFonts w:hint="eastAsia" w:ascii="宋体" w:hAnsi="宋体"/>
          <w:b/>
          <w:bCs/>
          <w:color w:val="auto"/>
          <w:sz w:val="32"/>
          <w:szCs w:val="32"/>
          <w:highlight w:val="none"/>
        </w:rPr>
        <w:t>竞争性磋商公告</w:t>
      </w:r>
    </w:p>
    <w:p w14:paraId="36D75CC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0" w:name="_Hlk37430271"/>
      <w:r>
        <w:rPr>
          <w:rFonts w:hint="eastAsia" w:ascii="宋体" w:hAnsi="宋体"/>
          <w:color w:val="auto"/>
          <w:szCs w:val="21"/>
          <w:highlight w:val="none"/>
        </w:rPr>
        <w:t>项目概况</w:t>
      </w:r>
    </w:p>
    <w:p w14:paraId="6739BDB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广西工业职业技术学院学校电源供电容量增容及布设线路工程</w:t>
      </w:r>
      <w:r>
        <w:rPr>
          <w:rFonts w:hint="eastAsia" w:ascii="宋体" w:hAnsi="宋体"/>
          <w:color w:val="auto"/>
          <w:szCs w:val="21"/>
          <w:highlight w:val="none"/>
        </w:rPr>
        <w:t>采购项目的潜在供应商应在广西政府采购云平台（https://www.gcy.zfcg.gxzf.gov.cn/）获取（下载）竞争性磋商文件，并于</w:t>
      </w:r>
      <w:bookmarkStart w:id="1" w:name="OLE_LINK19"/>
      <w:r>
        <w:rPr>
          <w:rFonts w:hint="eastAsia" w:ascii="宋体" w:hAnsi="宋体"/>
          <w:bCs/>
          <w:color w:val="auto"/>
          <w:szCs w:val="21"/>
          <w:highlight w:val="none"/>
          <w:u w:val="single"/>
        </w:rPr>
        <w:t>2025</w:t>
      </w:r>
      <w:r>
        <w:rPr>
          <w:rFonts w:hint="eastAsia" w:ascii="宋体" w:hAnsi="宋体"/>
          <w:bCs/>
          <w:color w:val="auto"/>
          <w:szCs w:val="21"/>
          <w:highlight w:val="none"/>
        </w:rPr>
        <w:t>年</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rPr>
        <w:t>日</w:t>
      </w:r>
      <w:r>
        <w:rPr>
          <w:rFonts w:hint="eastAsia" w:ascii="宋体" w:hAnsi="宋体"/>
          <w:bCs/>
          <w:color w:val="auto"/>
          <w:szCs w:val="21"/>
          <w:highlight w:val="none"/>
          <w:u w:val="single"/>
        </w:rPr>
        <w:t>9</w:t>
      </w:r>
      <w:r>
        <w:rPr>
          <w:rFonts w:hint="eastAsia" w:ascii="宋体" w:hAnsi="宋体"/>
          <w:bCs/>
          <w:color w:val="auto"/>
          <w:szCs w:val="21"/>
          <w:highlight w:val="none"/>
        </w:rPr>
        <w:t>时</w:t>
      </w:r>
      <w:r>
        <w:rPr>
          <w:rFonts w:hint="eastAsia" w:ascii="宋体" w:hAnsi="宋体"/>
          <w:bCs/>
          <w:color w:val="auto"/>
          <w:szCs w:val="21"/>
          <w:highlight w:val="none"/>
          <w:u w:val="single"/>
        </w:rPr>
        <w:t>30</w:t>
      </w:r>
      <w:r>
        <w:rPr>
          <w:rFonts w:hint="eastAsia" w:ascii="宋体" w:hAnsi="宋体"/>
          <w:bCs/>
          <w:color w:val="auto"/>
          <w:szCs w:val="21"/>
          <w:highlight w:val="none"/>
        </w:rPr>
        <w:t>分</w:t>
      </w:r>
      <w:bookmarkEnd w:id="1"/>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5E31350C">
      <w:pPr>
        <w:spacing w:line="360" w:lineRule="auto"/>
        <w:ind w:firstLine="354" w:firstLineChars="147"/>
        <w:rPr>
          <w:rFonts w:ascii="黑体" w:hAnsi="黑体" w:eastAsia="黑体"/>
          <w:b/>
          <w:color w:val="auto"/>
          <w:sz w:val="24"/>
          <w:highlight w:val="none"/>
        </w:rPr>
      </w:pPr>
      <w:bookmarkStart w:id="2" w:name="_Toc28359012"/>
      <w:bookmarkStart w:id="3" w:name="_Toc35393798"/>
      <w:bookmarkStart w:id="4" w:name="_Toc71365905"/>
      <w:bookmarkStart w:id="5" w:name="_Toc44229878"/>
      <w:bookmarkStart w:id="6" w:name="_Toc28359089"/>
      <w:bookmarkStart w:id="7" w:name="_Toc35393629"/>
      <w:r>
        <w:rPr>
          <w:rFonts w:hint="eastAsia" w:ascii="黑体" w:hAnsi="黑体" w:eastAsia="黑体"/>
          <w:b/>
          <w:color w:val="auto"/>
          <w:sz w:val="24"/>
          <w:highlight w:val="none"/>
        </w:rPr>
        <w:t>一、项目基本情况</w:t>
      </w:r>
      <w:bookmarkEnd w:id="2"/>
      <w:bookmarkEnd w:id="3"/>
      <w:bookmarkEnd w:id="4"/>
      <w:bookmarkEnd w:id="5"/>
      <w:bookmarkEnd w:id="6"/>
      <w:bookmarkEnd w:id="7"/>
    </w:p>
    <w:p w14:paraId="64B621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项目编号：GXZC2025-C2-001806-YZLZ</w:t>
      </w:r>
      <w:bookmarkStart w:id="56" w:name="_GoBack"/>
      <w:bookmarkEnd w:id="56"/>
    </w:p>
    <w:p w14:paraId="1D57F719">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项目名称：</w:t>
      </w:r>
      <w:r>
        <w:rPr>
          <w:rFonts w:hint="eastAsia"/>
          <w:color w:val="auto"/>
          <w:highlight w:val="none"/>
        </w:rPr>
        <w:t>广西工业职业技术学院学校电源供电容量增容及布设线路工程</w:t>
      </w:r>
    </w:p>
    <w:p w14:paraId="0CDCD1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397FDC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w:t>
      </w:r>
      <w:bookmarkStart w:id="8" w:name="OLE_LINK7"/>
      <w:r>
        <w:rPr>
          <w:rFonts w:hint="eastAsia" w:ascii="宋体" w:hAnsi="宋体"/>
          <w:color w:val="auto"/>
          <w:szCs w:val="21"/>
          <w:highlight w:val="none"/>
        </w:rPr>
        <w:t>2807811.59元</w:t>
      </w:r>
      <w:bookmarkEnd w:id="8"/>
    </w:p>
    <w:p w14:paraId="65F3FC7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最高限价（如有）：2807811.59元</w:t>
      </w:r>
    </w:p>
    <w:p w14:paraId="0674C37D">
      <w:pPr>
        <w:spacing w:line="360" w:lineRule="auto"/>
        <w:ind w:firstLine="420" w:firstLineChars="200"/>
        <w:rPr>
          <w:rFonts w:ascii="宋体" w:hAnsi="宋体"/>
          <w:i/>
          <w:color w:val="auto"/>
          <w:szCs w:val="21"/>
          <w:highlight w:val="none"/>
        </w:rPr>
      </w:pPr>
      <w:r>
        <w:rPr>
          <w:rFonts w:hint="eastAsia" w:ascii="宋体" w:hAnsi="宋体"/>
          <w:color w:val="auto"/>
          <w:szCs w:val="21"/>
          <w:highlight w:val="none"/>
        </w:rPr>
        <w:t>采购需求：</w:t>
      </w:r>
    </w:p>
    <w:tbl>
      <w:tblPr>
        <w:tblStyle w:val="2"/>
        <w:tblW w:w="93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051"/>
        <w:gridCol w:w="753"/>
        <w:gridCol w:w="622"/>
        <w:gridCol w:w="6079"/>
      </w:tblGrid>
      <w:tr w14:paraId="7E1C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8F6D7D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051" w:type="dxa"/>
            <w:tcBorders>
              <w:top w:val="single" w:color="auto" w:sz="4" w:space="0"/>
              <w:left w:val="single" w:color="auto" w:sz="4" w:space="0"/>
              <w:bottom w:val="single" w:color="auto" w:sz="4" w:space="0"/>
              <w:right w:val="single" w:color="auto" w:sz="4" w:space="0"/>
            </w:tcBorders>
            <w:vAlign w:val="center"/>
          </w:tcPr>
          <w:p w14:paraId="1D84674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753" w:type="dxa"/>
            <w:tcBorders>
              <w:top w:val="single" w:color="auto" w:sz="4" w:space="0"/>
              <w:left w:val="single" w:color="auto" w:sz="4" w:space="0"/>
              <w:bottom w:val="single" w:color="auto" w:sz="4" w:space="0"/>
              <w:right w:val="single" w:color="auto" w:sz="4" w:space="0"/>
            </w:tcBorders>
            <w:vAlign w:val="center"/>
          </w:tcPr>
          <w:p w14:paraId="29C7455F">
            <w:pPr>
              <w:snapToGrid w:val="0"/>
              <w:spacing w:line="360" w:lineRule="auto"/>
              <w:rPr>
                <w:rFonts w:ascii="宋体" w:hAnsi="宋体"/>
                <w:color w:val="auto"/>
                <w:szCs w:val="21"/>
                <w:highlight w:val="none"/>
              </w:rPr>
            </w:pPr>
            <w:r>
              <w:rPr>
                <w:rFonts w:hint="eastAsia" w:ascii="宋体" w:hAnsi="宋体"/>
                <w:color w:val="auto"/>
                <w:szCs w:val="21"/>
                <w:highlight w:val="none"/>
              </w:rPr>
              <w:t>单位</w:t>
            </w:r>
          </w:p>
        </w:tc>
        <w:tc>
          <w:tcPr>
            <w:tcW w:w="622" w:type="dxa"/>
            <w:tcBorders>
              <w:top w:val="single" w:color="auto" w:sz="4" w:space="0"/>
              <w:left w:val="single" w:color="auto" w:sz="4" w:space="0"/>
              <w:bottom w:val="single" w:color="auto" w:sz="4" w:space="0"/>
              <w:right w:val="single" w:color="auto" w:sz="4" w:space="0"/>
            </w:tcBorders>
            <w:vAlign w:val="center"/>
          </w:tcPr>
          <w:p w14:paraId="603FA318">
            <w:pPr>
              <w:snapToGrid w:val="0"/>
              <w:spacing w:line="360" w:lineRule="auto"/>
              <w:rPr>
                <w:rFonts w:ascii="宋体" w:hAnsi="宋体"/>
                <w:color w:val="auto"/>
                <w:szCs w:val="21"/>
                <w:highlight w:val="none"/>
              </w:rPr>
            </w:pPr>
            <w:r>
              <w:rPr>
                <w:rFonts w:hint="eastAsia" w:ascii="宋体" w:hAnsi="宋体"/>
                <w:color w:val="auto"/>
                <w:szCs w:val="21"/>
                <w:highlight w:val="none"/>
              </w:rPr>
              <w:t>数量</w:t>
            </w:r>
          </w:p>
        </w:tc>
        <w:tc>
          <w:tcPr>
            <w:tcW w:w="6079" w:type="dxa"/>
            <w:tcBorders>
              <w:top w:val="single" w:color="auto" w:sz="4" w:space="0"/>
              <w:left w:val="single" w:color="auto" w:sz="4" w:space="0"/>
              <w:bottom w:val="single" w:color="auto" w:sz="4" w:space="0"/>
              <w:right w:val="single" w:color="auto" w:sz="4" w:space="0"/>
            </w:tcBorders>
            <w:vAlign w:val="center"/>
          </w:tcPr>
          <w:p w14:paraId="4D96E0E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采购范围</w:t>
            </w:r>
          </w:p>
        </w:tc>
      </w:tr>
      <w:tr w14:paraId="0F32E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281E8CA4">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051" w:type="dxa"/>
            <w:tcBorders>
              <w:top w:val="single" w:color="auto" w:sz="4" w:space="0"/>
              <w:left w:val="single" w:color="auto" w:sz="4" w:space="0"/>
              <w:bottom w:val="single" w:color="auto" w:sz="4" w:space="0"/>
              <w:right w:val="single" w:color="auto" w:sz="4" w:space="0"/>
            </w:tcBorders>
            <w:vAlign w:val="center"/>
          </w:tcPr>
          <w:p w14:paraId="6A6ABD8F">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广西工业职业技术学院学校电源供电容量增容及布设线路工程</w:t>
            </w:r>
          </w:p>
        </w:tc>
        <w:tc>
          <w:tcPr>
            <w:tcW w:w="753" w:type="dxa"/>
            <w:tcBorders>
              <w:top w:val="single" w:color="auto" w:sz="4" w:space="0"/>
              <w:left w:val="single" w:color="auto" w:sz="4" w:space="0"/>
              <w:bottom w:val="single" w:color="auto" w:sz="4" w:space="0"/>
              <w:right w:val="single" w:color="auto" w:sz="4" w:space="0"/>
            </w:tcBorders>
            <w:vAlign w:val="center"/>
          </w:tcPr>
          <w:p w14:paraId="4FAA42D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622" w:type="dxa"/>
            <w:tcBorders>
              <w:top w:val="single" w:color="auto" w:sz="4" w:space="0"/>
              <w:left w:val="single" w:color="auto" w:sz="4" w:space="0"/>
              <w:bottom w:val="single" w:color="auto" w:sz="4" w:space="0"/>
              <w:right w:val="single" w:color="auto" w:sz="4" w:space="0"/>
            </w:tcBorders>
            <w:vAlign w:val="center"/>
          </w:tcPr>
          <w:p w14:paraId="523DB17F">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项</w:t>
            </w:r>
          </w:p>
        </w:tc>
        <w:tc>
          <w:tcPr>
            <w:tcW w:w="6079" w:type="dxa"/>
            <w:tcBorders>
              <w:top w:val="single" w:color="auto" w:sz="4" w:space="0"/>
              <w:left w:val="single" w:color="auto" w:sz="4" w:space="0"/>
              <w:bottom w:val="single" w:color="auto" w:sz="4" w:space="0"/>
              <w:right w:val="single" w:color="auto" w:sz="4" w:space="0"/>
            </w:tcBorders>
            <w:vAlign w:val="center"/>
          </w:tcPr>
          <w:p w14:paraId="1EF636A8">
            <w:pPr>
              <w:numPr>
                <w:ilvl w:val="0"/>
                <w:numId w:val="1"/>
              </w:numPr>
              <w:snapToGrid w:val="0"/>
              <w:spacing w:line="360" w:lineRule="auto"/>
              <w:rPr>
                <w:color w:val="auto"/>
                <w:highlight w:val="none"/>
              </w:rPr>
            </w:pPr>
            <w:r>
              <w:rPr>
                <w:rFonts w:hint="eastAsia"/>
                <w:color w:val="auto"/>
                <w:highlight w:val="none"/>
              </w:rPr>
              <w:t>项目概括</w:t>
            </w:r>
          </w:p>
          <w:p w14:paraId="5B346FC5">
            <w:pPr>
              <w:snapToGrid w:val="0"/>
              <w:spacing w:line="360" w:lineRule="auto"/>
              <w:rPr>
                <w:color w:val="auto"/>
                <w:highlight w:val="none"/>
              </w:rPr>
            </w:pPr>
            <w:r>
              <w:rPr>
                <w:rFonts w:hint="eastAsia"/>
                <w:color w:val="auto"/>
                <w:highlight w:val="none"/>
              </w:rPr>
              <w:t>1.南宁校区：新增加一台1600kVA干式箱变及其进线、砌筑工作井、拆除及恢复路面、新增空调线路及配电箱；</w:t>
            </w:r>
          </w:p>
          <w:p w14:paraId="6AD97A2A">
            <w:pPr>
              <w:snapToGrid w:val="0"/>
              <w:spacing w:line="360" w:lineRule="auto"/>
              <w:rPr>
                <w:color w:val="auto"/>
                <w:highlight w:val="none"/>
              </w:rPr>
            </w:pPr>
            <w:r>
              <w:rPr>
                <w:rFonts w:hint="eastAsia"/>
                <w:color w:val="auto"/>
                <w:highlight w:val="none"/>
              </w:rPr>
              <w:t>2.武鸣校区：新增空调线路及配电箱；</w:t>
            </w:r>
          </w:p>
          <w:p w14:paraId="2A9C29EF">
            <w:pPr>
              <w:snapToGrid w:val="0"/>
              <w:spacing w:line="360" w:lineRule="auto"/>
              <w:rPr>
                <w:color w:val="auto"/>
                <w:highlight w:val="none"/>
              </w:rPr>
            </w:pPr>
            <w:r>
              <w:rPr>
                <w:rFonts w:hint="eastAsia"/>
                <w:color w:val="auto"/>
                <w:highlight w:val="none"/>
              </w:rPr>
              <w:t>3.贵港校区：新增空调线路及配电箱、开挖管沟、砌筑工作井、拆除及恢复路面。</w:t>
            </w:r>
          </w:p>
          <w:p w14:paraId="4B485B6E">
            <w:pPr>
              <w:snapToGrid w:val="0"/>
              <w:spacing w:line="360" w:lineRule="auto"/>
              <w:rPr>
                <w:color w:val="auto"/>
                <w:highlight w:val="none"/>
              </w:rPr>
            </w:pPr>
            <w:r>
              <w:rPr>
                <w:rFonts w:hint="eastAsia"/>
                <w:color w:val="auto"/>
                <w:highlight w:val="none"/>
              </w:rPr>
              <w:t>二、主要内容包括：</w:t>
            </w:r>
          </w:p>
          <w:p w14:paraId="61F89008">
            <w:pPr>
              <w:snapToGrid w:val="0"/>
              <w:spacing w:line="360" w:lineRule="auto"/>
              <w:rPr>
                <w:color w:val="auto"/>
                <w:highlight w:val="none"/>
              </w:rPr>
            </w:pPr>
            <w:r>
              <w:rPr>
                <w:rFonts w:hint="eastAsia"/>
                <w:color w:val="auto"/>
                <w:highlight w:val="none"/>
              </w:rPr>
              <w:t>高压部分:原接 110kV 五里亭站 10kV 院校 923 线路商校支9号杆不变,原进线电缆更换新 YJV22-3×185电缆:原工业职业学院2号专变(箱式变压器)设备较陈旧,从工业职业学院(西校园配电房)内高压出线柜退出,利用此高压出线柜新敷YJV22-3×70mm</w:t>
            </w:r>
            <w:r>
              <w:rPr>
                <w:rFonts w:hint="eastAsia"/>
                <w:color w:val="auto"/>
                <w:highlight w:val="none"/>
                <w:vertAlign w:val="superscript"/>
              </w:rPr>
              <w:t>2</w:t>
            </w:r>
            <w:r>
              <w:rPr>
                <w:rFonts w:hint="eastAsia"/>
                <w:color w:val="auto"/>
                <w:highlight w:val="none"/>
              </w:rPr>
              <w:t>电缆(原电缆经试验合格后可继续使用)至原工业职业学院2号专变位置上新装一台1600kVA干式变压器。低压部分:开挖新建电缆通道,新敷设电源主电缆,同时新增相应配电箱、新敷设电缆至新增空调用电终端。包括市政工程、拆除工程、安装工程等。</w:t>
            </w:r>
          </w:p>
          <w:p w14:paraId="29F39E18">
            <w:pPr>
              <w:snapToGrid w:val="0"/>
              <w:spacing w:line="360" w:lineRule="auto"/>
              <w:rPr>
                <w:rFonts w:ascii="宋体" w:hAnsi="宋体"/>
                <w:color w:val="auto"/>
                <w:szCs w:val="21"/>
                <w:highlight w:val="none"/>
              </w:rPr>
            </w:pPr>
            <w:r>
              <w:rPr>
                <w:rFonts w:hint="eastAsia"/>
                <w:color w:val="auto"/>
                <w:highlight w:val="none"/>
              </w:rPr>
              <w:t>具体详见设计施工图和工程量清单。</w:t>
            </w:r>
          </w:p>
        </w:tc>
      </w:tr>
    </w:tbl>
    <w:p w14:paraId="3B359324">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w:t>
      </w:r>
      <w:r>
        <w:rPr>
          <w:rFonts w:hint="eastAsia" w:ascii="宋体" w:hAnsi="宋体" w:cs="宋体"/>
          <w:color w:val="auto"/>
          <w:szCs w:val="21"/>
          <w:highlight w:val="none"/>
        </w:rPr>
        <w:t>30日历天</w:t>
      </w:r>
      <w:r>
        <w:rPr>
          <w:rFonts w:hint="eastAsia" w:ascii="宋体" w:hAnsi="宋体"/>
          <w:color w:val="auto"/>
          <w:szCs w:val="21"/>
          <w:highlight w:val="none"/>
        </w:rPr>
        <w:t>。</w:t>
      </w:r>
    </w:p>
    <w:p w14:paraId="0670BF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本项目不接受联合体。</w:t>
      </w:r>
    </w:p>
    <w:p w14:paraId="414BA6A8">
      <w:pPr>
        <w:spacing w:line="360" w:lineRule="auto"/>
        <w:ind w:firstLine="354" w:firstLineChars="147"/>
        <w:rPr>
          <w:rFonts w:ascii="黑体" w:hAnsi="黑体" w:eastAsia="黑体"/>
          <w:b/>
          <w:color w:val="auto"/>
          <w:sz w:val="24"/>
          <w:highlight w:val="none"/>
        </w:rPr>
      </w:pPr>
      <w:bookmarkStart w:id="9" w:name="_Toc35393630"/>
      <w:bookmarkStart w:id="10" w:name="_Toc35393799"/>
      <w:bookmarkStart w:id="11" w:name="_Toc28359013"/>
      <w:bookmarkStart w:id="12" w:name="_Toc28359090"/>
      <w:bookmarkStart w:id="13" w:name="_Toc44229879"/>
      <w:bookmarkStart w:id="14" w:name="_Toc71365906"/>
      <w:r>
        <w:rPr>
          <w:rFonts w:hint="eastAsia" w:ascii="黑体" w:hAnsi="黑体" w:eastAsia="黑体"/>
          <w:b/>
          <w:color w:val="auto"/>
          <w:sz w:val="24"/>
          <w:highlight w:val="none"/>
        </w:rPr>
        <w:t>二、申请人的资格条件：</w:t>
      </w:r>
      <w:bookmarkEnd w:id="9"/>
      <w:bookmarkEnd w:id="10"/>
      <w:bookmarkEnd w:id="11"/>
      <w:bookmarkEnd w:id="12"/>
      <w:bookmarkEnd w:id="13"/>
      <w:bookmarkEnd w:id="14"/>
    </w:p>
    <w:p w14:paraId="54367060">
      <w:pPr>
        <w:spacing w:line="360" w:lineRule="auto"/>
        <w:ind w:firstLine="420" w:firstLineChars="200"/>
        <w:rPr>
          <w:rFonts w:ascii="宋体" w:hAnsi="宋体"/>
          <w:color w:val="auto"/>
          <w:szCs w:val="21"/>
          <w:highlight w:val="none"/>
        </w:rPr>
      </w:pPr>
      <w:bookmarkStart w:id="15" w:name="_Toc35393631"/>
      <w:bookmarkStart w:id="16" w:name="_Toc44229880"/>
      <w:bookmarkStart w:id="17" w:name="_Toc28359014"/>
      <w:bookmarkStart w:id="18" w:name="_Toc35393800"/>
      <w:bookmarkStart w:id="19" w:name="_Toc28359091"/>
      <w:r>
        <w:rPr>
          <w:rFonts w:hint="eastAsia" w:ascii="宋体" w:hAnsi="宋体"/>
          <w:color w:val="auto"/>
          <w:szCs w:val="21"/>
          <w:highlight w:val="none"/>
        </w:rPr>
        <w:t>1.满足《中华人民共和国政府采购法》第二十二条规定；</w:t>
      </w:r>
    </w:p>
    <w:p w14:paraId="514D9926">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u w:val="single"/>
        </w:rPr>
        <w:t>本项目为专门面向中小微企业采购的项目（供应商应为中小微企业或监狱企业或残疾人福利性单位）。</w:t>
      </w:r>
    </w:p>
    <w:p w14:paraId="3A16A988">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3.本项目的特定资格要求：</w:t>
      </w:r>
    </w:p>
    <w:p w14:paraId="3E5DC476">
      <w:pPr>
        <w:spacing w:line="360" w:lineRule="auto"/>
        <w:ind w:firstLine="420" w:firstLineChars="200"/>
        <w:rPr>
          <w:rFonts w:ascii="宋体" w:hAnsi="宋体"/>
          <w:iCs/>
          <w:color w:val="auto"/>
          <w:szCs w:val="21"/>
          <w:highlight w:val="none"/>
          <w:u w:val="single"/>
        </w:rPr>
      </w:pPr>
      <w:r>
        <w:rPr>
          <w:rFonts w:hint="eastAsia" w:ascii="宋体" w:hAnsi="宋体"/>
          <w:iCs/>
          <w:color w:val="auto"/>
          <w:szCs w:val="21"/>
          <w:highlight w:val="none"/>
          <w:u w:val="single"/>
        </w:rPr>
        <w:t>（1）供应商具备电力工程施工总承包叁级以上（含叁级）资质，</w:t>
      </w:r>
      <w:r>
        <w:rPr>
          <w:rFonts w:hint="eastAsia"/>
          <w:color w:val="auto"/>
          <w:highlight w:val="none"/>
          <w:u w:val="single"/>
        </w:rPr>
        <w:t>同时具备承装(修、试)电力设施许可证承装类三级、承修类三级、承试类三级及以上资质，</w:t>
      </w:r>
      <w:r>
        <w:rPr>
          <w:rFonts w:hint="eastAsia" w:ascii="宋体" w:hAnsi="宋体"/>
          <w:iCs/>
          <w:color w:val="auto"/>
          <w:szCs w:val="21"/>
          <w:highlight w:val="none"/>
          <w:u w:val="single"/>
        </w:rPr>
        <w:t>且具有有效的安全生产许可证，在人员、设备、资金等方面具备相应的施工能力。</w:t>
      </w:r>
    </w:p>
    <w:p w14:paraId="4662E14E">
      <w:pPr>
        <w:spacing w:line="360" w:lineRule="auto"/>
        <w:ind w:firstLine="420" w:firstLineChars="200"/>
        <w:rPr>
          <w:rFonts w:ascii="宋体" w:hAnsi="宋体"/>
          <w:iCs/>
          <w:color w:val="auto"/>
          <w:szCs w:val="21"/>
          <w:highlight w:val="none"/>
          <w:u w:val="single"/>
        </w:rPr>
      </w:pPr>
      <w:r>
        <w:rPr>
          <w:rFonts w:hint="eastAsia" w:ascii="宋体" w:hAnsi="宋体"/>
          <w:iCs/>
          <w:color w:val="auto"/>
          <w:szCs w:val="21"/>
          <w:highlight w:val="none"/>
          <w:u w:val="single"/>
        </w:rPr>
        <w:t>（2）供应商拟派的项目经理须具备机电工程专业贰级(含)以上注册建造师执业资格及有效的安全生产考核合格证书（B类）。本项目不接受有在建、已中标未开工或已列为其他项目中标（成交）候选人第一名的建造师作为项目经理（符合《广西壮族自治区建筑市场诚信卡管理暂行办法》第十六条第一款及桂建管﹝2016﹞70号、桂建管〔2020〕11号文除外）。</w:t>
      </w:r>
    </w:p>
    <w:p w14:paraId="20F0F941">
      <w:pPr>
        <w:spacing w:line="360" w:lineRule="auto"/>
        <w:ind w:firstLine="420" w:firstLineChars="200"/>
        <w:rPr>
          <w:rFonts w:ascii="宋体" w:hAnsi="宋体"/>
          <w:iCs/>
          <w:color w:val="auto"/>
          <w:szCs w:val="21"/>
          <w:highlight w:val="none"/>
          <w:u w:val="single"/>
        </w:rPr>
      </w:pPr>
      <w:r>
        <w:rPr>
          <w:rFonts w:hint="eastAsia" w:ascii="宋体" w:hAnsi="宋体"/>
          <w:iCs/>
          <w:color w:val="auto"/>
          <w:szCs w:val="21"/>
          <w:highlight w:val="none"/>
          <w:u w:val="single"/>
        </w:rPr>
        <w:t>（3）供应商拟派至少1名专职安全生产管理人员，专职安全生产管理人员须具备有效的安全生产考核合格证书（C类）。</w:t>
      </w:r>
    </w:p>
    <w:p w14:paraId="433FD930">
      <w:pPr>
        <w:spacing w:line="360" w:lineRule="auto"/>
        <w:ind w:firstLine="354" w:firstLineChars="147"/>
        <w:rPr>
          <w:rFonts w:ascii="黑体" w:hAnsi="黑体" w:eastAsia="黑体"/>
          <w:b/>
          <w:color w:val="auto"/>
          <w:sz w:val="24"/>
          <w:highlight w:val="none"/>
        </w:rPr>
      </w:pPr>
      <w:bookmarkStart w:id="20" w:name="_Toc71365907"/>
      <w:r>
        <w:rPr>
          <w:rFonts w:hint="eastAsia" w:ascii="黑体" w:hAnsi="黑体" w:eastAsia="黑体"/>
          <w:b/>
          <w:color w:val="auto"/>
          <w:sz w:val="24"/>
          <w:highlight w:val="none"/>
        </w:rPr>
        <w:t>三、获取竞争性磋商文件</w:t>
      </w:r>
      <w:bookmarkEnd w:id="15"/>
      <w:bookmarkEnd w:id="16"/>
      <w:bookmarkEnd w:id="17"/>
      <w:bookmarkEnd w:id="18"/>
      <w:bookmarkEnd w:id="19"/>
      <w:bookmarkEnd w:id="20"/>
    </w:p>
    <w:p w14:paraId="628CF9EF">
      <w:pPr>
        <w:spacing w:line="360" w:lineRule="auto"/>
        <w:ind w:firstLine="420" w:firstLineChars="200"/>
        <w:rPr>
          <w:rFonts w:ascii="宋体" w:hAnsi="宋体" w:cs="宋体"/>
          <w:bCs/>
          <w:color w:val="auto"/>
          <w:kern w:val="0"/>
          <w:szCs w:val="21"/>
          <w:highlight w:val="none"/>
        </w:rPr>
      </w:pPr>
      <w:bookmarkStart w:id="21" w:name="_Toc28359015"/>
      <w:bookmarkStart w:id="22" w:name="_Toc44229881"/>
      <w:bookmarkStart w:id="23" w:name="_Toc35393632"/>
      <w:bookmarkStart w:id="24" w:name="_Toc35393801"/>
      <w:bookmarkStart w:id="25" w:name="_Toc28359092"/>
      <w:r>
        <w:rPr>
          <w:rFonts w:hint="eastAsia" w:ascii="宋体" w:hAnsi="宋体" w:cs="宋体"/>
          <w:bCs/>
          <w:color w:val="auto"/>
          <w:kern w:val="0"/>
          <w:szCs w:val="21"/>
          <w:highlight w:val="none"/>
        </w:rPr>
        <w:t>时间：</w:t>
      </w:r>
      <w:r>
        <w:rPr>
          <w:rFonts w:ascii="宋体" w:hAnsi="宋体"/>
          <w:bCs/>
          <w:color w:val="auto"/>
          <w:szCs w:val="21"/>
          <w:highlight w:val="none"/>
          <w:u w:val="single"/>
        </w:rPr>
        <w:t>202</w:t>
      </w:r>
      <w:r>
        <w:rPr>
          <w:rFonts w:hint="eastAsia" w:ascii="宋体" w:hAnsi="宋体"/>
          <w:bCs/>
          <w:color w:val="auto"/>
          <w:szCs w:val="21"/>
          <w:highlight w:val="none"/>
          <w:u w:val="single"/>
        </w:rPr>
        <w:t>5</w:t>
      </w:r>
      <w:r>
        <w:rPr>
          <w:rFonts w:hint="eastAsia" w:ascii="宋体" w:hAnsi="宋体"/>
          <w:bCs/>
          <w:color w:val="auto"/>
          <w:szCs w:val="21"/>
          <w:highlight w:val="none"/>
        </w:rPr>
        <w:t>年</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rPr>
        <w:t>日</w:t>
      </w:r>
      <w:r>
        <w:rPr>
          <w:rFonts w:hint="eastAsia" w:ascii="宋体" w:hAnsi="宋体" w:cs="宋体"/>
          <w:bCs/>
          <w:color w:val="auto"/>
          <w:kern w:val="0"/>
          <w:szCs w:val="21"/>
          <w:highlight w:val="none"/>
        </w:rPr>
        <w:t>至</w:t>
      </w:r>
      <w:r>
        <w:rPr>
          <w:rFonts w:ascii="宋体" w:hAnsi="宋体"/>
          <w:bCs/>
          <w:color w:val="auto"/>
          <w:szCs w:val="21"/>
          <w:highlight w:val="none"/>
          <w:u w:val="single"/>
        </w:rPr>
        <w:t>202</w:t>
      </w:r>
      <w:r>
        <w:rPr>
          <w:rFonts w:hint="eastAsia" w:ascii="宋体" w:hAnsi="宋体"/>
          <w:bCs/>
          <w:color w:val="auto"/>
          <w:szCs w:val="21"/>
          <w:highlight w:val="none"/>
          <w:u w:val="single"/>
        </w:rPr>
        <w:t>5</w:t>
      </w:r>
      <w:r>
        <w:rPr>
          <w:rFonts w:hint="eastAsia" w:ascii="宋体" w:hAnsi="宋体"/>
          <w:bCs/>
          <w:color w:val="auto"/>
          <w:szCs w:val="21"/>
          <w:highlight w:val="none"/>
        </w:rPr>
        <w:t>年</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11</w:t>
      </w:r>
      <w:r>
        <w:rPr>
          <w:rFonts w:hint="eastAsia" w:ascii="宋体" w:hAnsi="宋体"/>
          <w:bCs/>
          <w:color w:val="auto"/>
          <w:szCs w:val="21"/>
          <w:highlight w:val="none"/>
        </w:rPr>
        <w:t>日</w:t>
      </w:r>
      <w:r>
        <w:rPr>
          <w:rFonts w:hint="eastAsia" w:ascii="宋体" w:hAnsi="宋体" w:cs="宋体"/>
          <w:bCs/>
          <w:color w:val="auto"/>
          <w:kern w:val="0"/>
          <w:szCs w:val="21"/>
          <w:highlight w:val="none"/>
        </w:rPr>
        <w:t>，每天上午</w:t>
      </w:r>
      <w:r>
        <w:rPr>
          <w:rFonts w:ascii="宋体" w:hAnsi="宋体" w:cs="宋体"/>
          <w:bCs/>
          <w:color w:val="auto"/>
          <w:kern w:val="0"/>
          <w:szCs w:val="21"/>
          <w:highlight w:val="none"/>
          <w:u w:val="single"/>
        </w:rPr>
        <w:t>0</w:t>
      </w:r>
      <w:r>
        <w:rPr>
          <w:rFonts w:hint="eastAsia" w:ascii="宋体" w:hAnsi="宋体" w:cs="宋体"/>
          <w:bCs/>
          <w:color w:val="auto"/>
          <w:kern w:val="0"/>
          <w:szCs w:val="21"/>
          <w:highlight w:val="none"/>
          <w:u w:val="single"/>
        </w:rPr>
        <w:t>时00分</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w:t>
      </w:r>
      <w:r>
        <w:rPr>
          <w:rFonts w:ascii="宋体" w:hAnsi="宋体" w:cs="宋体"/>
          <w:bCs/>
          <w:color w:val="auto"/>
          <w:kern w:val="0"/>
          <w:szCs w:val="21"/>
          <w:highlight w:val="none"/>
          <w:u w:val="single"/>
        </w:rPr>
        <w:t>2</w:t>
      </w:r>
      <w:r>
        <w:rPr>
          <w:rFonts w:hint="eastAsia" w:ascii="宋体" w:hAnsi="宋体" w:cs="宋体"/>
          <w:bCs/>
          <w:color w:val="auto"/>
          <w:kern w:val="0"/>
          <w:szCs w:val="21"/>
          <w:highlight w:val="none"/>
          <w:u w:val="single"/>
        </w:rPr>
        <w:t>时00分</w:t>
      </w:r>
      <w:r>
        <w:rPr>
          <w:rFonts w:hint="eastAsia" w:ascii="宋体" w:hAnsi="宋体" w:cs="宋体"/>
          <w:bCs/>
          <w:color w:val="auto"/>
          <w:kern w:val="0"/>
          <w:szCs w:val="21"/>
          <w:highlight w:val="none"/>
        </w:rPr>
        <w:t>，下午</w:t>
      </w:r>
      <w:r>
        <w:rPr>
          <w:rFonts w:ascii="宋体" w:hAnsi="宋体" w:cs="宋体"/>
          <w:bCs/>
          <w:color w:val="auto"/>
          <w:kern w:val="0"/>
          <w:szCs w:val="21"/>
          <w:highlight w:val="none"/>
          <w:u w:val="single"/>
        </w:rPr>
        <w:t>12</w:t>
      </w:r>
      <w:r>
        <w:rPr>
          <w:rFonts w:hint="eastAsia" w:ascii="宋体" w:hAnsi="宋体" w:cs="宋体"/>
          <w:bCs/>
          <w:color w:val="auto"/>
          <w:kern w:val="0"/>
          <w:szCs w:val="21"/>
          <w:highlight w:val="none"/>
          <w:u w:val="single"/>
        </w:rPr>
        <w:t>时00分</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w:t>
      </w:r>
      <w:r>
        <w:rPr>
          <w:rFonts w:ascii="宋体" w:hAnsi="宋体" w:cs="宋体"/>
          <w:bCs/>
          <w:color w:val="auto"/>
          <w:kern w:val="0"/>
          <w:szCs w:val="21"/>
          <w:highlight w:val="none"/>
          <w:u w:val="single"/>
        </w:rPr>
        <w:t>3</w:t>
      </w:r>
      <w:r>
        <w:rPr>
          <w:rFonts w:hint="eastAsia" w:ascii="宋体" w:hAnsi="宋体" w:cs="宋体"/>
          <w:bCs/>
          <w:color w:val="auto"/>
          <w:kern w:val="0"/>
          <w:szCs w:val="21"/>
          <w:highlight w:val="none"/>
          <w:u w:val="single"/>
        </w:rPr>
        <w:t>时59分</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513ECDCD">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5FE59DDE">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w:t>
      </w:r>
      <w:bookmarkStart w:id="26" w:name="OLE_LINK2"/>
      <w:bookmarkStart w:id="27" w:name="OLE_LINK3"/>
      <w:r>
        <w:rPr>
          <w:rFonts w:hint="eastAsia" w:ascii="宋体" w:hAnsi="宋体" w:cs="宋体"/>
          <w:bCs/>
          <w:color w:val="auto"/>
          <w:kern w:val="0"/>
          <w:szCs w:val="21"/>
          <w:highlight w:val="none"/>
        </w:rPr>
        <w:t>广西政府采购云</w:t>
      </w:r>
      <w:bookmarkEnd w:id="26"/>
      <w:bookmarkEnd w:id="27"/>
      <w:r>
        <w:rPr>
          <w:rFonts w:hint="eastAsia" w:ascii="宋体" w:hAnsi="宋体" w:cs="宋体"/>
          <w:bCs/>
          <w:color w:val="auto"/>
          <w:kern w:val="0"/>
          <w:szCs w:val="21"/>
          <w:highlight w:val="none"/>
        </w:rPr>
        <w:t>平台（https://www.gcy.zfcg.gxzf.gov.cn/）-进入“项目采购”应用，在获取采购文件菜单中选择项目，获取竞争性磋商文件。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通过其他方式获取磋商文件的，将有可能导致供应商无法在广西政府采购云平台编制及上传响应文件。</w:t>
      </w:r>
    </w:p>
    <w:p w14:paraId="67B3579B">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i/>
          <w:color w:val="auto"/>
          <w:szCs w:val="21"/>
          <w:highlight w:val="none"/>
          <w:u w:val="single"/>
        </w:rPr>
        <w:t>0</w:t>
      </w:r>
      <w:r>
        <w:rPr>
          <w:rFonts w:hint="eastAsia" w:ascii="宋体" w:hAnsi="宋体" w:cs="宋体"/>
          <w:color w:val="auto"/>
          <w:szCs w:val="21"/>
          <w:highlight w:val="none"/>
        </w:rPr>
        <w:t>元</w:t>
      </w:r>
    </w:p>
    <w:p w14:paraId="58F2346E">
      <w:pPr>
        <w:spacing w:line="360" w:lineRule="auto"/>
        <w:ind w:firstLine="354" w:firstLineChars="147"/>
        <w:rPr>
          <w:rFonts w:ascii="黑体" w:hAnsi="黑体" w:eastAsia="黑体"/>
          <w:b/>
          <w:color w:val="auto"/>
          <w:sz w:val="24"/>
          <w:highlight w:val="none"/>
        </w:rPr>
      </w:pPr>
      <w:bookmarkStart w:id="28" w:name="_Toc71365908"/>
      <w:r>
        <w:rPr>
          <w:rFonts w:hint="eastAsia" w:ascii="黑体" w:hAnsi="黑体" w:eastAsia="黑体"/>
          <w:b/>
          <w:color w:val="auto"/>
          <w:sz w:val="24"/>
          <w:highlight w:val="none"/>
        </w:rPr>
        <w:t>四、响应文件提交</w:t>
      </w:r>
      <w:bookmarkEnd w:id="21"/>
      <w:bookmarkEnd w:id="22"/>
      <w:bookmarkEnd w:id="23"/>
      <w:bookmarkEnd w:id="24"/>
      <w:bookmarkEnd w:id="25"/>
      <w:bookmarkEnd w:id="28"/>
    </w:p>
    <w:p w14:paraId="6BC59980">
      <w:pPr>
        <w:spacing w:line="360" w:lineRule="auto"/>
        <w:ind w:firstLine="420" w:firstLineChars="200"/>
        <w:rPr>
          <w:rFonts w:ascii="宋体" w:hAnsi="宋体" w:cs="宋体"/>
          <w:color w:val="auto"/>
          <w:szCs w:val="21"/>
          <w:highlight w:val="none"/>
          <w:u w:val="single"/>
        </w:rPr>
      </w:pPr>
      <w:bookmarkStart w:id="29" w:name="_Toc28359016"/>
      <w:bookmarkStart w:id="30" w:name="_Toc28359093"/>
      <w:bookmarkStart w:id="31" w:name="_Toc44229882"/>
      <w:bookmarkStart w:id="32" w:name="_Toc35393633"/>
      <w:bookmarkStart w:id="33" w:name="_Toc35393802"/>
      <w:r>
        <w:rPr>
          <w:rFonts w:hint="eastAsia" w:ascii="宋体" w:hAnsi="宋体"/>
          <w:color w:val="auto"/>
          <w:szCs w:val="21"/>
          <w:highlight w:val="none"/>
        </w:rPr>
        <w:t>截止时间：</w:t>
      </w:r>
      <w:bookmarkStart w:id="34" w:name="OLE_LINK20"/>
      <w:r>
        <w:rPr>
          <w:rFonts w:hint="eastAsia" w:ascii="宋体" w:hAnsi="宋体"/>
          <w:bCs/>
          <w:color w:val="auto"/>
          <w:szCs w:val="21"/>
          <w:highlight w:val="none"/>
          <w:u w:val="single"/>
        </w:rPr>
        <w:t xml:space="preserve">2025 </w:t>
      </w:r>
      <w:r>
        <w:rPr>
          <w:rFonts w:hint="eastAsia" w:ascii="宋体" w:hAnsi="宋体"/>
          <w:bCs/>
          <w:color w:val="auto"/>
          <w:szCs w:val="21"/>
          <w:highlight w:val="none"/>
        </w:rPr>
        <w:t>年</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rPr>
        <w:t>日</w:t>
      </w:r>
      <w:r>
        <w:rPr>
          <w:rFonts w:hint="eastAsia" w:ascii="宋体" w:hAnsi="宋体"/>
          <w:bCs/>
          <w:color w:val="auto"/>
          <w:szCs w:val="21"/>
          <w:highlight w:val="none"/>
          <w:u w:val="single"/>
        </w:rPr>
        <w:t>9</w:t>
      </w:r>
      <w:r>
        <w:rPr>
          <w:rFonts w:hint="eastAsia" w:ascii="宋体" w:hAnsi="宋体"/>
          <w:bCs/>
          <w:color w:val="auto"/>
          <w:szCs w:val="21"/>
          <w:highlight w:val="none"/>
        </w:rPr>
        <w:t>时</w:t>
      </w:r>
      <w:r>
        <w:rPr>
          <w:rFonts w:hint="eastAsia" w:ascii="宋体" w:hAnsi="宋体"/>
          <w:bCs/>
          <w:color w:val="auto"/>
          <w:szCs w:val="21"/>
          <w:highlight w:val="none"/>
          <w:u w:val="single"/>
        </w:rPr>
        <w:t>30</w:t>
      </w:r>
      <w:r>
        <w:rPr>
          <w:rFonts w:hint="eastAsia" w:ascii="宋体" w:hAnsi="宋体"/>
          <w:bCs/>
          <w:color w:val="auto"/>
          <w:szCs w:val="21"/>
          <w:highlight w:val="none"/>
        </w:rPr>
        <w:t>分</w:t>
      </w:r>
      <w:bookmarkEnd w:id="34"/>
      <w:r>
        <w:rPr>
          <w:rFonts w:hint="eastAsia" w:ascii="宋体" w:hAnsi="宋体"/>
          <w:bCs/>
          <w:color w:val="auto"/>
          <w:szCs w:val="21"/>
          <w:highlight w:val="none"/>
        </w:rPr>
        <w:t>（北京时间）</w:t>
      </w:r>
    </w:p>
    <w:p w14:paraId="0EAC741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2E6424E6">
      <w:pPr>
        <w:spacing w:line="360" w:lineRule="auto"/>
        <w:ind w:firstLine="354" w:firstLineChars="147"/>
        <w:rPr>
          <w:rFonts w:ascii="黑体" w:hAnsi="黑体" w:eastAsia="黑体"/>
          <w:b/>
          <w:color w:val="auto"/>
          <w:sz w:val="24"/>
          <w:highlight w:val="none"/>
        </w:rPr>
      </w:pPr>
      <w:bookmarkStart w:id="35" w:name="_Toc71365909"/>
      <w:r>
        <w:rPr>
          <w:rFonts w:hint="eastAsia" w:ascii="黑体" w:hAnsi="黑体" w:eastAsia="黑体"/>
          <w:b/>
          <w:color w:val="auto"/>
          <w:sz w:val="24"/>
          <w:highlight w:val="none"/>
        </w:rPr>
        <w:t>五、开启</w:t>
      </w:r>
      <w:bookmarkEnd w:id="29"/>
      <w:bookmarkEnd w:id="30"/>
      <w:bookmarkEnd w:id="31"/>
      <w:bookmarkEnd w:id="32"/>
      <w:bookmarkEnd w:id="33"/>
      <w:bookmarkEnd w:id="35"/>
    </w:p>
    <w:p w14:paraId="4B7351B0">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bCs/>
          <w:color w:val="auto"/>
          <w:szCs w:val="21"/>
          <w:highlight w:val="none"/>
          <w:u w:val="single"/>
        </w:rPr>
        <w:t xml:space="preserve">2025 </w:t>
      </w:r>
      <w:r>
        <w:rPr>
          <w:rFonts w:hint="eastAsia" w:ascii="宋体" w:hAnsi="宋体"/>
          <w:bCs/>
          <w:color w:val="auto"/>
          <w:szCs w:val="21"/>
          <w:highlight w:val="none"/>
        </w:rPr>
        <w:t>年</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rPr>
        <w:t>日</w:t>
      </w:r>
      <w:r>
        <w:rPr>
          <w:rFonts w:hint="eastAsia" w:ascii="宋体" w:hAnsi="宋体"/>
          <w:bCs/>
          <w:color w:val="auto"/>
          <w:szCs w:val="21"/>
          <w:highlight w:val="none"/>
          <w:u w:val="single"/>
        </w:rPr>
        <w:t>9</w:t>
      </w:r>
      <w:r>
        <w:rPr>
          <w:rFonts w:hint="eastAsia" w:ascii="宋体" w:hAnsi="宋体"/>
          <w:bCs/>
          <w:color w:val="auto"/>
          <w:szCs w:val="21"/>
          <w:highlight w:val="none"/>
        </w:rPr>
        <w:t>时</w:t>
      </w:r>
      <w:r>
        <w:rPr>
          <w:rFonts w:hint="eastAsia" w:ascii="宋体" w:hAnsi="宋体"/>
          <w:bCs/>
          <w:color w:val="auto"/>
          <w:szCs w:val="21"/>
          <w:highlight w:val="none"/>
          <w:u w:val="single"/>
        </w:rPr>
        <w:t>30</w:t>
      </w:r>
      <w:r>
        <w:rPr>
          <w:rFonts w:hint="eastAsia" w:ascii="宋体" w:hAnsi="宋体"/>
          <w:bCs/>
          <w:color w:val="auto"/>
          <w:szCs w:val="21"/>
          <w:highlight w:val="none"/>
        </w:rPr>
        <w:t>分（北京时间）</w:t>
      </w:r>
    </w:p>
    <w:p w14:paraId="6B55E5A0">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60DF9FFC">
      <w:pPr>
        <w:spacing w:line="360" w:lineRule="auto"/>
        <w:ind w:firstLine="354" w:firstLineChars="147"/>
        <w:rPr>
          <w:rFonts w:ascii="黑体" w:hAnsi="黑体" w:eastAsia="黑体"/>
          <w:b/>
          <w:color w:val="auto"/>
          <w:sz w:val="24"/>
          <w:highlight w:val="none"/>
        </w:rPr>
      </w:pPr>
      <w:bookmarkStart w:id="36" w:name="_Toc28359094"/>
      <w:bookmarkStart w:id="37" w:name="_Toc28359017"/>
      <w:bookmarkStart w:id="38" w:name="_Toc35393803"/>
      <w:bookmarkStart w:id="39" w:name="_Toc44229883"/>
      <w:bookmarkStart w:id="40" w:name="_Toc71365910"/>
      <w:bookmarkStart w:id="41" w:name="_Toc35393634"/>
      <w:r>
        <w:rPr>
          <w:rFonts w:hint="eastAsia" w:ascii="黑体" w:hAnsi="黑体" w:eastAsia="黑体"/>
          <w:b/>
          <w:color w:val="auto"/>
          <w:sz w:val="24"/>
          <w:highlight w:val="none"/>
        </w:rPr>
        <w:t>六、公告期限</w:t>
      </w:r>
      <w:bookmarkEnd w:id="36"/>
      <w:bookmarkEnd w:id="37"/>
      <w:bookmarkEnd w:id="38"/>
      <w:bookmarkEnd w:id="39"/>
      <w:bookmarkEnd w:id="40"/>
      <w:bookmarkEnd w:id="41"/>
    </w:p>
    <w:p w14:paraId="239F515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75A7C95B">
      <w:pPr>
        <w:spacing w:line="360" w:lineRule="auto"/>
        <w:ind w:firstLine="354" w:firstLineChars="147"/>
        <w:rPr>
          <w:rFonts w:ascii="黑体" w:hAnsi="黑体" w:eastAsia="黑体"/>
          <w:b/>
          <w:color w:val="auto"/>
          <w:sz w:val="24"/>
          <w:highlight w:val="none"/>
        </w:rPr>
      </w:pPr>
      <w:bookmarkStart w:id="42" w:name="_Toc35393804"/>
      <w:bookmarkStart w:id="43" w:name="_Toc71365911"/>
      <w:bookmarkStart w:id="44" w:name="_Toc44229884"/>
      <w:bookmarkStart w:id="45" w:name="_Toc35393635"/>
      <w:r>
        <w:rPr>
          <w:rFonts w:hint="eastAsia" w:ascii="黑体" w:hAnsi="黑体" w:eastAsia="黑体"/>
          <w:b/>
          <w:color w:val="auto"/>
          <w:sz w:val="24"/>
          <w:highlight w:val="none"/>
        </w:rPr>
        <w:t>七、其他补充事宜</w:t>
      </w:r>
      <w:bookmarkEnd w:id="42"/>
      <w:bookmarkEnd w:id="43"/>
      <w:bookmarkEnd w:id="44"/>
      <w:bookmarkEnd w:id="45"/>
    </w:p>
    <w:p w14:paraId="38B9C66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65BF28A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中国政府采购网（</w:t>
      </w:r>
      <w:r>
        <w:rPr>
          <w:rFonts w:ascii="宋体" w:hAnsi="宋体" w:cs="宋体"/>
          <w:color w:val="auto"/>
          <w:kern w:val="0"/>
          <w:szCs w:val="21"/>
          <w:highlight w:val="none"/>
        </w:rPr>
        <w:t>http://www.ccgp.gov.cn</w:t>
      </w:r>
      <w:r>
        <w:rPr>
          <w:rFonts w:hint="eastAsia" w:ascii="宋体" w:hAnsi="宋体" w:cs="宋体"/>
          <w:color w:val="auto"/>
          <w:kern w:val="0"/>
          <w:szCs w:val="21"/>
          <w:highlight w:val="none"/>
        </w:rPr>
        <w:t>）、广西壮族自治区政府采购网（</w:t>
      </w:r>
      <w:r>
        <w:rPr>
          <w:rFonts w:ascii="宋体" w:hAnsi="宋体" w:cs="宋体"/>
          <w:color w:val="auto"/>
          <w:kern w:val="0"/>
          <w:szCs w:val="21"/>
          <w:highlight w:val="none"/>
        </w:rPr>
        <w:t>http://zfcg.gxzf.gov.cn</w:t>
      </w:r>
      <w:r>
        <w:rPr>
          <w:rFonts w:hint="eastAsia" w:ascii="宋体" w:hAnsi="宋体" w:cs="宋体"/>
          <w:color w:val="auto"/>
          <w:kern w:val="0"/>
          <w:szCs w:val="21"/>
          <w:highlight w:val="none"/>
        </w:rPr>
        <w:t>）</w:t>
      </w:r>
    </w:p>
    <w:p w14:paraId="55405D13">
      <w:pPr>
        <w:spacing w:line="360" w:lineRule="auto"/>
        <w:ind w:firstLine="424" w:firstLineChars="202"/>
        <w:rPr>
          <w:rFonts w:ascii="宋体" w:hAnsi="宋体" w:cs="宋体"/>
          <w:color w:val="auto"/>
          <w:kern w:val="0"/>
          <w:szCs w:val="21"/>
          <w:highlight w:val="none"/>
        </w:rPr>
      </w:pPr>
      <w:bookmarkStart w:id="46" w:name="_Hlk37429674"/>
      <w:bookmarkStart w:id="47" w:name="_Toc28359095"/>
      <w:bookmarkStart w:id="48" w:name="_Toc28359018"/>
      <w:bookmarkStart w:id="49" w:name="_Toc44229885"/>
      <w:bookmarkStart w:id="50" w:name="_Toc35393636"/>
      <w:bookmarkStart w:id="51" w:name="_Toc35393805"/>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2C622E8E">
      <w:pPr>
        <w:spacing w:line="360" w:lineRule="auto"/>
        <w:ind w:firstLine="424" w:firstLineChars="202"/>
        <w:rPr>
          <w:rFonts w:ascii="宋体" w:hAnsi="宋体" w:cs="宋体"/>
          <w:color w:val="auto"/>
          <w:kern w:val="0"/>
          <w:szCs w:val="21"/>
          <w:highlight w:val="none"/>
        </w:rPr>
      </w:pPr>
      <w:r>
        <w:rPr>
          <w:rFonts w:ascii="宋体" w:hAnsi="宋体" w:cs="宋体"/>
          <w:color w:val="auto"/>
          <w:kern w:val="0"/>
          <w:szCs w:val="21"/>
          <w:highlight w:val="none"/>
        </w:rPr>
        <w:t>（1）政府采购促进中小企业发展。</w:t>
      </w:r>
    </w:p>
    <w:p w14:paraId="5B1F8DC0">
      <w:pPr>
        <w:spacing w:line="360" w:lineRule="auto"/>
        <w:ind w:firstLine="424" w:firstLineChars="202"/>
        <w:rPr>
          <w:rFonts w:ascii="宋体" w:hAnsi="宋体" w:cs="宋体"/>
          <w:color w:val="auto"/>
          <w:kern w:val="0"/>
          <w:szCs w:val="21"/>
          <w:highlight w:val="none"/>
        </w:rPr>
      </w:pPr>
      <w:r>
        <w:rPr>
          <w:rFonts w:ascii="宋体" w:hAnsi="宋体" w:cs="宋体"/>
          <w:color w:val="auto"/>
          <w:kern w:val="0"/>
          <w:szCs w:val="21"/>
          <w:highlight w:val="none"/>
        </w:rPr>
        <w:t>（2）政府采购支持采用本国产品的政策。</w:t>
      </w:r>
    </w:p>
    <w:p w14:paraId="0DA4CF3B">
      <w:pPr>
        <w:spacing w:line="360" w:lineRule="auto"/>
        <w:ind w:firstLine="424" w:firstLineChars="202"/>
        <w:rPr>
          <w:rFonts w:ascii="宋体" w:hAnsi="宋体" w:cs="宋体"/>
          <w:color w:val="auto"/>
          <w:kern w:val="0"/>
          <w:szCs w:val="21"/>
          <w:highlight w:val="none"/>
        </w:rPr>
      </w:pPr>
      <w:r>
        <w:rPr>
          <w:rFonts w:ascii="宋体" w:hAnsi="宋体" w:cs="宋体"/>
          <w:color w:val="auto"/>
          <w:kern w:val="0"/>
          <w:szCs w:val="21"/>
          <w:highlight w:val="none"/>
        </w:rPr>
        <w:t>（3）强制采购节能产品；优先采购节能产品、环境标志产品。</w:t>
      </w:r>
    </w:p>
    <w:p w14:paraId="7BC06BBC">
      <w:pPr>
        <w:spacing w:line="360" w:lineRule="auto"/>
        <w:ind w:firstLine="424" w:firstLineChars="202"/>
        <w:rPr>
          <w:rFonts w:ascii="宋体" w:hAnsi="宋体" w:cs="宋体"/>
          <w:color w:val="auto"/>
          <w:kern w:val="0"/>
          <w:szCs w:val="21"/>
          <w:highlight w:val="none"/>
        </w:rPr>
      </w:pPr>
      <w:r>
        <w:rPr>
          <w:rFonts w:ascii="宋体" w:hAnsi="宋体" w:cs="宋体"/>
          <w:color w:val="auto"/>
          <w:kern w:val="0"/>
          <w:szCs w:val="21"/>
          <w:highlight w:val="none"/>
        </w:rPr>
        <w:t>（4）政府采购促进残疾人就业政策。</w:t>
      </w:r>
    </w:p>
    <w:p w14:paraId="0AC5F7F0">
      <w:pPr>
        <w:spacing w:line="360" w:lineRule="auto"/>
        <w:ind w:firstLine="420" w:firstLineChars="200"/>
        <w:rPr>
          <w:rFonts w:ascii="宋体" w:hAnsi="宋体" w:cs="宋体"/>
          <w:i/>
          <w:iCs/>
          <w:color w:val="auto"/>
          <w:kern w:val="0"/>
          <w:szCs w:val="21"/>
          <w:highlight w:val="none"/>
        </w:rPr>
      </w:pPr>
      <w:r>
        <w:rPr>
          <w:rFonts w:ascii="宋体" w:hAnsi="宋体" w:cs="宋体"/>
          <w:color w:val="auto"/>
          <w:kern w:val="0"/>
          <w:szCs w:val="21"/>
          <w:highlight w:val="none"/>
        </w:rPr>
        <w:t>（5）政府采购支持监狱企业发展。</w:t>
      </w:r>
    </w:p>
    <w:bookmarkEnd w:id="46"/>
    <w:p w14:paraId="0E31F58C">
      <w:pPr>
        <w:widowControl/>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6864AAD6">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（1）响应文件提交方式：本项目为全流程电子化政府采购项目，通过</w:t>
      </w:r>
      <w:r>
        <w:rPr>
          <w:rFonts w:hint="eastAsia" w:ascii="宋体" w:hAnsi="宋体" w:cs="宋体"/>
          <w:bCs/>
          <w:color w:val="auto"/>
          <w:kern w:val="0"/>
          <w:szCs w:val="21"/>
          <w:highlight w:val="none"/>
        </w:rPr>
        <w:t>广西政府采购云</w:t>
      </w:r>
      <w:r>
        <w:rPr>
          <w:rFonts w:hint="eastAsia" w:ascii="宋体" w:hAnsi="宋体"/>
          <w:color w:val="auto"/>
          <w:szCs w:val="21"/>
          <w:highlight w:val="none"/>
        </w:rPr>
        <w:t>平台（https://www.gcy.zfcg.gxzf.gov.cn/）实行在线电子磋商采购，供应商应先安装“广西政府采购云电子交易客户端”（请自行前往广西政府采购云平台进行下载），并按照本项目竞争性磋商文件和广西政府采购云平台的要求编制、加密后在首次响应文件提交截止时间前通过网络上传至广西政府采购云平台，供应商在广西政府采购云平台提交电子版响应文件时，请填写参加远程开标活动经办人联系方式。</w:t>
      </w:r>
    </w:p>
    <w:p w14:paraId="71E9F315">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（2）供应商应及时熟悉掌握电子标系统操作指南（见</w:t>
      </w:r>
      <w:r>
        <w:rPr>
          <w:rFonts w:hint="eastAsia" w:ascii="宋体" w:hAnsi="宋体" w:cs="宋体"/>
          <w:bCs/>
          <w:color w:val="auto"/>
          <w:kern w:val="0"/>
          <w:szCs w:val="21"/>
          <w:highlight w:val="none"/>
        </w:rPr>
        <w:t>广西政府采购云</w:t>
      </w:r>
      <w:r>
        <w:rPr>
          <w:rFonts w:hint="eastAsia" w:ascii="宋体" w:hAnsi="宋体"/>
          <w:color w:val="auto"/>
          <w:szCs w:val="21"/>
          <w:highlight w:val="none"/>
        </w:rPr>
        <w:t>电子卖场首页右上角—服务中心—帮助文档—项目采购）：https://service.zcygov.cn/#/knowledges/tree?tag= AG1DtGwBFdiHxlNdhY0r；及时完成CA申领和绑定（见广西壮族自治区政府采购网—办事服务—下载专区-广西政府采购云CA证书办理操作指南）。</w:t>
      </w:r>
    </w:p>
    <w:p w14:paraId="472E6F75">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5EB135C8">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（4）为确保网上操作合法、有效和安全，请供应商确保在电子竞争性磋商过程中能够对相关数据电文进行加密和使用电子签章，妥善保管CA数字证书并使用有效的CA数字证书参与整个采购活动。</w:t>
      </w:r>
    </w:p>
    <w:p w14:paraId="07D40414">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注：供应商应当在首次响应文件提交截止时间前完成电子响应文件的上传、提交，首次响应文件提交截止时间前可以补充、修改或者撤回响应文件。补充或者修改响应文件的，应当先行撤回原文件，补充、修改后重新上传、提交。首次响应文件提交截止时间前未完成上传、提交的，视为撤回响应文件。首次响应文件提交截止时间以后上传递交的响应文件，</w:t>
      </w:r>
      <w:r>
        <w:rPr>
          <w:rFonts w:hint="eastAsia" w:ascii="宋体" w:hAnsi="宋体" w:cs="宋体"/>
          <w:bCs/>
          <w:color w:val="auto"/>
          <w:kern w:val="0"/>
          <w:szCs w:val="21"/>
          <w:highlight w:val="none"/>
        </w:rPr>
        <w:t>广西政府采购云</w:t>
      </w:r>
      <w:r>
        <w:rPr>
          <w:rFonts w:hint="eastAsia" w:ascii="宋体" w:hAnsi="宋体"/>
          <w:color w:val="auto"/>
          <w:szCs w:val="21"/>
          <w:highlight w:val="none"/>
        </w:rPr>
        <w:t>平台将予以拒收。</w:t>
      </w:r>
    </w:p>
    <w:p w14:paraId="7E79C86F">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6.CA证书在线解密：首次响应文件开启时，须要供应商携带制作响应文件时用来加密的有效数字证书（CA认证）登录</w:t>
      </w:r>
      <w:r>
        <w:rPr>
          <w:rFonts w:hint="eastAsia" w:ascii="宋体" w:hAnsi="宋体" w:cs="宋体"/>
          <w:bCs/>
          <w:color w:val="auto"/>
          <w:kern w:val="0"/>
          <w:szCs w:val="21"/>
          <w:highlight w:val="none"/>
        </w:rPr>
        <w:t>广西政府采购云</w:t>
      </w:r>
      <w:r>
        <w:rPr>
          <w:rFonts w:hint="eastAsia" w:ascii="宋体" w:hAnsi="宋体"/>
          <w:color w:val="auto"/>
          <w:szCs w:val="21"/>
          <w:highlight w:val="none"/>
        </w:rPr>
        <w:t>电子开标大厅现场按规定时间对加密的响应文件进行解密，否则后果自负。</w:t>
      </w:r>
    </w:p>
    <w:p w14:paraId="28A97724">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7.供应商需要在具备有摄像头及语音功能且互联网网络状况良好的电脑登录广西政府采购云平台远程开标大厅参与本次磋商，否则后果自负。</w:t>
      </w:r>
    </w:p>
    <w:p w14:paraId="1E0779E2">
      <w:pPr>
        <w:spacing w:line="360" w:lineRule="auto"/>
        <w:ind w:firstLine="424" w:firstLineChars="202"/>
        <w:rPr>
          <w:rFonts w:ascii="宋体" w:hAnsi="宋体" w:cs="宋体"/>
          <w:color w:val="auto"/>
          <w:kern w:val="0"/>
          <w:szCs w:val="21"/>
          <w:highlight w:val="none"/>
        </w:rPr>
      </w:pPr>
      <w:r>
        <w:rPr>
          <w:rFonts w:hint="eastAsia" w:ascii="宋体" w:hAnsi="宋体"/>
          <w:color w:val="auto"/>
          <w:szCs w:val="21"/>
          <w:highlight w:val="none"/>
        </w:rPr>
        <w:t>8.若对项目采购电子交易系统操作有疑问，可登录广西政府采购云平台（https://www.gcy.zfcg.gxzf.gov.cn/），点击右侧咨询小采，获取采小蜜智能服务管家帮助，或拨打广西政府采购云服务热线95763</w:t>
      </w:r>
      <w:r>
        <w:rPr>
          <w:rFonts w:hint="eastAsia"/>
          <w:color w:val="auto"/>
          <w:highlight w:val="none"/>
        </w:rPr>
        <w:t>或者0771-3381253</w:t>
      </w:r>
      <w:r>
        <w:rPr>
          <w:rFonts w:hint="eastAsia" w:ascii="宋体" w:hAnsi="宋体"/>
          <w:color w:val="auto"/>
          <w:szCs w:val="21"/>
          <w:highlight w:val="none"/>
        </w:rPr>
        <w:t>获取热线服务帮助。</w:t>
      </w:r>
    </w:p>
    <w:p w14:paraId="37B24CD2">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7"/>
      <w:bookmarkEnd w:id="48"/>
      <w:bookmarkEnd w:id="49"/>
      <w:bookmarkEnd w:id="50"/>
      <w:bookmarkEnd w:id="51"/>
    </w:p>
    <w:p w14:paraId="7244773F">
      <w:pPr>
        <w:spacing w:line="360" w:lineRule="auto"/>
        <w:ind w:firstLine="420" w:firstLineChars="200"/>
        <w:rPr>
          <w:rFonts w:ascii="宋体" w:hAnsi="宋体" w:cs="宋体"/>
          <w:color w:val="auto"/>
          <w:kern w:val="0"/>
          <w:szCs w:val="21"/>
          <w:highlight w:val="none"/>
        </w:rPr>
      </w:pPr>
      <w:bookmarkStart w:id="52" w:name="_Toc28359019"/>
      <w:bookmarkStart w:id="53" w:name="_Toc28359096"/>
      <w:bookmarkStart w:id="54" w:name="_Toc35393637"/>
      <w:bookmarkStart w:id="55" w:name="_Toc35393806"/>
      <w:r>
        <w:rPr>
          <w:rFonts w:hint="eastAsia" w:ascii="宋体" w:hAnsi="宋体" w:cs="宋体"/>
          <w:color w:val="auto"/>
          <w:kern w:val="0"/>
          <w:szCs w:val="21"/>
          <w:highlight w:val="none"/>
        </w:rPr>
        <w:t>1.采购人信息</w:t>
      </w:r>
      <w:bookmarkEnd w:id="52"/>
      <w:bookmarkEnd w:id="53"/>
      <w:bookmarkEnd w:id="54"/>
      <w:bookmarkEnd w:id="55"/>
    </w:p>
    <w:p w14:paraId="16A3F52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称：广西工业职业技术学院</w:t>
      </w:r>
    </w:p>
    <w:p w14:paraId="04E296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s="宋体"/>
          <w:color w:val="auto"/>
          <w:kern w:val="0"/>
          <w:szCs w:val="21"/>
          <w:highlight w:val="none"/>
        </w:rPr>
        <w:t>广西南宁市西乡塘区秀灵路37号</w:t>
      </w:r>
    </w:p>
    <w:p w14:paraId="7603507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hint="eastAsia" w:hAnsi="宋体"/>
          <w:color w:val="auto"/>
          <w:szCs w:val="21"/>
          <w:highlight w:val="none"/>
        </w:rPr>
        <w:t>董婕</w:t>
      </w:r>
      <w:r>
        <w:rPr>
          <w:rFonts w:hint="eastAsia" w:ascii="宋体" w:hAnsi="宋体"/>
          <w:color w:val="auto"/>
          <w:szCs w:val="21"/>
          <w:highlight w:val="none"/>
        </w:rPr>
        <w:t>；</w:t>
      </w:r>
    </w:p>
    <w:p w14:paraId="01B8E0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联系电话：</w:t>
      </w:r>
      <w:r>
        <w:rPr>
          <w:rFonts w:ascii="宋体" w:hAnsi="宋体"/>
          <w:color w:val="auto"/>
          <w:szCs w:val="21"/>
          <w:highlight w:val="none"/>
        </w:rPr>
        <w:t>0771-3828335</w:t>
      </w:r>
    </w:p>
    <w:p w14:paraId="1D1A348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651B77B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名称：云之龙咨询集团有限公司</w:t>
      </w:r>
    </w:p>
    <w:p w14:paraId="66D40CC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　址：南宁市良庆区云英路15号3号楼云之龙咨询集团大厦6楼</w:t>
      </w:r>
    </w:p>
    <w:p w14:paraId="6BC849C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联系方式：0771-2618199、0771-2618118</w:t>
      </w:r>
    </w:p>
    <w:p w14:paraId="0B882C3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3.项目联系方式</w:t>
      </w:r>
    </w:p>
    <w:p w14:paraId="0C04D28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项目联系人：</w:t>
      </w:r>
      <w:r>
        <w:rPr>
          <w:rFonts w:hint="eastAsia" w:hAnsi="宋体" w:cs="宋体"/>
          <w:color w:val="auto"/>
          <w:highlight w:val="none"/>
        </w:rPr>
        <w:t>刘健、杨惠</w:t>
      </w:r>
    </w:p>
    <w:p w14:paraId="0BBDD95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电　话：0771-2618199、0771-2618118</w:t>
      </w:r>
    </w:p>
    <w:p w14:paraId="2314FD89">
      <w:pPr>
        <w:spacing w:line="360" w:lineRule="auto"/>
        <w:ind w:firstLine="420" w:firstLineChars="200"/>
        <w:jc w:val="right"/>
        <w:rPr>
          <w:rFonts w:ascii="宋体" w:hAnsi="宋体" w:cs="宋体"/>
          <w:color w:val="auto"/>
          <w:kern w:val="0"/>
          <w:szCs w:val="21"/>
          <w:highlight w:val="none"/>
        </w:rPr>
      </w:pPr>
      <w:r>
        <w:rPr>
          <w:rFonts w:hint="eastAsia" w:ascii="宋体" w:hAnsi="宋体" w:cs="宋体"/>
          <w:color w:val="auto"/>
          <w:kern w:val="0"/>
          <w:szCs w:val="21"/>
          <w:highlight w:val="none"/>
        </w:rPr>
        <w:t>云之龙咨询集团有限公司</w:t>
      </w:r>
    </w:p>
    <w:p w14:paraId="1F7CFB61">
      <w:pPr>
        <w:spacing w:line="360" w:lineRule="auto"/>
        <w:ind w:firstLine="420" w:firstLineChars="200"/>
        <w:jc w:val="right"/>
        <w:rPr>
          <w:rFonts w:ascii="宋体" w:hAnsi="宋体"/>
          <w:color w:val="auto"/>
          <w:szCs w:val="21"/>
          <w:highlight w:val="none"/>
          <w:u w:val="single"/>
        </w:rPr>
      </w:pPr>
      <w:r>
        <w:rPr>
          <w:rFonts w:hint="eastAsia" w:ascii="宋体" w:hAnsi="宋体" w:cs="宋体"/>
          <w:color w:val="auto"/>
          <w:kern w:val="0"/>
          <w:szCs w:val="21"/>
          <w:highlight w:val="none"/>
        </w:rPr>
        <w:t>2025年</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日</w:t>
      </w:r>
    </w:p>
    <w:bookmarkEnd w:id="0"/>
    <w:p w14:paraId="10F6F9D7"/>
    <w:sectPr>
      <w:pgSz w:w="11906" w:h="16838"/>
      <w:pgMar w:top="1134"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3DE7B"/>
    <w:multiLevelType w:val="singleLevel"/>
    <w:tmpl w:val="6943DE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900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2025-07-04T09:44:23Z</dcterms:created>
  <dc:creator>Administrator</dc:creator>
  <cp:lastModifiedBy>WG</cp:lastModifiedBy>
  <dcterms:modified xsi:type="dcterms:W3CDTF">2025-07-04T09:45:31Z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CDFD494CBA024D00AFA2F6BC0E9747B6_12</vt:lpwstr>
  </property>
</Properties>
</file>