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6CA9A">
      <w:pPr>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云之龙咨询集团有限公司2025-2026年度中央相关农业项目资金第三方全过程监管服务</w:t>
      </w:r>
      <w:r>
        <w:rPr>
          <w:rFonts w:hint="eastAsia" w:ascii="宋体" w:hAnsi="宋体"/>
          <w:b/>
          <w:bCs/>
          <w:color w:val="auto"/>
          <w:sz w:val="32"/>
          <w:szCs w:val="32"/>
          <w:highlight w:val="none"/>
          <w:lang w:eastAsia="zh-CN"/>
        </w:rPr>
        <w:t>（GXZC2025-C3-003729-YZLZ</w:t>
      </w:r>
      <w:bookmarkStart w:id="55" w:name="_GoBack"/>
      <w:bookmarkEnd w:id="55"/>
      <w:r>
        <w:rPr>
          <w:rFonts w:hint="eastAsia" w:ascii="宋体" w:hAnsi="宋体"/>
          <w:b/>
          <w:bCs/>
          <w:color w:val="auto"/>
          <w:sz w:val="32"/>
          <w:szCs w:val="32"/>
          <w:highlight w:val="none"/>
          <w:lang w:eastAsia="zh-CN"/>
        </w:rPr>
        <w:t>）</w:t>
      </w:r>
      <w:r>
        <w:rPr>
          <w:rFonts w:hint="eastAsia" w:ascii="宋体" w:hAnsi="宋体"/>
          <w:b/>
          <w:bCs/>
          <w:color w:val="auto"/>
          <w:sz w:val="32"/>
          <w:szCs w:val="32"/>
          <w:highlight w:val="none"/>
        </w:rPr>
        <w:t>竞争性磋商公告</w:t>
      </w:r>
    </w:p>
    <w:p w14:paraId="6B0B776A">
      <w:pPr>
        <w:spacing w:line="360" w:lineRule="auto"/>
        <w:rPr>
          <w:rFonts w:ascii="宋体" w:hAnsi="宋体"/>
          <w:color w:val="auto"/>
          <w:szCs w:val="21"/>
          <w:highlight w:val="none"/>
        </w:rPr>
      </w:pPr>
    </w:p>
    <w:p w14:paraId="73E9CA90">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0" w:name="_Hlk37430271"/>
      <w:r>
        <w:rPr>
          <w:rFonts w:hint="eastAsia" w:ascii="宋体" w:hAnsi="宋体"/>
          <w:color w:val="auto"/>
          <w:szCs w:val="21"/>
          <w:highlight w:val="none"/>
        </w:rPr>
        <w:t>项目概况</w:t>
      </w:r>
    </w:p>
    <w:p w14:paraId="5C81A36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2025-2026年度中央相关农业项目资金第三方全过程监管服务</w:t>
      </w:r>
      <w:r>
        <w:rPr>
          <w:rFonts w:hint="eastAsia" w:ascii="宋体" w:hAnsi="宋体"/>
          <w:color w:val="auto"/>
          <w:szCs w:val="21"/>
          <w:highlight w:val="none"/>
        </w:rPr>
        <w:t>的潜在供应商应在广西政府采购云平台（https://www.gcy.zfcg.gxzf.gov.cn/）获取（下载）竞争性磋商文件，并于</w:t>
      </w:r>
      <w:r>
        <w:rPr>
          <w:rFonts w:hint="eastAsia" w:ascii="宋体" w:hAnsi="宋体"/>
          <w:color w:val="auto"/>
          <w:szCs w:val="21"/>
          <w:highlight w:val="none"/>
          <w:u w:val="single"/>
        </w:rPr>
        <w:t xml:space="preserve"> </w:t>
      </w:r>
      <w:r>
        <w:rPr>
          <w:rFonts w:ascii="宋体" w:hAnsi="宋体"/>
          <w:color w:val="auto"/>
          <w:szCs w:val="21"/>
          <w:highlight w:val="none"/>
          <w:u w:val="single"/>
        </w:rPr>
        <w:t>2025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u w:val="single"/>
        </w:rPr>
        <w:t>日</w:t>
      </w:r>
      <w:r>
        <w:rPr>
          <w:rFonts w:ascii="宋体" w:hAnsi="宋体"/>
          <w:bCs/>
          <w:color w:val="auto"/>
          <w:szCs w:val="21"/>
          <w:highlight w:val="none"/>
          <w:u w:val="single"/>
        </w:rPr>
        <w:t>9</w:t>
      </w:r>
      <w:r>
        <w:rPr>
          <w:rFonts w:hint="eastAsia" w:ascii="宋体" w:hAnsi="宋体"/>
          <w:bCs/>
          <w:color w:val="auto"/>
          <w:szCs w:val="21"/>
          <w:highlight w:val="none"/>
          <w:u w:val="single"/>
        </w:rPr>
        <w:t xml:space="preserve">时 </w:t>
      </w:r>
      <w:r>
        <w:rPr>
          <w:rFonts w:ascii="宋体" w:hAnsi="宋体"/>
          <w:bCs/>
          <w:color w:val="auto"/>
          <w:szCs w:val="21"/>
          <w:highlight w:val="none"/>
          <w:u w:val="single"/>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01D1761A">
      <w:pPr>
        <w:spacing w:line="360" w:lineRule="auto"/>
        <w:rPr>
          <w:rFonts w:ascii="宋体" w:hAnsi="宋体"/>
          <w:color w:val="auto"/>
          <w:szCs w:val="21"/>
          <w:highlight w:val="none"/>
        </w:rPr>
      </w:pPr>
    </w:p>
    <w:p w14:paraId="5F886E6F">
      <w:pPr>
        <w:ind w:firstLine="354" w:firstLineChars="147"/>
        <w:rPr>
          <w:rFonts w:ascii="黑体" w:hAnsi="黑体" w:eastAsia="黑体"/>
          <w:b/>
          <w:color w:val="auto"/>
          <w:sz w:val="24"/>
          <w:highlight w:val="none"/>
        </w:rPr>
      </w:pPr>
      <w:bookmarkStart w:id="1" w:name="_Toc35393798"/>
      <w:bookmarkStart w:id="2" w:name="_Toc44229878"/>
      <w:bookmarkStart w:id="3" w:name="_Toc71365905"/>
      <w:bookmarkStart w:id="4" w:name="_Toc28359012"/>
      <w:bookmarkStart w:id="5" w:name="_Toc28359089"/>
      <w:bookmarkStart w:id="6" w:name="_Toc35393629"/>
      <w:r>
        <w:rPr>
          <w:rFonts w:hint="eastAsia" w:ascii="黑体" w:hAnsi="黑体" w:eastAsia="黑体"/>
          <w:b/>
          <w:color w:val="auto"/>
          <w:sz w:val="24"/>
          <w:highlight w:val="none"/>
        </w:rPr>
        <w:t>一、项目基本情况</w:t>
      </w:r>
      <w:bookmarkEnd w:id="1"/>
      <w:bookmarkEnd w:id="2"/>
      <w:bookmarkEnd w:id="3"/>
      <w:bookmarkEnd w:id="4"/>
      <w:bookmarkEnd w:id="5"/>
      <w:bookmarkEnd w:id="6"/>
    </w:p>
    <w:p w14:paraId="585448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项目编号：GXZC2025-C3-003729-YZLZ（政府采购计划编号：广西政采[2025]23619号）</w:t>
      </w:r>
    </w:p>
    <w:p w14:paraId="3D1495EC">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color w:val="auto"/>
          <w:highlight w:val="none"/>
        </w:rPr>
        <w:t>2025-2026年度中央相关农业项目资金第三方全过程监管服务</w:t>
      </w:r>
    </w:p>
    <w:p w14:paraId="6CD948D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14:paraId="3A42B78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预算金额：人民币118万元</w:t>
      </w:r>
    </w:p>
    <w:p w14:paraId="7FE9CE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最高限价：人民币118万元</w:t>
      </w:r>
    </w:p>
    <w:p w14:paraId="5D6E5F8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91"/>
        <w:gridCol w:w="1795"/>
        <w:gridCol w:w="757"/>
        <w:gridCol w:w="5379"/>
      </w:tblGrid>
      <w:tr w14:paraId="41D20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7D7C4E75">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u w:val="single"/>
              </w:rPr>
              <w:t>/</w:t>
            </w:r>
            <w:r>
              <w:rPr>
                <w:rFonts w:hint="eastAsia" w:ascii="宋体" w:hAnsi="宋体"/>
                <w:color w:val="auto"/>
                <w:szCs w:val="21"/>
                <w:highlight w:val="none"/>
              </w:rPr>
              <w:t>分标；预算金额：人民币118万元</w:t>
            </w:r>
          </w:p>
        </w:tc>
      </w:tr>
      <w:tr w14:paraId="4BE56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47" w:type="pct"/>
            <w:tcBorders>
              <w:top w:val="single" w:color="auto" w:sz="4" w:space="0"/>
              <w:left w:val="single" w:color="auto" w:sz="4" w:space="0"/>
              <w:bottom w:val="single" w:color="auto" w:sz="4" w:space="0"/>
              <w:right w:val="single" w:color="auto" w:sz="4" w:space="0"/>
            </w:tcBorders>
            <w:noWrap w:val="0"/>
            <w:vAlign w:val="center"/>
          </w:tcPr>
          <w:p w14:paraId="7ECA41F6">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053" w:type="pct"/>
            <w:tcBorders>
              <w:top w:val="single" w:color="auto" w:sz="4" w:space="0"/>
              <w:left w:val="single" w:color="auto" w:sz="4" w:space="0"/>
              <w:bottom w:val="single" w:color="auto" w:sz="4" w:space="0"/>
              <w:right w:val="single" w:color="auto" w:sz="4" w:space="0"/>
            </w:tcBorders>
            <w:noWrap w:val="0"/>
            <w:vAlign w:val="center"/>
          </w:tcPr>
          <w:p w14:paraId="331D757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444" w:type="pct"/>
            <w:tcBorders>
              <w:top w:val="single" w:color="auto" w:sz="4" w:space="0"/>
              <w:left w:val="single" w:color="auto" w:sz="4" w:space="0"/>
              <w:bottom w:val="single" w:color="auto" w:sz="4" w:space="0"/>
              <w:right w:val="single" w:color="auto" w:sz="4" w:space="0"/>
            </w:tcBorders>
            <w:noWrap w:val="0"/>
            <w:vAlign w:val="center"/>
          </w:tcPr>
          <w:p w14:paraId="16844719">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数量及</w:t>
            </w:r>
          </w:p>
          <w:p w14:paraId="1CF51F9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3155" w:type="pct"/>
            <w:tcBorders>
              <w:top w:val="single" w:color="auto" w:sz="4" w:space="0"/>
              <w:left w:val="single" w:color="auto" w:sz="4" w:space="0"/>
              <w:bottom w:val="single" w:color="auto" w:sz="4" w:space="0"/>
              <w:right w:val="single" w:color="auto" w:sz="4" w:space="0"/>
            </w:tcBorders>
            <w:noWrap w:val="0"/>
            <w:vAlign w:val="center"/>
          </w:tcPr>
          <w:p w14:paraId="4FF5751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02EE9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47" w:type="pct"/>
            <w:tcBorders>
              <w:top w:val="single" w:color="auto" w:sz="4" w:space="0"/>
              <w:left w:val="single" w:color="auto" w:sz="4" w:space="0"/>
              <w:bottom w:val="single" w:color="auto" w:sz="4" w:space="0"/>
              <w:right w:val="single" w:color="auto" w:sz="4" w:space="0"/>
            </w:tcBorders>
            <w:noWrap w:val="0"/>
            <w:vAlign w:val="center"/>
          </w:tcPr>
          <w:p w14:paraId="4545123F">
            <w:pPr>
              <w:snapToGrid w:val="0"/>
              <w:spacing w:line="360" w:lineRule="auto"/>
              <w:jc w:val="center"/>
              <w:rPr>
                <w:rFonts w:ascii="宋体" w:hAnsi="宋体"/>
                <w:color w:val="auto"/>
                <w:szCs w:val="21"/>
                <w:highlight w:val="none"/>
              </w:rPr>
            </w:pPr>
            <w:r>
              <w:rPr>
                <w:rFonts w:ascii="宋体" w:hAnsi="宋体"/>
                <w:color w:val="auto"/>
                <w:szCs w:val="21"/>
                <w:highlight w:val="none"/>
              </w:rPr>
              <w:t>1</w:t>
            </w:r>
          </w:p>
        </w:tc>
        <w:tc>
          <w:tcPr>
            <w:tcW w:w="1053" w:type="pct"/>
            <w:tcBorders>
              <w:top w:val="single" w:color="auto" w:sz="4" w:space="0"/>
              <w:left w:val="single" w:color="auto" w:sz="4" w:space="0"/>
              <w:bottom w:val="single" w:color="auto" w:sz="4" w:space="0"/>
              <w:right w:val="single" w:color="auto" w:sz="4" w:space="0"/>
            </w:tcBorders>
            <w:noWrap w:val="0"/>
            <w:vAlign w:val="center"/>
          </w:tcPr>
          <w:p w14:paraId="6B64242A">
            <w:pPr>
              <w:snapToGrid w:val="0"/>
              <w:spacing w:line="400" w:lineRule="exact"/>
              <w:jc w:val="center"/>
              <w:rPr>
                <w:rFonts w:ascii="宋体" w:hAnsi="宋体"/>
                <w:color w:val="auto"/>
                <w:szCs w:val="21"/>
                <w:highlight w:val="none"/>
              </w:rPr>
            </w:pPr>
            <w:r>
              <w:rPr>
                <w:rFonts w:hint="eastAsia"/>
                <w:color w:val="auto"/>
                <w:highlight w:val="none"/>
              </w:rPr>
              <w:t>2025-2026年度中央相关农业项目资金全过程监管服务</w:t>
            </w:r>
          </w:p>
        </w:tc>
        <w:tc>
          <w:tcPr>
            <w:tcW w:w="444" w:type="pct"/>
            <w:tcBorders>
              <w:top w:val="single" w:color="auto" w:sz="4" w:space="0"/>
              <w:left w:val="single" w:color="auto" w:sz="4" w:space="0"/>
              <w:bottom w:val="single" w:color="auto" w:sz="4" w:space="0"/>
              <w:right w:val="single" w:color="auto" w:sz="4" w:space="0"/>
            </w:tcBorders>
            <w:noWrap w:val="0"/>
            <w:vAlign w:val="center"/>
          </w:tcPr>
          <w:p w14:paraId="150B195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1项</w:t>
            </w:r>
          </w:p>
        </w:tc>
        <w:tc>
          <w:tcPr>
            <w:tcW w:w="3155" w:type="pct"/>
            <w:tcBorders>
              <w:top w:val="single" w:color="auto" w:sz="4" w:space="0"/>
              <w:left w:val="single" w:color="auto" w:sz="4" w:space="0"/>
              <w:bottom w:val="single" w:color="auto" w:sz="4" w:space="0"/>
              <w:right w:val="single" w:color="auto" w:sz="4" w:space="0"/>
            </w:tcBorders>
            <w:noWrap w:val="0"/>
            <w:vAlign w:val="center"/>
          </w:tcPr>
          <w:p w14:paraId="7E88455D">
            <w:pPr>
              <w:snapToGrid w:val="0"/>
              <w:spacing w:line="360" w:lineRule="auto"/>
              <w:rPr>
                <w:rStyle w:val="4"/>
                <w:rFonts w:hint="eastAsia"/>
                <w:color w:val="auto"/>
                <w:highlight w:val="none"/>
              </w:rPr>
            </w:pPr>
            <w:r>
              <w:rPr>
                <w:rStyle w:val="4"/>
                <w:rFonts w:hint="eastAsia"/>
                <w:color w:val="auto"/>
                <w:highlight w:val="none"/>
              </w:rPr>
              <w:t>一、服务内容</w:t>
            </w:r>
          </w:p>
          <w:p w14:paraId="314C7287">
            <w:pPr>
              <w:snapToGrid w:val="0"/>
              <w:spacing w:line="360" w:lineRule="auto"/>
              <w:rPr>
                <w:rStyle w:val="4"/>
                <w:color w:val="auto"/>
                <w:highlight w:val="none"/>
              </w:rPr>
            </w:pPr>
            <w:r>
              <w:rPr>
                <w:rStyle w:val="4"/>
                <w:rFonts w:hint="eastAsia"/>
                <w:color w:val="auto"/>
                <w:highlight w:val="none"/>
              </w:rPr>
              <w:t>（一）全链条监管咨询。对中央财政农业相关转移支付项目和中央预算内投资农业建设项目，提供项目储备立项评审、实施过程管理、验收评价、资金兑付、项目过程管理、财务管理、绩效管理、政策公开公示、信息档案管理等全链条的监管咨询服务，具体包括协助采购人核对项目前期工作情况、把关项目实施方案、开展重点项目问题研判核实，对上采购人党组会的重大项目、资金事项提出审查意见等工作。</w:t>
            </w:r>
          </w:p>
          <w:p w14:paraId="3781C22C">
            <w:pPr>
              <w:snapToGrid w:val="0"/>
              <w:spacing w:line="360" w:lineRule="auto"/>
              <w:rPr>
                <w:rFonts w:hint="eastAsia" w:ascii="宋体" w:hAnsi="宋体"/>
                <w:color w:val="auto"/>
                <w:szCs w:val="21"/>
                <w:highlight w:val="none"/>
              </w:rPr>
            </w:pPr>
            <w:r>
              <w:rPr>
                <w:rStyle w:val="4"/>
                <w:color w:val="auto"/>
                <w:highlight w:val="none"/>
              </w:rPr>
              <w:t>…</w:t>
            </w:r>
          </w:p>
        </w:tc>
      </w:tr>
    </w:tbl>
    <w:p w14:paraId="2A9DB5F7">
      <w:pPr>
        <w:spacing w:line="360" w:lineRule="auto"/>
        <w:ind w:firstLine="420" w:firstLineChars="200"/>
        <w:rPr>
          <w:rFonts w:ascii="宋体" w:hAnsi="宋体"/>
          <w:color w:val="auto"/>
          <w:szCs w:val="21"/>
          <w:highlight w:val="none"/>
        </w:rPr>
      </w:pPr>
    </w:p>
    <w:p w14:paraId="5874393A">
      <w:pPr>
        <w:snapToGrid w:val="0"/>
        <w:spacing w:line="400" w:lineRule="exact"/>
        <w:ind w:firstLine="420" w:firstLineChars="200"/>
        <w:jc w:val="both"/>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合同履行期限：自合同签订生效之日起1年。</w:t>
      </w:r>
    </w:p>
    <w:p w14:paraId="106E012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本项目不接受联合体。</w:t>
      </w:r>
    </w:p>
    <w:p w14:paraId="5928DE89">
      <w:pPr>
        <w:ind w:firstLine="354" w:firstLineChars="147"/>
        <w:rPr>
          <w:rFonts w:ascii="黑体" w:hAnsi="黑体" w:eastAsia="黑体"/>
          <w:b/>
          <w:color w:val="auto"/>
          <w:sz w:val="24"/>
          <w:highlight w:val="none"/>
        </w:rPr>
      </w:pPr>
      <w:bookmarkStart w:id="7" w:name="_Toc71365906"/>
      <w:bookmarkStart w:id="8" w:name="_Toc35393799"/>
      <w:bookmarkStart w:id="9" w:name="_Toc35393630"/>
      <w:bookmarkStart w:id="10" w:name="_Toc44229879"/>
      <w:bookmarkStart w:id="11" w:name="_Toc28359090"/>
      <w:bookmarkStart w:id="12" w:name="_Toc28359013"/>
      <w:r>
        <w:rPr>
          <w:rFonts w:hint="eastAsia" w:ascii="黑体" w:hAnsi="黑体" w:eastAsia="黑体"/>
          <w:b/>
          <w:color w:val="auto"/>
          <w:sz w:val="24"/>
          <w:highlight w:val="none"/>
        </w:rPr>
        <w:t>二、申请人的资格条件：</w:t>
      </w:r>
      <w:bookmarkEnd w:id="7"/>
      <w:bookmarkEnd w:id="8"/>
      <w:bookmarkEnd w:id="9"/>
      <w:bookmarkEnd w:id="10"/>
      <w:bookmarkEnd w:id="11"/>
      <w:bookmarkEnd w:id="12"/>
    </w:p>
    <w:p w14:paraId="3CD8B8F3">
      <w:pPr>
        <w:spacing w:line="360" w:lineRule="auto"/>
        <w:ind w:firstLine="420" w:firstLineChars="200"/>
        <w:rPr>
          <w:rFonts w:ascii="宋体" w:hAnsi="宋体"/>
          <w:color w:val="auto"/>
          <w:szCs w:val="21"/>
          <w:highlight w:val="none"/>
        </w:rPr>
      </w:pPr>
      <w:bookmarkStart w:id="13" w:name="_Toc28359091"/>
      <w:bookmarkStart w:id="14" w:name="_Toc35393631"/>
      <w:bookmarkStart w:id="15" w:name="_Toc44229880"/>
      <w:bookmarkStart w:id="16" w:name="_Toc28359014"/>
      <w:bookmarkStart w:id="17" w:name="_Toc35393800"/>
      <w:r>
        <w:rPr>
          <w:rFonts w:hint="eastAsia" w:ascii="宋体" w:hAnsi="宋体"/>
          <w:color w:val="auto"/>
          <w:szCs w:val="21"/>
          <w:highlight w:val="none"/>
        </w:rPr>
        <w:t>1.满足《中华人民共和国政府采购法》第二十二条规定；</w:t>
      </w:r>
    </w:p>
    <w:p w14:paraId="6876188F">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.落实政府采购政策需满足的资格要求：本项目属于专门面向中小企业采购的项目</w:t>
      </w:r>
      <w:r>
        <w:rPr>
          <w:rFonts w:hint="eastAsia" w:ascii="宋体" w:hAnsi="宋体"/>
          <w:color w:val="auto"/>
          <w:szCs w:val="21"/>
          <w:highlight w:val="none"/>
          <w:lang w:eastAsia="zh-CN"/>
        </w:rPr>
        <w:t>（</w:t>
      </w:r>
      <w:r>
        <w:rPr>
          <w:rFonts w:hint="eastAsia" w:ascii="宋体" w:hAnsi="宋体"/>
          <w:color w:val="auto"/>
          <w:szCs w:val="21"/>
          <w:highlight w:val="none"/>
        </w:rPr>
        <w:t>供应商应为中小微企业、监狱企业、残疾人福利性单位</w:t>
      </w:r>
      <w:r>
        <w:rPr>
          <w:rFonts w:hint="eastAsia" w:ascii="宋体" w:hAnsi="宋体"/>
          <w:color w:val="auto"/>
          <w:szCs w:val="21"/>
          <w:highlight w:val="none"/>
          <w:lang w:eastAsia="zh-CN"/>
        </w:rPr>
        <w:t>）</w:t>
      </w:r>
    </w:p>
    <w:p w14:paraId="2FD71C3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bCs/>
          <w:color w:val="auto"/>
          <w:szCs w:val="21"/>
          <w:highlight w:val="none"/>
        </w:rPr>
        <w:t>无。</w:t>
      </w:r>
    </w:p>
    <w:p w14:paraId="6911710B">
      <w:pPr>
        <w:ind w:firstLine="354" w:firstLineChars="147"/>
        <w:rPr>
          <w:rFonts w:ascii="黑体" w:hAnsi="黑体" w:eastAsia="黑体"/>
          <w:b/>
          <w:color w:val="auto"/>
          <w:sz w:val="24"/>
          <w:highlight w:val="none"/>
        </w:rPr>
      </w:pPr>
      <w:bookmarkStart w:id="18" w:name="_Toc71365907"/>
      <w:r>
        <w:rPr>
          <w:rFonts w:hint="eastAsia" w:ascii="黑体" w:hAnsi="黑体" w:eastAsia="黑体"/>
          <w:b/>
          <w:color w:val="auto"/>
          <w:sz w:val="24"/>
          <w:highlight w:val="none"/>
        </w:rPr>
        <w:t>三、获取竞争性磋商文件</w:t>
      </w:r>
      <w:bookmarkEnd w:id="13"/>
      <w:bookmarkEnd w:id="14"/>
      <w:bookmarkEnd w:id="15"/>
      <w:bookmarkEnd w:id="16"/>
      <w:bookmarkEnd w:id="17"/>
      <w:bookmarkEnd w:id="18"/>
    </w:p>
    <w:p w14:paraId="5E859F0F">
      <w:pPr>
        <w:spacing w:line="360" w:lineRule="auto"/>
        <w:ind w:firstLine="420" w:firstLineChars="200"/>
        <w:rPr>
          <w:rFonts w:ascii="宋体" w:hAnsi="宋体" w:cs="宋体"/>
          <w:bCs/>
          <w:color w:val="auto"/>
          <w:kern w:val="0"/>
          <w:szCs w:val="21"/>
          <w:highlight w:val="none"/>
        </w:rPr>
      </w:pPr>
      <w:bookmarkStart w:id="19" w:name="_Toc28359092"/>
      <w:bookmarkStart w:id="20" w:name="_Toc35393632"/>
      <w:bookmarkStart w:id="21" w:name="_Toc35393801"/>
      <w:bookmarkStart w:id="22" w:name="_Toc28359015"/>
      <w:bookmarkStart w:id="23" w:name="_Toc44229881"/>
      <w:r>
        <w:rPr>
          <w:rFonts w:hint="eastAsia" w:ascii="宋体" w:hAnsi="宋体" w:cs="宋体"/>
          <w:bCs/>
          <w:color w:val="auto"/>
          <w:kern w:val="0"/>
          <w:szCs w:val="21"/>
          <w:highlight w:val="none"/>
        </w:rPr>
        <w:t>时间：</w:t>
      </w:r>
      <w:r>
        <w:rPr>
          <w:rFonts w:hint="eastAsia" w:ascii="宋体" w:hAnsi="宋体"/>
          <w:color w:val="auto"/>
          <w:szCs w:val="21"/>
          <w:highlight w:val="none"/>
          <w:u w:val="single"/>
        </w:rPr>
        <w:t xml:space="preserve"> </w:t>
      </w:r>
      <w:r>
        <w:rPr>
          <w:rFonts w:ascii="宋体" w:hAnsi="宋体"/>
          <w:color w:val="auto"/>
          <w:szCs w:val="21"/>
          <w:highlight w:val="none"/>
          <w:u w:val="single"/>
        </w:rPr>
        <w:t>2025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w:t>
      </w:r>
      <w:r>
        <w:rPr>
          <w:rFonts w:hint="eastAsia" w:ascii="宋体" w:hAnsi="宋体"/>
          <w:bCs/>
          <w:color w:val="auto"/>
          <w:szCs w:val="21"/>
          <w:highlight w:val="none"/>
          <w:u w:val="single"/>
        </w:rPr>
        <w:t>日</w:t>
      </w:r>
      <w:r>
        <w:rPr>
          <w:rFonts w:hint="eastAsia" w:ascii="宋体" w:hAnsi="宋体" w:cs="宋体"/>
          <w:bCs/>
          <w:color w:val="auto"/>
          <w:kern w:val="0"/>
          <w:szCs w:val="21"/>
          <w:highlight w:val="none"/>
        </w:rPr>
        <w:t>至</w:t>
      </w:r>
      <w:r>
        <w:rPr>
          <w:rFonts w:hint="eastAsia" w:ascii="宋体" w:hAnsi="宋体"/>
          <w:color w:val="auto"/>
          <w:szCs w:val="21"/>
          <w:highlight w:val="none"/>
          <w:u w:val="single"/>
        </w:rPr>
        <w:t xml:space="preserve"> </w:t>
      </w:r>
      <w:r>
        <w:rPr>
          <w:rFonts w:ascii="宋体" w:hAnsi="宋体"/>
          <w:color w:val="auto"/>
          <w:szCs w:val="21"/>
          <w:highlight w:val="none"/>
          <w:u w:val="single"/>
        </w:rPr>
        <w:t>2025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0：00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12:00</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12:00　</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23:59</w:t>
      </w:r>
      <w:r>
        <w:rPr>
          <w:rFonts w:hint="eastAsia" w:ascii="宋体" w:hAnsi="宋体" w:cs="宋体"/>
          <w:bCs/>
          <w:color w:val="auto"/>
          <w:kern w:val="0"/>
          <w:szCs w:val="21"/>
          <w:highlight w:val="none"/>
        </w:rPr>
        <w:t>（北京时间，法定节假日除外）</w:t>
      </w:r>
    </w:p>
    <w:p w14:paraId="4B03AC36">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5B661E55">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制作需要基于广西政府采购云平台获取的磋商文件编制，</w:t>
      </w:r>
      <w:r>
        <w:rPr>
          <w:rFonts w:hint="eastAsia" w:ascii="宋体" w:hAnsi="宋体" w:cs="宋体"/>
          <w:bCs/>
          <w:color w:val="auto"/>
          <w:kern w:val="0"/>
          <w:szCs w:val="21"/>
          <w:highlight w:val="none"/>
        </w:rPr>
        <w:t>通过其他方式获取磋商文件的，将有可能导致供应商无法在广西政府采购云平台编制及上传响应文件。</w:t>
      </w:r>
    </w:p>
    <w:p w14:paraId="619BA69B">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i/>
          <w:color w:val="auto"/>
          <w:szCs w:val="21"/>
          <w:highlight w:val="none"/>
          <w:u w:val="single"/>
        </w:rPr>
        <w:t>0</w:t>
      </w:r>
      <w:r>
        <w:rPr>
          <w:rFonts w:hint="eastAsia" w:ascii="宋体" w:hAnsi="宋体" w:cs="宋体"/>
          <w:color w:val="auto"/>
          <w:szCs w:val="21"/>
          <w:highlight w:val="none"/>
        </w:rPr>
        <w:t>元</w:t>
      </w:r>
    </w:p>
    <w:p w14:paraId="600E8160">
      <w:pPr>
        <w:ind w:firstLine="354" w:firstLineChars="147"/>
        <w:rPr>
          <w:rFonts w:ascii="黑体" w:hAnsi="黑体" w:eastAsia="黑体"/>
          <w:b/>
          <w:color w:val="auto"/>
          <w:sz w:val="24"/>
          <w:highlight w:val="none"/>
        </w:rPr>
      </w:pPr>
      <w:bookmarkStart w:id="24" w:name="_Toc71365908"/>
      <w:r>
        <w:rPr>
          <w:rFonts w:hint="eastAsia" w:ascii="黑体" w:hAnsi="黑体" w:eastAsia="黑体"/>
          <w:b/>
          <w:color w:val="auto"/>
          <w:sz w:val="24"/>
          <w:highlight w:val="none"/>
        </w:rPr>
        <w:t>四、响应文件提交</w:t>
      </w:r>
      <w:bookmarkEnd w:id="19"/>
      <w:bookmarkEnd w:id="20"/>
      <w:bookmarkEnd w:id="21"/>
      <w:bookmarkEnd w:id="22"/>
      <w:bookmarkEnd w:id="23"/>
      <w:bookmarkEnd w:id="24"/>
    </w:p>
    <w:p w14:paraId="7939C0CC">
      <w:pPr>
        <w:spacing w:line="360" w:lineRule="auto"/>
        <w:ind w:firstLine="420" w:firstLineChars="200"/>
        <w:rPr>
          <w:rFonts w:ascii="宋体" w:hAnsi="宋体"/>
          <w:bCs/>
          <w:color w:val="auto"/>
          <w:szCs w:val="21"/>
          <w:highlight w:val="none"/>
        </w:rPr>
      </w:pPr>
      <w:bookmarkStart w:id="25" w:name="_Toc28359093"/>
      <w:bookmarkStart w:id="26" w:name="_Toc44229882"/>
      <w:bookmarkStart w:id="27" w:name="_Toc35393633"/>
      <w:bookmarkStart w:id="28" w:name="_Toc28359016"/>
      <w:bookmarkStart w:id="29" w:name="_Toc35393802"/>
      <w:r>
        <w:rPr>
          <w:rFonts w:hint="eastAsia" w:ascii="宋体" w:hAnsi="宋体"/>
          <w:color w:val="auto"/>
          <w:szCs w:val="21"/>
          <w:highlight w:val="none"/>
        </w:rPr>
        <w:t>截止时间：</w:t>
      </w:r>
      <w:r>
        <w:rPr>
          <w:rFonts w:hint="eastAsia" w:ascii="宋体" w:hAnsi="宋体"/>
          <w:color w:val="auto"/>
          <w:szCs w:val="21"/>
          <w:highlight w:val="none"/>
          <w:u w:val="single"/>
        </w:rPr>
        <w:t xml:space="preserve"> </w:t>
      </w:r>
      <w:r>
        <w:rPr>
          <w:rFonts w:ascii="宋体" w:hAnsi="宋体"/>
          <w:color w:val="auto"/>
          <w:szCs w:val="21"/>
          <w:highlight w:val="none"/>
          <w:u w:val="single"/>
        </w:rPr>
        <w:t>2025</w:t>
      </w:r>
      <w:r>
        <w:rPr>
          <w:rFonts w:hint="eastAsia" w:ascii="宋体" w:hAnsi="宋体"/>
          <w:bCs/>
          <w:color w:val="auto"/>
          <w:szCs w:val="21"/>
          <w:highlight w:val="none"/>
          <w:u w:val="single"/>
        </w:rPr>
        <w:t xml:space="preserve">年 </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u w:val="single"/>
        </w:rPr>
        <w:t>日</w:t>
      </w:r>
      <w:r>
        <w:rPr>
          <w:rFonts w:ascii="宋体" w:hAnsi="宋体"/>
          <w:bCs/>
          <w:color w:val="auto"/>
          <w:szCs w:val="21"/>
          <w:highlight w:val="none"/>
          <w:u w:val="single"/>
        </w:rPr>
        <w:t>9</w:t>
      </w:r>
      <w:r>
        <w:rPr>
          <w:rFonts w:hint="eastAsia" w:ascii="宋体" w:hAnsi="宋体"/>
          <w:bCs/>
          <w:color w:val="auto"/>
          <w:szCs w:val="21"/>
          <w:highlight w:val="none"/>
          <w:u w:val="single"/>
        </w:rPr>
        <w:t>时30分</w:t>
      </w:r>
      <w:r>
        <w:rPr>
          <w:rFonts w:hint="eastAsia" w:ascii="宋体" w:hAnsi="宋体"/>
          <w:bCs/>
          <w:color w:val="auto"/>
          <w:szCs w:val="21"/>
          <w:highlight w:val="none"/>
        </w:rPr>
        <w:t>（北京时间）</w:t>
      </w:r>
    </w:p>
    <w:p w14:paraId="4E4B635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6894510D">
      <w:pPr>
        <w:ind w:firstLine="354" w:firstLineChars="147"/>
        <w:rPr>
          <w:rFonts w:ascii="黑体" w:hAnsi="黑体" w:eastAsia="黑体"/>
          <w:b/>
          <w:color w:val="auto"/>
          <w:sz w:val="24"/>
          <w:highlight w:val="none"/>
        </w:rPr>
      </w:pPr>
      <w:bookmarkStart w:id="30" w:name="_Toc71365909"/>
      <w:r>
        <w:rPr>
          <w:rFonts w:hint="eastAsia" w:ascii="黑体" w:hAnsi="黑体" w:eastAsia="黑体"/>
          <w:b/>
          <w:color w:val="auto"/>
          <w:sz w:val="24"/>
          <w:highlight w:val="none"/>
        </w:rPr>
        <w:t>五、开启</w:t>
      </w:r>
      <w:bookmarkEnd w:id="25"/>
      <w:bookmarkEnd w:id="26"/>
      <w:bookmarkEnd w:id="27"/>
      <w:bookmarkEnd w:id="28"/>
      <w:bookmarkEnd w:id="29"/>
      <w:bookmarkEnd w:id="30"/>
    </w:p>
    <w:p w14:paraId="0EF000A2">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color w:val="auto"/>
          <w:szCs w:val="21"/>
          <w:highlight w:val="none"/>
          <w:u w:val="single"/>
        </w:rPr>
        <w:t xml:space="preserve"> </w:t>
      </w:r>
      <w:r>
        <w:rPr>
          <w:rFonts w:ascii="宋体" w:hAnsi="宋体"/>
          <w:color w:val="auto"/>
          <w:szCs w:val="21"/>
          <w:highlight w:val="none"/>
          <w:u w:val="single"/>
        </w:rPr>
        <w:t>2025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u w:val="single"/>
        </w:rPr>
        <w:t>日</w:t>
      </w:r>
      <w:r>
        <w:rPr>
          <w:rFonts w:ascii="宋体" w:hAnsi="宋体"/>
          <w:bCs/>
          <w:color w:val="auto"/>
          <w:szCs w:val="21"/>
          <w:highlight w:val="none"/>
          <w:u w:val="single"/>
        </w:rPr>
        <w:t>9</w:t>
      </w:r>
      <w:r>
        <w:rPr>
          <w:rFonts w:hint="eastAsia" w:ascii="宋体" w:hAnsi="宋体"/>
          <w:bCs/>
          <w:color w:val="auto"/>
          <w:szCs w:val="21"/>
          <w:highlight w:val="none"/>
          <w:u w:val="single"/>
        </w:rPr>
        <w:t>时30分</w:t>
      </w:r>
      <w:r>
        <w:rPr>
          <w:rFonts w:hint="eastAsia" w:ascii="宋体" w:hAnsi="宋体"/>
          <w:bCs/>
          <w:color w:val="auto"/>
          <w:szCs w:val="21"/>
          <w:highlight w:val="none"/>
        </w:rPr>
        <w:t>（北京时间）</w:t>
      </w:r>
    </w:p>
    <w:p w14:paraId="0ED4C5AF">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2E792B65">
      <w:pPr>
        <w:ind w:firstLine="354" w:firstLineChars="147"/>
        <w:rPr>
          <w:rFonts w:ascii="黑体" w:hAnsi="黑体" w:eastAsia="黑体"/>
          <w:b/>
          <w:color w:val="auto"/>
          <w:sz w:val="24"/>
          <w:highlight w:val="none"/>
        </w:rPr>
      </w:pPr>
      <w:bookmarkStart w:id="31" w:name="_Toc28359017"/>
      <w:bookmarkStart w:id="32" w:name="_Toc35393803"/>
      <w:bookmarkStart w:id="33" w:name="_Toc44229883"/>
      <w:bookmarkStart w:id="34" w:name="_Toc28359094"/>
      <w:bookmarkStart w:id="35" w:name="_Toc71365910"/>
      <w:bookmarkStart w:id="36" w:name="_Toc35393634"/>
      <w:r>
        <w:rPr>
          <w:rFonts w:hint="eastAsia" w:ascii="黑体" w:hAnsi="黑体" w:eastAsia="黑体"/>
          <w:b/>
          <w:color w:val="auto"/>
          <w:sz w:val="24"/>
          <w:highlight w:val="none"/>
        </w:rPr>
        <w:t>六、公告期限</w:t>
      </w:r>
      <w:bookmarkEnd w:id="31"/>
      <w:bookmarkEnd w:id="32"/>
      <w:bookmarkEnd w:id="33"/>
      <w:bookmarkEnd w:id="34"/>
      <w:bookmarkEnd w:id="35"/>
      <w:bookmarkEnd w:id="36"/>
    </w:p>
    <w:p w14:paraId="7471021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ascii="宋体" w:hAnsi="宋体" w:cs="宋体"/>
          <w:color w:val="auto"/>
          <w:kern w:val="0"/>
          <w:szCs w:val="21"/>
          <w:highlight w:val="none"/>
        </w:rPr>
        <w:t>5</w:t>
      </w:r>
      <w:r>
        <w:rPr>
          <w:rFonts w:hint="eastAsia" w:ascii="宋体" w:hAnsi="宋体" w:cs="宋体"/>
          <w:color w:val="auto"/>
          <w:kern w:val="0"/>
          <w:szCs w:val="21"/>
          <w:highlight w:val="none"/>
        </w:rPr>
        <w:t>个工作日。</w:t>
      </w:r>
    </w:p>
    <w:p w14:paraId="673D5152">
      <w:pPr>
        <w:ind w:firstLine="354" w:firstLineChars="147"/>
        <w:rPr>
          <w:rFonts w:ascii="黑体" w:hAnsi="黑体" w:eastAsia="黑体"/>
          <w:b/>
          <w:color w:val="auto"/>
          <w:sz w:val="24"/>
          <w:highlight w:val="none"/>
        </w:rPr>
      </w:pPr>
      <w:bookmarkStart w:id="37" w:name="_Toc35393635"/>
      <w:bookmarkStart w:id="38" w:name="_Toc71365911"/>
      <w:bookmarkStart w:id="39" w:name="_Toc35393804"/>
      <w:bookmarkStart w:id="40" w:name="_Toc44229884"/>
      <w:r>
        <w:rPr>
          <w:rFonts w:hint="eastAsia" w:ascii="黑体" w:hAnsi="黑体" w:eastAsia="黑体"/>
          <w:b/>
          <w:color w:val="auto"/>
          <w:sz w:val="24"/>
          <w:highlight w:val="none"/>
        </w:rPr>
        <w:t>七、其他补充事宜</w:t>
      </w:r>
      <w:bookmarkEnd w:id="37"/>
      <w:bookmarkEnd w:id="38"/>
      <w:bookmarkEnd w:id="39"/>
      <w:bookmarkEnd w:id="40"/>
    </w:p>
    <w:p w14:paraId="6FDEB2C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4AED444C">
      <w:pPr>
        <w:spacing w:line="360" w:lineRule="auto"/>
        <w:ind w:left="420" w:leftChars="200" w:firstLine="4" w:firstLineChars="2"/>
        <w:rPr>
          <w:rFonts w:ascii="宋体" w:hAnsi="宋体"/>
          <w:color w:val="auto"/>
          <w:szCs w:val="21"/>
          <w:highlight w:val="none"/>
        </w:rPr>
      </w:pPr>
      <w:bookmarkStart w:id="41" w:name="_Hlk37429674"/>
      <w:bookmarkStart w:id="42" w:name="_Toc35393636"/>
      <w:bookmarkStart w:id="43" w:name="_Toc28359018"/>
      <w:bookmarkStart w:id="44" w:name="_Toc28359095"/>
      <w:bookmarkStart w:id="45" w:name="_Toc44229885"/>
      <w:bookmarkStart w:id="46" w:name="_Toc35393805"/>
      <w:r>
        <w:rPr>
          <w:rFonts w:hint="eastAsia"/>
          <w:color w:val="auto"/>
          <w:kern w:val="0"/>
          <w:highlight w:val="none"/>
        </w:rPr>
        <w:t>中国政府采购网（</w:t>
      </w:r>
      <w:r>
        <w:rPr>
          <w:color w:val="auto"/>
          <w:kern w:val="0"/>
          <w:highlight w:val="none"/>
        </w:rPr>
        <w:t>http://www.ccgp.gov.cn</w:t>
      </w:r>
      <w:r>
        <w:rPr>
          <w:rFonts w:hint="eastAsia"/>
          <w:color w:val="auto"/>
          <w:kern w:val="0"/>
          <w:highlight w:val="none"/>
        </w:rPr>
        <w:t>）</w:t>
      </w:r>
      <w:r>
        <w:rPr>
          <w:color w:val="auto"/>
          <w:kern w:val="0"/>
          <w:highlight w:val="none"/>
        </w:rPr>
        <w:br w:type="textWrapping"/>
      </w:r>
      <w:r>
        <w:rPr>
          <w:rFonts w:hint="eastAsia"/>
          <w:color w:val="auto"/>
          <w:kern w:val="0"/>
          <w:highlight w:val="none"/>
        </w:rPr>
        <w:t>广西壮族自治区政府采购网（</w:t>
      </w:r>
      <w:r>
        <w:rPr>
          <w:color w:val="auto"/>
          <w:kern w:val="0"/>
          <w:highlight w:val="none"/>
        </w:rPr>
        <w:t>http://zfcg.gxzf.gov.cn</w:t>
      </w:r>
      <w:r>
        <w:rPr>
          <w:rFonts w:hint="eastAsia"/>
          <w:color w:val="auto"/>
          <w:kern w:val="0"/>
          <w:highlight w:val="none"/>
        </w:rPr>
        <w:t>）</w:t>
      </w:r>
    </w:p>
    <w:p w14:paraId="1BFDAF94">
      <w:pPr>
        <w:spacing w:line="360" w:lineRule="auto"/>
        <w:ind w:firstLine="424" w:firstLineChars="202"/>
        <w:rPr>
          <w:rFonts w:hint="eastAsia" w:ascii="宋体" w:hAnsi="宋体" w:cs="宋体"/>
          <w:color w:val="auto"/>
          <w:kern w:val="0"/>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1A52DAE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A941BE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0D75C60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5902FF4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0F0541D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bookmarkEnd w:id="41"/>
    <w:p w14:paraId="5DD7879F">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4430CC9C">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”查看电子竞标具体操作流程。</w:t>
      </w:r>
    </w:p>
    <w:p w14:paraId="37C22AEE">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如在操作过程中遇到问题或者需要技术支持，请致电广西政府采购云客服热线：95763或</w:t>
      </w:r>
      <w:r>
        <w:rPr>
          <w:rFonts w:hint="eastAsia" w:ascii="宋体" w:hAnsi="宋体" w:cs="宋体"/>
          <w:color w:val="auto"/>
          <w:kern w:val="0"/>
          <w:szCs w:val="21"/>
          <w:highlight w:val="none"/>
        </w:rPr>
        <w:t>0771-3381253</w:t>
      </w:r>
      <w:r>
        <w:rPr>
          <w:rFonts w:hint="eastAsia" w:ascii="宋体" w:hAnsi="宋体"/>
          <w:color w:val="auto"/>
          <w:szCs w:val="21"/>
          <w:highlight w:val="none"/>
        </w:rPr>
        <w:t>）。</w:t>
      </w:r>
    </w:p>
    <w:p w14:paraId="02CB2790">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0617FB78">
      <w:pPr>
        <w:widowControl/>
        <w:spacing w:line="360" w:lineRule="auto"/>
        <w:ind w:firstLine="420" w:firstLineChars="20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311F1B62">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（4）供应商需要在具备有摄像头及语音功能且互联网网络状况良好的电脑登录广西政府采购云平台远程开标大厅参与本次磋商，否则后果自负。</w:t>
      </w:r>
    </w:p>
    <w:p w14:paraId="4959743A">
      <w:pPr>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2"/>
      <w:bookmarkEnd w:id="43"/>
      <w:bookmarkEnd w:id="44"/>
      <w:bookmarkEnd w:id="45"/>
      <w:bookmarkEnd w:id="46"/>
    </w:p>
    <w:p w14:paraId="1506B73E">
      <w:pPr>
        <w:spacing w:line="360" w:lineRule="auto"/>
        <w:ind w:firstLine="420" w:firstLineChars="200"/>
        <w:rPr>
          <w:rFonts w:ascii="宋体" w:hAnsi="宋体" w:cs="宋体"/>
          <w:color w:val="auto"/>
          <w:kern w:val="0"/>
          <w:szCs w:val="21"/>
          <w:highlight w:val="none"/>
        </w:rPr>
      </w:pPr>
      <w:bookmarkStart w:id="47" w:name="_Toc35393637"/>
      <w:bookmarkStart w:id="48" w:name="_Toc35393806"/>
      <w:bookmarkStart w:id="49" w:name="_Toc28359019"/>
      <w:bookmarkStart w:id="50" w:name="_Toc28359096"/>
      <w:r>
        <w:rPr>
          <w:rFonts w:hint="eastAsia" w:ascii="宋体" w:hAnsi="宋体" w:cs="宋体"/>
          <w:color w:val="auto"/>
          <w:kern w:val="0"/>
          <w:szCs w:val="21"/>
          <w:highlight w:val="none"/>
        </w:rPr>
        <w:t>1.采购人信息</w:t>
      </w:r>
      <w:bookmarkEnd w:id="47"/>
      <w:bookmarkEnd w:id="48"/>
      <w:bookmarkEnd w:id="49"/>
      <w:bookmarkEnd w:id="50"/>
    </w:p>
    <w:p w14:paraId="55A6CC5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u w:val="single"/>
        </w:rPr>
        <w:t>广西壮族自治区农业农村厅　　</w:t>
      </w:r>
    </w:p>
    <w:p w14:paraId="7D7FE95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广西壮族自治区南宁市青秀区青山路8号/530021</w:t>
      </w:r>
    </w:p>
    <w:p w14:paraId="43E753F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u w:val="single"/>
          <w:lang w:eastAsia="zh-CN"/>
        </w:rPr>
        <w:t>卢薏</w:t>
      </w:r>
      <w:r>
        <w:rPr>
          <w:rFonts w:hint="eastAsia" w:ascii="宋体" w:hAnsi="宋体"/>
          <w:color w:val="auto"/>
          <w:szCs w:val="21"/>
          <w:highlight w:val="none"/>
          <w:u w:val="single"/>
          <w:lang w:val="en-US" w:eastAsia="zh-CN"/>
        </w:rPr>
        <w:t>0771-5855057</w:t>
      </w:r>
      <w:r>
        <w:rPr>
          <w:rFonts w:hint="eastAsia" w:ascii="宋体" w:hAnsi="宋体"/>
          <w:color w:val="auto"/>
          <w:szCs w:val="21"/>
          <w:highlight w:val="none"/>
          <w:u w:val="single"/>
        </w:rPr>
        <w:t xml:space="preserve">  ，0771-</w:t>
      </w:r>
      <w:r>
        <w:rPr>
          <w:rFonts w:hint="eastAsia" w:ascii="宋体" w:hAnsi="宋体"/>
          <w:color w:val="auto"/>
          <w:szCs w:val="21"/>
          <w:highlight w:val="none"/>
          <w:u w:val="single"/>
          <w:lang w:val="en-US" w:eastAsia="zh-CN"/>
        </w:rPr>
        <w:t>5586550</w:t>
      </w:r>
      <w:r>
        <w:rPr>
          <w:rFonts w:hint="eastAsia" w:ascii="宋体" w:hAnsi="宋体"/>
          <w:color w:val="auto"/>
          <w:szCs w:val="21"/>
          <w:highlight w:val="none"/>
          <w:u w:val="single"/>
        </w:rPr>
        <w:t xml:space="preserve">  </w:t>
      </w:r>
    </w:p>
    <w:bookmarkEnd w:id="0"/>
    <w:p w14:paraId="11914BF7">
      <w:pPr>
        <w:spacing w:line="400" w:lineRule="exact"/>
        <w:ind w:firstLine="420" w:firstLineChars="200"/>
        <w:rPr>
          <w:rFonts w:ascii="宋体" w:hAnsi="宋体" w:cs="仿宋"/>
          <w:color w:val="auto"/>
          <w:kern w:val="0"/>
          <w:szCs w:val="21"/>
          <w:highlight w:val="none"/>
        </w:rPr>
      </w:pPr>
      <w:r>
        <w:rPr>
          <w:rFonts w:hint="eastAsia" w:ascii="宋体" w:hAnsi="宋体" w:cs="仿宋"/>
          <w:color w:val="auto"/>
          <w:kern w:val="0"/>
          <w:szCs w:val="21"/>
          <w:highlight w:val="none"/>
        </w:rPr>
        <w:t>2.采购代理机构信息</w:t>
      </w:r>
    </w:p>
    <w:p w14:paraId="016E01B2">
      <w:pPr>
        <w:spacing w:line="400" w:lineRule="exact"/>
        <w:ind w:firstLine="420" w:firstLineChars="200"/>
        <w:rPr>
          <w:rFonts w:hint="eastAsia" w:ascii="宋体" w:hAnsi="宋体" w:cs="仿宋"/>
          <w:color w:val="auto"/>
          <w:szCs w:val="21"/>
          <w:highlight w:val="none"/>
        </w:rPr>
      </w:pPr>
      <w:bookmarkStart w:id="51" w:name="_Toc28359098"/>
      <w:bookmarkStart w:id="52" w:name="_Toc35393808"/>
      <w:bookmarkStart w:id="53" w:name="_Toc35393639"/>
      <w:bookmarkStart w:id="54" w:name="_Toc28359021"/>
      <w:r>
        <w:rPr>
          <w:rFonts w:hint="eastAsia" w:ascii="宋体" w:hAnsi="宋体" w:cs="仿宋"/>
          <w:color w:val="auto"/>
          <w:szCs w:val="21"/>
          <w:highlight w:val="none"/>
        </w:rPr>
        <w:t>名称：</w:t>
      </w:r>
      <w:r>
        <w:rPr>
          <w:rFonts w:hint="eastAsia" w:ascii="宋体" w:hAnsi="宋体" w:cs="仿宋"/>
          <w:color w:val="auto"/>
          <w:szCs w:val="21"/>
          <w:highlight w:val="none"/>
          <w:u w:val="single"/>
        </w:rPr>
        <w:t>云之龙咨询集团有限公司　　</w:t>
      </w:r>
    </w:p>
    <w:p w14:paraId="71AD19B2">
      <w:pPr>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地　　址：</w:t>
      </w:r>
      <w:r>
        <w:rPr>
          <w:rFonts w:hint="eastAsia" w:ascii="宋体" w:hAnsi="宋体" w:cs="仿宋"/>
          <w:color w:val="auto"/>
          <w:szCs w:val="21"/>
          <w:highlight w:val="none"/>
          <w:u w:val="single"/>
        </w:rPr>
        <w:t>广西南宁市良庆区云英路15号3号楼云之龙咨询集团大厦6楼/530201　　</w:t>
      </w:r>
    </w:p>
    <w:p w14:paraId="4C8C41FD">
      <w:pPr>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联系电话：0771-2618118、2611889、2611898</w:t>
      </w:r>
    </w:p>
    <w:p w14:paraId="31C3C51F">
      <w:pPr>
        <w:spacing w:line="400" w:lineRule="exact"/>
        <w:ind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3.项目联系方式</w:t>
      </w:r>
      <w:bookmarkEnd w:id="51"/>
      <w:bookmarkEnd w:id="52"/>
      <w:bookmarkEnd w:id="53"/>
      <w:bookmarkEnd w:id="54"/>
    </w:p>
    <w:p w14:paraId="2320913D">
      <w:pPr>
        <w:spacing w:line="400" w:lineRule="exact"/>
        <w:ind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项目联系人：</w:t>
      </w:r>
      <w:r>
        <w:rPr>
          <w:rFonts w:hint="eastAsia" w:ascii="宋体" w:hAnsi="宋体" w:cs="宋体"/>
          <w:color w:val="auto"/>
          <w:kern w:val="0"/>
          <w:szCs w:val="21"/>
          <w:highlight w:val="none"/>
        </w:rPr>
        <w:t>刘健</w:t>
      </w:r>
    </w:p>
    <w:p w14:paraId="7EB5F292">
      <w:r>
        <w:rPr>
          <w:rFonts w:hint="eastAsia" w:ascii="宋体" w:hAnsi="宋体" w:cs="仿宋"/>
          <w:color w:val="auto"/>
          <w:kern w:val="0"/>
          <w:szCs w:val="21"/>
          <w:highlight w:val="none"/>
        </w:rPr>
        <w:t>电　　话：</w:t>
      </w:r>
      <w:r>
        <w:rPr>
          <w:rFonts w:hint="eastAsia" w:ascii="宋体" w:hAnsi="宋体" w:cs="仿宋"/>
          <w:color w:val="auto"/>
          <w:kern w:val="0"/>
          <w:szCs w:val="21"/>
          <w:highlight w:val="none"/>
          <w:u w:val="single"/>
        </w:rPr>
        <w:t>0771-2618118、2611889、2611898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0B5F59"/>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annotation reference"/>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WG</cp:lastModifiedBy>
  <dcterms:modified xsi:type="dcterms:W3CDTF">2025-12-02T09:27:44Z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eyJoZGlkIjoiYWRhMWIxZWQ5OTg5NmZlOWNhNTA2NTI5YTIzMjg0OWEiLCJ1c2VySWQiOiI0MjM1ODIwMDkifQ==</vt:lpwstr>
  </property>
</Properties>
</file>