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7C14">
      <w:pPr>
        <w:pStyle w:val="2"/>
        <w:spacing w:before="0" w:line="440" w:lineRule="exact"/>
        <w:ind w:left="0" w:leftChars="0" w:firstLine="0" w:firstLineChars="0"/>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云之龙咨询集团有限公司南宁市第二人民医院红外特定波光能温热治疗仪采购NNZC2025-J1-990788-YZLZ</w:t>
      </w:r>
      <w:bookmarkStart w:id="0" w:name="_Toc80205920"/>
      <w:r>
        <w:rPr>
          <w:rFonts w:hint="eastAsia"/>
          <w:color w:val="000000" w:themeColor="text1"/>
          <w:highlight w:val="none"/>
          <w14:textFill>
            <w14:solidFill>
              <w14:schemeClr w14:val="tx1"/>
            </w14:solidFill>
          </w14:textFill>
        </w:rPr>
        <w:t>竞争性谈判公告</w:t>
      </w:r>
      <w:bookmarkEnd w:id="0"/>
      <w:bookmarkStart w:id="1" w:name="_Toc28359012"/>
      <w:bookmarkStart w:id="2" w:name="_Toc35393629"/>
      <w:bookmarkStart w:id="3" w:name="_Toc44229878"/>
      <w:bookmarkStart w:id="4" w:name="_Toc28359089"/>
      <w:bookmarkStart w:id="5" w:name="_Toc35393798"/>
      <w:bookmarkStart w:id="6" w:name="_Toc28359081"/>
      <w:bookmarkStart w:id="7" w:name="_Toc35393623"/>
      <w:bookmarkStart w:id="8" w:name="_Toc35393792"/>
      <w:bookmarkStart w:id="9" w:name="_Toc28359004"/>
    </w:p>
    <w:p w14:paraId="6FAAB6B1">
      <w:pPr>
        <w:pBdr>
          <w:top w:val="single" w:color="auto" w:sz="4" w:space="1"/>
          <w:left w:val="single" w:color="auto" w:sz="4" w:space="4"/>
          <w:bottom w:val="single" w:color="auto" w:sz="4" w:space="1"/>
          <w:right w:val="single" w:color="auto" w:sz="4" w:space="4"/>
        </w:pBdr>
        <w:tabs>
          <w:tab w:val="left" w:pos="244"/>
        </w:tabs>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项目概况</w:t>
      </w:r>
    </w:p>
    <w:p w14:paraId="702A3D87">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u w:val="single"/>
        </w:rPr>
        <w:t>南宁市第二人民医院红外特定波光能温热治疗仪采购项目</w:t>
      </w:r>
      <w:r>
        <w:rPr>
          <w:rFonts w:hint="eastAsia" w:asciiTheme="majorEastAsia" w:hAnsiTheme="majorEastAsia" w:eastAsiaTheme="majorEastAsia"/>
          <w:color w:val="000000"/>
          <w:szCs w:val="21"/>
        </w:rPr>
        <w:t>的潜在供应商应在广西政府采购云平台（https://www.gcy.zfcg.gxzf.gov.cn/）</w:t>
      </w:r>
      <w:r>
        <w:rPr>
          <w:rFonts w:hint="eastAsia" w:asciiTheme="majorEastAsia" w:hAnsiTheme="majorEastAsia" w:eastAsiaTheme="majorEastAsia"/>
          <w:snapToGrid w:val="0"/>
          <w:szCs w:val="21"/>
        </w:rPr>
        <w:t>获取（下载）</w:t>
      </w:r>
      <w:r>
        <w:rPr>
          <w:rFonts w:hint="eastAsia" w:asciiTheme="majorEastAsia" w:hAnsiTheme="majorEastAsia" w:eastAsiaTheme="majorEastAsia"/>
          <w:szCs w:val="21"/>
        </w:rPr>
        <w:t>获取竞争性谈判文件，并于</w:t>
      </w:r>
      <w:r>
        <w:rPr>
          <w:rFonts w:asciiTheme="majorEastAsia" w:hAnsiTheme="majorEastAsia" w:eastAsiaTheme="majorEastAsia"/>
          <w:szCs w:val="21"/>
          <w:u w:val="single"/>
        </w:rPr>
        <w:t>2025年</w:t>
      </w:r>
      <w:r>
        <w:rPr>
          <w:rFonts w:hint="eastAsia" w:asciiTheme="majorEastAsia" w:hAnsiTheme="majorEastAsia" w:eastAsiaTheme="majorEastAsia"/>
          <w:szCs w:val="21"/>
          <w:u w:val="single"/>
          <w:lang w:val="en-US" w:eastAsia="zh-CN"/>
        </w:rPr>
        <w:t>8</w:t>
      </w:r>
      <w:r>
        <w:rPr>
          <w:rFonts w:asciiTheme="majorEastAsia" w:hAnsiTheme="majorEastAsia" w:eastAsiaTheme="majorEastAsia"/>
          <w:szCs w:val="21"/>
          <w:u w:val="single"/>
        </w:rPr>
        <w:t>月</w:t>
      </w:r>
      <w:r>
        <w:rPr>
          <w:rFonts w:hint="eastAsia" w:asciiTheme="majorEastAsia" w:hAnsiTheme="majorEastAsia" w:eastAsiaTheme="majorEastAsia"/>
          <w:szCs w:val="21"/>
          <w:u w:val="single"/>
          <w:lang w:val="en-US" w:eastAsia="zh-CN"/>
        </w:rPr>
        <w:t>11</w:t>
      </w:r>
      <w:r>
        <w:rPr>
          <w:rFonts w:asciiTheme="majorEastAsia" w:hAnsiTheme="majorEastAsia" w:eastAsiaTheme="majorEastAsia"/>
          <w:szCs w:val="21"/>
          <w:u w:val="single"/>
        </w:rPr>
        <w:t>日9</w:t>
      </w:r>
      <w:r>
        <w:rPr>
          <w:rFonts w:hint="eastAsia" w:asciiTheme="majorEastAsia" w:hAnsiTheme="majorEastAsia" w:eastAsiaTheme="majorEastAsia"/>
          <w:szCs w:val="21"/>
          <w:u w:val="single"/>
        </w:rPr>
        <w:t>时</w:t>
      </w:r>
      <w:r>
        <w:rPr>
          <w:rFonts w:asciiTheme="majorEastAsia" w:hAnsiTheme="majorEastAsia" w:eastAsiaTheme="majorEastAsia"/>
          <w:szCs w:val="21"/>
          <w:u w:val="single"/>
        </w:rPr>
        <w:t>30</w:t>
      </w:r>
      <w:r>
        <w:rPr>
          <w:rFonts w:hint="eastAsia" w:asciiTheme="majorEastAsia" w:hAnsiTheme="majorEastAsia" w:eastAsiaTheme="majorEastAsia"/>
          <w:color w:val="000000"/>
          <w:szCs w:val="21"/>
          <w:u w:val="single"/>
        </w:rPr>
        <w:t>分</w:t>
      </w:r>
      <w:r>
        <w:rPr>
          <w:rFonts w:hint="eastAsia" w:asciiTheme="majorEastAsia" w:hAnsiTheme="majorEastAsia" w:eastAsiaTheme="majorEastAsia"/>
          <w:bCs/>
          <w:color w:val="000000"/>
          <w:szCs w:val="21"/>
          <w:u w:val="single"/>
        </w:rPr>
        <w:t>（北京时间）</w:t>
      </w:r>
      <w:r>
        <w:rPr>
          <w:rFonts w:hint="eastAsia" w:asciiTheme="majorEastAsia" w:hAnsiTheme="majorEastAsia" w:eastAsiaTheme="majorEastAsia"/>
          <w:bCs/>
          <w:color w:val="000000"/>
          <w:szCs w:val="21"/>
        </w:rPr>
        <w:t>前提交响应文件</w:t>
      </w:r>
      <w:r>
        <w:rPr>
          <w:rFonts w:hint="eastAsia" w:asciiTheme="majorEastAsia" w:hAnsiTheme="majorEastAsia" w:eastAsiaTheme="majorEastAsia"/>
          <w:color w:val="000000"/>
          <w:szCs w:val="21"/>
        </w:rPr>
        <w:t>。</w:t>
      </w:r>
    </w:p>
    <w:p w14:paraId="1637C0FF">
      <w:pPr>
        <w:rPr>
          <w:color w:val="000000" w:themeColor="text1"/>
          <w:highlight w:val="none"/>
          <w14:textFill>
            <w14:solidFill>
              <w14:schemeClr w14:val="tx1"/>
            </w14:solidFill>
          </w14:textFill>
        </w:rPr>
      </w:pPr>
    </w:p>
    <w:p w14:paraId="447932EB">
      <w:pPr>
        <w:rPr>
          <w:color w:val="000000" w:themeColor="text1"/>
          <w:highlight w:val="none"/>
          <w14:textFill>
            <w14:solidFill>
              <w14:schemeClr w14:val="tx1"/>
            </w14:solidFill>
          </w14:textFill>
        </w:rPr>
      </w:pPr>
      <w:r>
        <w:rPr>
          <w:rFonts w:hint="eastAsia" w:ascii="黑体" w:hAnsi="黑体" w:eastAsia="黑体" w:cs="宋体"/>
          <w:bCs/>
          <w:color w:val="000000" w:themeColor="text1"/>
          <w:sz w:val="24"/>
          <w:highlight w:val="none"/>
          <w14:textFill>
            <w14:solidFill>
              <w14:schemeClr w14:val="tx1"/>
            </w14:solidFill>
          </w14:textFill>
        </w:rPr>
        <w:t>一、项目基本情况</w:t>
      </w:r>
      <w:bookmarkEnd w:id="1"/>
      <w:bookmarkEnd w:id="2"/>
      <w:bookmarkEnd w:id="3"/>
      <w:bookmarkEnd w:id="4"/>
      <w:bookmarkEnd w:id="5"/>
    </w:p>
    <w:p w14:paraId="78A331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项目编号：NNZC2025-J1-990788-YZLZ（采购计划编号：NNZC[2025]4740号）</w:t>
      </w:r>
    </w:p>
    <w:p w14:paraId="279C69E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项目名称：南宁市第二人民</w:t>
      </w:r>
      <w:bookmarkStart w:id="28" w:name="_GoBack"/>
      <w:bookmarkEnd w:id="28"/>
      <w:r>
        <w:rPr>
          <w:rFonts w:hint="eastAsia" w:ascii="宋体" w:hAnsi="宋体"/>
          <w:color w:val="000000" w:themeColor="text1"/>
          <w:szCs w:val="21"/>
          <w:highlight w:val="none"/>
          <w14:textFill>
            <w14:solidFill>
              <w14:schemeClr w14:val="tx1"/>
            </w14:solidFill>
          </w14:textFill>
        </w:rPr>
        <w:t>医院红外特定波光能温热治疗仪采购</w:t>
      </w:r>
    </w:p>
    <w:p w14:paraId="3696A74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ascii="宋体" w:hAnsi="宋体"/>
          <w:color w:val="000000" w:themeColor="text1"/>
          <w:szCs w:val="21"/>
          <w:highlight w:val="none"/>
          <w14:textFill>
            <w14:solidFill>
              <w14:schemeClr w14:val="tx1"/>
            </w14:solidFill>
          </w14:textFill>
        </w:rPr>
        <w:t>60</w:t>
      </w:r>
      <w:r>
        <w:rPr>
          <w:rFonts w:hint="eastAsia" w:ascii="宋体" w:hAnsi="宋体"/>
          <w:color w:val="000000" w:themeColor="text1"/>
          <w:szCs w:val="21"/>
          <w:highlight w:val="none"/>
          <w14:textFill>
            <w14:solidFill>
              <w14:schemeClr w14:val="tx1"/>
            </w14:solidFill>
          </w14:textFill>
        </w:rPr>
        <w:t>.00万元</w:t>
      </w:r>
    </w:p>
    <w:p w14:paraId="3344C96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最高限价：52.75万元</w:t>
      </w:r>
    </w:p>
    <w:tbl>
      <w:tblPr>
        <w:tblStyle w:val="1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2132"/>
        <w:gridCol w:w="783"/>
        <w:gridCol w:w="5083"/>
      </w:tblGrid>
      <w:tr w14:paraId="726D7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8" w:type="pct"/>
            <w:tcBorders>
              <w:top w:val="single" w:color="auto" w:sz="4" w:space="0"/>
              <w:left w:val="single" w:color="auto" w:sz="4" w:space="0"/>
              <w:bottom w:val="single" w:color="auto" w:sz="4" w:space="0"/>
              <w:right w:val="single" w:color="auto" w:sz="4" w:space="0"/>
            </w:tcBorders>
            <w:noWrap/>
            <w:vAlign w:val="center"/>
          </w:tcPr>
          <w:p w14:paraId="70EE832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250" w:type="pct"/>
            <w:tcBorders>
              <w:top w:val="single" w:color="auto" w:sz="4" w:space="0"/>
              <w:left w:val="single" w:color="auto" w:sz="4" w:space="0"/>
              <w:bottom w:val="single" w:color="auto" w:sz="4" w:space="0"/>
              <w:right w:val="single" w:color="auto" w:sz="4" w:space="0"/>
            </w:tcBorders>
            <w:noWrap/>
            <w:vAlign w:val="center"/>
          </w:tcPr>
          <w:p w14:paraId="09294A41">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459" w:type="pct"/>
            <w:tcBorders>
              <w:top w:val="single" w:color="auto" w:sz="4" w:space="0"/>
              <w:left w:val="single" w:color="auto" w:sz="4" w:space="0"/>
              <w:bottom w:val="single" w:color="auto" w:sz="4" w:space="0"/>
              <w:right w:val="single" w:color="auto" w:sz="4" w:space="0"/>
            </w:tcBorders>
            <w:noWrap/>
            <w:vAlign w:val="center"/>
          </w:tcPr>
          <w:p w14:paraId="10125B2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br w:type="textWrapping"/>
            </w:r>
            <w:r>
              <w:rPr>
                <w:rFonts w:hint="eastAsia" w:ascii="宋体" w:hAnsi="宋体"/>
                <w:color w:val="000000" w:themeColor="text1"/>
                <w:szCs w:val="21"/>
                <w:highlight w:val="none"/>
                <w14:textFill>
                  <w14:solidFill>
                    <w14:schemeClr w14:val="tx1"/>
                  </w14:solidFill>
                </w14:textFill>
              </w:rPr>
              <w:t>数量</w:t>
            </w:r>
          </w:p>
        </w:tc>
        <w:tc>
          <w:tcPr>
            <w:tcW w:w="2981" w:type="pct"/>
            <w:tcBorders>
              <w:top w:val="single" w:color="auto" w:sz="4" w:space="0"/>
              <w:left w:val="single" w:color="auto" w:sz="4" w:space="0"/>
              <w:bottom w:val="single" w:color="auto" w:sz="4" w:space="0"/>
              <w:right w:val="single" w:color="auto" w:sz="4" w:space="0"/>
            </w:tcBorders>
            <w:noWrap/>
            <w:vAlign w:val="center"/>
          </w:tcPr>
          <w:p w14:paraId="2B40DD10">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26788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8" w:type="pct"/>
            <w:tcBorders>
              <w:top w:val="single" w:color="auto" w:sz="4" w:space="0"/>
              <w:left w:val="single" w:color="auto" w:sz="4" w:space="0"/>
              <w:bottom w:val="single" w:color="auto" w:sz="4" w:space="0"/>
              <w:right w:val="single" w:color="auto" w:sz="4" w:space="0"/>
            </w:tcBorders>
            <w:noWrap/>
            <w:vAlign w:val="center"/>
          </w:tcPr>
          <w:p w14:paraId="6B99A8F2">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250" w:type="pct"/>
            <w:tcBorders>
              <w:top w:val="single" w:color="auto" w:sz="4" w:space="0"/>
              <w:left w:val="single" w:color="auto" w:sz="4" w:space="0"/>
              <w:bottom w:val="single" w:color="auto" w:sz="4" w:space="0"/>
              <w:right w:val="single" w:color="auto" w:sz="4" w:space="0"/>
            </w:tcBorders>
            <w:noWrap/>
            <w:vAlign w:val="center"/>
          </w:tcPr>
          <w:p w14:paraId="00F34155">
            <w:pPr>
              <w:widowControl/>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红外特定波光能温热治疗仪</w:t>
            </w:r>
          </w:p>
        </w:tc>
        <w:tc>
          <w:tcPr>
            <w:tcW w:w="459" w:type="pct"/>
            <w:tcBorders>
              <w:top w:val="single" w:color="auto" w:sz="4" w:space="0"/>
              <w:left w:val="single" w:color="auto" w:sz="4" w:space="0"/>
              <w:bottom w:val="single" w:color="auto" w:sz="4" w:space="0"/>
              <w:right w:val="single" w:color="auto" w:sz="4" w:space="0"/>
            </w:tcBorders>
            <w:noWrap/>
            <w:vAlign w:val="center"/>
          </w:tcPr>
          <w:p w14:paraId="0F1DFF45">
            <w:pPr>
              <w:widowControl/>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1台</w:t>
            </w:r>
          </w:p>
        </w:tc>
        <w:tc>
          <w:tcPr>
            <w:tcW w:w="2981" w:type="pct"/>
            <w:tcBorders>
              <w:top w:val="single" w:color="auto" w:sz="4" w:space="0"/>
              <w:left w:val="single" w:color="auto" w:sz="4" w:space="0"/>
              <w:bottom w:val="single" w:color="auto" w:sz="4" w:space="0"/>
              <w:right w:val="single" w:color="auto" w:sz="4" w:space="0"/>
            </w:tcBorders>
            <w:noWrap/>
            <w:vAlign w:val="center"/>
          </w:tcPr>
          <w:p w14:paraId="1E4006A3">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1、适用范围:人乳头瘤病毒感染皮肤所致的寻常疣、跖、尖锐湿疣的治疗</w:t>
            </w:r>
          </w:p>
          <w:p w14:paraId="0CD6C60C">
            <w:pPr>
              <w:snapToGrid w:val="0"/>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r>
    </w:tbl>
    <w:p w14:paraId="384F2B7C">
      <w:pPr>
        <w:keepNext w:val="0"/>
        <w:keepLines w:val="0"/>
        <w:pageBreakBefore w:val="0"/>
        <w:kinsoku/>
        <w:overflowPunct/>
        <w:topLinePunct w:val="0"/>
        <w:autoSpaceDE/>
        <w:autoSpaceDN/>
        <w:bidi w:val="0"/>
        <w:adjustRightInd/>
        <w:spacing w:line="44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自签订合同之日起30个工作日内交付使用。</w:t>
      </w:r>
    </w:p>
    <w:p w14:paraId="5043F755">
      <w:pPr>
        <w:keepNext w:val="0"/>
        <w:keepLines w:val="0"/>
        <w:pageBreakBefore w:val="0"/>
        <w:kinsoku/>
        <w:overflowPunct/>
        <w:topLinePunct w:val="0"/>
        <w:autoSpaceDE/>
        <w:autoSpaceDN/>
        <w:bidi w:val="0"/>
        <w:adjustRightInd/>
        <w:spacing w:line="44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本项目是否接受联合体响应：□是☑</w:t>
      </w:r>
      <w:r>
        <w:rPr>
          <w:rFonts w:hint="eastAsia" w:ascii="宋体" w:hAnsi="宋体"/>
          <w:b/>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w:t>
      </w:r>
    </w:p>
    <w:p w14:paraId="5A745610">
      <w:pPr>
        <w:keepNext w:val="0"/>
        <w:keepLines w:val="0"/>
        <w:pageBreakBefore w:val="0"/>
        <w:kinsoku/>
        <w:overflowPunct/>
        <w:topLinePunct w:val="0"/>
        <w:autoSpaceDE/>
        <w:autoSpaceDN/>
        <w:bidi w:val="0"/>
        <w:adjustRightInd/>
        <w:spacing w:line="440" w:lineRule="exact"/>
        <w:ind w:firstLine="482" w:firstLineChars="200"/>
        <w:textAlignment w:val="auto"/>
        <w:rPr>
          <w:rFonts w:ascii="黑体" w:hAnsi="黑体" w:eastAsia="黑体" w:cs="宋体"/>
          <w:bCs/>
          <w:color w:val="000000" w:themeColor="text1"/>
          <w:sz w:val="24"/>
          <w:highlight w:val="none"/>
          <w14:textFill>
            <w14:solidFill>
              <w14:schemeClr w14:val="tx1"/>
            </w14:solidFill>
          </w14:textFill>
        </w:rPr>
      </w:pPr>
      <w:bookmarkStart w:id="10" w:name="_Toc28359090"/>
      <w:bookmarkStart w:id="11" w:name="_Toc35393630"/>
      <w:bookmarkStart w:id="12" w:name="_Toc35393799"/>
      <w:bookmarkStart w:id="13" w:name="_Toc28359013"/>
      <w:bookmarkStart w:id="14" w:name="_Toc44229879"/>
      <w:r>
        <w:rPr>
          <w:rFonts w:hint="eastAsia" w:ascii="黑体" w:hAnsi="黑体" w:eastAsia="黑体" w:cs="宋体"/>
          <w:b/>
          <w:color w:val="000000" w:themeColor="text1"/>
          <w:kern w:val="44"/>
          <w:sz w:val="24"/>
          <w:highlight w:val="none"/>
          <w14:textFill>
            <w14:solidFill>
              <w14:schemeClr w14:val="tx1"/>
            </w14:solidFill>
          </w14:textFill>
        </w:rPr>
        <w:t>二、供应商的资格条件</w:t>
      </w:r>
      <w:bookmarkEnd w:id="10"/>
      <w:bookmarkEnd w:id="11"/>
      <w:bookmarkEnd w:id="12"/>
      <w:bookmarkEnd w:id="13"/>
      <w:bookmarkEnd w:id="14"/>
    </w:p>
    <w:p w14:paraId="3C168A04">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47B98C00">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2.落实政府采购政策需满足的资格要求：</w:t>
      </w:r>
    </w:p>
    <w:p w14:paraId="343CBFF5">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ascii="Segoe UI Symbol" w:hAnsi="Segoe UI Symbol" w:cs="Segoe UI Symbol"/>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专门面向中小企业采购的项目（供应商竞标产品应为中型或小型或微型企业或监狱企业或残疾人福利性单位制造)</w:t>
      </w:r>
    </w:p>
    <w:p w14:paraId="199CD952">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□非专门面向中小企业采购的项目</w:t>
      </w:r>
    </w:p>
    <w:p w14:paraId="3149E4EC">
      <w:pPr>
        <w:keepNext w:val="0"/>
        <w:keepLines w:val="0"/>
        <w:pageBreakBefore w:val="0"/>
        <w:kinsoku/>
        <w:overflowPunct/>
        <w:topLinePunct w:val="0"/>
        <w:autoSpaceDE/>
        <w:autoSpaceDN/>
        <w:bidi w:val="0"/>
        <w:adjustRightInd/>
        <w:snapToGrid w:val="0"/>
        <w:spacing w:line="440" w:lineRule="exact"/>
        <w:ind w:left="0" w:leftChars="0" w:firstLine="0" w:firstLineChars="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r>
        <w:rPr>
          <w:rFonts w:hint="eastAsia" w:ascii="宋体" w:hAnsi="宋体"/>
          <w:b/>
          <w:color w:val="000000" w:themeColor="text1"/>
          <w:szCs w:val="21"/>
          <w:highlight w:val="none"/>
          <w14:textFill>
            <w14:solidFill>
              <w14:schemeClr w14:val="tx1"/>
            </w14:solidFill>
          </w14:textFill>
        </w:rPr>
        <w:t>供应商</w:t>
      </w:r>
      <w:r>
        <w:rPr>
          <w:rFonts w:hint="eastAsia" w:cs="Arial"/>
          <w:b/>
          <w:color w:val="000000" w:themeColor="text1"/>
          <w:szCs w:val="21"/>
          <w:highlight w:val="none"/>
          <w14:textFill>
            <w14:solidFill>
              <w14:schemeClr w14:val="tx1"/>
            </w14:solidFill>
          </w14:textFill>
        </w:rPr>
        <w:t>按《医疗器械监督管理条例》（国务院令第</w:t>
      </w:r>
      <w:r>
        <w:rPr>
          <w:rFonts w:cs="Arial"/>
          <w:b/>
          <w:color w:val="000000" w:themeColor="text1"/>
          <w:szCs w:val="21"/>
          <w:highlight w:val="none"/>
          <w14:textFill>
            <w14:solidFill>
              <w14:schemeClr w14:val="tx1"/>
            </w14:solidFill>
          </w14:textFill>
        </w:rPr>
        <w:t>739</w:t>
      </w:r>
      <w:r>
        <w:rPr>
          <w:rFonts w:hint="eastAsia" w:cs="Arial"/>
          <w:b/>
          <w:color w:val="000000" w:themeColor="text1"/>
          <w:szCs w:val="21"/>
          <w:highlight w:val="none"/>
          <w14:textFill>
            <w14:solidFill>
              <w14:schemeClr w14:val="tx1"/>
            </w14:solidFill>
          </w14:textFill>
        </w:rPr>
        <w:t>号）医疗器械分类管理要求具备有效的医疗器械经营备案凭证或者经营许可证，且经营范围必须包含采购标的</w:t>
      </w:r>
      <w:r>
        <w:rPr>
          <w:rFonts w:cs="Arial"/>
          <w:b/>
          <w:color w:val="000000" w:themeColor="text1"/>
          <w:szCs w:val="21"/>
          <w:highlight w:val="none"/>
          <w14:textFill>
            <w14:solidFill>
              <w14:schemeClr w14:val="tx1"/>
            </w14:solidFill>
          </w14:textFill>
        </w:rPr>
        <w:t>[</w:t>
      </w:r>
      <w:r>
        <w:rPr>
          <w:rFonts w:hint="eastAsia" w:cs="Arial"/>
          <w:b/>
          <w:color w:val="000000" w:themeColor="text1"/>
          <w:szCs w:val="21"/>
          <w:highlight w:val="none"/>
          <w14:textFill>
            <w14:solidFill>
              <w14:schemeClr w14:val="tx1"/>
            </w14:solidFill>
          </w14:textFill>
        </w:rPr>
        <w:t>符合《医疗器械监督管理条例》第四十一条第二款规定的除外</w:t>
      </w:r>
      <w:r>
        <w:rPr>
          <w:rFonts w:cs="Arial"/>
          <w:b/>
          <w:color w:val="000000" w:themeColor="text1"/>
          <w:szCs w:val="21"/>
          <w:highlight w:val="none"/>
          <w14:textFill>
            <w14:solidFill>
              <w14:schemeClr w14:val="tx1"/>
            </w14:solidFill>
          </w14:textFill>
        </w:rPr>
        <w:t>]</w:t>
      </w:r>
      <w:r>
        <w:rPr>
          <w:rFonts w:hint="eastAsia" w:cs="Arial"/>
          <w:b/>
          <w:color w:val="000000" w:themeColor="text1"/>
          <w:szCs w:val="21"/>
          <w:highlight w:val="none"/>
          <w14:textFill>
            <w14:solidFill>
              <w14:schemeClr w14:val="tx1"/>
            </w14:solidFill>
          </w14:textFill>
        </w:rPr>
        <w:t>；或者供应商具有《医疗器械监督管理条例》第四十三条规定的注册人凭证。</w:t>
      </w:r>
    </w:p>
    <w:p w14:paraId="7AE00C2B">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本项目的特定条件：无</w:t>
      </w:r>
    </w:p>
    <w:p w14:paraId="003FD70B">
      <w:pPr>
        <w:keepNext w:val="0"/>
        <w:keepLines w:val="0"/>
        <w:pageBreakBefore w:val="0"/>
        <w:kinsoku/>
        <w:overflowPunct/>
        <w:topLinePunct w:val="0"/>
        <w:autoSpaceDE/>
        <w:autoSpaceDN/>
        <w:bidi w:val="0"/>
        <w:adjustRightInd/>
        <w:snapToGrid w:val="0"/>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C297992">
      <w:pPr>
        <w:keepNext w:val="0"/>
        <w:keepLines w:val="0"/>
        <w:pageBreakBefore w:val="0"/>
        <w:kinsoku/>
        <w:overflowPunct/>
        <w:topLinePunct w:val="0"/>
        <w:autoSpaceDE/>
        <w:autoSpaceDN/>
        <w:bidi w:val="0"/>
        <w:adjustRightInd/>
        <w:snapToGrid w:val="0"/>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E298ED6">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三、获取竞争性谈判文件</w:t>
      </w:r>
      <w:bookmarkEnd w:id="6"/>
      <w:bookmarkEnd w:id="7"/>
      <w:bookmarkEnd w:id="8"/>
      <w:bookmarkEnd w:id="9"/>
    </w:p>
    <w:p w14:paraId="2B5983D5">
      <w:pPr>
        <w:keepNext w:val="0"/>
        <w:keepLines w:val="0"/>
        <w:pageBreakBefore w:val="0"/>
        <w:kinsoku/>
        <w:overflowPunct/>
        <w:topLinePunct w:val="0"/>
        <w:autoSpaceDE/>
        <w:autoSpaceDN/>
        <w:bidi w:val="0"/>
        <w:adjustRightInd/>
        <w:snapToGrid w:val="0"/>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bookmarkStart w:id="15" w:name="_Toc35393624"/>
      <w:bookmarkStart w:id="16" w:name="_Toc28359082"/>
      <w:bookmarkStart w:id="17" w:name="_Toc28359005"/>
      <w:bookmarkStart w:id="18" w:name="_Toc35393793"/>
      <w:r>
        <w:rPr>
          <w:rFonts w:hint="eastAsia" w:ascii="宋体" w:hAnsi="宋体"/>
          <w:color w:val="000000" w:themeColor="text1"/>
          <w:szCs w:val="21"/>
          <w:highlight w:val="none"/>
          <w14:textFill>
            <w14:solidFill>
              <w14:schemeClr w14:val="tx1"/>
            </w14:solidFill>
          </w14:textFill>
        </w:rPr>
        <w:t>时间：自公告发布之日起。</w:t>
      </w:r>
    </w:p>
    <w:p w14:paraId="24233EEC">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7731B494">
      <w:pPr>
        <w:keepNext w:val="0"/>
        <w:keepLines w:val="0"/>
        <w:pageBreakBefore w:val="0"/>
        <w:kinsoku/>
        <w:overflowPunct/>
        <w:topLinePunct w:val="0"/>
        <w:autoSpaceDE/>
        <w:autoSpaceDN/>
        <w:bidi w:val="0"/>
        <w:adjustRightInd/>
        <w:snapToGrid w:val="0"/>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售价：0元。</w:t>
      </w:r>
    </w:p>
    <w:p w14:paraId="48E99198">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四、</w:t>
      </w:r>
      <w:bookmarkEnd w:id="15"/>
      <w:bookmarkEnd w:id="16"/>
      <w:bookmarkEnd w:id="17"/>
      <w:bookmarkEnd w:id="18"/>
      <w:r>
        <w:rPr>
          <w:rFonts w:hint="eastAsia" w:ascii="黑体" w:hAnsi="黑体" w:eastAsia="黑体"/>
          <w:b/>
          <w:bCs/>
          <w:color w:val="000000" w:themeColor="text1"/>
          <w:sz w:val="24"/>
          <w:highlight w:val="none"/>
          <w14:textFill>
            <w14:solidFill>
              <w14:schemeClr w14:val="tx1"/>
            </w14:solidFill>
          </w14:textFill>
        </w:rPr>
        <w:t>响应文件提交</w:t>
      </w:r>
    </w:p>
    <w:p w14:paraId="43834990">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1、首次响应文件提交截止时间</w:t>
      </w:r>
      <w:r>
        <w:rPr>
          <w:rFonts w:hint="eastAsia" w:ascii="宋体" w:hAnsi="宋体"/>
          <w:bCs/>
          <w:color w:val="000000" w:themeColor="text1"/>
          <w:szCs w:val="21"/>
          <w:highlight w:val="none"/>
          <w14:textFill>
            <w14:solidFill>
              <w14:schemeClr w14:val="tx1"/>
            </w14:solidFill>
          </w14:textFill>
        </w:rPr>
        <w:t>（北京时间）：</w:t>
      </w:r>
      <w:r>
        <w:rPr>
          <w:rFonts w:asciiTheme="majorEastAsia" w:hAnsiTheme="majorEastAsia" w:eastAsiaTheme="majorEastAsia"/>
          <w:szCs w:val="21"/>
          <w:u w:val="single"/>
        </w:rPr>
        <w:t>2025年</w:t>
      </w:r>
      <w:r>
        <w:rPr>
          <w:rFonts w:hint="eastAsia" w:asciiTheme="majorEastAsia" w:hAnsiTheme="majorEastAsia" w:eastAsiaTheme="majorEastAsia"/>
          <w:szCs w:val="21"/>
          <w:u w:val="single"/>
          <w:lang w:val="en-US" w:eastAsia="zh-CN"/>
        </w:rPr>
        <w:t>8</w:t>
      </w:r>
      <w:r>
        <w:rPr>
          <w:rFonts w:asciiTheme="majorEastAsia" w:hAnsiTheme="majorEastAsia" w:eastAsiaTheme="majorEastAsia"/>
          <w:szCs w:val="21"/>
          <w:u w:val="single"/>
        </w:rPr>
        <w:t>月</w:t>
      </w:r>
      <w:r>
        <w:rPr>
          <w:rFonts w:hint="eastAsia" w:asciiTheme="majorEastAsia" w:hAnsiTheme="majorEastAsia" w:eastAsiaTheme="majorEastAsia"/>
          <w:szCs w:val="21"/>
          <w:u w:val="single"/>
          <w:lang w:val="en-US" w:eastAsia="zh-CN"/>
        </w:rPr>
        <w:t>11</w:t>
      </w:r>
      <w:r>
        <w:rPr>
          <w:rFonts w:asciiTheme="majorEastAsia" w:hAnsiTheme="majorEastAsia" w:eastAsiaTheme="majorEastAsia"/>
          <w:szCs w:val="21"/>
          <w:u w:val="single"/>
        </w:rPr>
        <w:t>日9</w:t>
      </w:r>
      <w:r>
        <w:rPr>
          <w:rFonts w:hint="eastAsia" w:asciiTheme="majorEastAsia" w:hAnsiTheme="majorEastAsia" w:eastAsiaTheme="majorEastAsia"/>
          <w:szCs w:val="21"/>
          <w:u w:val="single"/>
        </w:rPr>
        <w:t>时</w:t>
      </w:r>
      <w:r>
        <w:rPr>
          <w:rFonts w:asciiTheme="majorEastAsia" w:hAnsiTheme="majorEastAsia" w:eastAsiaTheme="majorEastAsia"/>
          <w:szCs w:val="21"/>
          <w:u w:val="single"/>
        </w:rPr>
        <w:t>30</w:t>
      </w:r>
      <w:r>
        <w:rPr>
          <w:rFonts w:hint="eastAsia" w:asciiTheme="majorEastAsia" w:hAnsiTheme="majorEastAsia" w:eastAsiaTheme="majorEastAsia"/>
          <w:color w:val="000000"/>
          <w:szCs w:val="21"/>
          <w:u w:val="single"/>
        </w:rPr>
        <w:t>分</w:t>
      </w:r>
    </w:p>
    <w:p w14:paraId="1EA9EEE2">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2、首次响应文件提交地点：</w:t>
      </w:r>
    </w:p>
    <w:p w14:paraId="783E1835">
      <w:pPr>
        <w:keepNext w:val="0"/>
        <w:keepLines w:val="0"/>
        <w:pageBreakBefore w:val="0"/>
        <w:widowControl/>
        <w:kinsoku/>
        <w:wordWrap w:val="0"/>
        <w:overflowPunct/>
        <w:topLinePunct w:val="0"/>
        <w:autoSpaceDE/>
        <w:autoSpaceDN/>
        <w:bidi w:val="0"/>
        <w:adjustRightInd/>
        <w:snapToGri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Pr>
          <w:rFonts w:hint="eastAsia" w:ascii="宋体" w:hAnsi="宋体"/>
          <w:b/>
          <w:color w:val="000000" w:themeColor="text1"/>
          <w:szCs w:val="21"/>
          <w:highlight w:val="none"/>
          <w14:textFill>
            <w14:solidFill>
              <w14:schemeClr w14:val="tx1"/>
            </w14:solidFill>
          </w14:textFill>
        </w:rPr>
        <w:t>供应商在“</w:t>
      </w:r>
      <w:r>
        <w:rPr>
          <w:rFonts w:hint="eastAsia" w:ascii="宋体" w:hAnsi="宋体"/>
          <w:color w:val="000000" w:themeColor="text1"/>
          <w:szCs w:val="21"/>
          <w:highlight w:val="none"/>
          <w14:textFill>
            <w14:solidFill>
              <w14:schemeClr w14:val="tx1"/>
            </w14:solidFill>
          </w14:textFill>
        </w:rPr>
        <w:t>广西政府采购云</w:t>
      </w:r>
      <w:r>
        <w:rPr>
          <w:rFonts w:hint="eastAsia" w:ascii="宋体" w:hAnsi="宋体"/>
          <w:b/>
          <w:color w:val="000000" w:themeColor="text1"/>
          <w:szCs w:val="21"/>
          <w:highlight w:val="none"/>
          <w14:textFill>
            <w14:solidFill>
              <w14:schemeClr w14:val="tx1"/>
            </w14:solidFill>
          </w14:textFill>
        </w:rPr>
        <w:t>”平台提交电子版响应文件时，请填写参加远程采购活动经办人联系方式，</w:t>
      </w:r>
      <w:r>
        <w:rPr>
          <w:rFonts w:hint="eastAsia" w:ascii="宋体" w:hAnsi="宋体"/>
          <w:color w:val="000000" w:themeColor="text1"/>
          <w:szCs w:val="21"/>
          <w:highlight w:val="none"/>
          <w14:textFill>
            <w14:solidFill>
              <w14:schemeClr w14:val="tx1"/>
            </w14:solidFill>
          </w14:textFill>
        </w:rPr>
        <w:t>电子响应文件具体操作流程详见本公告</w:t>
      </w:r>
      <w:r>
        <w:rPr>
          <w:rFonts w:hint="eastAsia" w:ascii="宋体" w:hAnsi="宋体"/>
          <w:b/>
          <w:color w:val="000000" w:themeColor="text1"/>
          <w:szCs w:val="21"/>
          <w:highlight w:val="none"/>
          <w14:textFill>
            <w14:solidFill>
              <w14:schemeClr w14:val="tx1"/>
            </w14:solidFill>
          </w14:textFill>
        </w:rPr>
        <w:t>附件</w:t>
      </w:r>
      <w:r>
        <w:rPr>
          <w:rFonts w:ascii="宋体" w:hAnsi="宋体"/>
          <w:b/>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14:paraId="0133ADBB">
      <w:pPr>
        <w:keepNext w:val="0"/>
        <w:keepLines w:val="0"/>
        <w:pageBreakBefore w:val="0"/>
        <w:widowControl/>
        <w:kinsoku/>
        <w:overflowPunct/>
        <w:topLinePunct w:val="0"/>
        <w:autoSpaceDE/>
        <w:autoSpaceDN/>
        <w:bidi w:val="0"/>
        <w:adjustRightIn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themeColor="text1"/>
          <w:szCs w:val="21"/>
          <w:highlight w:val="none"/>
          <w14:textFill>
            <w14:solidFill>
              <w14:schemeClr w14:val="tx1"/>
            </w14:solidFill>
          </w14:textFill>
        </w:rPr>
        <w:t>附件</w:t>
      </w:r>
      <w:r>
        <w:rPr>
          <w:rFonts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），并在首次响应文件提交截止时间前提交响应文件。</w:t>
      </w:r>
    </w:p>
    <w:p w14:paraId="369C97CE">
      <w:pPr>
        <w:keepNext w:val="0"/>
        <w:keepLines w:val="0"/>
        <w:pageBreakBefore w:val="0"/>
        <w:widowControl/>
        <w:kinsoku/>
        <w:overflowPunct/>
        <w:topLinePunct w:val="0"/>
        <w:autoSpaceDE/>
        <w:autoSpaceDN/>
        <w:bidi w:val="0"/>
        <w:adjustRightIn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（3）为确保网上操作合法、有效和安全，请供应商确保在电子响应过程中能够对相关数据电文进行加密和使用电子签章，妥善保管CA数字证书并使用有效的CA数字证书参与整个采购活动。</w:t>
      </w:r>
    </w:p>
    <w:p w14:paraId="30788E82">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BFFD9E9">
      <w:pPr>
        <w:keepNext w:val="0"/>
        <w:keepLines w:val="0"/>
        <w:pageBreakBefore w:val="0"/>
        <w:kinsoku/>
        <w:overflowPunct/>
        <w:topLinePunct w:val="0"/>
        <w:autoSpaceDE/>
        <w:autoSpaceDN/>
        <w:bidi w:val="0"/>
        <w:adjustRightInd/>
        <w:snapToGrid w:val="0"/>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3、CA证书在线解密：首次响应文件开启时，</w:t>
      </w:r>
      <w:r>
        <w:rPr>
          <w:rFonts w:hint="eastAsia" w:ascii="宋体" w:hAnsi="宋体" w:cs="宋体"/>
          <w:b/>
          <w:color w:val="000000" w:themeColor="text1"/>
          <w:kern w:val="0"/>
          <w:szCs w:val="21"/>
          <w:highlight w:val="none"/>
          <w14:textFill>
            <w14:solidFill>
              <w14:schemeClr w14:val="tx1"/>
            </w14:solidFill>
          </w14:textFill>
        </w:rPr>
        <w:t>须要供应商携带制作响应文件时用来加密的有效数字证书（CA认证）</w:t>
      </w:r>
      <w:r>
        <w:rPr>
          <w:rFonts w:hint="eastAsia" w:ascii="宋体" w:hAnsi="宋体" w:cs="宋体"/>
          <w:color w:val="000000" w:themeColor="text1"/>
          <w:kern w:val="0"/>
          <w:szCs w:val="21"/>
          <w:highlight w:val="none"/>
          <w14:textFill>
            <w14:solidFill>
              <w14:schemeClr w14:val="tx1"/>
            </w14:solidFill>
          </w14:textFill>
        </w:rPr>
        <w:t>登录“广西政府采购云”平台电子开标大厅现场按规定时间对加密的响应文件进行解密，</w:t>
      </w:r>
      <w:r>
        <w:rPr>
          <w:rFonts w:hint="eastAsia"/>
          <w:color w:val="000000" w:themeColor="text1"/>
          <w:highlight w:val="none"/>
          <w14:textFill>
            <w14:solidFill>
              <w14:schemeClr w14:val="tx1"/>
            </w14:solidFill>
          </w14:textFill>
        </w:rPr>
        <w:t>详见采购文件“第三章供应商须知正文</w:t>
      </w:r>
      <w:r>
        <w:rPr>
          <w:color w:val="000000" w:themeColor="text1"/>
          <w:highlight w:val="none"/>
          <w14:textFill>
            <w14:solidFill>
              <w14:schemeClr w14:val="tx1"/>
            </w14:solidFill>
          </w14:textFill>
        </w:rPr>
        <w:t>25.2</w:t>
      </w:r>
      <w:r>
        <w:rPr>
          <w:rFonts w:hint="eastAsia"/>
          <w:color w:val="000000" w:themeColor="text1"/>
          <w:highlight w:val="none"/>
          <w14:textFill>
            <w14:solidFill>
              <w14:schemeClr w14:val="tx1"/>
            </w14:solidFill>
          </w14:textFill>
        </w:rPr>
        <w:t>条”</w:t>
      </w:r>
      <w:r>
        <w:rPr>
          <w:rFonts w:hint="eastAsia" w:ascii="宋体" w:hAnsi="宋体" w:cs="宋体"/>
          <w:color w:val="000000" w:themeColor="text1"/>
          <w:kern w:val="0"/>
          <w:szCs w:val="21"/>
          <w:highlight w:val="none"/>
          <w14:textFill>
            <w14:solidFill>
              <w14:schemeClr w14:val="tx1"/>
            </w14:solidFill>
          </w14:textFill>
        </w:rPr>
        <w:t xml:space="preserve"> ，未能按要求进行解密的，由此产生的后果由供应商自行承担。</w:t>
      </w:r>
    </w:p>
    <w:p w14:paraId="41577A77">
      <w:pPr>
        <w:keepNext w:val="0"/>
        <w:keepLines w:val="0"/>
        <w:pageBreakBefore w:val="0"/>
        <w:kinsoku/>
        <w:overflowPunct/>
        <w:topLinePunct w:val="0"/>
        <w:autoSpaceDE/>
        <w:autoSpaceDN/>
        <w:bidi w:val="0"/>
        <w:adjustRightInd/>
        <w:snapToGrid w:val="0"/>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4、供应商需要在具备有摄像头及语音功能且互联网网络状况良好的电脑登录“</w:t>
      </w:r>
      <w:r>
        <w:rPr>
          <w:rFonts w:hint="eastAsia" w:ascii="宋体" w:hAnsi="宋体"/>
          <w:color w:val="000000" w:themeColor="text1"/>
          <w:szCs w:val="21"/>
          <w:highlight w:val="none"/>
          <w14:textFill>
            <w14:solidFill>
              <w14:schemeClr w14:val="tx1"/>
            </w14:solidFill>
          </w14:textFill>
        </w:rPr>
        <w:t>广西政府采购云</w:t>
      </w:r>
      <w:r>
        <w:rPr>
          <w:rFonts w:hint="eastAsia" w:ascii="宋体" w:hAnsi="宋体" w:cs="宋体"/>
          <w:color w:val="000000" w:themeColor="text1"/>
          <w:kern w:val="0"/>
          <w:szCs w:val="21"/>
          <w:highlight w:val="none"/>
          <w14:textFill>
            <w14:solidFill>
              <w14:schemeClr w14:val="tx1"/>
            </w14:solidFill>
          </w14:textFill>
        </w:rPr>
        <w:t>”平台远程开标大厅参与本次谈判，否则后果自负。</w:t>
      </w:r>
    </w:p>
    <w:p w14:paraId="5401F142">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五、开启（首次响应文件开启时间）</w:t>
      </w:r>
    </w:p>
    <w:p w14:paraId="69915C7F">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1.时间</w:t>
      </w:r>
      <w:r>
        <w:rPr>
          <w:rFonts w:hint="eastAsia" w:ascii="宋体" w:hAnsi="宋体"/>
          <w:bCs/>
          <w:color w:val="000000" w:themeColor="text1"/>
          <w:szCs w:val="21"/>
          <w:highlight w:val="none"/>
          <w14:textFill>
            <w14:solidFill>
              <w14:schemeClr w14:val="tx1"/>
            </w14:solidFill>
          </w14:textFill>
        </w:rPr>
        <w:t>（北京时间）</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2025年8月11日9时30分后</w:t>
      </w:r>
    </w:p>
    <w:p w14:paraId="08966715">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2.地点：</w:t>
      </w:r>
      <w:r>
        <w:rPr>
          <w:rFonts w:hint="eastAsia" w:ascii="宋体" w:hAnsi="宋体"/>
          <w:color w:val="000000" w:themeColor="text1"/>
          <w:szCs w:val="21"/>
          <w:highlight w:val="none"/>
          <w:u w:val="single"/>
          <w14:textFill>
            <w14:solidFill>
              <w14:schemeClr w14:val="tx1"/>
            </w14:solidFill>
          </w14:textFill>
        </w:rPr>
        <w:t xml:space="preserve"> 广西政府采购云平台开标大厅    </w:t>
      </w:r>
    </w:p>
    <w:p w14:paraId="0CFD362C">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b/>
          <w:bCs/>
          <w:color w:val="000000" w:themeColor="text1"/>
          <w:sz w:val="24"/>
          <w:highlight w:val="none"/>
          <w14:textFill>
            <w14:solidFill>
              <w14:schemeClr w14:val="tx1"/>
            </w14:solidFill>
          </w14:textFill>
        </w:rPr>
      </w:pPr>
      <w:bookmarkStart w:id="19" w:name="_Toc28359007"/>
      <w:bookmarkStart w:id="20" w:name="_Toc35393794"/>
      <w:bookmarkStart w:id="21" w:name="_Toc28359084"/>
      <w:bookmarkStart w:id="22" w:name="_Toc35393625"/>
      <w:r>
        <w:rPr>
          <w:rFonts w:hint="eastAsia" w:ascii="黑体" w:hAnsi="黑体" w:eastAsia="黑体"/>
          <w:b/>
          <w:bCs/>
          <w:color w:val="000000" w:themeColor="text1"/>
          <w:sz w:val="24"/>
          <w:highlight w:val="none"/>
          <w14:textFill>
            <w14:solidFill>
              <w14:schemeClr w14:val="tx1"/>
            </w14:solidFill>
          </w14:textFill>
        </w:rPr>
        <w:t>六、公告期限</w:t>
      </w:r>
      <w:bookmarkEnd w:id="19"/>
      <w:bookmarkEnd w:id="20"/>
      <w:bookmarkEnd w:id="21"/>
      <w:bookmarkEnd w:id="22"/>
    </w:p>
    <w:p w14:paraId="6913E988">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14:paraId="3BF30569">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b/>
          <w:bCs/>
          <w:color w:val="000000" w:themeColor="text1"/>
          <w:sz w:val="24"/>
          <w:highlight w:val="none"/>
          <w14:textFill>
            <w14:solidFill>
              <w14:schemeClr w14:val="tx1"/>
            </w14:solidFill>
          </w14:textFill>
        </w:rPr>
      </w:pPr>
      <w:bookmarkStart w:id="23" w:name="_Toc35393795"/>
      <w:bookmarkStart w:id="24" w:name="_Toc35393626"/>
      <w:r>
        <w:rPr>
          <w:rFonts w:hint="eastAsia" w:ascii="黑体" w:hAnsi="黑体" w:eastAsia="黑体"/>
          <w:b/>
          <w:bCs/>
          <w:color w:val="000000" w:themeColor="text1"/>
          <w:sz w:val="24"/>
          <w:highlight w:val="none"/>
          <w14:textFill>
            <w14:solidFill>
              <w14:schemeClr w14:val="tx1"/>
            </w14:solidFill>
          </w14:textFill>
        </w:rPr>
        <w:t>七、其他补充事宜</w:t>
      </w:r>
      <w:bookmarkEnd w:id="23"/>
      <w:bookmarkEnd w:id="24"/>
    </w:p>
    <w:p w14:paraId="75236269">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1.谈判保证金：本项目不收取谈判保证金</w:t>
      </w:r>
    </w:p>
    <w:p w14:paraId="69834B1B">
      <w:pPr>
        <w:keepNext w:val="0"/>
        <w:keepLines w:val="0"/>
        <w:pageBreakBefore w:val="0"/>
        <w:kinsoku/>
        <w:overflowPunct/>
        <w:topLinePunct w:val="0"/>
        <w:autoSpaceDE/>
        <w:autoSpaceDN/>
        <w:bidi w:val="0"/>
        <w:adjustRightInd/>
        <w:spacing w:line="440" w:lineRule="exact"/>
        <w:ind w:left="0" w:leftChars="0" w:firstLine="0" w:firstLineChars="0"/>
        <w:jc w:val="left"/>
        <w:textAlignment w:val="auto"/>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2.采购意向公开链接：</w:t>
      </w:r>
      <w:bookmarkStart w:id="25" w:name="_Hlk37429585"/>
      <w:r>
        <w:rPr>
          <w:rFonts w:ascii="宋体" w:hAnsi="宋体" w:cs="宋体"/>
          <w:color w:val="000000" w:themeColor="text1"/>
          <w:kern w:val="0"/>
          <w:szCs w:val="21"/>
          <w:highlight w:val="none"/>
          <w14:textFill>
            <w14:solidFill>
              <w14:schemeClr w14:val="tx1"/>
            </w14:solidFill>
          </w14:textFill>
        </w:rPr>
        <w:t>http://www.ccgp-guangxi.gov.cn/site/detail?parentId=66601&amp;articleId=+Q215gOMYHXaYsCuEAhg+g==</w:t>
      </w:r>
    </w:p>
    <w:p w14:paraId="6CE5397A">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bookmarkStart w:id="26" w:name="_Hlk37429595"/>
      <w:r>
        <w:rPr>
          <w:rFonts w:hint="eastAsia" w:ascii="宋体" w:hAnsi="宋体" w:cs="宋体"/>
          <w:color w:val="000000" w:themeColor="text1"/>
          <w:kern w:val="0"/>
          <w:szCs w:val="21"/>
          <w:highlight w:val="none"/>
          <w14:textFill>
            <w14:solidFill>
              <w14:schemeClr w14:val="tx1"/>
            </w14:solidFill>
          </w14:textFill>
        </w:rPr>
        <w:t>网上查询地址</w:t>
      </w:r>
    </w:p>
    <w:bookmarkEnd w:id="25"/>
    <w:bookmarkEnd w:id="26"/>
    <w:p w14:paraId="30DAE206">
      <w:pPr>
        <w:keepNext w:val="0"/>
        <w:keepLines w:val="0"/>
        <w:pageBreakBefore w:val="0"/>
        <w:kinsoku/>
        <w:overflowPunct/>
        <w:topLinePunct w:val="0"/>
        <w:autoSpaceDE/>
        <w:autoSpaceDN/>
        <w:bidi w:val="0"/>
        <w:adjustRightInd/>
        <w:spacing w:line="440" w:lineRule="exact"/>
        <w:ind w:left="0" w:leftChars="0" w:firstLine="0" w:firstLineChars="0"/>
        <w:textAlignment w:val="auto"/>
        <w:rPr>
          <w:color w:val="000000" w:themeColor="text1"/>
          <w:highlight w:val="none"/>
          <w14:textFill>
            <w14:solidFill>
              <w14:schemeClr w14:val="tx1"/>
            </w14:solidFill>
          </w14:textFill>
        </w:rPr>
      </w:pPr>
      <w:bookmarkStart w:id="27" w:name="_Hlk37429674"/>
      <w:r>
        <w:rPr>
          <w:rFonts w:hint="eastAsia"/>
          <w:color w:val="000000" w:themeColor="text1"/>
          <w:highlight w:val="none"/>
          <w14:textFill>
            <w14:solidFill>
              <w14:schemeClr w14:val="tx1"/>
            </w14:solidFill>
          </w14:textFill>
        </w:rPr>
        <w:t>中国政府采购网（</w:t>
      </w:r>
      <w:r>
        <w:rPr>
          <w:color w:val="000000" w:themeColor="text1"/>
          <w:highlight w:val="none"/>
          <w14:textFill>
            <w14:solidFill>
              <w14:schemeClr w14:val="tx1"/>
            </w14:solidFill>
          </w14:textFill>
        </w:rPr>
        <w:t>http://www.ccgp.gov.cn</w:t>
      </w:r>
      <w:r>
        <w:rPr>
          <w:rFonts w:hint="eastAsia"/>
          <w:color w:val="000000" w:themeColor="text1"/>
          <w:highlight w:val="none"/>
          <w14:textFill>
            <w14:solidFill>
              <w14:schemeClr w14:val="tx1"/>
            </w14:solidFill>
          </w14:textFill>
        </w:rPr>
        <w:t>）</w:t>
      </w:r>
    </w:p>
    <w:p w14:paraId="581DDED0">
      <w:pPr>
        <w:keepNext w:val="0"/>
        <w:keepLines w:val="0"/>
        <w:pageBreakBefore w:val="0"/>
        <w:kinsoku/>
        <w:overflowPunct/>
        <w:topLinePunct w:val="0"/>
        <w:autoSpaceDE/>
        <w:autoSpaceDN/>
        <w:bidi w:val="0"/>
        <w:adjustRightInd/>
        <w:spacing w:line="440" w:lineRule="exact"/>
        <w:ind w:left="0" w:leftChars="0" w:firstLine="0" w:firstLineChars="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广西壮族自治区政府采购网（</w:t>
      </w:r>
      <w:r>
        <w:rPr>
          <w:color w:val="000000" w:themeColor="text1"/>
          <w:highlight w:val="none"/>
          <w14:textFill>
            <w14:solidFill>
              <w14:schemeClr w14:val="tx1"/>
            </w14:solidFill>
          </w14:textFill>
        </w:rPr>
        <w:t>http://zfcg.gxzf.gov.cn</w:t>
      </w:r>
      <w:r>
        <w:rPr>
          <w:rFonts w:hint="eastAsia"/>
          <w:color w:val="000000" w:themeColor="text1"/>
          <w:highlight w:val="none"/>
          <w14:textFill>
            <w14:solidFill>
              <w14:schemeClr w14:val="tx1"/>
            </w14:solidFill>
          </w14:textFill>
        </w:rPr>
        <w:t>）</w:t>
      </w:r>
    </w:p>
    <w:p w14:paraId="0CF9BB37">
      <w:pPr>
        <w:keepNext w:val="0"/>
        <w:keepLines w:val="0"/>
        <w:pageBreakBefore w:val="0"/>
        <w:kinsoku/>
        <w:overflowPunct/>
        <w:topLinePunct w:val="0"/>
        <w:autoSpaceDE/>
        <w:autoSpaceDN/>
        <w:bidi w:val="0"/>
        <w:adjustRightInd/>
        <w:spacing w:line="440" w:lineRule="exact"/>
        <w:ind w:left="0" w:leftChars="0" w:firstLine="0" w:firstLineChars="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全国公共资源交易平台（广西</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南宁）（</w:t>
      </w:r>
      <w:r>
        <w:rPr>
          <w:color w:val="000000" w:themeColor="text1"/>
          <w:highlight w:val="none"/>
          <w14:textFill>
            <w14:solidFill>
              <w14:schemeClr w14:val="tx1"/>
            </w14:solidFill>
          </w14:textFill>
        </w:rPr>
        <w:t>http://ggzy.jgswj.gxzf.gov.cn/nnggzy/</w:t>
      </w:r>
      <w:r>
        <w:rPr>
          <w:rFonts w:hint="eastAsia"/>
          <w:color w:val="000000" w:themeColor="text1"/>
          <w:highlight w:val="none"/>
          <w14:textFill>
            <w14:solidFill>
              <w14:schemeClr w14:val="tx1"/>
            </w14:solidFill>
          </w14:textFill>
        </w:rPr>
        <w:t>）</w:t>
      </w:r>
    </w:p>
    <w:p w14:paraId="224972AD">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bookmarkEnd w:id="27"/>
    <w:p w14:paraId="76C12764">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6B1131A5">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0DAA6CC6">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5E1B95B6">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634B4048">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58EDE9D7">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A30B539">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 若对项目采购电子交易系统操作有疑问，可登录广西政府采购云平台（https://www.gcy.zfcg.gxzf.gov.cn/），点击右侧咨询小采，获取采小蜜智能服务管家帮助，或拨打</w:t>
      </w:r>
      <w:r>
        <w:rPr>
          <w:rFonts w:hint="eastAsia" w:ascii="宋体" w:hAnsi="宋体"/>
          <w:color w:val="000000" w:themeColor="text1"/>
          <w:szCs w:val="21"/>
          <w:highlight w:val="none"/>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服务热线：</w:t>
      </w:r>
      <w:r>
        <w:rPr>
          <w:rFonts w:ascii="宋体" w:hAnsi="宋体" w:cs="宋体"/>
          <w:color w:val="000000" w:themeColor="text1"/>
          <w:kern w:val="0"/>
          <w:szCs w:val="21"/>
          <w:highlight w:val="none"/>
          <w14:textFill>
            <w14:solidFill>
              <w14:schemeClr w14:val="tx1"/>
            </w14:solidFill>
          </w14:textFill>
        </w:rPr>
        <w:t>95763</w:t>
      </w:r>
      <w:r>
        <w:rPr>
          <w:rFonts w:hint="eastAsia" w:ascii="宋体" w:hAnsi="宋体" w:cs="宋体"/>
          <w:color w:val="000000" w:themeColor="text1"/>
          <w:kern w:val="0"/>
          <w:szCs w:val="21"/>
          <w:highlight w:val="none"/>
          <w14:textFill>
            <w14:solidFill>
              <w14:schemeClr w14:val="tx1"/>
            </w14:solidFill>
          </w14:textFill>
        </w:rPr>
        <w:t>或0771-3381253获取热线服务帮助。</w:t>
      </w:r>
    </w:p>
    <w:p w14:paraId="79A5168F">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黑体" w:hAnsi="黑体" w:eastAsia="黑体" w:cs="宋体"/>
          <w:bCs/>
          <w:color w:val="000000" w:themeColor="text1"/>
          <w:sz w:val="24"/>
          <w:highlight w:val="none"/>
          <w14:textFill>
            <w14:solidFill>
              <w14:schemeClr w14:val="tx1"/>
            </w14:solidFill>
          </w14:textFill>
        </w:rPr>
      </w:pPr>
      <w:r>
        <w:rPr>
          <w:rFonts w:hint="eastAsia" w:ascii="黑体" w:hAnsi="黑体" w:eastAsia="黑体" w:cs="宋体"/>
          <w:b/>
          <w:color w:val="000000" w:themeColor="text1"/>
          <w:kern w:val="44"/>
          <w:sz w:val="24"/>
          <w:highlight w:val="none"/>
          <w14:textFill>
            <w14:solidFill>
              <w14:schemeClr w14:val="tx1"/>
            </w14:solidFill>
          </w14:textFill>
        </w:rPr>
        <w:t>八、凡对本次采购提出询问，请按以下方式联系</w:t>
      </w:r>
    </w:p>
    <w:p w14:paraId="4D5F5765">
      <w:pPr>
        <w:keepNext w:val="0"/>
        <w:keepLines w:val="0"/>
        <w:pageBreakBefore w:val="0"/>
        <w:kinsoku/>
        <w:overflowPunct/>
        <w:topLinePunct w:val="0"/>
        <w:autoSpaceDE/>
        <w:autoSpaceDN/>
        <w:bidi w:val="0"/>
        <w:adjustRightIn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5DA8A9D0">
      <w:pPr>
        <w:keepNext w:val="0"/>
        <w:keepLines w:val="0"/>
        <w:pageBreakBefore w:val="0"/>
        <w:kinsoku/>
        <w:overflowPunct/>
        <w:topLinePunct w:val="0"/>
        <w:autoSpaceDE/>
        <w:autoSpaceDN/>
        <w:bidi w:val="0"/>
        <w:adjustRightIn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称：南宁市第二人民医院</w:t>
      </w:r>
    </w:p>
    <w:p w14:paraId="2A876E86">
      <w:pPr>
        <w:keepNext w:val="0"/>
        <w:keepLines w:val="0"/>
        <w:pageBreakBefore w:val="0"/>
        <w:kinsoku/>
        <w:overflowPunct/>
        <w:topLinePunct w:val="0"/>
        <w:autoSpaceDE/>
        <w:autoSpaceDN/>
        <w:bidi w:val="0"/>
        <w:adjustRightIn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地址：广西南宁市淡村路13号</w:t>
      </w:r>
    </w:p>
    <w:p w14:paraId="28A7DBFB">
      <w:pPr>
        <w:pStyle w:val="13"/>
        <w:keepNext w:val="0"/>
        <w:keepLines w:val="0"/>
        <w:pageBreakBefore w:val="0"/>
        <w:kinsoku/>
        <w:overflowPunct/>
        <w:topLinePunct w:val="0"/>
        <w:autoSpaceDE/>
        <w:autoSpaceDN/>
        <w:bidi w:val="0"/>
        <w:adjustRightInd/>
        <w:spacing w:line="440" w:lineRule="exact"/>
        <w:ind w:left="0" w:leftChars="0" w:firstLine="0" w:firstLineChars="0"/>
        <w:textAlignment w:val="auto"/>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项目联系人：黄安丽</w:t>
      </w:r>
    </w:p>
    <w:p w14:paraId="4AAEE2BB">
      <w:pPr>
        <w:keepNext w:val="0"/>
        <w:keepLines w:val="0"/>
        <w:pageBreakBefore w:val="0"/>
        <w:kinsoku/>
        <w:overflowPunct/>
        <w:topLinePunct w:val="0"/>
        <w:autoSpaceDE/>
        <w:autoSpaceDN/>
        <w:bidi w:val="0"/>
        <w:adjustRightInd/>
        <w:spacing w:line="440" w:lineRule="exact"/>
        <w:ind w:left="0" w:leftChars="0" w:firstLine="0" w:firstLineChars="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r>
        <w:rPr>
          <w:rFonts w:ascii="宋体" w:hAnsi="宋体"/>
          <w:color w:val="000000" w:themeColor="text1"/>
          <w:szCs w:val="21"/>
          <w:highlight w:val="none"/>
          <w14:textFill>
            <w14:solidFill>
              <w14:schemeClr w14:val="tx1"/>
            </w14:solidFill>
          </w14:textFill>
        </w:rPr>
        <w:t>0771-4808219</w:t>
      </w:r>
    </w:p>
    <w:p w14:paraId="323D02C4">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14:paraId="699FE315">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称：云之龙咨询集团有限公司　　　　　　　　　　　　</w:t>
      </w:r>
    </w:p>
    <w:p w14:paraId="35D77A37">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址：广西南宁市良庆区云英路15号南宁城建集团总部地块项目3号写字楼6楼　　　　　　　　　　　　</w:t>
      </w:r>
    </w:p>
    <w:p w14:paraId="267864CD">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　0771-2618199、2618118 、2611898　　　　　　　　　　　</w:t>
      </w:r>
    </w:p>
    <w:p w14:paraId="73BFD79F">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3.项目联系方式</w:t>
      </w:r>
    </w:p>
    <w:p w14:paraId="21BFF616">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 唐冰、</w:t>
      </w:r>
      <w:r>
        <w:rPr>
          <w:rFonts w:hint="eastAsia" w:ascii="宋体" w:hAnsi="宋体" w:cs="宋体"/>
          <w:color w:val="000000" w:themeColor="text1"/>
          <w:szCs w:val="21"/>
          <w:highlight w:val="none"/>
          <w:lang w:val="en-US" w:eastAsia="zh-CN"/>
          <w14:textFill>
            <w14:solidFill>
              <w14:schemeClr w14:val="tx1"/>
            </w14:solidFill>
          </w14:textFill>
        </w:rPr>
        <w:t>吴小芹</w:t>
      </w:r>
      <w:r>
        <w:rPr>
          <w:rFonts w:hint="eastAsia" w:ascii="宋体" w:hAnsi="宋体" w:cs="宋体"/>
          <w:color w:val="000000" w:themeColor="text1"/>
          <w:szCs w:val="21"/>
          <w:highlight w:val="none"/>
          <w14:textFill>
            <w14:solidFill>
              <w14:schemeClr w14:val="tx1"/>
            </w14:solidFill>
          </w14:textFill>
        </w:rPr>
        <w:t xml:space="preserve">                        </w:t>
      </w:r>
    </w:p>
    <w:p w14:paraId="5C505F44">
      <w:pPr>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　0771-2618199、2618118 、2611898　　</w:t>
      </w:r>
    </w:p>
    <w:p w14:paraId="1263932A">
      <w:pPr>
        <w:pStyle w:val="11"/>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w:t>
      </w:r>
    </w:p>
    <w:p w14:paraId="11117579">
      <w:pPr>
        <w:pStyle w:val="11"/>
        <w:keepNext w:val="0"/>
        <w:keepLines w:val="0"/>
        <w:pageBreakBefore w:val="0"/>
        <w:kinsoku/>
        <w:overflowPunct/>
        <w:topLinePunct w:val="0"/>
        <w:autoSpaceDE/>
        <w:autoSpaceDN/>
        <w:bidi w:val="0"/>
        <w:adjustRightInd/>
        <w:spacing w:line="440" w:lineRule="exact"/>
        <w:ind w:left="0" w:leftChars="0" w:firstLine="0" w:firstLineChars="0"/>
        <w:textAlignment w:val="auto"/>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1.CA证书申请方式及操作指南下载地址（登录</w:t>
      </w:r>
      <w:r>
        <w:rPr>
          <w:color w:val="000000" w:themeColor="text1"/>
          <w:highlight w:val="none"/>
          <w14:textFill>
            <w14:solidFill>
              <w14:schemeClr w14:val="tx1"/>
            </w14:solidFill>
          </w14:textFill>
        </w:rPr>
        <w:t>http://nncz.nanning.gov.cn/</w:t>
      </w:r>
      <w:r>
        <w:rPr>
          <w:rFonts w:hint="eastAsia"/>
          <w:color w:val="000000" w:themeColor="text1"/>
          <w:highlight w:val="none"/>
          <w14:textFill>
            <w14:solidFill>
              <w14:schemeClr w14:val="tx1"/>
            </w14:solidFill>
          </w14:textFill>
        </w:rPr>
        <w:t>（南宁市财政局官网）</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业务专题</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政府采购监督管理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资料下载</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“广西政采云西部</w:t>
      </w:r>
      <w:r>
        <w:rPr>
          <w:color w:val="000000" w:themeColor="text1"/>
          <w:highlight w:val="none"/>
          <w14:textFill>
            <w14:solidFill>
              <w14:schemeClr w14:val="tx1"/>
            </w14:solidFill>
          </w14:textFill>
        </w:rPr>
        <w:t>CA</w:t>
      </w:r>
      <w:r>
        <w:rPr>
          <w:rFonts w:hint="eastAsia"/>
          <w:color w:val="000000" w:themeColor="text1"/>
          <w:highlight w:val="none"/>
          <w14:textFill>
            <w14:solidFill>
              <w14:schemeClr w14:val="tx1"/>
            </w14:solidFill>
          </w14:textFill>
        </w:rPr>
        <w:t>办理方式”或“南宁市政采云</w:t>
      </w:r>
      <w:r>
        <w:rPr>
          <w:color w:val="000000" w:themeColor="text1"/>
          <w:highlight w:val="none"/>
          <w14:textFill>
            <w14:solidFill>
              <w14:schemeClr w14:val="tx1"/>
            </w14:solidFill>
          </w14:textFill>
        </w:rPr>
        <w:t>CA</w:t>
      </w:r>
      <w:r>
        <w:rPr>
          <w:rFonts w:hint="eastAsia"/>
          <w:color w:val="000000" w:themeColor="text1"/>
          <w:highlight w:val="none"/>
          <w14:textFill>
            <w14:solidFill>
              <w14:schemeClr w14:val="tx1"/>
            </w14:solidFill>
          </w14:textFill>
        </w:rPr>
        <w:t>证书办理操作指南”</w:t>
      </w:r>
      <w:r>
        <w:rPr>
          <w:rFonts w:hint="eastAsia" w:ascii="宋体" w:hAnsi="宋体"/>
          <w:color w:val="000000" w:themeColor="text1"/>
          <w:szCs w:val="21"/>
          <w:highlight w:val="none"/>
          <w14:textFill>
            <w14:solidFill>
              <w14:schemeClr w14:val="tx1"/>
            </w14:solidFill>
          </w14:textFill>
        </w:rPr>
        <w:t>）（政采云CA和</w:t>
      </w:r>
      <w:r>
        <w:rPr>
          <w:rFonts w:hint="eastAsia"/>
          <w:color w:val="000000" w:themeColor="text1"/>
          <w:highlight w:val="none"/>
          <w14:textFill>
            <w14:solidFill>
              <w14:schemeClr w14:val="tx1"/>
            </w14:solidFill>
          </w14:textFill>
        </w:rPr>
        <w:t>广西政府采购云平台</w:t>
      </w:r>
      <w:r>
        <w:rPr>
          <w:color w:val="000000" w:themeColor="text1"/>
          <w:highlight w:val="none"/>
          <w14:textFill>
            <w14:solidFill>
              <w14:schemeClr w14:val="tx1"/>
            </w14:solidFill>
          </w14:textFill>
        </w:rPr>
        <w:t>CA</w:t>
      </w:r>
      <w:r>
        <w:rPr>
          <w:rFonts w:hint="eastAsia"/>
          <w:color w:val="000000" w:themeColor="text1"/>
          <w:highlight w:val="none"/>
          <w14:textFill>
            <w14:solidFill>
              <w14:schemeClr w14:val="tx1"/>
            </w14:solidFill>
          </w14:textFill>
        </w:rPr>
        <w:t>通用</w:t>
      </w:r>
      <w:r>
        <w:rPr>
          <w:rFonts w:hint="eastAsia" w:ascii="宋体" w:hAnsi="宋体"/>
          <w:color w:val="000000" w:themeColor="text1"/>
          <w:szCs w:val="21"/>
          <w:highlight w:val="none"/>
          <w14:textFill>
            <w14:solidFill>
              <w14:schemeClr w14:val="tx1"/>
            </w14:solidFill>
          </w14:textFill>
        </w:rPr>
        <w:t>）</w:t>
      </w:r>
    </w:p>
    <w:p w14:paraId="65D453CF">
      <w:pPr>
        <w:pStyle w:val="11"/>
        <w:keepNext w:val="0"/>
        <w:keepLines w:val="0"/>
        <w:pageBreakBefore w:val="0"/>
        <w:kinsoku/>
        <w:overflowPunct/>
        <w:topLinePunct w:val="0"/>
        <w:autoSpaceDE/>
        <w:autoSpaceDN/>
        <w:bidi w:val="0"/>
        <w:adjustRightInd/>
        <w:spacing w:line="440" w:lineRule="exact"/>
        <w:ind w:left="0" w:leftChars="0" w:firstLine="0" w:firstLine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2.电子投标文件制作与投送教程（在此网址下载：</w:t>
      </w:r>
      <w:r>
        <w:rPr>
          <w:color w:val="000000" w:themeColor="text1"/>
          <w:highlight w:val="none"/>
          <w14:textFill>
            <w14:solidFill>
              <w14:schemeClr w14:val="tx1"/>
            </w14:solidFill>
          </w14:textFill>
        </w:rPr>
        <w:t>http://nncz.nanning.gov.cn/</w:t>
      </w:r>
      <w:r>
        <w:rPr>
          <w:rFonts w:hint="eastAsia"/>
          <w:color w:val="000000" w:themeColor="text1"/>
          <w:highlight w:val="none"/>
          <w14:textFill>
            <w14:solidFill>
              <w14:schemeClr w14:val="tx1"/>
            </w14:solidFill>
          </w14:textFill>
        </w:rPr>
        <w:t>（南宁市财政局官网）</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下载专区</w:t>
      </w:r>
      <w:r>
        <w:rPr>
          <w:rFonts w:hint="eastAsia" w:ascii="宋体" w:hAnsi="宋体"/>
          <w:color w:val="000000" w:themeColor="text1"/>
          <w:szCs w:val="21"/>
          <w:highlight w:val="none"/>
          <w14:textFill>
            <w14:solidFill>
              <w14:schemeClr w14:val="tx1"/>
            </w14:solidFill>
          </w14:textFill>
        </w:rPr>
        <w:t>）</w:t>
      </w:r>
    </w:p>
    <w:p w14:paraId="1DA01686">
      <w:pPr>
        <w:pStyle w:val="11"/>
        <w:spacing w:line="360" w:lineRule="auto"/>
        <w:ind w:firstLine="420" w:firstLineChars="200"/>
        <w:rPr>
          <w:rFonts w:ascii="宋体" w:hAnsi="宋体"/>
          <w:color w:val="000000" w:themeColor="text1"/>
          <w:szCs w:val="21"/>
          <w:highlight w:val="none"/>
          <w:u w:val="single"/>
          <w14:textFill>
            <w14:solidFill>
              <w14:schemeClr w14:val="tx1"/>
            </w14:solidFill>
          </w14:textFill>
        </w:rPr>
      </w:pPr>
    </w:p>
    <w:p w14:paraId="36D81668">
      <w:pPr>
        <w:pStyle w:val="11"/>
        <w:spacing w:line="360" w:lineRule="auto"/>
        <w:ind w:firstLine="420" w:firstLineChars="200"/>
        <w:rPr>
          <w:rFonts w:ascii="宋体" w:hAnsi="宋体"/>
          <w:color w:val="000000" w:themeColor="text1"/>
          <w:szCs w:val="21"/>
          <w:highlight w:val="none"/>
          <w:u w:val="single"/>
          <w14:textFill>
            <w14:solidFill>
              <w14:schemeClr w14:val="tx1"/>
            </w14:solidFill>
          </w14:textFill>
        </w:rPr>
      </w:pPr>
    </w:p>
    <w:p w14:paraId="1B03F64A">
      <w:pPr>
        <w:wordWrap w:val="0"/>
        <w:spacing w:line="360" w:lineRule="auto"/>
        <w:ind w:firstLine="5985" w:firstLineChars="2850"/>
        <w:jc w:val="right"/>
      </w:pPr>
      <w:r>
        <w:rPr>
          <w:rFonts w:hint="eastAsia" w:ascii="宋体" w:hAnsi="宋体"/>
          <w:color w:val="000000" w:themeColor="text1"/>
          <w:szCs w:val="21"/>
          <w:highlight w:val="none"/>
          <w14:textFill>
            <w14:solidFill>
              <w14:schemeClr w14:val="tx1"/>
            </w14:solidFill>
          </w14:textFill>
        </w:rPr>
        <w:t>云之龙咨询集团有限公司2</w:t>
      </w:r>
      <w:r>
        <w:rPr>
          <w:rFonts w:ascii="宋体" w:hAnsi="宋体"/>
          <w:color w:val="000000" w:themeColor="text1"/>
          <w:szCs w:val="21"/>
          <w:highlight w:val="none"/>
          <w14:textFill>
            <w14:solidFill>
              <w14:schemeClr w14:val="tx1"/>
            </w14:solidFill>
          </w14:textFill>
        </w:rPr>
        <w:t>025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F5A7">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305"/>
                          </w:sdtPr>
                          <w:sdtContent>
                            <w:p w14:paraId="2630A50B">
                              <w:pPr>
                                <w:pStyle w:val="14"/>
                                <w:jc w:val="center"/>
                              </w:pPr>
                              <w:r>
                                <w:fldChar w:fldCharType="begin"/>
                              </w:r>
                              <w:r>
                                <w:instrText xml:space="preserve">PAGE   \* MERGEFORMAT</w:instrText>
                              </w:r>
                              <w:r>
                                <w:fldChar w:fldCharType="separate"/>
                              </w:r>
                              <w:r>
                                <w:rPr>
                                  <w:lang w:val="zh-CN"/>
                                </w:rPr>
                                <w:t>19</w:t>
                              </w:r>
                              <w:r>
                                <w:fldChar w:fldCharType="end"/>
                              </w:r>
                            </w:p>
                          </w:sdtContent>
                        </w:sdt>
                        <w:p w14:paraId="37F3ABF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9305"/>
                    </w:sdtPr>
                    <w:sdtContent>
                      <w:p w14:paraId="2630A50B">
                        <w:pPr>
                          <w:pStyle w:val="14"/>
                          <w:jc w:val="center"/>
                        </w:pPr>
                        <w:r>
                          <w:fldChar w:fldCharType="begin"/>
                        </w:r>
                        <w:r>
                          <w:instrText xml:space="preserve">PAGE   \* MERGEFORMAT</w:instrText>
                        </w:r>
                        <w:r>
                          <w:fldChar w:fldCharType="separate"/>
                        </w:r>
                        <w:r>
                          <w:rPr>
                            <w:lang w:val="zh-CN"/>
                          </w:rPr>
                          <w:t>19</w:t>
                        </w:r>
                        <w:r>
                          <w:fldChar w:fldCharType="end"/>
                        </w:r>
                      </w:p>
                    </w:sdtContent>
                  </w:sdt>
                  <w:p w14:paraId="37F3ABF7"/>
                </w:txbxContent>
              </v:textbox>
            </v:shape>
          </w:pict>
        </mc:Fallback>
      </mc:AlternateContent>
    </w:r>
  </w:p>
  <w:p w14:paraId="6D2282DA">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AB2E8"/>
    <w:multiLevelType w:val="multilevel"/>
    <w:tmpl w:val="05FAB2E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A666C"/>
    <w:rsid w:val="01A00C4B"/>
    <w:rsid w:val="03C24BF3"/>
    <w:rsid w:val="0A402FCB"/>
    <w:rsid w:val="0C9D17A6"/>
    <w:rsid w:val="0F4576B8"/>
    <w:rsid w:val="129A3494"/>
    <w:rsid w:val="1AD02149"/>
    <w:rsid w:val="1B790D37"/>
    <w:rsid w:val="1BCD5966"/>
    <w:rsid w:val="1FE504C7"/>
    <w:rsid w:val="205E1FA5"/>
    <w:rsid w:val="21C87074"/>
    <w:rsid w:val="22084DDC"/>
    <w:rsid w:val="254554E2"/>
    <w:rsid w:val="3E8A666C"/>
    <w:rsid w:val="447119F7"/>
    <w:rsid w:val="45402A0F"/>
    <w:rsid w:val="4B38326F"/>
    <w:rsid w:val="4F8374EE"/>
    <w:rsid w:val="543458C2"/>
    <w:rsid w:val="58533496"/>
    <w:rsid w:val="5CC130C4"/>
    <w:rsid w:val="5D446B8F"/>
    <w:rsid w:val="5F610A12"/>
    <w:rsid w:val="634731D9"/>
    <w:rsid w:val="6421309A"/>
    <w:rsid w:val="65297A59"/>
    <w:rsid w:val="679E7CCD"/>
    <w:rsid w:val="68907DEF"/>
    <w:rsid w:val="68D52EEA"/>
    <w:rsid w:val="695605EE"/>
    <w:rsid w:val="697D5394"/>
    <w:rsid w:val="69FE14F0"/>
    <w:rsid w:val="6B833C3B"/>
    <w:rsid w:val="72600832"/>
    <w:rsid w:val="7547305F"/>
    <w:rsid w:val="755E1AD2"/>
    <w:rsid w:val="7C181D26"/>
    <w:rsid w:val="7E5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napToGrid w:val="0"/>
      <w:spacing w:beforeLines="0" w:beforeAutospacing="0" w:afterLines="0" w:afterAutospacing="0" w:line="360" w:lineRule="auto"/>
      <w:ind w:firstLine="880" w:firstLineChars="200"/>
      <w:outlineLvl w:val="0"/>
    </w:pPr>
    <w:rPr>
      <w:b/>
      <w:kern w:val="44"/>
      <w:sz w:val="32"/>
    </w:rPr>
  </w:style>
  <w:style w:type="paragraph" w:styleId="3">
    <w:name w:val="heading 2"/>
    <w:basedOn w:val="1"/>
    <w:next w:val="1"/>
    <w:link w:val="19"/>
    <w:semiHidden/>
    <w:unhideWhenUsed/>
    <w:qFormat/>
    <w:uiPriority w:val="0"/>
    <w:pPr>
      <w:keepNext/>
      <w:keepLines/>
      <w:spacing w:after="50" w:afterLines="50" w:line="360" w:lineRule="auto"/>
      <w:jc w:val="left"/>
      <w:outlineLvl w:val="1"/>
    </w:pPr>
    <w:rPr>
      <w:rFonts w:ascii="Arial" w:hAnsi="Arial" w:eastAsia="方正仿宋_GB2312" w:cs="Times New Roman"/>
      <w:b/>
      <w:bCs/>
      <w:sz w:val="30"/>
      <w:szCs w:val="32"/>
    </w:rPr>
  </w:style>
  <w:style w:type="paragraph" w:styleId="4">
    <w:name w:val="heading 3"/>
    <w:basedOn w:val="1"/>
    <w:next w:val="1"/>
    <w:link w:val="17"/>
    <w:semiHidden/>
    <w:unhideWhenUsed/>
    <w:qFormat/>
    <w:uiPriority w:val="0"/>
    <w:pPr>
      <w:keepNext/>
      <w:keepLines/>
      <w:spacing w:line="360" w:lineRule="auto"/>
      <w:outlineLvl w:val="2"/>
    </w:pPr>
    <w:rPr>
      <w:rFonts w:ascii="Times New Roman" w:hAnsi="Times New Roman" w:eastAsia="黑体" w:cs="Times New Roman"/>
      <w:bCs/>
      <w:sz w:val="28"/>
      <w:szCs w:val="32"/>
    </w:rPr>
  </w:style>
  <w:style w:type="paragraph" w:styleId="5">
    <w:name w:val="heading 4"/>
    <w:basedOn w:val="1"/>
    <w:next w:val="1"/>
    <w:semiHidden/>
    <w:unhideWhenUsed/>
    <w:qFormat/>
    <w:uiPriority w:val="0"/>
    <w:pPr>
      <w:keepNext/>
      <w:keepLines/>
      <w:spacing w:line="360" w:lineRule="auto"/>
      <w:outlineLvl w:val="3"/>
    </w:pPr>
    <w:rPr>
      <w:rFonts w:ascii="Arial" w:hAnsi="Arial" w:eastAsia="黑体" w:cs="Times New Roman"/>
      <w:bCs/>
      <w:kern w:val="0"/>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spacing w:after="120" w:afterLines="0" w:afterAutospacing="0"/>
    </w:pPr>
  </w:style>
  <w:style w:type="paragraph" w:styleId="13">
    <w:name w:val="Plain Text"/>
    <w:basedOn w:val="1"/>
    <w:next w:val="1"/>
    <w:qFormat/>
    <w:uiPriority w:val="99"/>
    <w:rPr>
      <w:rFonts w:ascii="宋体" w:hAnsi="Courier New"/>
      <w:kern w:val="0"/>
      <w:sz w:val="20"/>
      <w:szCs w:val="21"/>
    </w:r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character" w:customStyle="1" w:styleId="17">
    <w:name w:val="标题 3 Char"/>
    <w:link w:val="4"/>
    <w:qFormat/>
    <w:uiPriority w:val="99"/>
    <w:rPr>
      <w:rFonts w:ascii="Times New Roman" w:hAnsi="Times New Roman" w:eastAsia="黑体" w:cs="Times New Roman"/>
      <w:bCs/>
      <w:sz w:val="28"/>
      <w:szCs w:val="32"/>
    </w:rPr>
  </w:style>
  <w:style w:type="character" w:customStyle="1" w:styleId="18">
    <w:name w:val="标题 1 字符1"/>
    <w:link w:val="2"/>
    <w:qFormat/>
    <w:uiPriority w:val="0"/>
    <w:rPr>
      <w:rFonts w:ascii="Times New Roman" w:hAnsi="Times New Roman" w:eastAsia="方正小标宋简体"/>
      <w:b/>
      <w:kern w:val="44"/>
      <w:sz w:val="30"/>
    </w:rPr>
  </w:style>
  <w:style w:type="character" w:customStyle="1" w:styleId="19">
    <w:name w:val="标题 2 字符"/>
    <w:link w:val="3"/>
    <w:autoRedefine/>
    <w:qFormat/>
    <w:uiPriority w:val="0"/>
    <w:rPr>
      <w:rFonts w:ascii="Arial" w:hAnsi="Arial" w:eastAsia="方正仿宋_GB2312" w:cs="Times New Roman"/>
      <w:b/>
      <w:bCs/>
      <w:kern w:val="2"/>
      <w:sz w:val="3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2602</Words>
  <Characters>3180</Characters>
  <Lines>0</Lines>
  <Paragraphs>0</Paragraphs>
  <TotalTime>0</TotalTime>
  <ScaleCrop>false</ScaleCrop>
  <LinksUpToDate>false</LinksUpToDate>
  <CharactersWithSpaces>3264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2025-08-05T01:19:00Z</dcterms:created>
  <dc:creator>admin</dc:creator>
  <cp:lastModifiedBy>admin</cp:lastModifiedBy>
  <dcterms:modified xsi:type="dcterms:W3CDTF">2025-08-05T02:57:19Z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2A5A348223ED48E6ADF7440906987017_11</vt:lpwstr>
  </property>
  <property fmtid="{D5CDD505-2E9C-101B-9397-08002B2CF9AE}" pid="4" name="KSOTemplateDocerSaveRecord">
    <vt:lpwstr>eyJoZGlkIjoiMDEzOTk0YzljZjA0NmFjOTJiOGMzZDZiMGJhZDRhZjMiLCJ1c2VySWQiOiIxMTU2ODMwMjE3In0=</vt:lpwstr>
  </property>
</Properties>
</file>