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428BF">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z w:val="52"/>
          <w:szCs w:val="52"/>
          <w:lang w:eastAsia="zh-CN"/>
        </w:rPr>
      </w:pPr>
      <w:r>
        <w:rPr>
          <w:rFonts w:hint="eastAsia" w:ascii="宋体" w:hAnsi="宋体" w:eastAsia="宋体" w:cs="宋体"/>
          <w:color w:val="auto"/>
          <w:sz w:val="52"/>
          <w:szCs w:val="52"/>
          <w:lang w:eastAsia="zh-CN"/>
        </w:rPr>
        <w:drawing>
          <wp:inline distT="0" distB="0" distL="114300" distR="114300">
            <wp:extent cx="6114415" cy="8643620"/>
            <wp:effectExtent l="0" t="0" r="635" b="5080"/>
            <wp:docPr id="2" name="图片 2" descr="20240722112843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40722112843_00"/>
                    <pic:cNvPicPr>
                      <a:picLocks noChangeAspect="1"/>
                    </pic:cNvPicPr>
                  </pic:nvPicPr>
                  <pic:blipFill>
                    <a:blip r:embed="rId8"/>
                    <a:stretch>
                      <a:fillRect/>
                    </a:stretch>
                  </pic:blipFill>
                  <pic:spPr>
                    <a:xfrm>
                      <a:off x="0" y="0"/>
                      <a:ext cx="6114415" cy="8643620"/>
                    </a:xfrm>
                    <a:prstGeom prst="rect">
                      <a:avLst/>
                    </a:prstGeom>
                  </pic:spPr>
                </pic:pic>
              </a:graphicData>
            </a:graphic>
          </wp:inline>
        </w:drawing>
      </w:r>
      <w:bookmarkStart w:id="345" w:name="_GoBack"/>
      <w:bookmarkEnd w:id="345"/>
    </w:p>
    <w:p w14:paraId="40187682">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z w:val="52"/>
          <w:szCs w:val="52"/>
        </w:rPr>
      </w:pPr>
    </w:p>
    <w:p w14:paraId="22B88C2C">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z w:val="52"/>
          <w:szCs w:val="52"/>
        </w:rPr>
      </w:pPr>
      <w:r>
        <w:rPr>
          <w:rFonts w:hint="eastAsia" w:ascii="宋体" w:hAnsi="宋体" w:eastAsia="宋体" w:cs="宋体"/>
          <w:color w:val="auto"/>
          <w:sz w:val="52"/>
          <w:szCs w:val="52"/>
        </w:rPr>
        <w:t>南宁市政府采购</w:t>
      </w:r>
    </w:p>
    <w:p w14:paraId="1CCC80C0">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z w:val="52"/>
          <w:szCs w:val="52"/>
        </w:rPr>
      </w:pPr>
      <w:r>
        <w:rPr>
          <w:rFonts w:hint="eastAsia" w:ascii="宋体" w:hAnsi="宋体" w:eastAsia="宋体" w:cs="宋体"/>
          <w:color w:val="auto"/>
          <w:sz w:val="52"/>
          <w:szCs w:val="52"/>
        </w:rPr>
        <w:t>公开招标文件（服务类）</w:t>
      </w:r>
    </w:p>
    <w:p w14:paraId="3F751625">
      <w:pPr>
        <w:pageBreakBefore w:val="0"/>
        <w:kinsoku/>
        <w:wordWrap/>
        <w:overflowPunct/>
        <w:topLinePunct w:val="0"/>
        <w:bidi w:val="0"/>
        <w:spacing w:beforeAutospacing="0" w:line="360" w:lineRule="auto"/>
        <w:ind w:left="0" w:leftChars="0" w:right="0"/>
        <w:jc w:val="center"/>
        <w:rPr>
          <w:rFonts w:hint="eastAsia" w:ascii="宋体" w:hAnsi="宋体" w:eastAsia="宋体" w:cs="宋体"/>
          <w:b/>
          <w:color w:val="auto"/>
          <w:sz w:val="48"/>
          <w:szCs w:val="48"/>
        </w:rPr>
      </w:pPr>
    </w:p>
    <w:p w14:paraId="27B7FD0D">
      <w:pPr>
        <w:pageBreakBefore w:val="0"/>
        <w:kinsoku/>
        <w:wordWrap/>
        <w:overflowPunct/>
        <w:topLinePunct w:val="0"/>
        <w:bidi w:val="0"/>
        <w:spacing w:beforeAutospacing="0" w:line="360" w:lineRule="auto"/>
        <w:ind w:left="0" w:leftChars="0" w:right="0"/>
        <w:jc w:val="center"/>
        <w:rPr>
          <w:rFonts w:hint="eastAsia" w:ascii="宋体" w:hAnsi="宋体" w:eastAsia="宋体" w:cs="宋体"/>
          <w:b/>
          <w:color w:val="auto"/>
          <w:sz w:val="48"/>
          <w:szCs w:val="48"/>
        </w:rPr>
      </w:pPr>
    </w:p>
    <w:p w14:paraId="12122936">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color w:val="auto"/>
          <w:sz w:val="72"/>
          <w:szCs w:val="72"/>
        </w:rPr>
      </w:pPr>
      <w:r>
        <w:rPr>
          <w:rFonts w:hint="eastAsia" w:ascii="宋体" w:hAnsi="宋体" w:eastAsia="宋体" w:cs="宋体"/>
          <w:color w:val="auto"/>
          <w:sz w:val="72"/>
          <w:szCs w:val="72"/>
        </w:rPr>
        <w:t>招 标 文 件</w:t>
      </w:r>
    </w:p>
    <w:p w14:paraId="33B5186B">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color w:val="auto"/>
          <w:sz w:val="30"/>
          <w:szCs w:val="72"/>
        </w:rPr>
      </w:pPr>
      <w:r>
        <w:rPr>
          <w:rFonts w:hint="eastAsia" w:ascii="宋体" w:hAnsi="宋体" w:eastAsia="宋体" w:cs="宋体"/>
          <w:color w:val="auto"/>
          <w:sz w:val="30"/>
          <w:szCs w:val="72"/>
        </w:rPr>
        <w:t>（全流程电子化评标）</w:t>
      </w:r>
    </w:p>
    <w:p w14:paraId="7932F291">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 w:val="30"/>
          <w:szCs w:val="72"/>
        </w:rPr>
      </w:pPr>
    </w:p>
    <w:p w14:paraId="161F930C">
      <w:pPr>
        <w:pageBreakBefore w:val="0"/>
        <w:kinsoku/>
        <w:wordWrap/>
        <w:overflowPunct/>
        <w:topLinePunct w:val="0"/>
        <w:bidi w:val="0"/>
        <w:snapToGrid w:val="0"/>
        <w:spacing w:beforeAutospacing="0" w:line="360" w:lineRule="auto"/>
        <w:ind w:left="0" w:leftChars="0" w:right="0" w:firstLine="1193" w:firstLineChars="396"/>
        <w:jc w:val="center"/>
        <w:rPr>
          <w:rFonts w:hint="eastAsia" w:ascii="宋体" w:hAnsi="宋体" w:eastAsia="宋体" w:cs="宋体"/>
          <w:b/>
          <w:bCs/>
          <w:color w:val="auto"/>
          <w:sz w:val="30"/>
          <w:szCs w:val="30"/>
          <w:lang w:eastAsia="zh-CN"/>
        </w:rPr>
      </w:pPr>
      <w:r>
        <w:rPr>
          <w:rFonts w:hint="eastAsia" w:ascii="宋体" w:hAnsi="宋体" w:eastAsia="宋体" w:cs="宋体"/>
          <w:b/>
          <w:bCs/>
          <w:color w:val="auto"/>
          <w:sz w:val="30"/>
          <w:szCs w:val="30"/>
        </w:rPr>
        <w:t>项目</w:t>
      </w:r>
      <w:r>
        <w:rPr>
          <w:rFonts w:hint="eastAsia" w:ascii="宋体" w:hAnsi="宋体" w:eastAsia="宋体" w:cs="宋体"/>
          <w:b/>
          <w:bCs/>
          <w:color w:val="auto"/>
          <w:w w:val="95"/>
          <w:sz w:val="30"/>
          <w:szCs w:val="30"/>
        </w:rPr>
        <w:t>名称</w:t>
      </w:r>
      <w:r>
        <w:rPr>
          <w:rFonts w:hint="eastAsia" w:ascii="宋体" w:hAnsi="宋体" w:cs="宋体"/>
          <w:b/>
          <w:bCs/>
          <w:color w:val="auto"/>
          <w:w w:val="95"/>
          <w:sz w:val="30"/>
          <w:szCs w:val="30"/>
          <w:lang w:eastAsia="zh-CN"/>
        </w:rPr>
        <w:t>：</w:t>
      </w:r>
      <w:r>
        <w:rPr>
          <w:rFonts w:hint="eastAsia" w:ascii="宋体" w:hAnsi="宋体" w:cs="宋体"/>
          <w:b/>
          <w:bCs/>
          <w:color w:val="auto"/>
          <w:sz w:val="30"/>
          <w:szCs w:val="30"/>
          <w:lang w:eastAsia="zh-CN"/>
        </w:rPr>
        <w:t>南宁市第二看守所在押人员伙房食材配送服务采购项目</w:t>
      </w:r>
    </w:p>
    <w:p w14:paraId="660AFC50">
      <w:pPr>
        <w:pageBreakBefore w:val="0"/>
        <w:kinsoku/>
        <w:wordWrap/>
        <w:overflowPunct/>
        <w:topLinePunct w:val="0"/>
        <w:bidi w:val="0"/>
        <w:snapToGrid w:val="0"/>
        <w:spacing w:beforeAutospacing="0" w:line="360" w:lineRule="auto"/>
        <w:ind w:left="0" w:leftChars="0" w:right="0" w:firstLine="1145" w:firstLineChars="400"/>
        <w:rPr>
          <w:rFonts w:hint="eastAsia" w:ascii="宋体" w:hAnsi="宋体" w:eastAsia="宋体" w:cs="宋体"/>
          <w:b/>
          <w:color w:val="auto"/>
          <w:sz w:val="30"/>
          <w:szCs w:val="48"/>
          <w:lang w:eastAsia="zh-CN"/>
        </w:rPr>
      </w:pPr>
      <w:r>
        <w:rPr>
          <w:rFonts w:hint="eastAsia" w:ascii="宋体" w:hAnsi="宋体" w:eastAsia="宋体" w:cs="宋体"/>
          <w:b/>
          <w:bCs/>
          <w:color w:val="auto"/>
          <w:w w:val="95"/>
          <w:sz w:val="30"/>
          <w:szCs w:val="30"/>
        </w:rPr>
        <w:t>项目</w:t>
      </w:r>
      <w:r>
        <w:rPr>
          <w:rFonts w:hint="eastAsia" w:ascii="宋体" w:hAnsi="宋体" w:eastAsia="宋体" w:cs="宋体"/>
          <w:b/>
          <w:bCs/>
          <w:color w:val="auto"/>
          <w:sz w:val="30"/>
          <w:szCs w:val="30"/>
        </w:rPr>
        <w:t>编号</w:t>
      </w:r>
      <w:r>
        <w:rPr>
          <w:rFonts w:hint="eastAsia" w:ascii="宋体" w:hAnsi="宋体" w:eastAsia="宋体" w:cs="宋体"/>
          <w:b/>
          <w:bCs/>
          <w:color w:val="auto"/>
          <w:w w:val="95"/>
          <w:sz w:val="30"/>
          <w:szCs w:val="30"/>
        </w:rPr>
        <w:t>：</w:t>
      </w:r>
      <w:r>
        <w:rPr>
          <w:rFonts w:hint="eastAsia" w:ascii="宋体" w:hAnsi="宋体" w:eastAsia="宋体" w:cs="宋体"/>
          <w:b/>
          <w:color w:val="auto"/>
          <w:sz w:val="30"/>
          <w:szCs w:val="48"/>
        </w:rPr>
        <w:t xml:space="preserve"> </w:t>
      </w:r>
      <w:r>
        <w:rPr>
          <w:rFonts w:hint="eastAsia" w:ascii="宋体" w:hAnsi="宋体" w:cs="宋体"/>
          <w:b/>
          <w:color w:val="auto"/>
          <w:sz w:val="30"/>
          <w:szCs w:val="48"/>
          <w:lang w:eastAsia="zh-CN"/>
        </w:rPr>
        <w:t>NNZC2024-G3-990896-GXJZ</w:t>
      </w:r>
    </w:p>
    <w:p w14:paraId="7A79EFCC">
      <w:pPr>
        <w:pageBreakBefore w:val="0"/>
        <w:kinsoku/>
        <w:wordWrap/>
        <w:overflowPunct/>
        <w:topLinePunct w:val="0"/>
        <w:bidi w:val="0"/>
        <w:snapToGrid w:val="0"/>
        <w:spacing w:beforeAutospacing="0" w:line="360" w:lineRule="auto"/>
        <w:ind w:left="0" w:leftChars="0" w:right="0" w:firstLine="1125" w:firstLineChars="393"/>
        <w:rPr>
          <w:rFonts w:hint="eastAsia" w:ascii="宋体" w:hAnsi="宋体" w:eastAsia="宋体" w:cs="宋体"/>
          <w:b/>
          <w:bCs/>
          <w:color w:val="auto"/>
          <w:w w:val="95"/>
          <w:sz w:val="30"/>
          <w:szCs w:val="30"/>
        </w:rPr>
      </w:pPr>
    </w:p>
    <w:p w14:paraId="40D87896">
      <w:pPr>
        <w:pageBreakBefore w:val="0"/>
        <w:kinsoku/>
        <w:wordWrap/>
        <w:overflowPunct/>
        <w:topLinePunct w:val="0"/>
        <w:bidi w:val="0"/>
        <w:snapToGrid w:val="0"/>
        <w:spacing w:beforeAutospacing="0" w:line="360" w:lineRule="auto"/>
        <w:ind w:left="0" w:leftChars="0" w:right="0" w:firstLine="1125" w:firstLineChars="393"/>
        <w:rPr>
          <w:rFonts w:hint="eastAsia" w:ascii="宋体" w:hAnsi="宋体" w:eastAsia="宋体" w:cs="宋体"/>
          <w:b/>
          <w:bCs/>
          <w:color w:val="auto"/>
          <w:w w:val="95"/>
          <w:sz w:val="30"/>
          <w:szCs w:val="30"/>
          <w:lang w:eastAsia="zh-CN"/>
        </w:rPr>
      </w:pPr>
      <w:r>
        <w:rPr>
          <w:rFonts w:hint="eastAsia" w:ascii="宋体" w:hAnsi="宋体" w:eastAsia="宋体" w:cs="宋体"/>
          <w:b/>
          <w:bCs/>
          <w:color w:val="auto"/>
          <w:w w:val="95"/>
          <w:sz w:val="30"/>
          <w:szCs w:val="30"/>
        </w:rPr>
        <w:t xml:space="preserve">采 购 人： </w:t>
      </w:r>
      <w:r>
        <w:rPr>
          <w:rFonts w:hint="eastAsia" w:ascii="宋体" w:hAnsi="宋体" w:cs="宋体"/>
          <w:b/>
          <w:bCs/>
          <w:color w:val="auto"/>
          <w:w w:val="95"/>
          <w:sz w:val="30"/>
          <w:szCs w:val="30"/>
          <w:lang w:eastAsia="zh-CN"/>
        </w:rPr>
        <w:t>南宁市第二看守所</w:t>
      </w:r>
    </w:p>
    <w:p w14:paraId="5C4E697D">
      <w:pPr>
        <w:pageBreakBefore w:val="0"/>
        <w:kinsoku/>
        <w:wordWrap/>
        <w:overflowPunct/>
        <w:topLinePunct w:val="0"/>
        <w:bidi w:val="0"/>
        <w:snapToGrid w:val="0"/>
        <w:spacing w:beforeAutospacing="0" w:line="360" w:lineRule="auto"/>
        <w:ind w:left="0" w:leftChars="0" w:right="0" w:firstLine="1125" w:firstLineChars="393"/>
        <w:rPr>
          <w:rFonts w:hint="eastAsia" w:ascii="宋体" w:hAnsi="宋体" w:eastAsia="宋体" w:cs="宋体"/>
          <w:b/>
          <w:bCs/>
          <w:color w:val="auto"/>
          <w:w w:val="95"/>
          <w:sz w:val="30"/>
          <w:szCs w:val="30"/>
        </w:rPr>
      </w:pPr>
    </w:p>
    <w:p w14:paraId="6753A26F">
      <w:pPr>
        <w:pageBreakBefore w:val="0"/>
        <w:kinsoku/>
        <w:wordWrap/>
        <w:overflowPunct/>
        <w:topLinePunct w:val="0"/>
        <w:bidi w:val="0"/>
        <w:snapToGrid w:val="0"/>
        <w:spacing w:beforeAutospacing="0" w:line="360" w:lineRule="auto"/>
        <w:ind w:left="0" w:leftChars="0" w:right="0" w:firstLine="1125" w:firstLineChars="393"/>
        <w:rPr>
          <w:rFonts w:hint="eastAsia" w:ascii="宋体" w:hAnsi="宋体" w:eastAsia="宋体" w:cs="宋体"/>
          <w:b/>
          <w:bCs/>
          <w:color w:val="auto"/>
          <w:w w:val="95"/>
          <w:sz w:val="30"/>
          <w:szCs w:val="30"/>
          <w:lang w:eastAsia="zh-CN"/>
        </w:rPr>
      </w:pPr>
      <w:r>
        <w:rPr>
          <w:rFonts w:hint="eastAsia" w:ascii="宋体" w:hAnsi="宋体" w:eastAsia="宋体" w:cs="宋体"/>
          <w:b/>
          <w:bCs/>
          <w:color w:val="auto"/>
          <w:w w:val="95"/>
          <w:sz w:val="30"/>
          <w:szCs w:val="30"/>
        </w:rPr>
        <w:t>采购代理机构：</w:t>
      </w:r>
      <w:r>
        <w:rPr>
          <w:rFonts w:hint="eastAsia" w:ascii="宋体" w:hAnsi="宋体" w:cs="宋体"/>
          <w:b/>
          <w:bCs/>
          <w:color w:val="auto"/>
          <w:w w:val="95"/>
          <w:sz w:val="30"/>
          <w:szCs w:val="30"/>
          <w:lang w:eastAsia="zh-CN"/>
        </w:rPr>
        <w:t>广西景钲工程咨询有限公司</w:t>
      </w:r>
    </w:p>
    <w:p w14:paraId="6FFA20F0">
      <w:pPr>
        <w:pageBreakBefore w:val="0"/>
        <w:kinsoku/>
        <w:wordWrap/>
        <w:overflowPunct/>
        <w:topLinePunct w:val="0"/>
        <w:bidi w:val="0"/>
        <w:snapToGrid w:val="0"/>
        <w:spacing w:beforeAutospacing="0" w:line="360" w:lineRule="auto"/>
        <w:ind w:left="0" w:leftChars="0" w:right="0" w:firstLine="841" w:firstLineChars="294"/>
        <w:rPr>
          <w:rFonts w:hint="eastAsia" w:ascii="宋体" w:hAnsi="宋体" w:eastAsia="宋体" w:cs="宋体"/>
          <w:b/>
          <w:bCs/>
          <w:color w:val="auto"/>
          <w:w w:val="95"/>
          <w:sz w:val="30"/>
          <w:szCs w:val="30"/>
        </w:rPr>
      </w:pPr>
      <w:r>
        <w:rPr>
          <w:rFonts w:hint="eastAsia" w:ascii="宋体" w:hAnsi="宋体" w:eastAsia="宋体" w:cs="宋体"/>
          <w:b/>
          <w:bCs/>
          <w:color w:val="auto"/>
          <w:w w:val="95"/>
          <w:sz w:val="30"/>
          <w:szCs w:val="30"/>
        </w:rPr>
        <w:t xml:space="preserve">                     </w:t>
      </w:r>
    </w:p>
    <w:p w14:paraId="5929849E">
      <w:pPr>
        <w:pageBreakBefore w:val="0"/>
        <w:kinsoku/>
        <w:wordWrap/>
        <w:overflowPunct/>
        <w:topLinePunct w:val="0"/>
        <w:bidi w:val="0"/>
        <w:snapToGrid w:val="0"/>
        <w:spacing w:beforeAutospacing="0" w:line="360" w:lineRule="auto"/>
        <w:ind w:right="0"/>
        <w:jc w:val="center"/>
        <w:rPr>
          <w:rFonts w:hint="eastAsia" w:ascii="宋体" w:hAnsi="宋体" w:eastAsia="宋体" w:cs="宋体"/>
          <w:b/>
          <w:bCs/>
          <w:color w:val="auto"/>
          <w:w w:val="95"/>
          <w:sz w:val="30"/>
          <w:szCs w:val="30"/>
        </w:rPr>
      </w:pPr>
      <w:r>
        <w:rPr>
          <w:rFonts w:hint="eastAsia" w:ascii="宋体" w:hAnsi="宋体" w:eastAsia="宋体" w:cs="宋体"/>
          <w:b/>
          <w:bCs/>
          <w:color w:val="auto"/>
          <w:w w:val="95"/>
          <w:sz w:val="30"/>
          <w:szCs w:val="30"/>
        </w:rPr>
        <w:t>202</w:t>
      </w:r>
      <w:r>
        <w:rPr>
          <w:rFonts w:hint="eastAsia" w:ascii="宋体" w:hAnsi="宋体" w:cs="宋体"/>
          <w:b/>
          <w:bCs/>
          <w:color w:val="auto"/>
          <w:w w:val="95"/>
          <w:sz w:val="30"/>
          <w:szCs w:val="30"/>
          <w:lang w:val="en-US" w:eastAsia="zh-CN"/>
        </w:rPr>
        <w:t>4</w:t>
      </w:r>
      <w:r>
        <w:rPr>
          <w:rFonts w:hint="eastAsia" w:ascii="宋体" w:hAnsi="宋体" w:eastAsia="宋体" w:cs="宋体"/>
          <w:b/>
          <w:bCs/>
          <w:color w:val="auto"/>
          <w:w w:val="95"/>
          <w:sz w:val="30"/>
          <w:szCs w:val="30"/>
        </w:rPr>
        <w:t>年0</w:t>
      </w:r>
      <w:r>
        <w:rPr>
          <w:rFonts w:hint="eastAsia" w:ascii="宋体" w:hAnsi="宋体" w:cs="宋体"/>
          <w:b/>
          <w:bCs/>
          <w:color w:val="auto"/>
          <w:w w:val="95"/>
          <w:sz w:val="30"/>
          <w:szCs w:val="30"/>
          <w:lang w:val="en-US" w:eastAsia="zh-CN"/>
        </w:rPr>
        <w:t>7</w:t>
      </w:r>
      <w:r>
        <w:rPr>
          <w:rFonts w:hint="eastAsia" w:ascii="宋体" w:hAnsi="宋体" w:eastAsia="宋体" w:cs="宋体"/>
          <w:b/>
          <w:bCs/>
          <w:color w:val="auto"/>
          <w:w w:val="95"/>
          <w:sz w:val="30"/>
          <w:szCs w:val="30"/>
        </w:rPr>
        <w:t>月</w:t>
      </w:r>
    </w:p>
    <w:p w14:paraId="004AC22B">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b/>
          <w:bCs/>
          <w:color w:val="auto"/>
          <w:w w:val="95"/>
          <w:sz w:val="30"/>
          <w:szCs w:val="30"/>
        </w:rPr>
        <w:sectPr>
          <w:pgSz w:w="11906" w:h="16838"/>
          <w:pgMar w:top="1134" w:right="1134" w:bottom="1134" w:left="1134" w:header="720" w:footer="720" w:gutter="0"/>
          <w:pgNumType w:start="1"/>
          <w:cols w:space="720" w:num="1"/>
          <w:docGrid w:type="lines" w:linePitch="331" w:charSpace="0"/>
        </w:sectPr>
      </w:pPr>
    </w:p>
    <w:p w14:paraId="2BECB6CC">
      <w:pPr>
        <w:pageBreakBefore w:val="0"/>
        <w:kinsoku/>
        <w:wordWrap/>
        <w:overflowPunct/>
        <w:topLinePunct w:val="0"/>
        <w:bidi w:val="0"/>
        <w:spacing w:beforeAutospacing="0" w:line="360" w:lineRule="auto"/>
        <w:ind w:left="0" w:leftChars="0" w:right="0"/>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目     录</w:t>
      </w:r>
    </w:p>
    <w:p w14:paraId="70324A7E">
      <w:pPr>
        <w:pStyle w:val="13"/>
        <w:tabs>
          <w:tab w:val="right" w:leader="dot" w:pos="9638"/>
        </w:tabs>
        <w:rPr>
          <w:color w:val="auto"/>
        </w:rPr>
      </w:pPr>
      <w:r>
        <w:rPr>
          <w:rFonts w:hint="eastAsia" w:ascii="宋体" w:hAnsi="宋体" w:eastAsia="宋体" w:cs="宋体"/>
          <w:color w:val="auto"/>
          <w:sz w:val="28"/>
          <w:szCs w:val="28"/>
          <w:u w:val="single"/>
        </w:rPr>
        <w:fldChar w:fldCharType="begin"/>
      </w:r>
      <w:r>
        <w:rPr>
          <w:rFonts w:hint="eastAsia" w:ascii="宋体" w:hAnsi="宋体" w:eastAsia="宋体" w:cs="宋体"/>
          <w:color w:val="auto"/>
          <w:sz w:val="28"/>
          <w:szCs w:val="28"/>
          <w:u w:val="single"/>
        </w:rPr>
        <w:instrText xml:space="preserve"> TOC \o "1-3" \h \z \u </w:instrText>
      </w:r>
      <w:r>
        <w:rPr>
          <w:rFonts w:hint="eastAsia" w:ascii="宋体" w:hAnsi="宋体" w:eastAsia="宋体" w:cs="宋体"/>
          <w:color w:val="auto"/>
          <w:sz w:val="28"/>
          <w:szCs w:val="28"/>
          <w:u w:val="single"/>
        </w:rPr>
        <w:fldChar w:fldCharType="separate"/>
      </w:r>
      <w:r>
        <w:rPr>
          <w:rFonts w:hint="eastAsia" w:ascii="宋体" w:hAnsi="宋体" w:eastAsia="宋体" w:cs="宋体"/>
          <w:color w:val="auto"/>
          <w:szCs w:val="28"/>
          <w:u w:val="single"/>
        </w:rPr>
        <w:fldChar w:fldCharType="begin"/>
      </w:r>
      <w:r>
        <w:rPr>
          <w:rFonts w:hint="eastAsia" w:ascii="宋体" w:hAnsi="宋体" w:eastAsia="宋体" w:cs="宋体"/>
          <w:color w:val="auto"/>
          <w:szCs w:val="28"/>
        </w:rPr>
        <w:instrText xml:space="preserve"> HYPERLINK \l _Toc20615 </w:instrText>
      </w:r>
      <w:r>
        <w:rPr>
          <w:rFonts w:hint="eastAsia" w:ascii="宋体" w:hAnsi="宋体" w:eastAsia="宋体" w:cs="宋体"/>
          <w:color w:val="auto"/>
          <w:szCs w:val="28"/>
        </w:rPr>
        <w:fldChar w:fldCharType="separate"/>
      </w:r>
      <w:r>
        <w:rPr>
          <w:rFonts w:hint="eastAsia" w:ascii="宋体" w:hAnsi="宋体" w:eastAsia="宋体" w:cs="宋体"/>
          <w:color w:val="auto"/>
          <w:szCs w:val="20"/>
        </w:rPr>
        <w:t>第二章  采购需求</w:t>
      </w:r>
      <w:r>
        <w:rPr>
          <w:color w:val="auto"/>
        </w:rPr>
        <w:tab/>
      </w:r>
      <w:r>
        <w:rPr>
          <w:color w:val="auto"/>
        </w:rPr>
        <w:fldChar w:fldCharType="begin"/>
      </w:r>
      <w:r>
        <w:rPr>
          <w:color w:val="auto"/>
        </w:rPr>
        <w:instrText xml:space="preserve"> PAGEREF _Toc20615 \h </w:instrText>
      </w:r>
      <w:r>
        <w:rPr>
          <w:color w:val="auto"/>
        </w:rPr>
        <w:fldChar w:fldCharType="separate"/>
      </w:r>
      <w:r>
        <w:rPr>
          <w:color w:val="auto"/>
        </w:rPr>
        <w:t>6</w:t>
      </w:r>
      <w:r>
        <w:rPr>
          <w:color w:val="auto"/>
        </w:rPr>
        <w:fldChar w:fldCharType="end"/>
      </w:r>
      <w:r>
        <w:rPr>
          <w:rFonts w:hint="eastAsia" w:ascii="宋体" w:hAnsi="宋体" w:eastAsia="宋体" w:cs="宋体"/>
          <w:color w:val="auto"/>
          <w:szCs w:val="28"/>
          <w:u w:val="single"/>
        </w:rPr>
        <w:fldChar w:fldCharType="end"/>
      </w:r>
    </w:p>
    <w:p w14:paraId="771EC418">
      <w:pPr>
        <w:pStyle w:val="13"/>
        <w:tabs>
          <w:tab w:val="right" w:leader="dot" w:pos="9638"/>
        </w:tabs>
        <w:rPr>
          <w:color w:val="auto"/>
        </w:rPr>
      </w:pPr>
      <w:r>
        <w:rPr>
          <w:rFonts w:hint="eastAsia" w:ascii="宋体" w:hAnsi="宋体" w:eastAsia="宋体" w:cs="宋体"/>
          <w:bCs/>
          <w:caps/>
          <w:color w:val="auto"/>
          <w:szCs w:val="28"/>
          <w:u w:val="single"/>
        </w:rPr>
        <w:fldChar w:fldCharType="begin"/>
      </w:r>
      <w:r>
        <w:rPr>
          <w:rFonts w:hint="eastAsia" w:ascii="宋体" w:hAnsi="宋体" w:eastAsia="宋体" w:cs="宋体"/>
          <w:bCs/>
          <w:caps/>
          <w:color w:val="auto"/>
          <w:szCs w:val="28"/>
        </w:rPr>
        <w:instrText xml:space="preserve"> HYPERLINK \l _Toc19633 </w:instrText>
      </w:r>
      <w:r>
        <w:rPr>
          <w:rFonts w:hint="eastAsia" w:ascii="宋体" w:hAnsi="宋体" w:eastAsia="宋体" w:cs="宋体"/>
          <w:bCs/>
          <w:caps/>
          <w:color w:val="auto"/>
          <w:szCs w:val="28"/>
        </w:rPr>
        <w:fldChar w:fldCharType="separate"/>
      </w:r>
      <w:r>
        <w:rPr>
          <w:rFonts w:hint="eastAsia" w:ascii="宋体" w:hAnsi="宋体" w:eastAsia="宋体" w:cs="宋体"/>
          <w:color w:val="auto"/>
          <w:szCs w:val="20"/>
        </w:rPr>
        <w:t>第三章  投标人须知</w:t>
      </w:r>
      <w:r>
        <w:rPr>
          <w:color w:val="auto"/>
        </w:rPr>
        <w:tab/>
      </w:r>
      <w:r>
        <w:rPr>
          <w:color w:val="auto"/>
        </w:rPr>
        <w:fldChar w:fldCharType="begin"/>
      </w:r>
      <w:r>
        <w:rPr>
          <w:color w:val="auto"/>
        </w:rPr>
        <w:instrText xml:space="preserve"> PAGEREF _Toc19633 \h </w:instrText>
      </w:r>
      <w:r>
        <w:rPr>
          <w:color w:val="auto"/>
        </w:rPr>
        <w:fldChar w:fldCharType="separate"/>
      </w:r>
      <w:r>
        <w:rPr>
          <w:color w:val="auto"/>
        </w:rPr>
        <w:t>35</w:t>
      </w:r>
      <w:r>
        <w:rPr>
          <w:color w:val="auto"/>
        </w:rPr>
        <w:fldChar w:fldCharType="end"/>
      </w:r>
      <w:r>
        <w:rPr>
          <w:rFonts w:hint="eastAsia" w:ascii="宋体" w:hAnsi="宋体" w:eastAsia="宋体" w:cs="宋体"/>
          <w:bCs/>
          <w:caps/>
          <w:color w:val="auto"/>
          <w:szCs w:val="28"/>
          <w:u w:val="single"/>
        </w:rPr>
        <w:fldChar w:fldCharType="end"/>
      </w:r>
    </w:p>
    <w:p w14:paraId="0A8C0435">
      <w:pPr>
        <w:pStyle w:val="14"/>
        <w:tabs>
          <w:tab w:val="right" w:leader="dot" w:pos="9638"/>
        </w:tabs>
        <w:rPr>
          <w:color w:val="auto"/>
        </w:rPr>
      </w:pPr>
      <w:r>
        <w:rPr>
          <w:rFonts w:hint="eastAsia" w:ascii="宋体" w:hAnsi="宋体" w:eastAsia="宋体" w:cs="宋体"/>
          <w:bCs/>
          <w:caps/>
          <w:color w:val="auto"/>
          <w:szCs w:val="28"/>
          <w:u w:val="single"/>
        </w:rPr>
        <w:fldChar w:fldCharType="begin"/>
      </w:r>
      <w:r>
        <w:rPr>
          <w:rFonts w:hint="eastAsia" w:ascii="宋体" w:hAnsi="宋体" w:eastAsia="宋体" w:cs="宋体"/>
          <w:bCs/>
          <w:caps/>
          <w:color w:val="auto"/>
          <w:szCs w:val="28"/>
        </w:rPr>
        <w:instrText xml:space="preserve"> HYPERLINK \l _Toc20276 </w:instrText>
      </w:r>
      <w:r>
        <w:rPr>
          <w:rFonts w:hint="eastAsia" w:ascii="宋体" w:hAnsi="宋体" w:eastAsia="宋体" w:cs="宋体"/>
          <w:bCs/>
          <w:caps/>
          <w:color w:val="auto"/>
          <w:szCs w:val="28"/>
        </w:rPr>
        <w:fldChar w:fldCharType="separate"/>
      </w:r>
      <w:r>
        <w:rPr>
          <w:rFonts w:hint="eastAsia" w:ascii="宋体" w:hAnsi="宋体" w:eastAsia="宋体" w:cs="宋体"/>
          <w:color w:val="auto"/>
          <w:szCs w:val="30"/>
        </w:rPr>
        <w:t>第一节 投标人须知前附表</w:t>
      </w:r>
      <w:r>
        <w:rPr>
          <w:color w:val="auto"/>
        </w:rPr>
        <w:tab/>
      </w:r>
      <w:r>
        <w:rPr>
          <w:color w:val="auto"/>
        </w:rPr>
        <w:fldChar w:fldCharType="begin"/>
      </w:r>
      <w:r>
        <w:rPr>
          <w:color w:val="auto"/>
        </w:rPr>
        <w:instrText xml:space="preserve"> PAGEREF _Toc20276 \h </w:instrText>
      </w:r>
      <w:r>
        <w:rPr>
          <w:color w:val="auto"/>
        </w:rPr>
        <w:fldChar w:fldCharType="separate"/>
      </w:r>
      <w:r>
        <w:rPr>
          <w:color w:val="auto"/>
        </w:rPr>
        <w:t>35</w:t>
      </w:r>
      <w:r>
        <w:rPr>
          <w:color w:val="auto"/>
        </w:rPr>
        <w:fldChar w:fldCharType="end"/>
      </w:r>
      <w:r>
        <w:rPr>
          <w:rFonts w:hint="eastAsia" w:ascii="宋体" w:hAnsi="宋体" w:eastAsia="宋体" w:cs="宋体"/>
          <w:bCs/>
          <w:caps/>
          <w:color w:val="auto"/>
          <w:szCs w:val="28"/>
          <w:u w:val="single"/>
        </w:rPr>
        <w:fldChar w:fldCharType="end"/>
      </w:r>
    </w:p>
    <w:p w14:paraId="1DBA3058">
      <w:pPr>
        <w:pStyle w:val="14"/>
        <w:tabs>
          <w:tab w:val="right" w:leader="dot" w:pos="9638"/>
        </w:tabs>
        <w:rPr>
          <w:color w:val="auto"/>
        </w:rPr>
      </w:pPr>
      <w:r>
        <w:rPr>
          <w:rFonts w:hint="eastAsia" w:ascii="宋体" w:hAnsi="宋体" w:eastAsia="宋体" w:cs="宋体"/>
          <w:bCs/>
          <w:caps/>
          <w:color w:val="auto"/>
          <w:szCs w:val="28"/>
          <w:u w:val="single"/>
        </w:rPr>
        <w:fldChar w:fldCharType="begin"/>
      </w:r>
      <w:r>
        <w:rPr>
          <w:rFonts w:hint="eastAsia" w:ascii="宋体" w:hAnsi="宋体" w:eastAsia="宋体" w:cs="宋体"/>
          <w:bCs/>
          <w:caps/>
          <w:color w:val="auto"/>
          <w:szCs w:val="28"/>
        </w:rPr>
        <w:instrText xml:space="preserve"> HYPERLINK \l _Toc18585 </w:instrText>
      </w:r>
      <w:r>
        <w:rPr>
          <w:rFonts w:hint="eastAsia" w:ascii="宋体" w:hAnsi="宋体" w:eastAsia="宋体" w:cs="宋体"/>
          <w:bCs/>
          <w:caps/>
          <w:color w:val="auto"/>
          <w:szCs w:val="28"/>
        </w:rPr>
        <w:fldChar w:fldCharType="separate"/>
      </w:r>
      <w:r>
        <w:rPr>
          <w:rFonts w:hint="eastAsia" w:ascii="宋体" w:hAnsi="宋体" w:eastAsia="宋体" w:cs="宋体"/>
          <w:bCs/>
          <w:color w:val="auto"/>
          <w:szCs w:val="32"/>
        </w:rPr>
        <w:t>第二节 投标人须知正文</w:t>
      </w:r>
      <w:r>
        <w:rPr>
          <w:color w:val="auto"/>
        </w:rPr>
        <w:tab/>
      </w:r>
      <w:r>
        <w:rPr>
          <w:color w:val="auto"/>
        </w:rPr>
        <w:fldChar w:fldCharType="begin"/>
      </w:r>
      <w:r>
        <w:rPr>
          <w:color w:val="auto"/>
        </w:rPr>
        <w:instrText xml:space="preserve"> PAGEREF _Toc18585 \h </w:instrText>
      </w:r>
      <w:r>
        <w:rPr>
          <w:color w:val="auto"/>
        </w:rPr>
        <w:fldChar w:fldCharType="separate"/>
      </w:r>
      <w:r>
        <w:rPr>
          <w:color w:val="auto"/>
        </w:rPr>
        <w:t>41</w:t>
      </w:r>
      <w:r>
        <w:rPr>
          <w:color w:val="auto"/>
        </w:rPr>
        <w:fldChar w:fldCharType="end"/>
      </w:r>
      <w:r>
        <w:rPr>
          <w:rFonts w:hint="eastAsia" w:ascii="宋体" w:hAnsi="宋体" w:eastAsia="宋体" w:cs="宋体"/>
          <w:bCs/>
          <w:caps/>
          <w:color w:val="auto"/>
          <w:szCs w:val="28"/>
          <w:u w:val="single"/>
        </w:rPr>
        <w:fldChar w:fldCharType="end"/>
      </w:r>
    </w:p>
    <w:p w14:paraId="19835705">
      <w:pPr>
        <w:pStyle w:val="8"/>
        <w:tabs>
          <w:tab w:val="right" w:leader="dot" w:pos="9638"/>
        </w:tabs>
        <w:rPr>
          <w:color w:val="auto"/>
        </w:rPr>
      </w:pPr>
      <w:r>
        <w:rPr>
          <w:rFonts w:hint="eastAsia" w:ascii="宋体" w:hAnsi="宋体" w:eastAsia="宋体" w:cs="宋体"/>
          <w:bCs/>
          <w:caps/>
          <w:color w:val="auto"/>
          <w:szCs w:val="28"/>
          <w:u w:val="single"/>
        </w:rPr>
        <w:fldChar w:fldCharType="begin"/>
      </w:r>
      <w:r>
        <w:rPr>
          <w:rFonts w:hint="eastAsia" w:ascii="宋体" w:hAnsi="宋体" w:eastAsia="宋体" w:cs="宋体"/>
          <w:bCs/>
          <w:caps/>
          <w:color w:val="auto"/>
          <w:szCs w:val="28"/>
        </w:rPr>
        <w:instrText xml:space="preserve"> HYPERLINK \l _Toc26576 </w:instrText>
      </w:r>
      <w:r>
        <w:rPr>
          <w:rFonts w:hint="eastAsia" w:ascii="宋体" w:hAnsi="宋体" w:eastAsia="宋体" w:cs="宋体"/>
          <w:bCs/>
          <w:caps/>
          <w:color w:val="auto"/>
          <w:szCs w:val="28"/>
        </w:rPr>
        <w:fldChar w:fldCharType="separate"/>
      </w:r>
      <w:r>
        <w:rPr>
          <w:rFonts w:hint="eastAsia" w:ascii="宋体" w:hAnsi="宋体" w:eastAsia="宋体" w:cs="宋体"/>
          <w:bCs/>
          <w:color w:val="auto"/>
          <w:szCs w:val="32"/>
        </w:rPr>
        <w:t>一、总  则</w:t>
      </w:r>
      <w:r>
        <w:rPr>
          <w:color w:val="auto"/>
        </w:rPr>
        <w:tab/>
      </w:r>
      <w:r>
        <w:rPr>
          <w:color w:val="auto"/>
        </w:rPr>
        <w:fldChar w:fldCharType="begin"/>
      </w:r>
      <w:r>
        <w:rPr>
          <w:color w:val="auto"/>
        </w:rPr>
        <w:instrText xml:space="preserve"> PAGEREF _Toc26576 \h </w:instrText>
      </w:r>
      <w:r>
        <w:rPr>
          <w:color w:val="auto"/>
        </w:rPr>
        <w:fldChar w:fldCharType="separate"/>
      </w:r>
      <w:r>
        <w:rPr>
          <w:color w:val="auto"/>
        </w:rPr>
        <w:t>41</w:t>
      </w:r>
      <w:r>
        <w:rPr>
          <w:color w:val="auto"/>
        </w:rPr>
        <w:fldChar w:fldCharType="end"/>
      </w:r>
      <w:r>
        <w:rPr>
          <w:rFonts w:hint="eastAsia" w:ascii="宋体" w:hAnsi="宋体" w:eastAsia="宋体" w:cs="宋体"/>
          <w:bCs/>
          <w:caps/>
          <w:color w:val="auto"/>
          <w:szCs w:val="28"/>
          <w:u w:val="single"/>
        </w:rPr>
        <w:fldChar w:fldCharType="end"/>
      </w:r>
    </w:p>
    <w:p w14:paraId="4881D736">
      <w:pPr>
        <w:pStyle w:val="8"/>
        <w:tabs>
          <w:tab w:val="right" w:leader="dot" w:pos="9638"/>
        </w:tabs>
        <w:rPr>
          <w:color w:val="auto"/>
        </w:rPr>
      </w:pPr>
      <w:r>
        <w:rPr>
          <w:rFonts w:hint="eastAsia" w:ascii="宋体" w:hAnsi="宋体" w:eastAsia="宋体" w:cs="宋体"/>
          <w:bCs/>
          <w:caps/>
          <w:color w:val="auto"/>
          <w:szCs w:val="28"/>
          <w:u w:val="single"/>
        </w:rPr>
        <w:fldChar w:fldCharType="begin"/>
      </w:r>
      <w:r>
        <w:rPr>
          <w:rFonts w:hint="eastAsia" w:ascii="宋体" w:hAnsi="宋体" w:eastAsia="宋体" w:cs="宋体"/>
          <w:bCs/>
          <w:caps/>
          <w:color w:val="auto"/>
          <w:szCs w:val="28"/>
        </w:rPr>
        <w:instrText xml:space="preserve"> HYPERLINK \l _Toc32102 </w:instrText>
      </w:r>
      <w:r>
        <w:rPr>
          <w:rFonts w:hint="eastAsia" w:ascii="宋体" w:hAnsi="宋体" w:eastAsia="宋体" w:cs="宋体"/>
          <w:bCs/>
          <w:caps/>
          <w:color w:val="auto"/>
          <w:szCs w:val="28"/>
        </w:rPr>
        <w:fldChar w:fldCharType="separate"/>
      </w:r>
      <w:r>
        <w:rPr>
          <w:rFonts w:hint="eastAsia" w:ascii="宋体" w:hAnsi="宋体"/>
          <w:color w:val="auto"/>
        </w:rPr>
        <w:t>二、招标文件</w:t>
      </w:r>
      <w:r>
        <w:rPr>
          <w:color w:val="auto"/>
        </w:rPr>
        <w:tab/>
      </w:r>
      <w:r>
        <w:rPr>
          <w:color w:val="auto"/>
        </w:rPr>
        <w:fldChar w:fldCharType="begin"/>
      </w:r>
      <w:r>
        <w:rPr>
          <w:color w:val="auto"/>
        </w:rPr>
        <w:instrText xml:space="preserve"> PAGEREF _Toc32102 \h </w:instrText>
      </w:r>
      <w:r>
        <w:rPr>
          <w:color w:val="auto"/>
        </w:rPr>
        <w:fldChar w:fldCharType="separate"/>
      </w:r>
      <w:r>
        <w:rPr>
          <w:color w:val="auto"/>
        </w:rPr>
        <w:t>44</w:t>
      </w:r>
      <w:r>
        <w:rPr>
          <w:color w:val="auto"/>
        </w:rPr>
        <w:fldChar w:fldCharType="end"/>
      </w:r>
      <w:r>
        <w:rPr>
          <w:rFonts w:hint="eastAsia" w:ascii="宋体" w:hAnsi="宋体" w:eastAsia="宋体" w:cs="宋体"/>
          <w:bCs/>
          <w:caps/>
          <w:color w:val="auto"/>
          <w:szCs w:val="28"/>
          <w:u w:val="single"/>
        </w:rPr>
        <w:fldChar w:fldCharType="end"/>
      </w:r>
    </w:p>
    <w:p w14:paraId="6B306F79">
      <w:pPr>
        <w:pStyle w:val="8"/>
        <w:tabs>
          <w:tab w:val="right" w:leader="dot" w:pos="9638"/>
        </w:tabs>
        <w:rPr>
          <w:color w:val="auto"/>
        </w:rPr>
      </w:pPr>
      <w:r>
        <w:rPr>
          <w:rFonts w:hint="eastAsia" w:ascii="宋体" w:hAnsi="宋体" w:eastAsia="宋体" w:cs="宋体"/>
          <w:bCs/>
          <w:caps/>
          <w:color w:val="auto"/>
          <w:szCs w:val="28"/>
          <w:u w:val="single"/>
        </w:rPr>
        <w:fldChar w:fldCharType="begin"/>
      </w:r>
      <w:r>
        <w:rPr>
          <w:rFonts w:hint="eastAsia" w:ascii="宋体" w:hAnsi="宋体" w:eastAsia="宋体" w:cs="宋体"/>
          <w:bCs/>
          <w:caps/>
          <w:color w:val="auto"/>
          <w:szCs w:val="28"/>
        </w:rPr>
        <w:instrText xml:space="preserve"> HYPERLINK \l _Toc25248 </w:instrText>
      </w:r>
      <w:r>
        <w:rPr>
          <w:rFonts w:hint="eastAsia" w:ascii="宋体" w:hAnsi="宋体" w:eastAsia="宋体" w:cs="宋体"/>
          <w:bCs/>
          <w:caps/>
          <w:color w:val="auto"/>
          <w:szCs w:val="28"/>
        </w:rPr>
        <w:fldChar w:fldCharType="separate"/>
      </w:r>
      <w:r>
        <w:rPr>
          <w:rFonts w:hint="eastAsia" w:ascii="宋体" w:hAnsi="宋体"/>
          <w:color w:val="auto"/>
        </w:rPr>
        <w:t>三、投标文件的编制</w:t>
      </w:r>
      <w:r>
        <w:rPr>
          <w:color w:val="auto"/>
        </w:rPr>
        <w:tab/>
      </w:r>
      <w:r>
        <w:rPr>
          <w:color w:val="auto"/>
        </w:rPr>
        <w:fldChar w:fldCharType="begin"/>
      </w:r>
      <w:r>
        <w:rPr>
          <w:color w:val="auto"/>
        </w:rPr>
        <w:instrText xml:space="preserve"> PAGEREF _Toc25248 \h </w:instrText>
      </w:r>
      <w:r>
        <w:rPr>
          <w:color w:val="auto"/>
        </w:rPr>
        <w:fldChar w:fldCharType="separate"/>
      </w:r>
      <w:r>
        <w:rPr>
          <w:color w:val="auto"/>
        </w:rPr>
        <w:t>44</w:t>
      </w:r>
      <w:r>
        <w:rPr>
          <w:color w:val="auto"/>
        </w:rPr>
        <w:fldChar w:fldCharType="end"/>
      </w:r>
      <w:r>
        <w:rPr>
          <w:rFonts w:hint="eastAsia" w:ascii="宋体" w:hAnsi="宋体" w:eastAsia="宋体" w:cs="宋体"/>
          <w:bCs/>
          <w:caps/>
          <w:color w:val="auto"/>
          <w:szCs w:val="28"/>
          <w:u w:val="single"/>
        </w:rPr>
        <w:fldChar w:fldCharType="end"/>
      </w:r>
    </w:p>
    <w:p w14:paraId="58A14CAF">
      <w:pPr>
        <w:pStyle w:val="8"/>
        <w:tabs>
          <w:tab w:val="right" w:leader="dot" w:pos="9638"/>
        </w:tabs>
        <w:rPr>
          <w:color w:val="auto"/>
        </w:rPr>
      </w:pPr>
      <w:r>
        <w:rPr>
          <w:rFonts w:hint="eastAsia" w:ascii="宋体" w:hAnsi="宋体" w:eastAsia="宋体" w:cs="宋体"/>
          <w:bCs/>
          <w:caps/>
          <w:color w:val="auto"/>
          <w:szCs w:val="28"/>
          <w:u w:val="single"/>
        </w:rPr>
        <w:fldChar w:fldCharType="begin"/>
      </w:r>
      <w:r>
        <w:rPr>
          <w:rFonts w:hint="eastAsia" w:ascii="宋体" w:hAnsi="宋体" w:eastAsia="宋体" w:cs="宋体"/>
          <w:bCs/>
          <w:caps/>
          <w:color w:val="auto"/>
          <w:szCs w:val="28"/>
        </w:rPr>
        <w:instrText xml:space="preserve"> HYPERLINK \l _Toc496 </w:instrText>
      </w:r>
      <w:r>
        <w:rPr>
          <w:rFonts w:hint="eastAsia" w:ascii="宋体" w:hAnsi="宋体" w:eastAsia="宋体" w:cs="宋体"/>
          <w:bCs/>
          <w:caps/>
          <w:color w:val="auto"/>
          <w:szCs w:val="28"/>
        </w:rPr>
        <w:fldChar w:fldCharType="separate"/>
      </w:r>
      <w:r>
        <w:rPr>
          <w:rFonts w:hint="eastAsia" w:ascii="宋体" w:hAnsi="宋体"/>
          <w:color w:val="auto"/>
        </w:rPr>
        <w:t>四、开</w:t>
      </w:r>
      <w:r>
        <w:rPr>
          <w:color w:val="auto"/>
        </w:rPr>
        <w:t xml:space="preserve">    </w:t>
      </w:r>
      <w:r>
        <w:rPr>
          <w:rFonts w:hint="eastAsia" w:ascii="宋体" w:hAnsi="宋体"/>
          <w:color w:val="auto"/>
        </w:rPr>
        <w:t>标</w:t>
      </w:r>
      <w:r>
        <w:rPr>
          <w:color w:val="auto"/>
        </w:rPr>
        <w:tab/>
      </w:r>
      <w:r>
        <w:rPr>
          <w:color w:val="auto"/>
        </w:rPr>
        <w:fldChar w:fldCharType="begin"/>
      </w:r>
      <w:r>
        <w:rPr>
          <w:color w:val="auto"/>
        </w:rPr>
        <w:instrText xml:space="preserve"> PAGEREF _Toc496 \h </w:instrText>
      </w:r>
      <w:r>
        <w:rPr>
          <w:color w:val="auto"/>
        </w:rPr>
        <w:fldChar w:fldCharType="separate"/>
      </w:r>
      <w:r>
        <w:rPr>
          <w:color w:val="auto"/>
        </w:rPr>
        <w:t>47</w:t>
      </w:r>
      <w:r>
        <w:rPr>
          <w:color w:val="auto"/>
        </w:rPr>
        <w:fldChar w:fldCharType="end"/>
      </w:r>
      <w:r>
        <w:rPr>
          <w:rFonts w:hint="eastAsia" w:ascii="宋体" w:hAnsi="宋体" w:eastAsia="宋体" w:cs="宋体"/>
          <w:bCs/>
          <w:caps/>
          <w:color w:val="auto"/>
          <w:szCs w:val="28"/>
          <w:u w:val="single"/>
        </w:rPr>
        <w:fldChar w:fldCharType="end"/>
      </w:r>
    </w:p>
    <w:p w14:paraId="37BB5F43">
      <w:pPr>
        <w:pStyle w:val="8"/>
        <w:tabs>
          <w:tab w:val="right" w:leader="dot" w:pos="9638"/>
        </w:tabs>
        <w:rPr>
          <w:color w:val="auto"/>
        </w:rPr>
      </w:pPr>
      <w:r>
        <w:rPr>
          <w:rFonts w:hint="eastAsia" w:ascii="宋体" w:hAnsi="宋体" w:eastAsia="宋体" w:cs="宋体"/>
          <w:bCs/>
          <w:caps/>
          <w:color w:val="auto"/>
          <w:szCs w:val="28"/>
          <w:u w:val="single"/>
        </w:rPr>
        <w:fldChar w:fldCharType="begin"/>
      </w:r>
      <w:r>
        <w:rPr>
          <w:rFonts w:hint="eastAsia" w:ascii="宋体" w:hAnsi="宋体" w:eastAsia="宋体" w:cs="宋体"/>
          <w:bCs/>
          <w:caps/>
          <w:color w:val="auto"/>
          <w:szCs w:val="28"/>
        </w:rPr>
        <w:instrText xml:space="preserve"> HYPERLINK \l _Toc13366 </w:instrText>
      </w:r>
      <w:r>
        <w:rPr>
          <w:rFonts w:hint="eastAsia" w:ascii="宋体" w:hAnsi="宋体" w:eastAsia="宋体" w:cs="宋体"/>
          <w:bCs/>
          <w:caps/>
          <w:color w:val="auto"/>
          <w:szCs w:val="28"/>
        </w:rPr>
        <w:fldChar w:fldCharType="separate"/>
      </w:r>
      <w:r>
        <w:rPr>
          <w:rFonts w:hint="eastAsia" w:ascii="宋体" w:hAnsi="宋体"/>
          <w:color w:val="auto"/>
        </w:rPr>
        <w:t>五、资格审查</w:t>
      </w:r>
      <w:r>
        <w:rPr>
          <w:color w:val="auto"/>
        </w:rPr>
        <w:tab/>
      </w:r>
      <w:r>
        <w:rPr>
          <w:color w:val="auto"/>
        </w:rPr>
        <w:fldChar w:fldCharType="begin"/>
      </w:r>
      <w:r>
        <w:rPr>
          <w:color w:val="auto"/>
        </w:rPr>
        <w:instrText xml:space="preserve"> PAGEREF _Toc13366 \h </w:instrText>
      </w:r>
      <w:r>
        <w:rPr>
          <w:color w:val="auto"/>
        </w:rPr>
        <w:fldChar w:fldCharType="separate"/>
      </w:r>
      <w:r>
        <w:rPr>
          <w:color w:val="auto"/>
        </w:rPr>
        <w:t>48</w:t>
      </w:r>
      <w:r>
        <w:rPr>
          <w:color w:val="auto"/>
        </w:rPr>
        <w:fldChar w:fldCharType="end"/>
      </w:r>
      <w:r>
        <w:rPr>
          <w:rFonts w:hint="eastAsia" w:ascii="宋体" w:hAnsi="宋体" w:eastAsia="宋体" w:cs="宋体"/>
          <w:bCs/>
          <w:caps/>
          <w:color w:val="auto"/>
          <w:szCs w:val="28"/>
          <w:u w:val="single"/>
        </w:rPr>
        <w:fldChar w:fldCharType="end"/>
      </w:r>
    </w:p>
    <w:p w14:paraId="474F27EA">
      <w:pPr>
        <w:pStyle w:val="8"/>
        <w:tabs>
          <w:tab w:val="right" w:leader="dot" w:pos="9638"/>
        </w:tabs>
        <w:rPr>
          <w:color w:val="auto"/>
        </w:rPr>
      </w:pPr>
      <w:r>
        <w:rPr>
          <w:rFonts w:hint="eastAsia" w:ascii="宋体" w:hAnsi="宋体" w:eastAsia="宋体" w:cs="宋体"/>
          <w:bCs/>
          <w:caps/>
          <w:color w:val="auto"/>
          <w:szCs w:val="28"/>
          <w:u w:val="single"/>
        </w:rPr>
        <w:fldChar w:fldCharType="begin"/>
      </w:r>
      <w:r>
        <w:rPr>
          <w:rFonts w:hint="eastAsia" w:ascii="宋体" w:hAnsi="宋体" w:eastAsia="宋体" w:cs="宋体"/>
          <w:bCs/>
          <w:caps/>
          <w:color w:val="auto"/>
          <w:szCs w:val="28"/>
        </w:rPr>
        <w:instrText xml:space="preserve"> HYPERLINK \l _Toc13615 </w:instrText>
      </w:r>
      <w:r>
        <w:rPr>
          <w:rFonts w:hint="eastAsia" w:ascii="宋体" w:hAnsi="宋体" w:eastAsia="宋体" w:cs="宋体"/>
          <w:bCs/>
          <w:caps/>
          <w:color w:val="auto"/>
          <w:szCs w:val="28"/>
        </w:rPr>
        <w:fldChar w:fldCharType="separate"/>
      </w:r>
      <w:r>
        <w:rPr>
          <w:rFonts w:hint="eastAsia" w:ascii="宋体" w:hAnsi="宋体"/>
          <w:color w:val="auto"/>
        </w:rPr>
        <w:t>六、评</w:t>
      </w:r>
      <w:r>
        <w:rPr>
          <w:color w:val="auto"/>
        </w:rPr>
        <w:t xml:space="preserve">   </w:t>
      </w:r>
      <w:r>
        <w:rPr>
          <w:rFonts w:hint="eastAsia" w:ascii="宋体" w:hAnsi="宋体"/>
          <w:color w:val="auto"/>
        </w:rPr>
        <w:t>标</w:t>
      </w:r>
      <w:r>
        <w:rPr>
          <w:color w:val="auto"/>
        </w:rPr>
        <w:tab/>
      </w:r>
      <w:r>
        <w:rPr>
          <w:color w:val="auto"/>
        </w:rPr>
        <w:fldChar w:fldCharType="begin"/>
      </w:r>
      <w:r>
        <w:rPr>
          <w:color w:val="auto"/>
        </w:rPr>
        <w:instrText xml:space="preserve"> PAGEREF _Toc13615 \h </w:instrText>
      </w:r>
      <w:r>
        <w:rPr>
          <w:color w:val="auto"/>
        </w:rPr>
        <w:fldChar w:fldCharType="separate"/>
      </w:r>
      <w:r>
        <w:rPr>
          <w:color w:val="auto"/>
        </w:rPr>
        <w:t>49</w:t>
      </w:r>
      <w:r>
        <w:rPr>
          <w:color w:val="auto"/>
        </w:rPr>
        <w:fldChar w:fldCharType="end"/>
      </w:r>
      <w:r>
        <w:rPr>
          <w:rFonts w:hint="eastAsia" w:ascii="宋体" w:hAnsi="宋体" w:eastAsia="宋体" w:cs="宋体"/>
          <w:bCs/>
          <w:caps/>
          <w:color w:val="auto"/>
          <w:szCs w:val="28"/>
          <w:u w:val="single"/>
        </w:rPr>
        <w:fldChar w:fldCharType="end"/>
      </w:r>
    </w:p>
    <w:p w14:paraId="3DAE7C87">
      <w:pPr>
        <w:pStyle w:val="8"/>
        <w:tabs>
          <w:tab w:val="right" w:leader="dot" w:pos="9638"/>
        </w:tabs>
        <w:rPr>
          <w:color w:val="auto"/>
        </w:rPr>
      </w:pPr>
      <w:r>
        <w:rPr>
          <w:rFonts w:hint="eastAsia" w:ascii="宋体" w:hAnsi="宋体" w:eastAsia="宋体" w:cs="宋体"/>
          <w:bCs/>
          <w:caps/>
          <w:color w:val="auto"/>
          <w:szCs w:val="28"/>
          <w:u w:val="single"/>
        </w:rPr>
        <w:fldChar w:fldCharType="begin"/>
      </w:r>
      <w:r>
        <w:rPr>
          <w:rFonts w:hint="eastAsia" w:ascii="宋体" w:hAnsi="宋体" w:eastAsia="宋体" w:cs="宋体"/>
          <w:bCs/>
          <w:caps/>
          <w:color w:val="auto"/>
          <w:szCs w:val="28"/>
        </w:rPr>
        <w:instrText xml:space="preserve"> HYPERLINK \l _Toc20887 </w:instrText>
      </w:r>
      <w:r>
        <w:rPr>
          <w:rFonts w:hint="eastAsia" w:ascii="宋体" w:hAnsi="宋体" w:eastAsia="宋体" w:cs="宋体"/>
          <w:bCs/>
          <w:caps/>
          <w:color w:val="auto"/>
          <w:szCs w:val="28"/>
        </w:rPr>
        <w:fldChar w:fldCharType="separate"/>
      </w:r>
      <w:r>
        <w:rPr>
          <w:rFonts w:hint="eastAsia" w:ascii="宋体" w:hAnsi="宋体"/>
          <w:color w:val="auto"/>
        </w:rPr>
        <w:t>七、中标和合同</w:t>
      </w:r>
      <w:r>
        <w:rPr>
          <w:color w:val="auto"/>
        </w:rPr>
        <w:tab/>
      </w:r>
      <w:r>
        <w:rPr>
          <w:color w:val="auto"/>
        </w:rPr>
        <w:fldChar w:fldCharType="begin"/>
      </w:r>
      <w:r>
        <w:rPr>
          <w:color w:val="auto"/>
        </w:rPr>
        <w:instrText xml:space="preserve"> PAGEREF _Toc20887 \h </w:instrText>
      </w:r>
      <w:r>
        <w:rPr>
          <w:color w:val="auto"/>
        </w:rPr>
        <w:fldChar w:fldCharType="separate"/>
      </w:r>
      <w:r>
        <w:rPr>
          <w:color w:val="auto"/>
        </w:rPr>
        <w:t>50</w:t>
      </w:r>
      <w:r>
        <w:rPr>
          <w:color w:val="auto"/>
        </w:rPr>
        <w:fldChar w:fldCharType="end"/>
      </w:r>
      <w:r>
        <w:rPr>
          <w:rFonts w:hint="eastAsia" w:ascii="宋体" w:hAnsi="宋体" w:eastAsia="宋体" w:cs="宋体"/>
          <w:bCs/>
          <w:caps/>
          <w:color w:val="auto"/>
          <w:szCs w:val="28"/>
          <w:u w:val="single"/>
        </w:rPr>
        <w:fldChar w:fldCharType="end"/>
      </w:r>
    </w:p>
    <w:p w14:paraId="77E118A9">
      <w:pPr>
        <w:pStyle w:val="8"/>
        <w:tabs>
          <w:tab w:val="right" w:leader="dot" w:pos="9638"/>
        </w:tabs>
        <w:rPr>
          <w:color w:val="auto"/>
        </w:rPr>
      </w:pPr>
      <w:r>
        <w:rPr>
          <w:rFonts w:hint="eastAsia" w:ascii="宋体" w:hAnsi="宋体" w:eastAsia="宋体" w:cs="宋体"/>
          <w:bCs/>
          <w:caps/>
          <w:color w:val="auto"/>
          <w:szCs w:val="28"/>
          <w:u w:val="single"/>
        </w:rPr>
        <w:fldChar w:fldCharType="begin"/>
      </w:r>
      <w:r>
        <w:rPr>
          <w:rFonts w:hint="eastAsia" w:ascii="宋体" w:hAnsi="宋体" w:eastAsia="宋体" w:cs="宋体"/>
          <w:bCs/>
          <w:caps/>
          <w:color w:val="auto"/>
          <w:szCs w:val="28"/>
        </w:rPr>
        <w:instrText xml:space="preserve"> HYPERLINK \l _Toc10841 </w:instrText>
      </w:r>
      <w:r>
        <w:rPr>
          <w:rFonts w:hint="eastAsia" w:ascii="宋体" w:hAnsi="宋体" w:eastAsia="宋体" w:cs="宋体"/>
          <w:bCs/>
          <w:caps/>
          <w:color w:val="auto"/>
          <w:szCs w:val="28"/>
        </w:rPr>
        <w:fldChar w:fldCharType="separate"/>
      </w:r>
      <w:r>
        <w:rPr>
          <w:rFonts w:hint="eastAsia" w:ascii="宋体" w:hAnsi="宋体"/>
          <w:bCs/>
          <w:color w:val="auto"/>
          <w:szCs w:val="32"/>
        </w:rPr>
        <w:t>八、验收</w:t>
      </w:r>
      <w:r>
        <w:rPr>
          <w:color w:val="auto"/>
        </w:rPr>
        <w:tab/>
      </w:r>
      <w:r>
        <w:rPr>
          <w:color w:val="auto"/>
        </w:rPr>
        <w:fldChar w:fldCharType="begin"/>
      </w:r>
      <w:r>
        <w:rPr>
          <w:color w:val="auto"/>
        </w:rPr>
        <w:instrText xml:space="preserve"> PAGEREF _Toc10841 \h </w:instrText>
      </w:r>
      <w:r>
        <w:rPr>
          <w:color w:val="auto"/>
        </w:rPr>
        <w:fldChar w:fldCharType="separate"/>
      </w:r>
      <w:r>
        <w:rPr>
          <w:color w:val="auto"/>
        </w:rPr>
        <w:t>55</w:t>
      </w:r>
      <w:r>
        <w:rPr>
          <w:color w:val="auto"/>
        </w:rPr>
        <w:fldChar w:fldCharType="end"/>
      </w:r>
      <w:r>
        <w:rPr>
          <w:rFonts w:hint="eastAsia" w:ascii="宋体" w:hAnsi="宋体" w:eastAsia="宋体" w:cs="宋体"/>
          <w:bCs/>
          <w:caps/>
          <w:color w:val="auto"/>
          <w:szCs w:val="28"/>
          <w:u w:val="single"/>
        </w:rPr>
        <w:fldChar w:fldCharType="end"/>
      </w:r>
    </w:p>
    <w:p w14:paraId="230FA22F">
      <w:pPr>
        <w:pStyle w:val="8"/>
        <w:tabs>
          <w:tab w:val="right" w:leader="dot" w:pos="9638"/>
        </w:tabs>
        <w:rPr>
          <w:color w:val="auto"/>
        </w:rPr>
      </w:pPr>
      <w:r>
        <w:rPr>
          <w:rFonts w:hint="eastAsia" w:ascii="宋体" w:hAnsi="宋体" w:eastAsia="宋体" w:cs="宋体"/>
          <w:bCs/>
          <w:caps/>
          <w:color w:val="auto"/>
          <w:szCs w:val="28"/>
          <w:u w:val="single"/>
        </w:rPr>
        <w:fldChar w:fldCharType="begin"/>
      </w:r>
      <w:r>
        <w:rPr>
          <w:rFonts w:hint="eastAsia" w:ascii="宋体" w:hAnsi="宋体" w:eastAsia="宋体" w:cs="宋体"/>
          <w:bCs/>
          <w:caps/>
          <w:color w:val="auto"/>
          <w:szCs w:val="28"/>
        </w:rPr>
        <w:instrText xml:space="preserve"> HYPERLINK \l _Toc12886 </w:instrText>
      </w:r>
      <w:r>
        <w:rPr>
          <w:rFonts w:hint="eastAsia" w:ascii="宋体" w:hAnsi="宋体" w:eastAsia="宋体" w:cs="宋体"/>
          <w:bCs/>
          <w:caps/>
          <w:color w:val="auto"/>
          <w:szCs w:val="28"/>
        </w:rPr>
        <w:fldChar w:fldCharType="separate"/>
      </w:r>
      <w:r>
        <w:rPr>
          <w:rFonts w:hint="eastAsia" w:ascii="宋体" w:hAnsi="宋体"/>
          <w:color w:val="auto"/>
        </w:rPr>
        <w:t>九、其他事项</w:t>
      </w:r>
      <w:r>
        <w:rPr>
          <w:color w:val="auto"/>
        </w:rPr>
        <w:tab/>
      </w:r>
      <w:r>
        <w:rPr>
          <w:color w:val="auto"/>
        </w:rPr>
        <w:fldChar w:fldCharType="begin"/>
      </w:r>
      <w:r>
        <w:rPr>
          <w:color w:val="auto"/>
        </w:rPr>
        <w:instrText xml:space="preserve"> PAGEREF _Toc12886 \h </w:instrText>
      </w:r>
      <w:r>
        <w:rPr>
          <w:color w:val="auto"/>
        </w:rPr>
        <w:fldChar w:fldCharType="separate"/>
      </w:r>
      <w:r>
        <w:rPr>
          <w:color w:val="auto"/>
        </w:rPr>
        <w:t>57</w:t>
      </w:r>
      <w:r>
        <w:rPr>
          <w:color w:val="auto"/>
        </w:rPr>
        <w:fldChar w:fldCharType="end"/>
      </w:r>
      <w:r>
        <w:rPr>
          <w:rFonts w:hint="eastAsia" w:ascii="宋体" w:hAnsi="宋体" w:eastAsia="宋体" w:cs="宋体"/>
          <w:bCs/>
          <w:caps/>
          <w:color w:val="auto"/>
          <w:szCs w:val="28"/>
          <w:u w:val="single"/>
        </w:rPr>
        <w:fldChar w:fldCharType="end"/>
      </w:r>
    </w:p>
    <w:p w14:paraId="26DF6A1C">
      <w:pPr>
        <w:pStyle w:val="13"/>
        <w:tabs>
          <w:tab w:val="right" w:leader="dot" w:pos="9638"/>
        </w:tabs>
        <w:rPr>
          <w:color w:val="auto"/>
        </w:rPr>
      </w:pPr>
      <w:r>
        <w:rPr>
          <w:rFonts w:hint="eastAsia" w:ascii="宋体" w:hAnsi="宋体" w:eastAsia="宋体" w:cs="宋体"/>
          <w:bCs/>
          <w:caps/>
          <w:color w:val="auto"/>
          <w:szCs w:val="28"/>
          <w:u w:val="single"/>
        </w:rPr>
        <w:fldChar w:fldCharType="begin"/>
      </w:r>
      <w:r>
        <w:rPr>
          <w:rFonts w:hint="eastAsia" w:ascii="宋体" w:hAnsi="宋体" w:eastAsia="宋体" w:cs="宋体"/>
          <w:bCs/>
          <w:caps/>
          <w:color w:val="auto"/>
          <w:szCs w:val="28"/>
        </w:rPr>
        <w:instrText xml:space="preserve"> HYPERLINK \l _Toc20225 </w:instrText>
      </w:r>
      <w:r>
        <w:rPr>
          <w:rFonts w:hint="eastAsia" w:ascii="宋体" w:hAnsi="宋体" w:eastAsia="宋体" w:cs="宋体"/>
          <w:bCs/>
          <w:caps/>
          <w:color w:val="auto"/>
          <w:szCs w:val="28"/>
        </w:rPr>
        <w:fldChar w:fldCharType="separate"/>
      </w:r>
      <w:r>
        <w:rPr>
          <w:rFonts w:hint="eastAsia" w:ascii="宋体" w:hAnsi="宋体" w:eastAsia="宋体" w:cs="宋体"/>
          <w:color w:val="auto"/>
          <w:szCs w:val="20"/>
        </w:rPr>
        <w:t>第四章  评标方法及评分标准</w:t>
      </w:r>
      <w:r>
        <w:rPr>
          <w:color w:val="auto"/>
        </w:rPr>
        <w:tab/>
      </w:r>
      <w:r>
        <w:rPr>
          <w:color w:val="auto"/>
        </w:rPr>
        <w:fldChar w:fldCharType="begin"/>
      </w:r>
      <w:r>
        <w:rPr>
          <w:color w:val="auto"/>
        </w:rPr>
        <w:instrText xml:space="preserve"> PAGEREF _Toc20225 \h </w:instrText>
      </w:r>
      <w:r>
        <w:rPr>
          <w:color w:val="auto"/>
        </w:rPr>
        <w:fldChar w:fldCharType="separate"/>
      </w:r>
      <w:r>
        <w:rPr>
          <w:color w:val="auto"/>
        </w:rPr>
        <w:t>58</w:t>
      </w:r>
      <w:r>
        <w:rPr>
          <w:color w:val="auto"/>
        </w:rPr>
        <w:fldChar w:fldCharType="end"/>
      </w:r>
      <w:r>
        <w:rPr>
          <w:rFonts w:hint="eastAsia" w:ascii="宋体" w:hAnsi="宋体" w:eastAsia="宋体" w:cs="宋体"/>
          <w:bCs/>
          <w:caps/>
          <w:color w:val="auto"/>
          <w:szCs w:val="28"/>
          <w:u w:val="single"/>
        </w:rPr>
        <w:fldChar w:fldCharType="end"/>
      </w:r>
    </w:p>
    <w:p w14:paraId="08B77D1D">
      <w:pPr>
        <w:pStyle w:val="14"/>
        <w:tabs>
          <w:tab w:val="right" w:leader="dot" w:pos="9638"/>
        </w:tabs>
        <w:rPr>
          <w:color w:val="auto"/>
        </w:rPr>
      </w:pPr>
      <w:r>
        <w:rPr>
          <w:rFonts w:hint="eastAsia" w:ascii="宋体" w:hAnsi="宋体" w:eastAsia="宋体" w:cs="宋体"/>
          <w:bCs/>
          <w:caps/>
          <w:color w:val="auto"/>
          <w:szCs w:val="28"/>
          <w:u w:val="single"/>
        </w:rPr>
        <w:fldChar w:fldCharType="begin"/>
      </w:r>
      <w:r>
        <w:rPr>
          <w:rFonts w:hint="eastAsia" w:ascii="宋体" w:hAnsi="宋体" w:eastAsia="宋体" w:cs="宋体"/>
          <w:bCs/>
          <w:caps/>
          <w:color w:val="auto"/>
          <w:szCs w:val="28"/>
        </w:rPr>
        <w:instrText xml:space="preserve"> HYPERLINK \l _Toc22726 </w:instrText>
      </w:r>
      <w:r>
        <w:rPr>
          <w:rFonts w:hint="eastAsia" w:ascii="宋体" w:hAnsi="宋体" w:eastAsia="宋体" w:cs="宋体"/>
          <w:bCs/>
          <w:caps/>
          <w:color w:val="auto"/>
          <w:szCs w:val="28"/>
        </w:rPr>
        <w:fldChar w:fldCharType="separate"/>
      </w:r>
      <w:r>
        <w:rPr>
          <w:rFonts w:hint="eastAsia" w:ascii="宋体" w:hAnsi="宋体" w:eastAsia="宋体" w:cs="宋体"/>
          <w:bCs/>
          <w:color w:val="auto"/>
          <w:szCs w:val="32"/>
        </w:rPr>
        <w:t>第一节 评标方法</w:t>
      </w:r>
      <w:r>
        <w:rPr>
          <w:color w:val="auto"/>
        </w:rPr>
        <w:tab/>
      </w:r>
      <w:r>
        <w:rPr>
          <w:color w:val="auto"/>
        </w:rPr>
        <w:fldChar w:fldCharType="begin"/>
      </w:r>
      <w:r>
        <w:rPr>
          <w:color w:val="auto"/>
        </w:rPr>
        <w:instrText xml:space="preserve"> PAGEREF _Toc22726 \h </w:instrText>
      </w:r>
      <w:r>
        <w:rPr>
          <w:color w:val="auto"/>
        </w:rPr>
        <w:fldChar w:fldCharType="separate"/>
      </w:r>
      <w:r>
        <w:rPr>
          <w:color w:val="auto"/>
        </w:rPr>
        <w:t>58</w:t>
      </w:r>
      <w:r>
        <w:rPr>
          <w:color w:val="auto"/>
        </w:rPr>
        <w:fldChar w:fldCharType="end"/>
      </w:r>
      <w:r>
        <w:rPr>
          <w:rFonts w:hint="eastAsia" w:ascii="宋体" w:hAnsi="宋体" w:eastAsia="宋体" w:cs="宋体"/>
          <w:bCs/>
          <w:caps/>
          <w:color w:val="auto"/>
          <w:szCs w:val="28"/>
          <w:u w:val="single"/>
        </w:rPr>
        <w:fldChar w:fldCharType="end"/>
      </w:r>
    </w:p>
    <w:p w14:paraId="5A2F3724">
      <w:pPr>
        <w:pStyle w:val="14"/>
        <w:tabs>
          <w:tab w:val="right" w:leader="dot" w:pos="9638"/>
        </w:tabs>
        <w:rPr>
          <w:color w:val="auto"/>
        </w:rPr>
      </w:pPr>
      <w:r>
        <w:rPr>
          <w:rFonts w:hint="eastAsia" w:ascii="宋体" w:hAnsi="宋体" w:eastAsia="宋体" w:cs="宋体"/>
          <w:bCs/>
          <w:caps/>
          <w:color w:val="auto"/>
          <w:szCs w:val="28"/>
          <w:u w:val="single"/>
        </w:rPr>
        <w:fldChar w:fldCharType="begin"/>
      </w:r>
      <w:r>
        <w:rPr>
          <w:rFonts w:hint="eastAsia" w:ascii="宋体" w:hAnsi="宋体" w:eastAsia="宋体" w:cs="宋体"/>
          <w:bCs/>
          <w:caps/>
          <w:color w:val="auto"/>
          <w:szCs w:val="28"/>
        </w:rPr>
        <w:instrText xml:space="preserve"> HYPERLINK \l _Toc25369 </w:instrText>
      </w:r>
      <w:r>
        <w:rPr>
          <w:rFonts w:hint="eastAsia" w:ascii="宋体" w:hAnsi="宋体" w:eastAsia="宋体" w:cs="宋体"/>
          <w:bCs/>
          <w:caps/>
          <w:color w:val="auto"/>
          <w:szCs w:val="28"/>
        </w:rPr>
        <w:fldChar w:fldCharType="separate"/>
      </w:r>
      <w:r>
        <w:rPr>
          <w:rFonts w:hint="eastAsia" w:ascii="宋体" w:hAnsi="宋体" w:eastAsia="宋体" w:cs="宋体"/>
          <w:bCs/>
          <w:color w:val="auto"/>
          <w:szCs w:val="32"/>
        </w:rPr>
        <w:t>第二节 评标程序</w:t>
      </w:r>
      <w:r>
        <w:rPr>
          <w:color w:val="auto"/>
        </w:rPr>
        <w:tab/>
      </w:r>
      <w:r>
        <w:rPr>
          <w:color w:val="auto"/>
        </w:rPr>
        <w:fldChar w:fldCharType="begin"/>
      </w:r>
      <w:r>
        <w:rPr>
          <w:color w:val="auto"/>
        </w:rPr>
        <w:instrText xml:space="preserve"> PAGEREF _Toc25369 \h </w:instrText>
      </w:r>
      <w:r>
        <w:rPr>
          <w:color w:val="auto"/>
        </w:rPr>
        <w:fldChar w:fldCharType="separate"/>
      </w:r>
      <w:r>
        <w:rPr>
          <w:color w:val="auto"/>
        </w:rPr>
        <w:t>58</w:t>
      </w:r>
      <w:r>
        <w:rPr>
          <w:color w:val="auto"/>
        </w:rPr>
        <w:fldChar w:fldCharType="end"/>
      </w:r>
      <w:r>
        <w:rPr>
          <w:rFonts w:hint="eastAsia" w:ascii="宋体" w:hAnsi="宋体" w:eastAsia="宋体" w:cs="宋体"/>
          <w:bCs/>
          <w:caps/>
          <w:color w:val="auto"/>
          <w:szCs w:val="28"/>
          <w:u w:val="single"/>
        </w:rPr>
        <w:fldChar w:fldCharType="end"/>
      </w:r>
    </w:p>
    <w:p w14:paraId="068308B9">
      <w:pPr>
        <w:pStyle w:val="14"/>
        <w:tabs>
          <w:tab w:val="right" w:leader="dot" w:pos="9638"/>
        </w:tabs>
        <w:rPr>
          <w:color w:val="auto"/>
        </w:rPr>
      </w:pPr>
      <w:r>
        <w:rPr>
          <w:rFonts w:hint="eastAsia" w:ascii="宋体" w:hAnsi="宋体" w:eastAsia="宋体" w:cs="宋体"/>
          <w:bCs/>
          <w:caps/>
          <w:color w:val="auto"/>
          <w:szCs w:val="28"/>
          <w:u w:val="single"/>
        </w:rPr>
        <w:fldChar w:fldCharType="begin"/>
      </w:r>
      <w:r>
        <w:rPr>
          <w:rFonts w:hint="eastAsia" w:ascii="宋体" w:hAnsi="宋体" w:eastAsia="宋体" w:cs="宋体"/>
          <w:bCs/>
          <w:caps/>
          <w:color w:val="auto"/>
          <w:szCs w:val="28"/>
        </w:rPr>
        <w:instrText xml:space="preserve"> HYPERLINK \l _Toc14443 </w:instrText>
      </w:r>
      <w:r>
        <w:rPr>
          <w:rFonts w:hint="eastAsia" w:ascii="宋体" w:hAnsi="宋体" w:eastAsia="宋体" w:cs="宋体"/>
          <w:bCs/>
          <w:caps/>
          <w:color w:val="auto"/>
          <w:szCs w:val="28"/>
        </w:rPr>
        <w:fldChar w:fldCharType="separate"/>
      </w:r>
      <w:r>
        <w:rPr>
          <w:rFonts w:hint="eastAsia" w:ascii="宋体" w:hAnsi="宋体" w:eastAsia="宋体" w:cs="宋体"/>
          <w:bCs/>
          <w:color w:val="auto"/>
          <w:szCs w:val="30"/>
        </w:rPr>
        <w:t>第三节 评分标准</w:t>
      </w:r>
      <w:r>
        <w:rPr>
          <w:color w:val="auto"/>
        </w:rPr>
        <w:tab/>
      </w:r>
      <w:r>
        <w:rPr>
          <w:color w:val="auto"/>
        </w:rPr>
        <w:fldChar w:fldCharType="begin"/>
      </w:r>
      <w:r>
        <w:rPr>
          <w:color w:val="auto"/>
        </w:rPr>
        <w:instrText xml:space="preserve"> PAGEREF _Toc14443 \h </w:instrText>
      </w:r>
      <w:r>
        <w:rPr>
          <w:color w:val="auto"/>
        </w:rPr>
        <w:fldChar w:fldCharType="separate"/>
      </w:r>
      <w:r>
        <w:rPr>
          <w:color w:val="auto"/>
        </w:rPr>
        <w:t>61</w:t>
      </w:r>
      <w:r>
        <w:rPr>
          <w:color w:val="auto"/>
        </w:rPr>
        <w:fldChar w:fldCharType="end"/>
      </w:r>
      <w:r>
        <w:rPr>
          <w:rFonts w:hint="eastAsia" w:ascii="宋体" w:hAnsi="宋体" w:eastAsia="宋体" w:cs="宋体"/>
          <w:bCs/>
          <w:caps/>
          <w:color w:val="auto"/>
          <w:szCs w:val="28"/>
          <w:u w:val="single"/>
        </w:rPr>
        <w:fldChar w:fldCharType="end"/>
      </w:r>
    </w:p>
    <w:p w14:paraId="3940A7FD">
      <w:pPr>
        <w:pStyle w:val="14"/>
        <w:tabs>
          <w:tab w:val="right" w:leader="dot" w:pos="9638"/>
        </w:tabs>
        <w:rPr>
          <w:color w:val="auto"/>
        </w:rPr>
      </w:pPr>
      <w:r>
        <w:rPr>
          <w:rFonts w:hint="eastAsia" w:ascii="宋体" w:hAnsi="宋体" w:eastAsia="宋体" w:cs="宋体"/>
          <w:bCs/>
          <w:caps/>
          <w:color w:val="auto"/>
          <w:szCs w:val="28"/>
          <w:u w:val="single"/>
        </w:rPr>
        <w:fldChar w:fldCharType="begin"/>
      </w:r>
      <w:r>
        <w:rPr>
          <w:rFonts w:hint="eastAsia" w:ascii="宋体" w:hAnsi="宋体" w:eastAsia="宋体" w:cs="宋体"/>
          <w:bCs/>
          <w:caps/>
          <w:color w:val="auto"/>
          <w:szCs w:val="28"/>
        </w:rPr>
        <w:instrText xml:space="preserve"> HYPERLINK \l _Toc23039 </w:instrText>
      </w:r>
      <w:r>
        <w:rPr>
          <w:rFonts w:hint="eastAsia" w:ascii="宋体" w:hAnsi="宋体" w:eastAsia="宋体" w:cs="宋体"/>
          <w:bCs/>
          <w:caps/>
          <w:color w:val="auto"/>
          <w:szCs w:val="28"/>
        </w:rPr>
        <w:fldChar w:fldCharType="separate"/>
      </w:r>
      <w:r>
        <w:rPr>
          <w:rFonts w:hint="eastAsia" w:ascii="宋体" w:hAnsi="宋体" w:eastAsia="宋体" w:cs="宋体"/>
          <w:bCs/>
          <w:color w:val="auto"/>
          <w:szCs w:val="30"/>
        </w:rPr>
        <w:t>第四节 中标候选人推荐原则</w:t>
      </w:r>
      <w:r>
        <w:rPr>
          <w:color w:val="auto"/>
        </w:rPr>
        <w:tab/>
      </w:r>
      <w:r>
        <w:rPr>
          <w:color w:val="auto"/>
        </w:rPr>
        <w:fldChar w:fldCharType="begin"/>
      </w:r>
      <w:r>
        <w:rPr>
          <w:color w:val="auto"/>
        </w:rPr>
        <w:instrText xml:space="preserve"> PAGEREF _Toc23039 \h </w:instrText>
      </w:r>
      <w:r>
        <w:rPr>
          <w:color w:val="auto"/>
        </w:rPr>
        <w:fldChar w:fldCharType="separate"/>
      </w:r>
      <w:r>
        <w:rPr>
          <w:color w:val="auto"/>
        </w:rPr>
        <w:t>66</w:t>
      </w:r>
      <w:r>
        <w:rPr>
          <w:color w:val="auto"/>
        </w:rPr>
        <w:fldChar w:fldCharType="end"/>
      </w:r>
      <w:r>
        <w:rPr>
          <w:rFonts w:hint="eastAsia" w:ascii="宋体" w:hAnsi="宋体" w:eastAsia="宋体" w:cs="宋体"/>
          <w:bCs/>
          <w:caps/>
          <w:color w:val="auto"/>
          <w:szCs w:val="28"/>
          <w:u w:val="single"/>
        </w:rPr>
        <w:fldChar w:fldCharType="end"/>
      </w:r>
    </w:p>
    <w:p w14:paraId="6AEE0FD2">
      <w:pPr>
        <w:pStyle w:val="14"/>
        <w:tabs>
          <w:tab w:val="right" w:leader="dot" w:pos="9638"/>
        </w:tabs>
        <w:rPr>
          <w:color w:val="auto"/>
        </w:rPr>
      </w:pPr>
      <w:r>
        <w:rPr>
          <w:rFonts w:hint="eastAsia" w:ascii="宋体" w:hAnsi="宋体" w:eastAsia="宋体" w:cs="宋体"/>
          <w:bCs/>
          <w:caps/>
          <w:color w:val="auto"/>
          <w:szCs w:val="28"/>
          <w:u w:val="single"/>
        </w:rPr>
        <w:fldChar w:fldCharType="begin"/>
      </w:r>
      <w:r>
        <w:rPr>
          <w:rFonts w:hint="eastAsia" w:ascii="宋体" w:hAnsi="宋体" w:eastAsia="宋体" w:cs="宋体"/>
          <w:bCs/>
          <w:caps/>
          <w:color w:val="auto"/>
          <w:szCs w:val="28"/>
        </w:rPr>
        <w:instrText xml:space="preserve"> HYPERLINK \l _Toc21849 </w:instrText>
      </w:r>
      <w:r>
        <w:rPr>
          <w:rFonts w:hint="eastAsia" w:ascii="宋体" w:hAnsi="宋体" w:eastAsia="宋体" w:cs="宋体"/>
          <w:bCs/>
          <w:caps/>
          <w:color w:val="auto"/>
          <w:szCs w:val="28"/>
        </w:rPr>
        <w:fldChar w:fldCharType="separate"/>
      </w:r>
      <w:r>
        <w:rPr>
          <w:rFonts w:hint="eastAsia" w:ascii="宋体" w:hAnsi="宋体" w:eastAsia="宋体" w:cs="宋体"/>
          <w:bCs/>
          <w:color w:val="auto"/>
          <w:szCs w:val="30"/>
        </w:rPr>
        <w:t>第五节 评标报告</w:t>
      </w:r>
      <w:r>
        <w:rPr>
          <w:color w:val="auto"/>
        </w:rPr>
        <w:tab/>
      </w:r>
      <w:r>
        <w:rPr>
          <w:color w:val="auto"/>
        </w:rPr>
        <w:fldChar w:fldCharType="begin"/>
      </w:r>
      <w:r>
        <w:rPr>
          <w:color w:val="auto"/>
        </w:rPr>
        <w:instrText xml:space="preserve"> PAGEREF _Toc21849 \h </w:instrText>
      </w:r>
      <w:r>
        <w:rPr>
          <w:color w:val="auto"/>
        </w:rPr>
        <w:fldChar w:fldCharType="separate"/>
      </w:r>
      <w:r>
        <w:rPr>
          <w:color w:val="auto"/>
        </w:rPr>
        <w:t>66</w:t>
      </w:r>
      <w:r>
        <w:rPr>
          <w:color w:val="auto"/>
        </w:rPr>
        <w:fldChar w:fldCharType="end"/>
      </w:r>
      <w:r>
        <w:rPr>
          <w:rFonts w:hint="eastAsia" w:ascii="宋体" w:hAnsi="宋体" w:eastAsia="宋体" w:cs="宋体"/>
          <w:bCs/>
          <w:caps/>
          <w:color w:val="auto"/>
          <w:szCs w:val="28"/>
          <w:u w:val="single"/>
        </w:rPr>
        <w:fldChar w:fldCharType="end"/>
      </w:r>
    </w:p>
    <w:p w14:paraId="75ACA21E">
      <w:pPr>
        <w:pStyle w:val="13"/>
        <w:tabs>
          <w:tab w:val="right" w:leader="dot" w:pos="9638"/>
        </w:tabs>
        <w:rPr>
          <w:color w:val="auto"/>
        </w:rPr>
      </w:pPr>
      <w:r>
        <w:rPr>
          <w:rFonts w:hint="eastAsia" w:ascii="宋体" w:hAnsi="宋体" w:eastAsia="宋体" w:cs="宋体"/>
          <w:bCs/>
          <w:caps/>
          <w:color w:val="auto"/>
          <w:szCs w:val="28"/>
          <w:u w:val="single"/>
        </w:rPr>
        <w:fldChar w:fldCharType="begin"/>
      </w:r>
      <w:r>
        <w:rPr>
          <w:rFonts w:hint="eastAsia" w:ascii="宋体" w:hAnsi="宋体" w:eastAsia="宋体" w:cs="宋体"/>
          <w:bCs/>
          <w:caps/>
          <w:color w:val="auto"/>
          <w:szCs w:val="28"/>
        </w:rPr>
        <w:instrText xml:space="preserve"> HYPERLINK \l _Toc2848 </w:instrText>
      </w:r>
      <w:r>
        <w:rPr>
          <w:rFonts w:hint="eastAsia" w:ascii="宋体" w:hAnsi="宋体" w:eastAsia="宋体" w:cs="宋体"/>
          <w:bCs/>
          <w:caps/>
          <w:color w:val="auto"/>
          <w:szCs w:val="28"/>
        </w:rPr>
        <w:fldChar w:fldCharType="separate"/>
      </w:r>
      <w:r>
        <w:rPr>
          <w:rFonts w:hint="eastAsia" w:ascii="宋体" w:hAnsi="宋体" w:eastAsia="宋体" w:cs="宋体"/>
          <w:color w:val="auto"/>
          <w:szCs w:val="20"/>
        </w:rPr>
        <w:t>第五章 拟签订的合同文本</w:t>
      </w:r>
      <w:r>
        <w:rPr>
          <w:color w:val="auto"/>
        </w:rPr>
        <w:tab/>
      </w:r>
      <w:r>
        <w:rPr>
          <w:color w:val="auto"/>
        </w:rPr>
        <w:fldChar w:fldCharType="begin"/>
      </w:r>
      <w:r>
        <w:rPr>
          <w:color w:val="auto"/>
        </w:rPr>
        <w:instrText xml:space="preserve"> PAGEREF _Toc2848 \h </w:instrText>
      </w:r>
      <w:r>
        <w:rPr>
          <w:color w:val="auto"/>
        </w:rPr>
        <w:fldChar w:fldCharType="separate"/>
      </w:r>
      <w:r>
        <w:rPr>
          <w:color w:val="auto"/>
        </w:rPr>
        <w:t>67</w:t>
      </w:r>
      <w:r>
        <w:rPr>
          <w:color w:val="auto"/>
        </w:rPr>
        <w:fldChar w:fldCharType="end"/>
      </w:r>
      <w:r>
        <w:rPr>
          <w:rFonts w:hint="eastAsia" w:ascii="宋体" w:hAnsi="宋体" w:eastAsia="宋体" w:cs="宋体"/>
          <w:bCs/>
          <w:caps/>
          <w:color w:val="auto"/>
          <w:szCs w:val="28"/>
          <w:u w:val="single"/>
        </w:rPr>
        <w:fldChar w:fldCharType="end"/>
      </w:r>
    </w:p>
    <w:p w14:paraId="3F54435F">
      <w:pPr>
        <w:pStyle w:val="13"/>
        <w:tabs>
          <w:tab w:val="right" w:leader="dot" w:pos="9638"/>
        </w:tabs>
        <w:rPr>
          <w:color w:val="auto"/>
        </w:rPr>
      </w:pPr>
      <w:r>
        <w:rPr>
          <w:rFonts w:hint="eastAsia" w:ascii="宋体" w:hAnsi="宋体" w:eastAsia="宋体" w:cs="宋体"/>
          <w:bCs/>
          <w:caps/>
          <w:color w:val="auto"/>
          <w:szCs w:val="28"/>
          <w:u w:val="single"/>
        </w:rPr>
        <w:fldChar w:fldCharType="begin"/>
      </w:r>
      <w:r>
        <w:rPr>
          <w:rFonts w:hint="eastAsia" w:ascii="宋体" w:hAnsi="宋体" w:eastAsia="宋体" w:cs="宋体"/>
          <w:bCs/>
          <w:caps/>
          <w:color w:val="auto"/>
          <w:szCs w:val="28"/>
        </w:rPr>
        <w:instrText xml:space="preserve"> HYPERLINK \l _Toc10999 </w:instrText>
      </w:r>
      <w:r>
        <w:rPr>
          <w:rFonts w:hint="eastAsia" w:ascii="宋体" w:hAnsi="宋体" w:eastAsia="宋体" w:cs="宋体"/>
          <w:bCs/>
          <w:caps/>
          <w:color w:val="auto"/>
          <w:szCs w:val="28"/>
        </w:rPr>
        <w:fldChar w:fldCharType="separate"/>
      </w:r>
      <w:r>
        <w:rPr>
          <w:rFonts w:hint="eastAsia" w:ascii="宋体" w:hAnsi="宋体" w:eastAsia="宋体" w:cs="宋体"/>
          <w:color w:val="auto"/>
          <w:szCs w:val="20"/>
        </w:rPr>
        <w:t>第六章 投标文件格式</w:t>
      </w:r>
      <w:r>
        <w:rPr>
          <w:color w:val="auto"/>
        </w:rPr>
        <w:tab/>
      </w:r>
      <w:r>
        <w:rPr>
          <w:color w:val="auto"/>
        </w:rPr>
        <w:fldChar w:fldCharType="begin"/>
      </w:r>
      <w:r>
        <w:rPr>
          <w:color w:val="auto"/>
        </w:rPr>
        <w:instrText xml:space="preserve"> PAGEREF _Toc10999 \h </w:instrText>
      </w:r>
      <w:r>
        <w:rPr>
          <w:color w:val="auto"/>
        </w:rPr>
        <w:fldChar w:fldCharType="separate"/>
      </w:r>
      <w:r>
        <w:rPr>
          <w:color w:val="auto"/>
        </w:rPr>
        <w:t>82</w:t>
      </w:r>
      <w:r>
        <w:rPr>
          <w:color w:val="auto"/>
        </w:rPr>
        <w:fldChar w:fldCharType="end"/>
      </w:r>
      <w:r>
        <w:rPr>
          <w:rFonts w:hint="eastAsia" w:ascii="宋体" w:hAnsi="宋体" w:eastAsia="宋体" w:cs="宋体"/>
          <w:bCs/>
          <w:caps/>
          <w:color w:val="auto"/>
          <w:szCs w:val="28"/>
          <w:u w:val="single"/>
        </w:rPr>
        <w:fldChar w:fldCharType="end"/>
      </w:r>
    </w:p>
    <w:p w14:paraId="197DB72C">
      <w:pPr>
        <w:pStyle w:val="14"/>
        <w:tabs>
          <w:tab w:val="right" w:leader="dot" w:pos="9638"/>
        </w:tabs>
        <w:rPr>
          <w:color w:val="auto"/>
        </w:rPr>
      </w:pPr>
      <w:r>
        <w:rPr>
          <w:rFonts w:hint="eastAsia" w:ascii="宋体" w:hAnsi="宋体" w:eastAsia="宋体" w:cs="宋体"/>
          <w:bCs/>
          <w:caps/>
          <w:color w:val="auto"/>
          <w:szCs w:val="28"/>
          <w:u w:val="single"/>
        </w:rPr>
        <w:fldChar w:fldCharType="begin"/>
      </w:r>
      <w:r>
        <w:rPr>
          <w:rFonts w:hint="eastAsia" w:ascii="宋体" w:hAnsi="宋体" w:eastAsia="宋体" w:cs="宋体"/>
          <w:bCs/>
          <w:caps/>
          <w:color w:val="auto"/>
          <w:szCs w:val="28"/>
        </w:rPr>
        <w:instrText xml:space="preserve"> HYPERLINK \l _Toc8302 </w:instrText>
      </w:r>
      <w:r>
        <w:rPr>
          <w:rFonts w:hint="eastAsia" w:ascii="宋体" w:hAnsi="宋体" w:eastAsia="宋体" w:cs="宋体"/>
          <w:bCs/>
          <w:caps/>
          <w:color w:val="auto"/>
          <w:szCs w:val="28"/>
        </w:rPr>
        <w:fldChar w:fldCharType="separate"/>
      </w:r>
      <w:r>
        <w:rPr>
          <w:rFonts w:hint="eastAsia" w:ascii="宋体" w:hAnsi="宋体" w:eastAsia="宋体" w:cs="宋体"/>
          <w:bCs/>
          <w:color w:val="auto"/>
          <w:szCs w:val="28"/>
        </w:rPr>
        <w:t>第一节 投标文件外层包装封面</w:t>
      </w:r>
      <w:r>
        <w:rPr>
          <w:color w:val="auto"/>
        </w:rPr>
        <w:tab/>
      </w:r>
      <w:r>
        <w:rPr>
          <w:color w:val="auto"/>
        </w:rPr>
        <w:fldChar w:fldCharType="begin"/>
      </w:r>
      <w:r>
        <w:rPr>
          <w:color w:val="auto"/>
        </w:rPr>
        <w:instrText xml:space="preserve"> PAGEREF _Toc8302 \h </w:instrText>
      </w:r>
      <w:r>
        <w:rPr>
          <w:color w:val="auto"/>
        </w:rPr>
        <w:fldChar w:fldCharType="separate"/>
      </w:r>
      <w:r>
        <w:rPr>
          <w:color w:val="auto"/>
        </w:rPr>
        <w:t>83</w:t>
      </w:r>
      <w:r>
        <w:rPr>
          <w:color w:val="auto"/>
        </w:rPr>
        <w:fldChar w:fldCharType="end"/>
      </w:r>
      <w:r>
        <w:rPr>
          <w:rFonts w:hint="eastAsia" w:ascii="宋体" w:hAnsi="宋体" w:eastAsia="宋体" w:cs="宋体"/>
          <w:bCs/>
          <w:caps/>
          <w:color w:val="auto"/>
          <w:szCs w:val="28"/>
          <w:u w:val="single"/>
        </w:rPr>
        <w:fldChar w:fldCharType="end"/>
      </w:r>
    </w:p>
    <w:p w14:paraId="4F3582DE">
      <w:pPr>
        <w:pStyle w:val="14"/>
        <w:tabs>
          <w:tab w:val="right" w:leader="dot" w:pos="9638"/>
        </w:tabs>
        <w:rPr>
          <w:color w:val="auto"/>
        </w:rPr>
      </w:pPr>
      <w:r>
        <w:rPr>
          <w:rFonts w:hint="eastAsia" w:ascii="宋体" w:hAnsi="宋体" w:eastAsia="宋体" w:cs="宋体"/>
          <w:bCs/>
          <w:caps/>
          <w:color w:val="auto"/>
          <w:szCs w:val="28"/>
          <w:u w:val="single"/>
        </w:rPr>
        <w:fldChar w:fldCharType="begin"/>
      </w:r>
      <w:r>
        <w:rPr>
          <w:rFonts w:hint="eastAsia" w:ascii="宋体" w:hAnsi="宋体" w:eastAsia="宋体" w:cs="宋体"/>
          <w:bCs/>
          <w:caps/>
          <w:color w:val="auto"/>
          <w:szCs w:val="28"/>
        </w:rPr>
        <w:instrText xml:space="preserve"> HYPERLINK \l _Toc19966 </w:instrText>
      </w:r>
      <w:r>
        <w:rPr>
          <w:rFonts w:hint="eastAsia" w:ascii="宋体" w:hAnsi="宋体" w:eastAsia="宋体" w:cs="宋体"/>
          <w:bCs/>
          <w:caps/>
          <w:color w:val="auto"/>
          <w:szCs w:val="28"/>
        </w:rPr>
        <w:fldChar w:fldCharType="separate"/>
      </w:r>
      <w:r>
        <w:rPr>
          <w:rFonts w:hint="eastAsia" w:ascii="宋体" w:hAnsi="宋体" w:eastAsia="宋体" w:cs="宋体"/>
          <w:bCs/>
          <w:color w:val="auto"/>
          <w:szCs w:val="28"/>
        </w:rPr>
        <w:t>第二节 资格证明文件格式</w:t>
      </w:r>
      <w:r>
        <w:rPr>
          <w:color w:val="auto"/>
        </w:rPr>
        <w:tab/>
      </w:r>
      <w:r>
        <w:rPr>
          <w:color w:val="auto"/>
        </w:rPr>
        <w:fldChar w:fldCharType="begin"/>
      </w:r>
      <w:r>
        <w:rPr>
          <w:color w:val="auto"/>
        </w:rPr>
        <w:instrText xml:space="preserve"> PAGEREF _Toc19966 \h </w:instrText>
      </w:r>
      <w:r>
        <w:rPr>
          <w:color w:val="auto"/>
        </w:rPr>
        <w:fldChar w:fldCharType="separate"/>
      </w:r>
      <w:r>
        <w:rPr>
          <w:color w:val="auto"/>
        </w:rPr>
        <w:t>84</w:t>
      </w:r>
      <w:r>
        <w:rPr>
          <w:color w:val="auto"/>
        </w:rPr>
        <w:fldChar w:fldCharType="end"/>
      </w:r>
      <w:r>
        <w:rPr>
          <w:rFonts w:hint="eastAsia" w:ascii="宋体" w:hAnsi="宋体" w:eastAsia="宋体" w:cs="宋体"/>
          <w:bCs/>
          <w:caps/>
          <w:color w:val="auto"/>
          <w:szCs w:val="28"/>
          <w:u w:val="single"/>
        </w:rPr>
        <w:fldChar w:fldCharType="end"/>
      </w:r>
    </w:p>
    <w:p w14:paraId="0956459C">
      <w:pPr>
        <w:pStyle w:val="14"/>
        <w:tabs>
          <w:tab w:val="right" w:leader="dot" w:pos="9638"/>
        </w:tabs>
        <w:rPr>
          <w:color w:val="auto"/>
        </w:rPr>
      </w:pPr>
      <w:r>
        <w:rPr>
          <w:rFonts w:hint="eastAsia" w:ascii="宋体" w:hAnsi="宋体" w:eastAsia="宋体" w:cs="宋体"/>
          <w:bCs/>
          <w:caps/>
          <w:color w:val="auto"/>
          <w:szCs w:val="28"/>
          <w:u w:val="single"/>
        </w:rPr>
        <w:fldChar w:fldCharType="begin"/>
      </w:r>
      <w:r>
        <w:rPr>
          <w:rFonts w:hint="eastAsia" w:ascii="宋体" w:hAnsi="宋体" w:eastAsia="宋体" w:cs="宋体"/>
          <w:bCs/>
          <w:caps/>
          <w:color w:val="auto"/>
          <w:szCs w:val="28"/>
        </w:rPr>
        <w:instrText xml:space="preserve"> HYPERLINK \l _Toc13474 </w:instrText>
      </w:r>
      <w:r>
        <w:rPr>
          <w:rFonts w:hint="eastAsia" w:ascii="宋体" w:hAnsi="宋体" w:eastAsia="宋体" w:cs="宋体"/>
          <w:bCs/>
          <w:caps/>
          <w:color w:val="auto"/>
          <w:szCs w:val="28"/>
        </w:rPr>
        <w:fldChar w:fldCharType="separate"/>
      </w:r>
      <w:r>
        <w:rPr>
          <w:rFonts w:hint="eastAsia" w:ascii="宋体" w:hAnsi="宋体" w:eastAsia="宋体" w:cs="宋体"/>
          <w:bCs/>
          <w:color w:val="auto"/>
          <w:szCs w:val="28"/>
        </w:rPr>
        <w:t>第三节 商务文件格式</w:t>
      </w:r>
      <w:r>
        <w:rPr>
          <w:color w:val="auto"/>
        </w:rPr>
        <w:tab/>
      </w:r>
      <w:r>
        <w:rPr>
          <w:color w:val="auto"/>
        </w:rPr>
        <w:fldChar w:fldCharType="begin"/>
      </w:r>
      <w:r>
        <w:rPr>
          <w:color w:val="auto"/>
        </w:rPr>
        <w:instrText xml:space="preserve"> PAGEREF _Toc13474 \h </w:instrText>
      </w:r>
      <w:r>
        <w:rPr>
          <w:color w:val="auto"/>
        </w:rPr>
        <w:fldChar w:fldCharType="separate"/>
      </w:r>
      <w:r>
        <w:rPr>
          <w:color w:val="auto"/>
        </w:rPr>
        <w:t>92</w:t>
      </w:r>
      <w:r>
        <w:rPr>
          <w:color w:val="auto"/>
        </w:rPr>
        <w:fldChar w:fldCharType="end"/>
      </w:r>
      <w:r>
        <w:rPr>
          <w:rFonts w:hint="eastAsia" w:ascii="宋体" w:hAnsi="宋体" w:eastAsia="宋体" w:cs="宋体"/>
          <w:bCs/>
          <w:caps/>
          <w:color w:val="auto"/>
          <w:szCs w:val="28"/>
          <w:u w:val="single"/>
        </w:rPr>
        <w:fldChar w:fldCharType="end"/>
      </w:r>
    </w:p>
    <w:p w14:paraId="4EF98AAF">
      <w:pPr>
        <w:pStyle w:val="14"/>
        <w:tabs>
          <w:tab w:val="right" w:leader="dot" w:pos="9638"/>
        </w:tabs>
        <w:rPr>
          <w:color w:val="auto"/>
        </w:rPr>
      </w:pPr>
      <w:r>
        <w:rPr>
          <w:rFonts w:hint="eastAsia" w:ascii="宋体" w:hAnsi="宋体" w:eastAsia="宋体" w:cs="宋体"/>
          <w:bCs/>
          <w:caps/>
          <w:color w:val="auto"/>
          <w:szCs w:val="28"/>
          <w:u w:val="single"/>
        </w:rPr>
        <w:fldChar w:fldCharType="begin"/>
      </w:r>
      <w:r>
        <w:rPr>
          <w:rFonts w:hint="eastAsia" w:ascii="宋体" w:hAnsi="宋体" w:eastAsia="宋体" w:cs="宋体"/>
          <w:bCs/>
          <w:caps/>
          <w:color w:val="auto"/>
          <w:szCs w:val="28"/>
        </w:rPr>
        <w:instrText xml:space="preserve"> HYPERLINK \l _Toc10032 </w:instrText>
      </w:r>
      <w:r>
        <w:rPr>
          <w:rFonts w:hint="eastAsia" w:ascii="宋体" w:hAnsi="宋体" w:eastAsia="宋体" w:cs="宋体"/>
          <w:bCs/>
          <w:caps/>
          <w:color w:val="auto"/>
          <w:szCs w:val="28"/>
        </w:rPr>
        <w:fldChar w:fldCharType="separate"/>
      </w:r>
      <w:r>
        <w:rPr>
          <w:rFonts w:hint="eastAsia" w:ascii="宋体" w:hAnsi="宋体" w:eastAsia="宋体" w:cs="宋体"/>
          <w:bCs/>
          <w:color w:val="auto"/>
          <w:szCs w:val="28"/>
        </w:rPr>
        <w:t>第四节 技术文件格式</w:t>
      </w:r>
      <w:r>
        <w:rPr>
          <w:color w:val="auto"/>
        </w:rPr>
        <w:tab/>
      </w:r>
      <w:r>
        <w:rPr>
          <w:color w:val="auto"/>
        </w:rPr>
        <w:fldChar w:fldCharType="begin"/>
      </w:r>
      <w:r>
        <w:rPr>
          <w:color w:val="auto"/>
        </w:rPr>
        <w:instrText xml:space="preserve"> PAGEREF _Toc10032 \h </w:instrText>
      </w:r>
      <w:r>
        <w:rPr>
          <w:color w:val="auto"/>
        </w:rPr>
        <w:fldChar w:fldCharType="separate"/>
      </w:r>
      <w:r>
        <w:rPr>
          <w:color w:val="auto"/>
        </w:rPr>
        <w:t>103</w:t>
      </w:r>
      <w:r>
        <w:rPr>
          <w:color w:val="auto"/>
        </w:rPr>
        <w:fldChar w:fldCharType="end"/>
      </w:r>
      <w:r>
        <w:rPr>
          <w:rFonts w:hint="eastAsia" w:ascii="宋体" w:hAnsi="宋体" w:eastAsia="宋体" w:cs="宋体"/>
          <w:bCs/>
          <w:caps/>
          <w:color w:val="auto"/>
          <w:szCs w:val="28"/>
          <w:u w:val="single"/>
        </w:rPr>
        <w:fldChar w:fldCharType="end"/>
      </w:r>
    </w:p>
    <w:p w14:paraId="04797B79">
      <w:pPr>
        <w:pStyle w:val="14"/>
        <w:tabs>
          <w:tab w:val="right" w:leader="dot" w:pos="9638"/>
        </w:tabs>
        <w:rPr>
          <w:color w:val="auto"/>
        </w:rPr>
      </w:pPr>
      <w:r>
        <w:rPr>
          <w:rFonts w:hint="eastAsia" w:ascii="宋体" w:hAnsi="宋体" w:eastAsia="宋体" w:cs="宋体"/>
          <w:bCs/>
          <w:caps/>
          <w:color w:val="auto"/>
          <w:szCs w:val="28"/>
          <w:u w:val="single"/>
        </w:rPr>
        <w:fldChar w:fldCharType="begin"/>
      </w:r>
      <w:r>
        <w:rPr>
          <w:rFonts w:hint="eastAsia" w:ascii="宋体" w:hAnsi="宋体" w:eastAsia="宋体" w:cs="宋体"/>
          <w:bCs/>
          <w:caps/>
          <w:color w:val="auto"/>
          <w:szCs w:val="28"/>
        </w:rPr>
        <w:instrText xml:space="preserve"> HYPERLINK \l _Toc16074 </w:instrText>
      </w:r>
      <w:r>
        <w:rPr>
          <w:rFonts w:hint="eastAsia" w:ascii="宋体" w:hAnsi="宋体" w:eastAsia="宋体" w:cs="宋体"/>
          <w:bCs/>
          <w:caps/>
          <w:color w:val="auto"/>
          <w:szCs w:val="28"/>
        </w:rPr>
        <w:fldChar w:fldCharType="separate"/>
      </w:r>
      <w:r>
        <w:rPr>
          <w:rFonts w:hint="eastAsia" w:ascii="宋体" w:hAnsi="宋体" w:eastAsia="宋体" w:cs="宋体"/>
          <w:bCs/>
          <w:color w:val="auto"/>
          <w:szCs w:val="28"/>
        </w:rPr>
        <w:t>第五节 报价文件格式</w:t>
      </w:r>
      <w:r>
        <w:rPr>
          <w:color w:val="auto"/>
        </w:rPr>
        <w:tab/>
      </w:r>
      <w:r>
        <w:rPr>
          <w:color w:val="auto"/>
        </w:rPr>
        <w:fldChar w:fldCharType="begin"/>
      </w:r>
      <w:r>
        <w:rPr>
          <w:color w:val="auto"/>
        </w:rPr>
        <w:instrText xml:space="preserve"> PAGEREF _Toc16074 \h </w:instrText>
      </w:r>
      <w:r>
        <w:rPr>
          <w:color w:val="auto"/>
        </w:rPr>
        <w:fldChar w:fldCharType="separate"/>
      </w:r>
      <w:r>
        <w:rPr>
          <w:color w:val="auto"/>
        </w:rPr>
        <w:t>111</w:t>
      </w:r>
      <w:r>
        <w:rPr>
          <w:color w:val="auto"/>
        </w:rPr>
        <w:fldChar w:fldCharType="end"/>
      </w:r>
      <w:r>
        <w:rPr>
          <w:rFonts w:hint="eastAsia" w:ascii="宋体" w:hAnsi="宋体" w:eastAsia="宋体" w:cs="宋体"/>
          <w:bCs/>
          <w:caps/>
          <w:color w:val="auto"/>
          <w:szCs w:val="28"/>
          <w:u w:val="single"/>
        </w:rPr>
        <w:fldChar w:fldCharType="end"/>
      </w:r>
    </w:p>
    <w:p w14:paraId="04A642A9">
      <w:pPr>
        <w:pStyle w:val="14"/>
        <w:tabs>
          <w:tab w:val="right" w:leader="dot" w:pos="9638"/>
        </w:tabs>
        <w:rPr>
          <w:color w:val="auto"/>
        </w:rPr>
      </w:pPr>
      <w:r>
        <w:rPr>
          <w:rFonts w:hint="eastAsia" w:ascii="宋体" w:hAnsi="宋体" w:eastAsia="宋体" w:cs="宋体"/>
          <w:bCs/>
          <w:caps/>
          <w:color w:val="auto"/>
          <w:szCs w:val="28"/>
          <w:u w:val="single"/>
        </w:rPr>
        <w:fldChar w:fldCharType="begin"/>
      </w:r>
      <w:r>
        <w:rPr>
          <w:rFonts w:hint="eastAsia" w:ascii="宋体" w:hAnsi="宋体" w:eastAsia="宋体" w:cs="宋体"/>
          <w:bCs/>
          <w:caps/>
          <w:color w:val="auto"/>
          <w:szCs w:val="28"/>
        </w:rPr>
        <w:instrText xml:space="preserve"> HYPERLINK \l _Toc16923 </w:instrText>
      </w:r>
      <w:r>
        <w:rPr>
          <w:rFonts w:hint="eastAsia" w:ascii="宋体" w:hAnsi="宋体" w:eastAsia="宋体" w:cs="宋体"/>
          <w:bCs/>
          <w:caps/>
          <w:color w:val="auto"/>
          <w:szCs w:val="28"/>
        </w:rPr>
        <w:fldChar w:fldCharType="separate"/>
      </w:r>
      <w:r>
        <w:rPr>
          <w:rFonts w:hint="eastAsia" w:ascii="宋体" w:hAnsi="宋体" w:eastAsia="宋体" w:cs="宋体"/>
          <w:bCs/>
          <w:color w:val="auto"/>
          <w:szCs w:val="28"/>
        </w:rPr>
        <w:t>第六节 其他文书、文件格式</w:t>
      </w:r>
      <w:r>
        <w:rPr>
          <w:color w:val="auto"/>
        </w:rPr>
        <w:tab/>
      </w:r>
      <w:r>
        <w:rPr>
          <w:color w:val="auto"/>
        </w:rPr>
        <w:fldChar w:fldCharType="begin"/>
      </w:r>
      <w:r>
        <w:rPr>
          <w:color w:val="auto"/>
        </w:rPr>
        <w:instrText xml:space="preserve"> PAGEREF _Toc16923 \h </w:instrText>
      </w:r>
      <w:r>
        <w:rPr>
          <w:color w:val="auto"/>
        </w:rPr>
        <w:fldChar w:fldCharType="separate"/>
      </w:r>
      <w:r>
        <w:rPr>
          <w:color w:val="auto"/>
        </w:rPr>
        <w:t>117</w:t>
      </w:r>
      <w:r>
        <w:rPr>
          <w:color w:val="auto"/>
        </w:rPr>
        <w:fldChar w:fldCharType="end"/>
      </w:r>
      <w:r>
        <w:rPr>
          <w:rFonts w:hint="eastAsia" w:ascii="宋体" w:hAnsi="宋体" w:eastAsia="宋体" w:cs="宋体"/>
          <w:bCs/>
          <w:caps/>
          <w:color w:val="auto"/>
          <w:szCs w:val="28"/>
          <w:u w:val="single"/>
        </w:rPr>
        <w:fldChar w:fldCharType="end"/>
      </w:r>
    </w:p>
    <w:p w14:paraId="496AF3ED">
      <w:pPr>
        <w:pStyle w:val="13"/>
        <w:tabs>
          <w:tab w:val="right" w:leader="dot" w:pos="9638"/>
        </w:tabs>
        <w:rPr>
          <w:color w:val="auto"/>
        </w:rPr>
      </w:pPr>
      <w:r>
        <w:rPr>
          <w:rFonts w:hint="eastAsia" w:ascii="宋体" w:hAnsi="宋体" w:eastAsia="宋体" w:cs="宋体"/>
          <w:bCs/>
          <w:caps/>
          <w:color w:val="auto"/>
          <w:szCs w:val="28"/>
          <w:u w:val="single"/>
        </w:rPr>
        <w:fldChar w:fldCharType="begin"/>
      </w:r>
      <w:r>
        <w:rPr>
          <w:rFonts w:hint="eastAsia" w:ascii="宋体" w:hAnsi="宋体" w:eastAsia="宋体" w:cs="宋体"/>
          <w:bCs/>
          <w:caps/>
          <w:color w:val="auto"/>
          <w:szCs w:val="28"/>
        </w:rPr>
        <w:instrText xml:space="preserve"> HYPERLINK \l _Toc20984 </w:instrText>
      </w:r>
      <w:r>
        <w:rPr>
          <w:rFonts w:hint="eastAsia" w:ascii="宋体" w:hAnsi="宋体" w:eastAsia="宋体" w:cs="宋体"/>
          <w:bCs/>
          <w:caps/>
          <w:color w:val="auto"/>
          <w:szCs w:val="28"/>
        </w:rPr>
        <w:fldChar w:fldCharType="separate"/>
      </w:r>
      <w:r>
        <w:rPr>
          <w:rFonts w:hint="eastAsia" w:ascii="宋体" w:hAnsi="宋体" w:eastAsia="宋体" w:cs="宋体"/>
          <w:color w:val="auto"/>
          <w:szCs w:val="20"/>
        </w:rPr>
        <w:t>第七章 质疑、投诉证明材料格式</w:t>
      </w:r>
      <w:r>
        <w:rPr>
          <w:color w:val="auto"/>
        </w:rPr>
        <w:tab/>
      </w:r>
      <w:r>
        <w:rPr>
          <w:color w:val="auto"/>
        </w:rPr>
        <w:fldChar w:fldCharType="begin"/>
      </w:r>
      <w:r>
        <w:rPr>
          <w:color w:val="auto"/>
        </w:rPr>
        <w:instrText xml:space="preserve"> PAGEREF _Toc20984 \h </w:instrText>
      </w:r>
      <w:r>
        <w:rPr>
          <w:color w:val="auto"/>
        </w:rPr>
        <w:fldChar w:fldCharType="separate"/>
      </w:r>
      <w:r>
        <w:rPr>
          <w:color w:val="auto"/>
        </w:rPr>
        <w:t>119</w:t>
      </w:r>
      <w:r>
        <w:rPr>
          <w:color w:val="auto"/>
        </w:rPr>
        <w:fldChar w:fldCharType="end"/>
      </w:r>
      <w:r>
        <w:rPr>
          <w:rFonts w:hint="eastAsia" w:ascii="宋体" w:hAnsi="宋体" w:eastAsia="宋体" w:cs="宋体"/>
          <w:bCs/>
          <w:caps/>
          <w:color w:val="auto"/>
          <w:szCs w:val="28"/>
          <w:u w:val="single"/>
        </w:rPr>
        <w:fldChar w:fldCharType="end"/>
      </w:r>
    </w:p>
    <w:p w14:paraId="73C19A89">
      <w:pPr>
        <w:pStyle w:val="14"/>
        <w:tabs>
          <w:tab w:val="right" w:leader="dot" w:pos="9638"/>
        </w:tabs>
        <w:rPr>
          <w:color w:val="auto"/>
        </w:rPr>
      </w:pPr>
      <w:r>
        <w:rPr>
          <w:rFonts w:hint="eastAsia" w:ascii="宋体" w:hAnsi="宋体" w:eastAsia="宋体" w:cs="宋体"/>
          <w:bCs/>
          <w:caps/>
          <w:color w:val="auto"/>
          <w:szCs w:val="28"/>
          <w:u w:val="single"/>
        </w:rPr>
        <w:fldChar w:fldCharType="begin"/>
      </w:r>
      <w:r>
        <w:rPr>
          <w:rFonts w:hint="eastAsia" w:ascii="宋体" w:hAnsi="宋体" w:eastAsia="宋体" w:cs="宋体"/>
          <w:bCs/>
          <w:caps/>
          <w:color w:val="auto"/>
          <w:szCs w:val="28"/>
        </w:rPr>
        <w:instrText xml:space="preserve"> HYPERLINK \l _Toc11363 </w:instrText>
      </w:r>
      <w:r>
        <w:rPr>
          <w:rFonts w:hint="eastAsia" w:ascii="宋体" w:hAnsi="宋体" w:eastAsia="宋体" w:cs="宋体"/>
          <w:bCs/>
          <w:caps/>
          <w:color w:val="auto"/>
          <w:szCs w:val="28"/>
        </w:rPr>
        <w:fldChar w:fldCharType="separate"/>
      </w:r>
      <w:r>
        <w:rPr>
          <w:rFonts w:hint="eastAsia" w:ascii="宋体" w:hAnsi="宋体" w:eastAsia="宋体" w:cs="宋体"/>
          <w:color w:val="auto"/>
          <w:szCs w:val="32"/>
        </w:rPr>
        <w:t>第一节 质疑函（格式）</w:t>
      </w:r>
      <w:r>
        <w:rPr>
          <w:color w:val="auto"/>
        </w:rPr>
        <w:tab/>
      </w:r>
      <w:r>
        <w:rPr>
          <w:color w:val="auto"/>
        </w:rPr>
        <w:fldChar w:fldCharType="begin"/>
      </w:r>
      <w:r>
        <w:rPr>
          <w:color w:val="auto"/>
        </w:rPr>
        <w:instrText xml:space="preserve"> PAGEREF _Toc11363 \h </w:instrText>
      </w:r>
      <w:r>
        <w:rPr>
          <w:color w:val="auto"/>
        </w:rPr>
        <w:fldChar w:fldCharType="separate"/>
      </w:r>
      <w:r>
        <w:rPr>
          <w:color w:val="auto"/>
        </w:rPr>
        <w:t>120</w:t>
      </w:r>
      <w:r>
        <w:rPr>
          <w:color w:val="auto"/>
        </w:rPr>
        <w:fldChar w:fldCharType="end"/>
      </w:r>
      <w:r>
        <w:rPr>
          <w:rFonts w:hint="eastAsia" w:ascii="宋体" w:hAnsi="宋体" w:eastAsia="宋体" w:cs="宋体"/>
          <w:bCs/>
          <w:caps/>
          <w:color w:val="auto"/>
          <w:szCs w:val="28"/>
          <w:u w:val="single"/>
        </w:rPr>
        <w:fldChar w:fldCharType="end"/>
      </w:r>
    </w:p>
    <w:p w14:paraId="089D3A80">
      <w:pPr>
        <w:pStyle w:val="14"/>
        <w:tabs>
          <w:tab w:val="right" w:leader="dot" w:pos="9638"/>
        </w:tabs>
        <w:rPr>
          <w:color w:val="auto"/>
        </w:rPr>
      </w:pPr>
      <w:r>
        <w:rPr>
          <w:rFonts w:hint="eastAsia" w:ascii="宋体" w:hAnsi="宋体" w:eastAsia="宋体" w:cs="宋体"/>
          <w:bCs/>
          <w:caps/>
          <w:color w:val="auto"/>
          <w:szCs w:val="28"/>
          <w:u w:val="single"/>
        </w:rPr>
        <w:fldChar w:fldCharType="begin"/>
      </w:r>
      <w:r>
        <w:rPr>
          <w:rFonts w:hint="eastAsia" w:ascii="宋体" w:hAnsi="宋体" w:eastAsia="宋体" w:cs="宋体"/>
          <w:bCs/>
          <w:caps/>
          <w:color w:val="auto"/>
          <w:szCs w:val="28"/>
        </w:rPr>
        <w:instrText xml:space="preserve"> HYPERLINK \l _Toc14539 </w:instrText>
      </w:r>
      <w:r>
        <w:rPr>
          <w:rFonts w:hint="eastAsia" w:ascii="宋体" w:hAnsi="宋体" w:eastAsia="宋体" w:cs="宋体"/>
          <w:bCs/>
          <w:caps/>
          <w:color w:val="auto"/>
          <w:szCs w:val="28"/>
        </w:rPr>
        <w:fldChar w:fldCharType="separate"/>
      </w:r>
      <w:r>
        <w:rPr>
          <w:rFonts w:hint="eastAsia" w:ascii="宋体" w:hAnsi="宋体" w:eastAsia="宋体" w:cs="宋体"/>
          <w:color w:val="auto"/>
          <w:szCs w:val="32"/>
        </w:rPr>
        <w:t>第二节 投诉书（格式）</w:t>
      </w:r>
      <w:r>
        <w:rPr>
          <w:color w:val="auto"/>
        </w:rPr>
        <w:tab/>
      </w:r>
      <w:r>
        <w:rPr>
          <w:color w:val="auto"/>
        </w:rPr>
        <w:fldChar w:fldCharType="begin"/>
      </w:r>
      <w:r>
        <w:rPr>
          <w:color w:val="auto"/>
        </w:rPr>
        <w:instrText xml:space="preserve"> PAGEREF _Toc14539 \h </w:instrText>
      </w:r>
      <w:r>
        <w:rPr>
          <w:color w:val="auto"/>
        </w:rPr>
        <w:fldChar w:fldCharType="separate"/>
      </w:r>
      <w:r>
        <w:rPr>
          <w:color w:val="auto"/>
        </w:rPr>
        <w:t>123</w:t>
      </w:r>
      <w:r>
        <w:rPr>
          <w:color w:val="auto"/>
        </w:rPr>
        <w:fldChar w:fldCharType="end"/>
      </w:r>
      <w:r>
        <w:rPr>
          <w:rFonts w:hint="eastAsia" w:ascii="宋体" w:hAnsi="宋体" w:eastAsia="宋体" w:cs="宋体"/>
          <w:bCs/>
          <w:caps/>
          <w:color w:val="auto"/>
          <w:szCs w:val="28"/>
          <w:u w:val="single"/>
        </w:rPr>
        <w:fldChar w:fldCharType="end"/>
      </w:r>
    </w:p>
    <w:p w14:paraId="642E600C">
      <w:pPr>
        <w:pageBreakBefore w:val="0"/>
        <w:kinsoku/>
        <w:wordWrap/>
        <w:overflowPunct/>
        <w:topLinePunct w:val="0"/>
        <w:bidi w:val="0"/>
        <w:spacing w:beforeAutospacing="0" w:line="240" w:lineRule="auto"/>
        <w:ind w:left="0" w:leftChars="0" w:right="0"/>
        <w:jc w:val="center"/>
        <w:rPr>
          <w:rFonts w:hint="eastAsia" w:ascii="宋体" w:hAnsi="宋体" w:eastAsia="宋体" w:cs="宋体"/>
          <w:color w:val="auto"/>
          <w:szCs w:val="20"/>
        </w:rPr>
      </w:pPr>
      <w:r>
        <w:rPr>
          <w:rFonts w:hint="eastAsia" w:ascii="宋体" w:hAnsi="宋体" w:eastAsia="宋体" w:cs="宋体"/>
          <w:bCs/>
          <w:caps/>
          <w:color w:val="auto"/>
          <w:szCs w:val="28"/>
          <w:u w:val="single"/>
        </w:rPr>
        <w:fldChar w:fldCharType="end"/>
      </w:r>
      <w:r>
        <w:rPr>
          <w:rFonts w:hint="eastAsia" w:ascii="宋体" w:hAnsi="宋体" w:eastAsia="宋体" w:cs="宋体"/>
          <w:color w:val="auto"/>
          <w:szCs w:val="20"/>
        </w:rPr>
        <w:tab/>
      </w:r>
      <w:bookmarkStart w:id="0" w:name="_Toc532545041"/>
    </w:p>
    <w:p w14:paraId="5D32060F">
      <w:pPr>
        <w:rPr>
          <w:rFonts w:hint="eastAsia" w:ascii="宋体" w:hAnsi="宋体" w:eastAsia="宋体" w:cs="宋体"/>
          <w:color w:val="auto"/>
          <w:szCs w:val="20"/>
        </w:rPr>
      </w:pPr>
      <w:r>
        <w:rPr>
          <w:rFonts w:hint="eastAsia" w:ascii="宋体" w:hAnsi="宋体" w:eastAsia="宋体" w:cs="宋体"/>
          <w:color w:val="auto"/>
          <w:szCs w:val="20"/>
        </w:rPr>
        <w:br w:type="page"/>
      </w:r>
    </w:p>
    <w:p w14:paraId="6D1F4F52">
      <w:pPr>
        <w:pageBreakBefore w:val="0"/>
        <w:kinsoku/>
        <w:wordWrap/>
        <w:overflowPunct/>
        <w:topLinePunct w:val="0"/>
        <w:bidi w:val="0"/>
        <w:spacing w:beforeAutospacing="0" w:line="240" w:lineRule="auto"/>
        <w:ind w:left="0" w:leftChars="0" w:right="0"/>
        <w:jc w:val="center"/>
        <w:rPr>
          <w:rFonts w:hint="eastAsia" w:ascii="宋体" w:hAnsi="宋体" w:eastAsia="宋体" w:cs="宋体"/>
          <w:b/>
          <w:color w:val="auto"/>
          <w:sz w:val="36"/>
          <w:szCs w:val="36"/>
        </w:rPr>
      </w:pPr>
      <w:r>
        <w:rPr>
          <w:rFonts w:hint="eastAsia" w:ascii="宋体" w:hAnsi="宋体" w:eastAsia="宋体" w:cs="宋体"/>
          <w:b/>
          <w:color w:val="auto"/>
          <w:sz w:val="36"/>
          <w:szCs w:val="20"/>
        </w:rPr>
        <w:t>第一章  招标公告</w:t>
      </w:r>
      <w:bookmarkEnd w:id="0"/>
    </w:p>
    <w:p w14:paraId="06DDF43E">
      <w:pPr>
        <w:pageBreakBefore w:val="0"/>
        <w:kinsoku/>
        <w:wordWrap/>
        <w:overflowPunct/>
        <w:topLinePunct w:val="0"/>
        <w:bidi w:val="0"/>
        <w:spacing w:beforeAutospacing="0" w:line="360" w:lineRule="auto"/>
        <w:ind w:left="0" w:leftChars="0" w:right="0"/>
        <w:jc w:val="center"/>
        <w:rPr>
          <w:rFonts w:hint="eastAsia" w:ascii="宋体" w:hAnsi="宋体" w:eastAsia="宋体" w:cs="宋体"/>
          <w:b/>
          <w:color w:val="auto"/>
          <w:sz w:val="30"/>
          <w:szCs w:val="30"/>
        </w:rPr>
      </w:pPr>
      <w:r>
        <w:rPr>
          <w:rFonts w:hint="eastAsia" w:ascii="宋体" w:hAnsi="宋体" w:eastAsia="宋体" w:cs="宋体"/>
          <w:b/>
          <w:color w:val="auto"/>
          <w:sz w:val="30"/>
          <w:szCs w:val="30"/>
        </w:rPr>
        <w:t>公开招标公告</w:t>
      </w:r>
    </w:p>
    <w:p w14:paraId="7D58393A">
      <w:pPr>
        <w:pageBreakBefore w:val="0"/>
        <w:pBdr>
          <w:top w:val="single" w:color="auto" w:sz="4" w:space="1"/>
          <w:left w:val="single" w:color="auto" w:sz="4" w:space="4"/>
          <w:bottom w:val="single" w:color="auto" w:sz="4" w:space="1"/>
          <w:right w:val="single" w:color="auto" w:sz="4" w:space="4"/>
        </w:pBdr>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项目概况</w:t>
      </w:r>
    </w:p>
    <w:p w14:paraId="45DB14CC">
      <w:pPr>
        <w:pageBreakBefore w:val="0"/>
        <w:pBdr>
          <w:top w:val="single" w:color="auto" w:sz="4" w:space="1"/>
          <w:left w:val="single" w:color="auto" w:sz="4" w:space="4"/>
          <w:bottom w:val="single" w:color="auto" w:sz="4" w:space="1"/>
          <w:right w:val="single" w:color="auto" w:sz="4" w:space="4"/>
        </w:pBdr>
        <w:kinsoku/>
        <w:wordWrap/>
        <w:overflowPunct/>
        <w:topLinePunct w:val="0"/>
        <w:bidi w:val="0"/>
        <w:spacing w:beforeAutospacing="0" w:line="360" w:lineRule="auto"/>
        <w:ind w:left="0" w:leftChars="0" w:right="0" w:firstLine="525" w:firstLineChars="25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eastAsia="zh-CN"/>
        </w:rPr>
        <w:t>南宁市第二看守所</w:t>
      </w:r>
      <w:r>
        <w:rPr>
          <w:rFonts w:hint="eastAsia" w:ascii="宋体" w:hAnsi="宋体" w:eastAsia="宋体" w:cs="宋体"/>
          <w:color w:val="auto"/>
          <w:sz w:val="21"/>
          <w:szCs w:val="21"/>
          <w:u w:val="single"/>
          <w:lang w:eastAsia="zh-CN"/>
        </w:rPr>
        <w:t>2024年度在押人员伙房食材配送服务采购</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招标项目的潜在投标人应在</w:t>
      </w:r>
      <w:r>
        <w:rPr>
          <w:rFonts w:hint="eastAsia" w:ascii="宋体" w:hAnsi="宋体" w:cs="宋体"/>
          <w:color w:val="auto"/>
          <w:sz w:val="21"/>
          <w:szCs w:val="21"/>
          <w:lang w:eastAsia="zh-CN"/>
        </w:rPr>
        <w:t>“广西政府采购云”平台（https://www.gcy.zfcg.gxzf.gov.cn/）</w:t>
      </w:r>
      <w:r>
        <w:rPr>
          <w:rFonts w:hint="eastAsia" w:ascii="宋体" w:hAnsi="宋体" w:eastAsia="宋体" w:cs="宋体"/>
          <w:color w:val="auto"/>
          <w:sz w:val="21"/>
          <w:szCs w:val="21"/>
        </w:rPr>
        <w:t>获取（下载）招标文件，并于</w:t>
      </w:r>
      <w:r>
        <w:rPr>
          <w:rFonts w:hint="eastAsia" w:ascii="宋体" w:hAnsi="宋体"/>
          <w:bCs/>
          <w:color w:val="auto"/>
          <w:u w:val="single"/>
        </w:rPr>
        <w:t>202</w:t>
      </w:r>
      <w:r>
        <w:rPr>
          <w:rFonts w:hint="eastAsia" w:ascii="宋体" w:hAnsi="宋体"/>
          <w:bCs/>
          <w:color w:val="auto"/>
          <w:u w:val="single"/>
          <w:lang w:val="en-US" w:eastAsia="zh-CN"/>
        </w:rPr>
        <w:t>4</w:t>
      </w:r>
      <w:r>
        <w:rPr>
          <w:rFonts w:hint="eastAsia" w:ascii="宋体" w:hAnsi="宋体"/>
          <w:bCs/>
          <w:color w:val="auto"/>
          <w:u w:val="single"/>
        </w:rPr>
        <w:t>年</w:t>
      </w:r>
      <w:r>
        <w:rPr>
          <w:rFonts w:hint="eastAsia" w:ascii="宋体" w:hAnsi="宋体"/>
          <w:bCs/>
          <w:color w:val="auto"/>
          <w:u w:val="single"/>
          <w:lang w:val="en-US" w:eastAsia="zh-CN"/>
        </w:rPr>
        <w:t>8</w:t>
      </w:r>
      <w:r>
        <w:rPr>
          <w:rFonts w:hint="eastAsia" w:ascii="宋体" w:hAnsi="宋体"/>
          <w:bCs/>
          <w:color w:val="auto"/>
          <w:u w:val="single"/>
        </w:rPr>
        <w:t>月</w:t>
      </w:r>
      <w:r>
        <w:rPr>
          <w:rFonts w:hint="eastAsia" w:ascii="宋体" w:hAnsi="宋体"/>
          <w:bCs/>
          <w:color w:val="auto"/>
          <w:u w:val="single"/>
          <w:lang w:val="en-US" w:eastAsia="zh-CN"/>
        </w:rPr>
        <w:t>12</w:t>
      </w:r>
      <w:r>
        <w:rPr>
          <w:rFonts w:hint="eastAsia" w:ascii="宋体" w:hAnsi="宋体"/>
          <w:bCs/>
          <w:color w:val="auto"/>
          <w:u w:val="single"/>
        </w:rPr>
        <w:t>日09时30分00秒</w:t>
      </w:r>
      <w:r>
        <w:rPr>
          <w:rFonts w:hint="eastAsia" w:ascii="宋体" w:hAnsi="宋体" w:eastAsia="宋体" w:cs="宋体"/>
          <w:bCs/>
          <w:color w:val="auto"/>
          <w:sz w:val="21"/>
          <w:szCs w:val="21"/>
        </w:rPr>
        <w:t>（北京时间）前</w:t>
      </w:r>
      <w:r>
        <w:rPr>
          <w:rFonts w:hint="eastAsia" w:ascii="宋体" w:hAnsi="宋体" w:eastAsia="宋体" w:cs="宋体"/>
          <w:color w:val="auto"/>
          <w:sz w:val="21"/>
          <w:szCs w:val="21"/>
        </w:rPr>
        <w:t>递交（上传）投标文件。</w:t>
      </w:r>
    </w:p>
    <w:p w14:paraId="16FF0FD3">
      <w:pPr>
        <w:pageBreakBefore w:val="0"/>
        <w:kinsoku/>
        <w:wordWrap/>
        <w:overflowPunct/>
        <w:topLinePunct w:val="0"/>
        <w:bidi w:val="0"/>
        <w:spacing w:beforeAutospacing="0" w:line="360" w:lineRule="auto"/>
        <w:ind w:left="0" w:leftChars="0" w:right="0"/>
        <w:rPr>
          <w:rFonts w:hint="eastAsia" w:ascii="宋体" w:hAnsi="宋体" w:eastAsia="宋体" w:cs="宋体"/>
          <w:b/>
          <w:bCs/>
          <w:color w:val="auto"/>
          <w:sz w:val="24"/>
        </w:rPr>
      </w:pPr>
      <w:bookmarkStart w:id="1" w:name="_Toc35393621"/>
      <w:bookmarkStart w:id="2" w:name="_Toc28359079"/>
      <w:bookmarkStart w:id="3" w:name="_Toc28359002"/>
      <w:bookmarkStart w:id="4" w:name="_Toc35393790"/>
      <w:bookmarkStart w:id="5" w:name="_Hlk24379207"/>
      <w:r>
        <w:rPr>
          <w:rFonts w:hint="eastAsia" w:ascii="宋体" w:hAnsi="宋体" w:eastAsia="宋体" w:cs="宋体"/>
          <w:b/>
          <w:bCs/>
          <w:color w:val="auto"/>
          <w:sz w:val="24"/>
        </w:rPr>
        <w:t>一、项目基本情况</w:t>
      </w:r>
      <w:bookmarkEnd w:id="1"/>
      <w:bookmarkEnd w:id="2"/>
      <w:bookmarkEnd w:id="3"/>
      <w:bookmarkEnd w:id="4"/>
    </w:p>
    <w:p w14:paraId="076732DB">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项目编号：</w:t>
      </w:r>
      <w:r>
        <w:rPr>
          <w:rFonts w:hint="eastAsia" w:ascii="宋体" w:hAnsi="宋体" w:cs="宋体"/>
          <w:color w:val="auto"/>
          <w:sz w:val="21"/>
          <w:szCs w:val="21"/>
          <w:lang w:eastAsia="zh-CN"/>
        </w:rPr>
        <w:t>NNZC2024-G3-990896-GXJZ</w:t>
      </w:r>
    </w:p>
    <w:p w14:paraId="2F7C8010">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项目名称</w:t>
      </w:r>
      <w:r>
        <w:rPr>
          <w:rFonts w:hint="eastAsia" w:ascii="宋体" w:hAnsi="宋体" w:cs="宋体"/>
          <w:color w:val="auto"/>
          <w:sz w:val="21"/>
          <w:szCs w:val="21"/>
          <w:lang w:eastAsia="zh-CN"/>
        </w:rPr>
        <w:t>：南宁市第二看守所在押人员伙房食材配送服务采购项目</w:t>
      </w:r>
    </w:p>
    <w:bookmarkEnd w:id="5"/>
    <w:p w14:paraId="71C8AA52">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预算金额</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20592</w:t>
      </w:r>
      <w:r>
        <w:rPr>
          <w:rFonts w:hint="eastAsia" w:ascii="宋体" w:hAnsi="宋体" w:cs="宋体"/>
          <w:color w:val="auto"/>
          <w:sz w:val="21"/>
          <w:szCs w:val="21"/>
          <w:lang w:eastAsia="zh-CN"/>
        </w:rPr>
        <w:t>000.00元</w:t>
      </w:r>
    </w:p>
    <w:p w14:paraId="388C13BF">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采购需求：</w:t>
      </w:r>
      <w:bookmarkStart w:id="6" w:name="PO_3000001866_PM004"/>
      <w:r>
        <w:rPr>
          <w:rFonts w:hint="eastAsia" w:ascii="宋体" w:hAnsi="宋体" w:eastAsia="宋体" w:cs="宋体"/>
          <w:color w:val="auto"/>
          <w:sz w:val="21"/>
          <w:szCs w:val="21"/>
        </w:rPr>
        <w:t xml:space="preserve"> </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2763"/>
        <w:gridCol w:w="696"/>
        <w:gridCol w:w="777"/>
        <w:gridCol w:w="1171"/>
        <w:gridCol w:w="2556"/>
        <w:gridCol w:w="1240"/>
      </w:tblGrid>
      <w:tr w14:paraId="2790F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noWrap w:val="0"/>
            <w:vAlign w:val="top"/>
          </w:tcPr>
          <w:p w14:paraId="6A74E7B4">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序号</w:t>
            </w:r>
          </w:p>
        </w:tc>
        <w:tc>
          <w:tcPr>
            <w:tcW w:w="1401" w:type="pct"/>
            <w:noWrap w:val="0"/>
            <w:vAlign w:val="top"/>
          </w:tcPr>
          <w:p w14:paraId="435C58D3">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名称</w:t>
            </w:r>
          </w:p>
        </w:tc>
        <w:tc>
          <w:tcPr>
            <w:tcW w:w="353" w:type="pct"/>
            <w:noWrap w:val="0"/>
            <w:vAlign w:val="top"/>
          </w:tcPr>
          <w:p w14:paraId="545A1E3C">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数量</w:t>
            </w:r>
          </w:p>
        </w:tc>
        <w:tc>
          <w:tcPr>
            <w:tcW w:w="394" w:type="pct"/>
            <w:noWrap w:val="0"/>
            <w:vAlign w:val="top"/>
          </w:tcPr>
          <w:p w14:paraId="053725B7">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单位</w:t>
            </w:r>
          </w:p>
        </w:tc>
        <w:tc>
          <w:tcPr>
            <w:tcW w:w="594" w:type="pct"/>
            <w:noWrap w:val="0"/>
            <w:vAlign w:val="top"/>
          </w:tcPr>
          <w:p w14:paraId="013D751B">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预算金额</w:t>
            </w:r>
          </w:p>
          <w:p w14:paraId="5110602D">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296" w:type="pct"/>
            <w:noWrap w:val="0"/>
            <w:vAlign w:val="top"/>
          </w:tcPr>
          <w:p w14:paraId="45E75579">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简要规格描述或基本概况介绍</w:t>
            </w:r>
          </w:p>
        </w:tc>
        <w:tc>
          <w:tcPr>
            <w:tcW w:w="629" w:type="pct"/>
            <w:noWrap w:val="0"/>
            <w:vAlign w:val="top"/>
          </w:tcPr>
          <w:p w14:paraId="2A638ACD">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最高限价</w:t>
            </w:r>
          </w:p>
          <w:p w14:paraId="0CDECAC3">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r>
      <w:tr w14:paraId="0284C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330" w:type="pct"/>
            <w:noWrap w:val="0"/>
            <w:vAlign w:val="top"/>
          </w:tcPr>
          <w:p w14:paraId="78A2A247">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401" w:type="pct"/>
            <w:noWrap w:val="0"/>
            <w:vAlign w:val="top"/>
          </w:tcPr>
          <w:p w14:paraId="0F02F4CD">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南宁市第二看守所在押人员伙房食材配送服务采购项目</w:t>
            </w:r>
          </w:p>
        </w:tc>
        <w:tc>
          <w:tcPr>
            <w:tcW w:w="353" w:type="pct"/>
            <w:noWrap w:val="0"/>
            <w:vAlign w:val="center"/>
          </w:tcPr>
          <w:p w14:paraId="7DE96E6E">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394" w:type="pct"/>
            <w:noWrap w:val="0"/>
            <w:vAlign w:val="center"/>
          </w:tcPr>
          <w:p w14:paraId="4E7DB793">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项</w:t>
            </w:r>
          </w:p>
        </w:tc>
        <w:tc>
          <w:tcPr>
            <w:tcW w:w="594" w:type="pct"/>
            <w:noWrap w:val="0"/>
            <w:vAlign w:val="center"/>
          </w:tcPr>
          <w:p w14:paraId="427A3D18">
            <w:pPr>
              <w:pageBreakBefore w:val="0"/>
              <w:kinsoku/>
              <w:wordWrap/>
              <w:overflowPunct/>
              <w:topLinePunct w:val="0"/>
              <w:bidi w:val="0"/>
              <w:spacing w:beforeAutospacing="0" w:line="360" w:lineRule="auto"/>
              <w:ind w:left="0" w:leftChars="0" w:right="0"/>
              <w:jc w:val="center"/>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2059.2</w:t>
            </w:r>
          </w:p>
        </w:tc>
        <w:tc>
          <w:tcPr>
            <w:tcW w:w="1296" w:type="pct"/>
            <w:noWrap w:val="0"/>
            <w:vAlign w:val="center"/>
          </w:tcPr>
          <w:p w14:paraId="189E0024">
            <w:pPr>
              <w:pageBreakBefore w:val="0"/>
              <w:kinsoku/>
              <w:wordWrap/>
              <w:overflowPunct/>
              <w:topLinePunct w:val="0"/>
              <w:bidi w:val="0"/>
              <w:spacing w:beforeAutospacing="0" w:line="240" w:lineRule="auto"/>
              <w:ind w:left="0" w:leftChars="0" w:right="0"/>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米，面，油，禽蛋肉，蔬菜等副食品配送服务</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详见招标文件</w:t>
            </w:r>
            <w:r>
              <w:rPr>
                <w:rFonts w:hint="eastAsia" w:ascii="宋体" w:hAnsi="宋体" w:cs="宋体"/>
                <w:color w:val="auto"/>
                <w:kern w:val="0"/>
                <w:sz w:val="21"/>
                <w:szCs w:val="21"/>
                <w:lang w:eastAsia="zh-CN"/>
              </w:rPr>
              <w:t>。</w:t>
            </w:r>
          </w:p>
        </w:tc>
        <w:tc>
          <w:tcPr>
            <w:tcW w:w="629" w:type="pct"/>
            <w:noWrap w:val="0"/>
            <w:vAlign w:val="center"/>
          </w:tcPr>
          <w:p w14:paraId="16CA9786">
            <w:pPr>
              <w:pageBreakBefore w:val="0"/>
              <w:kinsoku/>
              <w:wordWrap/>
              <w:overflowPunct/>
              <w:topLinePunct w:val="0"/>
              <w:bidi w:val="0"/>
              <w:spacing w:beforeAutospacing="0" w:line="360" w:lineRule="auto"/>
              <w:ind w:left="0" w:leftChars="0" w:right="0"/>
              <w:jc w:val="center"/>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2059.2</w:t>
            </w:r>
          </w:p>
        </w:tc>
      </w:tr>
      <w:bookmarkEnd w:id="6"/>
    </w:tbl>
    <w:p w14:paraId="405215B4">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本项目是否接受联合体投标：否</w:t>
      </w:r>
    </w:p>
    <w:p w14:paraId="172E543F">
      <w:pPr>
        <w:pageBreakBefore w:val="0"/>
        <w:kinsoku/>
        <w:wordWrap/>
        <w:overflowPunct/>
        <w:topLinePunct w:val="0"/>
        <w:bidi w:val="0"/>
        <w:spacing w:beforeAutospacing="0" w:line="360" w:lineRule="auto"/>
        <w:ind w:left="0" w:leftChars="0" w:right="0"/>
        <w:rPr>
          <w:rFonts w:hint="eastAsia" w:ascii="宋体" w:hAnsi="宋体" w:eastAsia="宋体" w:cs="宋体"/>
          <w:b/>
          <w:bCs/>
          <w:color w:val="auto"/>
          <w:sz w:val="24"/>
        </w:rPr>
      </w:pPr>
      <w:bookmarkStart w:id="7" w:name="_Toc35393622"/>
      <w:bookmarkStart w:id="8" w:name="_Toc28359080"/>
      <w:bookmarkStart w:id="9" w:name="_Toc35393791"/>
      <w:bookmarkStart w:id="10" w:name="_Toc28359003"/>
      <w:r>
        <w:rPr>
          <w:rFonts w:hint="eastAsia" w:ascii="宋体" w:hAnsi="宋体" w:eastAsia="宋体" w:cs="宋体"/>
          <w:b/>
          <w:bCs/>
          <w:color w:val="auto"/>
          <w:sz w:val="24"/>
        </w:rPr>
        <w:t>二、投标人的资格要求：</w:t>
      </w:r>
      <w:bookmarkEnd w:id="7"/>
      <w:bookmarkEnd w:id="8"/>
      <w:bookmarkEnd w:id="9"/>
      <w:bookmarkEnd w:id="10"/>
    </w:p>
    <w:p w14:paraId="4B647727">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rPr>
      </w:pPr>
      <w:bookmarkStart w:id="11" w:name="_Toc28359081"/>
      <w:bookmarkStart w:id="12" w:name="_Toc35393623"/>
      <w:bookmarkStart w:id="13" w:name="_Toc28359004"/>
      <w:bookmarkStart w:id="14" w:name="_Toc35393792"/>
      <w:r>
        <w:rPr>
          <w:rFonts w:hint="eastAsia" w:ascii="宋体" w:hAnsi="宋体" w:eastAsia="宋体" w:cs="宋体"/>
          <w:color w:val="auto"/>
          <w:szCs w:val="21"/>
        </w:rPr>
        <w:t>1.满足《中华人民共和国政府采购法》第二十二条规定；</w:t>
      </w:r>
    </w:p>
    <w:p w14:paraId="06CADC70">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rPr>
      </w:pPr>
      <w:r>
        <w:rPr>
          <w:rFonts w:hint="eastAsia" w:ascii="宋体" w:hAnsi="宋体" w:eastAsia="宋体" w:cs="宋体"/>
          <w:color w:val="auto"/>
          <w:szCs w:val="21"/>
        </w:rPr>
        <w:t>2.落实政府采购政策需满足的资格要求：</w:t>
      </w:r>
    </w:p>
    <w:p w14:paraId="7433EB00">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rPr>
      </w:pPr>
      <w:r>
        <w:rPr>
          <w:rFonts w:hint="eastAsia" w:ascii="宋体" w:hAnsi="宋体" w:cs="宋体"/>
          <w:color w:val="auto"/>
          <w:szCs w:val="21"/>
          <w:lang w:eastAsia="zh-CN"/>
        </w:rPr>
        <w:t>☑</w:t>
      </w:r>
      <w:r>
        <w:rPr>
          <w:rFonts w:hint="eastAsia" w:ascii="宋体" w:hAnsi="宋体" w:eastAsia="宋体" w:cs="宋体"/>
          <w:color w:val="auto"/>
          <w:szCs w:val="21"/>
        </w:rPr>
        <w:t>专门面向中小企业采购的项目（供应商应为中小微企业、监狱企业、残疾人福利性单位)</w:t>
      </w:r>
    </w:p>
    <w:p w14:paraId="25B467CA">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rPr>
      </w:pPr>
      <w:r>
        <w:rPr>
          <w:rFonts w:hint="eastAsia" w:ascii="宋体" w:hAnsi="宋体" w:cs="宋体"/>
          <w:color w:val="auto"/>
          <w:szCs w:val="21"/>
          <w:lang w:eastAsia="zh-CN"/>
        </w:rPr>
        <w:t>□</w:t>
      </w:r>
      <w:r>
        <w:rPr>
          <w:rFonts w:hint="eastAsia" w:ascii="宋体" w:hAnsi="宋体" w:eastAsia="宋体" w:cs="宋体"/>
          <w:color w:val="auto"/>
          <w:szCs w:val="21"/>
        </w:rPr>
        <w:t>非专门面向中小企业采购的项目</w:t>
      </w:r>
    </w:p>
    <w:p w14:paraId="4CCBC92E">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rPr>
      </w:pPr>
      <w:r>
        <w:rPr>
          <w:rFonts w:hint="eastAsia" w:ascii="宋体" w:hAnsi="宋体" w:eastAsia="宋体" w:cs="宋体"/>
          <w:color w:val="auto"/>
          <w:szCs w:val="21"/>
        </w:rPr>
        <w:t>3.本项目的特定资格要求：投标人应</w:t>
      </w:r>
      <w:r>
        <w:rPr>
          <w:rFonts w:hint="eastAsia" w:ascii="宋体" w:hAnsi="宋体"/>
          <w:color w:val="auto"/>
          <w:szCs w:val="21"/>
        </w:rPr>
        <w:t>具有行政主管部门颁发的有效的</w:t>
      </w:r>
      <w:r>
        <w:rPr>
          <w:rFonts w:hint="eastAsia" w:ascii="宋体" w:hAnsi="宋体" w:eastAsia="宋体" w:cs="宋体"/>
          <w:color w:val="auto"/>
          <w:szCs w:val="21"/>
        </w:rPr>
        <w:t>《食品生产许可证》</w:t>
      </w:r>
      <w:r>
        <w:rPr>
          <w:rFonts w:hint="eastAsia" w:ascii="宋体" w:hAnsi="宋体" w:cs="宋体"/>
          <w:color w:val="auto"/>
          <w:szCs w:val="21"/>
          <w:lang w:val="en-US" w:eastAsia="zh-CN"/>
        </w:rPr>
        <w:t>或</w:t>
      </w:r>
      <w:r>
        <w:rPr>
          <w:rFonts w:hint="eastAsia" w:ascii="宋体" w:hAnsi="宋体" w:eastAsia="宋体" w:cs="宋体"/>
          <w:color w:val="auto"/>
          <w:szCs w:val="21"/>
        </w:rPr>
        <w:t>《食品经营许可证》。</w:t>
      </w:r>
    </w:p>
    <w:p w14:paraId="71163EB2">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rPr>
      </w:pPr>
      <w:r>
        <w:rPr>
          <w:rFonts w:hint="eastAsia" w:ascii="宋体" w:hAnsi="宋体" w:eastAsia="宋体" w:cs="宋体"/>
          <w:color w:val="auto"/>
          <w:szCs w:val="21"/>
        </w:rPr>
        <w:t>4. 本项目的特定条件：无</w:t>
      </w:r>
    </w:p>
    <w:p w14:paraId="17FC747F">
      <w:pPr>
        <w:pageBreakBefore w:val="0"/>
        <w:kinsoku/>
        <w:wordWrap/>
        <w:overflowPunct/>
        <w:topLinePunct w:val="0"/>
        <w:bidi w:val="0"/>
        <w:snapToGrid w:val="0"/>
        <w:spacing w:beforeAutospacing="0" w:line="360" w:lineRule="auto"/>
        <w:ind w:left="0" w:leftChars="0" w:right="0" w:firstLine="420"/>
        <w:jc w:val="left"/>
        <w:rPr>
          <w:rFonts w:hint="eastAsia" w:ascii="宋体" w:hAnsi="宋体" w:eastAsia="宋体" w:cs="宋体"/>
          <w:color w:val="auto"/>
          <w:szCs w:val="21"/>
        </w:rPr>
      </w:pPr>
      <w:r>
        <w:rPr>
          <w:rFonts w:hint="eastAsia" w:ascii="宋体" w:hAnsi="宋体" w:eastAsia="宋体" w:cs="宋体"/>
          <w:color w:val="auto"/>
          <w:szCs w:val="21"/>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09EC4C3">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rPr>
      </w:pPr>
      <w:r>
        <w:rPr>
          <w:rFonts w:hint="eastAsia" w:ascii="宋体" w:hAnsi="宋体" w:eastAsia="宋体" w:cs="宋体"/>
          <w:color w:val="auto"/>
          <w:szCs w:val="21"/>
        </w:rPr>
        <w:t>6.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77963152">
      <w:pPr>
        <w:pageBreakBefore w:val="0"/>
        <w:kinsoku/>
        <w:wordWrap/>
        <w:overflowPunct/>
        <w:topLinePunct w:val="0"/>
        <w:bidi w:val="0"/>
        <w:spacing w:beforeAutospacing="0" w:line="360" w:lineRule="auto"/>
        <w:ind w:left="0" w:leftChars="0" w:right="0"/>
        <w:rPr>
          <w:rFonts w:hint="eastAsia" w:ascii="宋体" w:hAnsi="宋体" w:eastAsia="宋体" w:cs="宋体"/>
          <w:b/>
          <w:bCs/>
          <w:color w:val="auto"/>
          <w:sz w:val="24"/>
        </w:rPr>
      </w:pPr>
      <w:r>
        <w:rPr>
          <w:rFonts w:hint="eastAsia" w:ascii="宋体" w:hAnsi="宋体" w:eastAsia="宋体" w:cs="宋体"/>
          <w:b/>
          <w:bCs/>
          <w:color w:val="auto"/>
          <w:sz w:val="24"/>
        </w:rPr>
        <w:t>三、获取招标文件</w:t>
      </w:r>
      <w:bookmarkEnd w:id="11"/>
      <w:bookmarkEnd w:id="12"/>
      <w:bookmarkEnd w:id="13"/>
      <w:bookmarkEnd w:id="14"/>
    </w:p>
    <w:p w14:paraId="24B92181">
      <w:pPr>
        <w:pageBreakBefore w:val="0"/>
        <w:kinsoku/>
        <w:wordWrap/>
        <w:overflowPunct/>
        <w:topLinePunct w:val="0"/>
        <w:bidi w:val="0"/>
        <w:snapToGrid w:val="0"/>
        <w:spacing w:beforeAutospacing="0" w:line="360" w:lineRule="auto"/>
        <w:ind w:left="0" w:leftChars="0" w:right="0" w:firstLine="472" w:firstLineChars="225"/>
        <w:rPr>
          <w:rFonts w:hint="eastAsia" w:ascii="宋体" w:hAnsi="宋体" w:eastAsia="宋体" w:cs="宋体"/>
          <w:color w:val="auto"/>
          <w:szCs w:val="21"/>
        </w:rPr>
      </w:pPr>
      <w:bookmarkStart w:id="15" w:name="_Toc28359005"/>
      <w:bookmarkStart w:id="16" w:name="_Toc28359082"/>
      <w:bookmarkStart w:id="17" w:name="_Toc35393624"/>
      <w:bookmarkStart w:id="18" w:name="_Toc35393793"/>
      <w:r>
        <w:rPr>
          <w:rFonts w:hint="eastAsia" w:ascii="宋体" w:hAnsi="宋体" w:eastAsia="宋体" w:cs="宋体"/>
          <w:color w:val="auto"/>
          <w:szCs w:val="21"/>
        </w:rPr>
        <w:t>时间：自公告发布之日起。</w:t>
      </w:r>
    </w:p>
    <w:p w14:paraId="5ED45075">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b/>
          <w:bCs/>
          <w:color w:val="auto"/>
          <w:sz w:val="24"/>
        </w:rPr>
      </w:pPr>
      <w:r>
        <w:rPr>
          <w:rFonts w:hint="eastAsia" w:ascii="宋体" w:hAnsi="宋体" w:eastAsia="宋体" w:cs="宋体"/>
          <w:color w:val="auto"/>
          <w:szCs w:val="21"/>
        </w:rPr>
        <w:t>获取方式:网上下载。本项目不发放纸质文件，供应商可自行在</w:t>
      </w: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 </w:instrText>
      </w:r>
      <w:r>
        <w:rPr>
          <w:rFonts w:hint="eastAsia" w:ascii="宋体" w:hAnsi="宋体" w:eastAsia="宋体" w:cs="宋体"/>
          <w:color w:val="auto"/>
          <w:szCs w:val="21"/>
        </w:rPr>
        <w:fldChar w:fldCharType="separate"/>
      </w:r>
      <w:r>
        <w:rPr>
          <w:rFonts w:hint="eastAsia" w:ascii="宋体" w:hAnsi="宋体" w:eastAsia="宋体" w:cs="宋体"/>
          <w:color w:val="auto"/>
          <w:szCs w:val="21"/>
        </w:rPr>
        <w:fldChar w:fldCharType="end"/>
      </w:r>
      <w:r>
        <w:rPr>
          <w:rFonts w:hint="eastAsia" w:ascii="宋体" w:hAnsi="宋体" w:cs="宋体"/>
          <w:color w:val="auto"/>
          <w:szCs w:val="21"/>
          <w:lang w:eastAsia="zh-CN"/>
        </w:rPr>
        <w:t>“广西政府采购云”平台（https://www.gcy.zfcg.gxzf.gov.cn/）</w:t>
      </w:r>
      <w:r>
        <w:rPr>
          <w:rFonts w:hint="eastAsia" w:ascii="宋体" w:hAnsi="宋体" w:eastAsia="宋体" w:cs="宋体"/>
          <w:color w:val="auto"/>
          <w:szCs w:val="21"/>
        </w:rPr>
        <w:t>下载招标文件（操作路径：登录“</w:t>
      </w:r>
      <w:r>
        <w:rPr>
          <w:rFonts w:hint="eastAsia" w:ascii="宋体" w:hAnsi="宋体" w:cs="宋体"/>
          <w:color w:val="auto"/>
          <w:szCs w:val="21"/>
          <w:lang w:eastAsia="zh-CN"/>
        </w:rPr>
        <w:t>广西政府采购云</w:t>
      </w:r>
      <w:r>
        <w:rPr>
          <w:rFonts w:hint="eastAsia" w:ascii="宋体" w:hAnsi="宋体" w:eastAsia="宋体" w:cs="宋体"/>
          <w:color w:val="auto"/>
          <w:szCs w:val="21"/>
        </w:rPr>
        <w:t>”平台-项目采购-获取采购文件-找到本项目-点击“申请获取采购文件”），电子投标文件制作需要基于“</w:t>
      </w:r>
      <w:r>
        <w:rPr>
          <w:rFonts w:hint="eastAsia" w:ascii="宋体" w:hAnsi="宋体" w:cs="宋体"/>
          <w:color w:val="auto"/>
          <w:szCs w:val="21"/>
          <w:lang w:eastAsia="zh-CN"/>
        </w:rPr>
        <w:t>广西政府采购云</w:t>
      </w:r>
      <w:r>
        <w:rPr>
          <w:rFonts w:hint="eastAsia" w:ascii="宋体" w:hAnsi="宋体" w:eastAsia="宋体" w:cs="宋体"/>
          <w:color w:val="auto"/>
          <w:szCs w:val="21"/>
        </w:rPr>
        <w:t>”平台获取的招标文件编制。</w:t>
      </w:r>
    </w:p>
    <w:p w14:paraId="15FB4C5F">
      <w:pPr>
        <w:pageBreakBefore w:val="0"/>
        <w:kinsoku/>
        <w:wordWrap/>
        <w:overflowPunct/>
        <w:topLinePunct w:val="0"/>
        <w:bidi w:val="0"/>
        <w:snapToGrid w:val="0"/>
        <w:spacing w:beforeAutospacing="0" w:line="360" w:lineRule="auto"/>
        <w:ind w:left="0" w:leftChars="0" w:right="0" w:firstLine="472" w:firstLineChars="225"/>
        <w:rPr>
          <w:rFonts w:hint="eastAsia" w:ascii="宋体" w:hAnsi="宋体" w:eastAsia="宋体" w:cs="宋体"/>
          <w:color w:val="auto"/>
          <w:szCs w:val="21"/>
        </w:rPr>
      </w:pPr>
      <w:r>
        <w:rPr>
          <w:rFonts w:hint="eastAsia" w:ascii="宋体" w:hAnsi="宋体" w:eastAsia="宋体" w:cs="宋体"/>
          <w:color w:val="auto"/>
          <w:szCs w:val="21"/>
        </w:rPr>
        <w:t>售价：0元。</w:t>
      </w:r>
    </w:p>
    <w:p w14:paraId="053362F0">
      <w:pPr>
        <w:pageBreakBefore w:val="0"/>
        <w:kinsoku/>
        <w:wordWrap/>
        <w:overflowPunct/>
        <w:topLinePunct w:val="0"/>
        <w:bidi w:val="0"/>
        <w:spacing w:beforeAutospacing="0" w:line="360" w:lineRule="auto"/>
        <w:ind w:left="0" w:leftChars="0" w:right="0"/>
        <w:rPr>
          <w:rFonts w:hint="eastAsia" w:ascii="宋体" w:hAnsi="宋体" w:eastAsia="宋体" w:cs="宋体"/>
          <w:b/>
          <w:bCs/>
          <w:color w:val="auto"/>
          <w:sz w:val="24"/>
        </w:rPr>
      </w:pPr>
      <w:r>
        <w:rPr>
          <w:rFonts w:hint="eastAsia" w:ascii="宋体" w:hAnsi="宋体" w:eastAsia="宋体" w:cs="宋体"/>
          <w:b/>
          <w:bCs/>
          <w:color w:val="auto"/>
          <w:sz w:val="24"/>
        </w:rPr>
        <w:t>四、提交投标文件</w:t>
      </w:r>
      <w:bookmarkEnd w:id="15"/>
      <w:bookmarkEnd w:id="16"/>
      <w:r>
        <w:rPr>
          <w:rFonts w:hint="eastAsia" w:ascii="宋体" w:hAnsi="宋体" w:eastAsia="宋体" w:cs="宋体"/>
          <w:b/>
          <w:bCs/>
          <w:color w:val="auto"/>
          <w:sz w:val="24"/>
        </w:rPr>
        <w:t>截止时间、开标时间和地点</w:t>
      </w:r>
      <w:bookmarkEnd w:id="17"/>
      <w:bookmarkEnd w:id="18"/>
    </w:p>
    <w:p w14:paraId="470B641E">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u w:val="single"/>
        </w:rPr>
      </w:pPr>
      <w:r>
        <w:rPr>
          <w:rFonts w:hint="eastAsia" w:ascii="宋体" w:hAnsi="宋体" w:eastAsia="宋体" w:cs="宋体"/>
          <w:bCs/>
          <w:color w:val="auto"/>
          <w:szCs w:val="21"/>
        </w:rPr>
        <w:t>1、提交投标文件截止时间和开标时间：</w:t>
      </w:r>
      <w:r>
        <w:rPr>
          <w:rFonts w:hint="eastAsia" w:ascii="宋体" w:hAnsi="宋体"/>
          <w:bCs/>
          <w:color w:val="auto"/>
          <w:u w:val="single"/>
        </w:rPr>
        <w:t>202</w:t>
      </w:r>
      <w:r>
        <w:rPr>
          <w:rFonts w:hint="eastAsia" w:ascii="宋体" w:hAnsi="宋体"/>
          <w:bCs/>
          <w:color w:val="auto"/>
          <w:u w:val="single"/>
          <w:lang w:val="en-US" w:eastAsia="zh-CN"/>
        </w:rPr>
        <w:t>4</w:t>
      </w:r>
      <w:r>
        <w:rPr>
          <w:rFonts w:hint="eastAsia" w:ascii="宋体" w:hAnsi="宋体"/>
          <w:bCs/>
          <w:color w:val="auto"/>
          <w:u w:val="single"/>
        </w:rPr>
        <w:t>年</w:t>
      </w:r>
      <w:r>
        <w:rPr>
          <w:rFonts w:hint="eastAsia" w:ascii="宋体" w:hAnsi="宋体"/>
          <w:bCs/>
          <w:color w:val="auto"/>
          <w:u w:val="single"/>
          <w:lang w:val="en-US" w:eastAsia="zh-CN"/>
        </w:rPr>
        <w:t>8</w:t>
      </w:r>
      <w:r>
        <w:rPr>
          <w:rFonts w:hint="eastAsia" w:ascii="宋体" w:hAnsi="宋体"/>
          <w:bCs/>
          <w:color w:val="auto"/>
          <w:u w:val="single"/>
        </w:rPr>
        <w:t>月</w:t>
      </w:r>
      <w:r>
        <w:rPr>
          <w:rFonts w:hint="eastAsia" w:ascii="宋体" w:hAnsi="宋体"/>
          <w:bCs/>
          <w:color w:val="auto"/>
          <w:u w:val="single"/>
          <w:lang w:val="en-US" w:eastAsia="zh-CN"/>
        </w:rPr>
        <w:t>12</w:t>
      </w:r>
      <w:r>
        <w:rPr>
          <w:rFonts w:hint="eastAsia" w:ascii="宋体" w:hAnsi="宋体"/>
          <w:bCs/>
          <w:color w:val="auto"/>
          <w:u w:val="single"/>
        </w:rPr>
        <w:t>日09时30分00秒</w:t>
      </w:r>
      <w:r>
        <w:rPr>
          <w:rFonts w:hint="eastAsia" w:ascii="宋体" w:hAnsi="宋体" w:eastAsia="宋体" w:cs="宋体"/>
          <w:bCs/>
          <w:color w:val="auto"/>
          <w:szCs w:val="21"/>
        </w:rPr>
        <w:t>（北京时间）</w:t>
      </w:r>
    </w:p>
    <w:p w14:paraId="0CEBC1DE">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rPr>
      </w:pPr>
      <w:r>
        <w:rPr>
          <w:rFonts w:hint="eastAsia" w:ascii="宋体" w:hAnsi="宋体" w:eastAsia="宋体" w:cs="宋体"/>
          <w:color w:val="auto"/>
          <w:szCs w:val="21"/>
        </w:rPr>
        <w:t>2、投标和开标地点：</w:t>
      </w:r>
    </w:p>
    <w:p w14:paraId="391C532C">
      <w:pPr>
        <w:keepNext w:val="0"/>
        <w:keepLines w:val="0"/>
        <w:pageBreakBefore w:val="0"/>
        <w:widowControl/>
        <w:kinsoku/>
        <w:overflowPunct/>
        <w:topLinePunct w:val="0"/>
        <w:autoSpaceDE/>
        <w:autoSpaceDN/>
        <w:bidi w:val="0"/>
        <w:adjustRightInd/>
        <w:spacing w:line="430" w:lineRule="exact"/>
        <w:ind w:firstLine="420" w:firstLineChars="200"/>
        <w:jc w:val="left"/>
        <w:textAlignment w:val="auto"/>
        <w:rPr>
          <w:rFonts w:ascii="宋体" w:hAnsi="宋体"/>
          <w:color w:val="auto"/>
          <w:sz w:val="24"/>
          <w:highlight w:val="none"/>
        </w:rPr>
      </w:pPr>
      <w:r>
        <w:rPr>
          <w:rFonts w:hint="eastAsia" w:ascii="宋体" w:hAnsi="宋体" w:eastAsia="宋体" w:cs="宋体"/>
          <w:color w:val="auto"/>
          <w:szCs w:val="21"/>
        </w:rPr>
        <w:t>（1）投标文件提交方式：本项目为南宁市全流程电子化项目，通过“</w:t>
      </w:r>
      <w:r>
        <w:rPr>
          <w:rFonts w:hint="eastAsia" w:ascii="宋体" w:hAnsi="宋体" w:eastAsia="宋体" w:cs="宋体"/>
          <w:color w:val="auto"/>
          <w:szCs w:val="21"/>
          <w:lang w:eastAsia="zh-CN"/>
        </w:rPr>
        <w:t>广西政府采购云</w:t>
      </w:r>
      <w:r>
        <w:rPr>
          <w:rFonts w:hint="eastAsia" w:ascii="宋体" w:hAnsi="宋体" w:eastAsia="宋体" w:cs="宋体"/>
          <w:color w:val="auto"/>
          <w:szCs w:val="21"/>
        </w:rPr>
        <w:t>”平台（</w:t>
      </w:r>
      <w:r>
        <w:rPr>
          <w:rFonts w:hint="eastAsia" w:ascii="宋体" w:hAnsi="宋体" w:eastAsia="宋体" w:cs="宋体"/>
          <w:color w:val="auto"/>
          <w:szCs w:val="21"/>
          <w:lang w:eastAsia="zh-CN"/>
        </w:rPr>
        <w:t>https://www.gcy.zfcg.gxzf.gov.cn/</w:t>
      </w:r>
      <w:r>
        <w:rPr>
          <w:rFonts w:hint="eastAsia" w:ascii="宋体" w:hAnsi="宋体" w:eastAsia="宋体" w:cs="宋体"/>
          <w:color w:val="auto"/>
          <w:szCs w:val="21"/>
        </w:rPr>
        <w:t>）实行在线电子响应，供应商应先安装“</w:t>
      </w:r>
      <w:r>
        <w:rPr>
          <w:rFonts w:hint="eastAsia" w:ascii="宋体" w:hAnsi="宋体" w:eastAsia="宋体" w:cs="宋体"/>
          <w:color w:val="auto"/>
          <w:szCs w:val="21"/>
          <w:lang w:eastAsia="zh-CN"/>
        </w:rPr>
        <w:t>广西政府采购云</w:t>
      </w:r>
      <w:r>
        <w:rPr>
          <w:rFonts w:hint="eastAsia" w:ascii="宋体" w:hAnsi="宋体" w:eastAsia="宋体" w:cs="宋体"/>
          <w:color w:val="auto"/>
          <w:szCs w:val="21"/>
        </w:rPr>
        <w:t>电子交易客户端”（请自行前往“</w:t>
      </w:r>
      <w:r>
        <w:rPr>
          <w:rFonts w:hint="eastAsia" w:ascii="宋体" w:hAnsi="宋体" w:eastAsia="宋体" w:cs="宋体"/>
          <w:color w:val="auto"/>
          <w:szCs w:val="21"/>
          <w:lang w:eastAsia="zh-CN"/>
        </w:rPr>
        <w:t>广西政府采购云</w:t>
      </w:r>
      <w:r>
        <w:rPr>
          <w:rFonts w:hint="eastAsia" w:ascii="宋体" w:hAnsi="宋体" w:eastAsia="宋体" w:cs="宋体"/>
          <w:color w:val="auto"/>
          <w:szCs w:val="21"/>
        </w:rPr>
        <w:t>”平台进行下载），并按照本项目采购文件和“</w:t>
      </w:r>
      <w:r>
        <w:rPr>
          <w:rFonts w:hint="eastAsia" w:ascii="宋体" w:hAnsi="宋体" w:eastAsia="宋体" w:cs="宋体"/>
          <w:color w:val="auto"/>
          <w:szCs w:val="21"/>
          <w:lang w:eastAsia="zh-CN"/>
        </w:rPr>
        <w:t>广西政府采购云</w:t>
      </w:r>
      <w:r>
        <w:rPr>
          <w:rFonts w:hint="eastAsia" w:ascii="宋体" w:hAnsi="宋体" w:eastAsia="宋体" w:cs="宋体"/>
          <w:color w:val="auto"/>
          <w:szCs w:val="21"/>
        </w:rPr>
        <w:t>”平台的要求编制、加密后在竞标截止时间前通过网络上传至南宁市“</w:t>
      </w:r>
      <w:r>
        <w:rPr>
          <w:rFonts w:hint="eastAsia" w:ascii="宋体" w:hAnsi="宋体" w:eastAsia="宋体" w:cs="宋体"/>
          <w:color w:val="auto"/>
          <w:szCs w:val="21"/>
          <w:lang w:eastAsia="zh-CN"/>
        </w:rPr>
        <w:t>广西政府采购云</w:t>
      </w:r>
      <w:r>
        <w:rPr>
          <w:rFonts w:hint="eastAsia" w:ascii="宋体" w:hAnsi="宋体" w:eastAsia="宋体" w:cs="宋体"/>
          <w:color w:val="auto"/>
          <w:szCs w:val="21"/>
        </w:rPr>
        <w:t>”平台，供应商在“</w:t>
      </w:r>
      <w:r>
        <w:rPr>
          <w:rFonts w:hint="eastAsia" w:ascii="宋体" w:hAnsi="宋体" w:eastAsia="宋体" w:cs="宋体"/>
          <w:color w:val="auto"/>
          <w:szCs w:val="21"/>
          <w:lang w:eastAsia="zh-CN"/>
        </w:rPr>
        <w:t>广西政府采购云</w:t>
      </w:r>
      <w:r>
        <w:rPr>
          <w:rFonts w:hint="eastAsia" w:ascii="宋体" w:hAnsi="宋体" w:eastAsia="宋体" w:cs="宋体"/>
          <w:color w:val="auto"/>
          <w:szCs w:val="21"/>
        </w:rPr>
        <w:t>”平台提交电子版响应文件时，请填写参加远程采购活动经办人联系方式，电子响应文件具体操作流程详见本公告附件。</w:t>
      </w:r>
    </w:p>
    <w:p w14:paraId="49912E01">
      <w:pPr>
        <w:pageBreakBefore w:val="0"/>
        <w:widowControl/>
        <w:kinsoku/>
        <w:wordWrap/>
        <w:overflowPunct/>
        <w:topLinePunct w:val="0"/>
        <w:bidi w:val="0"/>
        <w:spacing w:beforeAutospacing="0" w:line="360" w:lineRule="auto"/>
        <w:ind w:left="0" w:leftChars="0" w:right="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未进行网上注册并办理数字证书（CA认证）的供应商将无法参与本项目政府采购活动，潜在供应商应当在投标截止时间前，完成电子交易平台上的CA数字证书办理（申领流程见本公告）及投标文件的提交。完成CA数字证书办理预计7日左右，投标人只需办理其中一家CA数字证书及签章，建议各投标人抓紧时间办理。</w:t>
      </w:r>
    </w:p>
    <w:p w14:paraId="1D2ED0DF">
      <w:pPr>
        <w:pageBreakBefore w:val="0"/>
        <w:widowControl/>
        <w:kinsoku/>
        <w:wordWrap/>
        <w:overflowPunct/>
        <w:topLinePunct w:val="0"/>
        <w:bidi w:val="0"/>
        <w:spacing w:beforeAutospacing="0" w:line="360" w:lineRule="auto"/>
        <w:ind w:left="0" w:leftChars="0" w:right="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（3）为确保网上操作合法、有效和安全，请投标供应商确保在电子投标过程中能够对相关数据电文进行加密和使用电子签章，妥善保管CA数字证书并使用有效的CA数字证书参与整个招标活动。</w:t>
      </w:r>
    </w:p>
    <w:p w14:paraId="6440D0A7">
      <w:pPr>
        <w:spacing w:line="360" w:lineRule="auto"/>
        <w:ind w:firstLine="420" w:firstLineChars="200"/>
        <w:rPr>
          <w:rFonts w:ascii="宋体" w:hAnsi="宋体" w:cs="宋体"/>
          <w:bCs/>
          <w:color w:val="auto"/>
          <w:szCs w:val="21"/>
          <w:u w:val="single"/>
        </w:rPr>
      </w:pPr>
      <w:r>
        <w:rPr>
          <w:rFonts w:hint="eastAsia" w:ascii="宋体" w:hAnsi="宋体" w:eastAsia="宋体" w:cs="宋体"/>
          <w:bCs/>
          <w:color w:val="auto"/>
          <w:szCs w:val="21"/>
          <w:u w:val="single"/>
        </w:rPr>
        <w:t>注：</w:t>
      </w:r>
      <w:r>
        <w:rPr>
          <w:rFonts w:hint="eastAsia" w:ascii="宋体" w:hAnsi="宋体" w:cs="宋体"/>
          <w:bCs/>
          <w:color w:val="auto"/>
          <w:szCs w:val="21"/>
          <w:u w:val="single"/>
        </w:rPr>
        <w:t>投标人应当在投标截止时间前完成电子投标文件的上传、递交，投标截止时间前可以补充、修改或者撤回投标文件。补充或者修改投标文件的，应当先行撤回原文件，补充、修改后重新上传、递交。投标截止时间</w:t>
      </w:r>
      <w:r>
        <w:rPr>
          <w:rFonts w:hint="eastAsia" w:ascii="宋体" w:hAnsi="宋体" w:eastAsia="宋体" w:cs="宋体"/>
          <w:bCs/>
          <w:color w:val="auto"/>
          <w:szCs w:val="21"/>
          <w:u w:val="single"/>
        </w:rPr>
        <w:t>前未完成上传、递交的，视为撤回投标文件。投标截止时间以后上传递交的投标文件“</w:t>
      </w:r>
      <w:r>
        <w:rPr>
          <w:rFonts w:hint="eastAsia" w:ascii="宋体" w:hAnsi="宋体" w:eastAsia="宋体" w:cs="宋体"/>
          <w:bCs/>
          <w:color w:val="auto"/>
          <w:szCs w:val="21"/>
          <w:u w:val="single"/>
          <w:lang w:eastAsia="zh-CN"/>
        </w:rPr>
        <w:t>广西政府采购云</w:t>
      </w:r>
      <w:r>
        <w:rPr>
          <w:rFonts w:hint="eastAsia" w:ascii="宋体" w:hAnsi="宋体" w:cs="宋体"/>
          <w:bCs/>
          <w:color w:val="auto"/>
          <w:szCs w:val="21"/>
          <w:u w:val="single"/>
        </w:rPr>
        <w:t>”平台将予以拒收。</w:t>
      </w:r>
    </w:p>
    <w:p w14:paraId="2F79ED5F">
      <w:pPr>
        <w:pageBreakBefore w:val="0"/>
        <w:widowControl/>
        <w:kinsoku/>
        <w:wordWrap/>
        <w:overflowPunct/>
        <w:topLinePunct w:val="0"/>
        <w:bidi w:val="0"/>
        <w:spacing w:beforeAutospacing="0" w:line="360" w:lineRule="auto"/>
        <w:ind w:left="0" w:leftChars="0" w:right="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（4）开标地点：本次招标在“</w:t>
      </w:r>
      <w:r>
        <w:rPr>
          <w:rFonts w:hint="eastAsia" w:ascii="宋体" w:hAnsi="宋体" w:cs="宋体"/>
          <w:color w:val="auto"/>
          <w:szCs w:val="21"/>
          <w:lang w:eastAsia="zh-CN"/>
        </w:rPr>
        <w:t>广西政府采购云</w:t>
      </w:r>
      <w:r>
        <w:rPr>
          <w:rFonts w:hint="eastAsia" w:ascii="宋体" w:hAnsi="宋体" w:eastAsia="宋体" w:cs="宋体"/>
          <w:color w:val="auto"/>
          <w:szCs w:val="21"/>
        </w:rPr>
        <w:t>”平台电子开标大厅开标。</w:t>
      </w:r>
    </w:p>
    <w:p w14:paraId="2D1B6267">
      <w:pPr>
        <w:pageBreakBefore w:val="0"/>
        <w:kinsoku/>
        <w:wordWrap/>
        <w:overflowPunct/>
        <w:topLinePunct w:val="0"/>
        <w:bidi w:val="0"/>
        <w:snapToGrid w:val="0"/>
        <w:spacing w:beforeAutospacing="0" w:line="360" w:lineRule="auto"/>
        <w:ind w:left="0" w:leftChars="0" w:right="0"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（5）CA证书在线解密：供应商投标时，需携带制作投标文件时用来加密的有效数字证书（CA认证）登录“</w:t>
      </w:r>
      <w:r>
        <w:rPr>
          <w:rFonts w:hint="eastAsia" w:ascii="宋体" w:hAnsi="宋体" w:cs="宋体"/>
          <w:color w:val="auto"/>
          <w:kern w:val="0"/>
          <w:szCs w:val="21"/>
          <w:lang w:eastAsia="zh-CN"/>
        </w:rPr>
        <w:t>广西政府采购云</w:t>
      </w:r>
      <w:r>
        <w:rPr>
          <w:rFonts w:hint="eastAsia" w:ascii="宋体" w:hAnsi="宋体" w:eastAsia="宋体" w:cs="宋体"/>
          <w:color w:val="auto"/>
          <w:kern w:val="0"/>
          <w:szCs w:val="21"/>
        </w:rPr>
        <w:t>”平台电子开标大厅现场按规定时间对加密的投标文件进行解密，否则后果自负。</w:t>
      </w:r>
    </w:p>
    <w:p w14:paraId="72C5C5A6">
      <w:pPr>
        <w:pageBreakBefore w:val="0"/>
        <w:kinsoku/>
        <w:wordWrap/>
        <w:overflowPunct/>
        <w:topLinePunct w:val="0"/>
        <w:bidi w:val="0"/>
        <w:spacing w:beforeAutospacing="0" w:line="360" w:lineRule="auto"/>
        <w:ind w:left="0" w:leftChars="0" w:right="0"/>
        <w:rPr>
          <w:rFonts w:hint="eastAsia" w:ascii="宋体" w:hAnsi="宋体" w:eastAsia="宋体" w:cs="宋体"/>
          <w:b/>
          <w:bCs/>
          <w:color w:val="auto"/>
          <w:sz w:val="24"/>
        </w:rPr>
      </w:pPr>
      <w:bookmarkStart w:id="19" w:name="_Toc35393625"/>
      <w:bookmarkStart w:id="20" w:name="_Toc28359007"/>
      <w:bookmarkStart w:id="21" w:name="_Toc35393794"/>
      <w:bookmarkStart w:id="22" w:name="_Toc28359084"/>
      <w:r>
        <w:rPr>
          <w:rFonts w:hint="eastAsia" w:ascii="宋体" w:hAnsi="宋体" w:eastAsia="宋体" w:cs="宋体"/>
          <w:b/>
          <w:bCs/>
          <w:color w:val="auto"/>
          <w:sz w:val="24"/>
        </w:rPr>
        <w:t>五、公告期限</w:t>
      </w:r>
      <w:bookmarkEnd w:id="19"/>
      <w:bookmarkEnd w:id="20"/>
      <w:bookmarkEnd w:id="21"/>
      <w:bookmarkEnd w:id="22"/>
    </w:p>
    <w:p w14:paraId="68652CD5">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自本公告发布之日起5个工作日。</w:t>
      </w:r>
    </w:p>
    <w:p w14:paraId="50DB358F">
      <w:pPr>
        <w:pageBreakBefore w:val="0"/>
        <w:kinsoku/>
        <w:wordWrap/>
        <w:overflowPunct/>
        <w:topLinePunct w:val="0"/>
        <w:bidi w:val="0"/>
        <w:spacing w:beforeAutospacing="0" w:line="360" w:lineRule="auto"/>
        <w:ind w:left="0" w:leftChars="0" w:right="0"/>
        <w:rPr>
          <w:rFonts w:hint="eastAsia" w:ascii="宋体" w:hAnsi="宋体" w:eastAsia="宋体" w:cs="宋体"/>
          <w:b/>
          <w:bCs/>
          <w:color w:val="auto"/>
          <w:sz w:val="24"/>
        </w:rPr>
      </w:pPr>
      <w:bookmarkStart w:id="23" w:name="_Toc35393626"/>
      <w:bookmarkStart w:id="24" w:name="_Toc35393795"/>
      <w:r>
        <w:rPr>
          <w:rFonts w:hint="eastAsia" w:ascii="宋体" w:hAnsi="宋体" w:eastAsia="宋体" w:cs="宋体"/>
          <w:b/>
          <w:bCs/>
          <w:color w:val="auto"/>
          <w:sz w:val="24"/>
        </w:rPr>
        <w:t>六、其他补充事宜</w:t>
      </w:r>
      <w:bookmarkEnd w:id="23"/>
      <w:bookmarkEnd w:id="24"/>
    </w:p>
    <w:p w14:paraId="6DABE2AD">
      <w:pPr>
        <w:spacing w:line="360" w:lineRule="auto"/>
        <w:ind w:firstLine="315" w:firstLineChars="150"/>
        <w:rPr>
          <w:rFonts w:hint="eastAsia" w:ascii="宋体" w:hAnsi="宋体"/>
          <w:color w:val="auto"/>
          <w:kern w:val="0"/>
          <w:szCs w:val="21"/>
        </w:rPr>
      </w:pPr>
      <w:bookmarkStart w:id="25" w:name="_Toc28359008"/>
      <w:bookmarkStart w:id="26" w:name="_Toc35393627"/>
      <w:bookmarkStart w:id="27" w:name="_Toc35393796"/>
      <w:bookmarkStart w:id="28" w:name="_Toc28359085"/>
      <w:r>
        <w:rPr>
          <w:rFonts w:hint="eastAsia" w:ascii="宋体" w:hAnsi="宋体"/>
          <w:color w:val="auto"/>
          <w:kern w:val="0"/>
        </w:rPr>
        <w:t>1.投标保证金：本项目不收取投标保证金。</w:t>
      </w:r>
    </w:p>
    <w:p w14:paraId="535C85BB">
      <w:pPr>
        <w:wordWrap w:val="0"/>
        <w:spacing w:line="360" w:lineRule="auto"/>
        <w:ind w:firstLine="315" w:firstLineChars="150"/>
        <w:jc w:val="left"/>
        <w:rPr>
          <w:rFonts w:hint="eastAsia" w:ascii="宋体" w:hAnsi="宋体"/>
          <w:color w:val="auto"/>
          <w:kern w:val="0"/>
        </w:rPr>
      </w:pPr>
      <w:r>
        <w:rPr>
          <w:rFonts w:hint="eastAsia" w:ascii="宋体" w:hAnsi="宋体"/>
          <w:color w:val="auto"/>
          <w:kern w:val="0"/>
        </w:rPr>
        <w:t>2.采购意向公开链接：</w:t>
      </w:r>
      <w:bookmarkStart w:id="29" w:name="PO_3000001867_PM100"/>
      <w:bookmarkEnd w:id="29"/>
      <w:r>
        <w:rPr>
          <w:rFonts w:hint="eastAsia" w:ascii="宋体" w:hAnsi="宋体"/>
          <w:color w:val="auto"/>
          <w:kern w:val="0"/>
        </w:rPr>
        <w:t>http://www.ccgp-guangxi.gov.cn/site/detail?categoryCode=reformColumn&amp;parentId=66601&amp;articleId=QTizfNbmN/cnnt/MdeJyXw==。</w:t>
      </w:r>
    </w:p>
    <w:p w14:paraId="588F5591">
      <w:pPr>
        <w:spacing w:line="360" w:lineRule="auto"/>
        <w:ind w:firstLine="315" w:firstLineChars="150"/>
        <w:rPr>
          <w:rFonts w:hint="eastAsia" w:ascii="宋体" w:hAnsi="宋体"/>
          <w:color w:val="auto"/>
          <w:kern w:val="0"/>
        </w:rPr>
      </w:pPr>
      <w:bookmarkStart w:id="30" w:name="_Hlk37429595"/>
      <w:bookmarkEnd w:id="30"/>
      <w:bookmarkStart w:id="31" w:name="_Hlk37429585"/>
      <w:r>
        <w:rPr>
          <w:rFonts w:hint="eastAsia" w:ascii="宋体" w:hAnsi="宋体"/>
          <w:color w:val="auto"/>
          <w:kern w:val="0"/>
        </w:rPr>
        <w:t>3.网上查询地址</w:t>
      </w:r>
      <w:bookmarkEnd w:id="31"/>
      <w:bookmarkStart w:id="32" w:name="_Hlk37429674"/>
      <w:bookmarkEnd w:id="32"/>
      <w:r>
        <w:rPr>
          <w:rFonts w:hint="eastAsia" w:ascii="宋体" w:hAnsi="宋体"/>
          <w:color w:val="auto"/>
          <w:kern w:val="0"/>
        </w:rPr>
        <w:t>：http：//www.ccgp.gov.cn (中国政府采购网)，http：//zfcg.gxzf.gov.cn (广西政府采购网)，http：//ggzy.jgswj.gxzf.gov.cn/nnggzy/ （全国公共资源交易平台（广西.南宁））。</w:t>
      </w:r>
    </w:p>
    <w:p w14:paraId="6AB2E74C">
      <w:pPr>
        <w:spacing w:line="360" w:lineRule="auto"/>
        <w:ind w:firstLine="315" w:firstLineChars="150"/>
        <w:rPr>
          <w:rFonts w:hint="eastAsia" w:ascii="宋体" w:hAnsi="宋体"/>
          <w:color w:val="auto"/>
          <w:kern w:val="0"/>
        </w:rPr>
      </w:pPr>
      <w:r>
        <w:rPr>
          <w:rFonts w:hint="eastAsia" w:ascii="宋体" w:hAnsi="宋体"/>
          <w:color w:val="auto"/>
        </w:rPr>
        <w:t>4.</w:t>
      </w:r>
      <w:r>
        <w:rPr>
          <w:rFonts w:hint="eastAsia" w:ascii="宋体" w:hAnsi="宋体"/>
          <w:color w:val="auto"/>
          <w:kern w:val="0"/>
        </w:rPr>
        <w:t>本项目需要落实的政府采购政策：</w:t>
      </w:r>
      <w:bookmarkStart w:id="33" w:name="PO_3000001867_PM023"/>
      <w:r>
        <w:rPr>
          <w:rFonts w:hint="eastAsia" w:ascii="宋体" w:hAnsi="宋体"/>
          <w:color w:val="auto"/>
          <w:kern w:val="0"/>
        </w:rPr>
        <w:t xml:space="preserve"> </w:t>
      </w:r>
      <w:bookmarkEnd w:id="33"/>
    </w:p>
    <w:p w14:paraId="1AE806FB">
      <w:pPr>
        <w:spacing w:line="360" w:lineRule="auto"/>
        <w:ind w:firstLine="315" w:firstLineChars="150"/>
        <w:rPr>
          <w:rFonts w:hint="eastAsia" w:ascii="宋体" w:hAnsi="宋体"/>
          <w:color w:val="auto"/>
          <w:kern w:val="0"/>
        </w:rPr>
      </w:pPr>
      <w:r>
        <w:rPr>
          <w:rFonts w:hint="eastAsia" w:ascii="宋体" w:hAnsi="宋体"/>
          <w:color w:val="auto"/>
          <w:kern w:val="0"/>
        </w:rPr>
        <w:t>（1）政府采购促进中小企业发展。</w:t>
      </w:r>
    </w:p>
    <w:p w14:paraId="00DB03FD">
      <w:pPr>
        <w:spacing w:line="360" w:lineRule="auto"/>
        <w:ind w:firstLine="315" w:firstLineChars="150"/>
        <w:rPr>
          <w:rFonts w:hint="eastAsia" w:ascii="宋体" w:hAnsi="宋体"/>
          <w:color w:val="auto"/>
          <w:kern w:val="0"/>
        </w:rPr>
      </w:pPr>
      <w:r>
        <w:rPr>
          <w:rFonts w:hint="eastAsia" w:ascii="宋体" w:hAnsi="宋体"/>
          <w:color w:val="auto"/>
          <w:kern w:val="0"/>
        </w:rPr>
        <w:t>（2）政府采购支持采用本国产品的政策。</w:t>
      </w:r>
    </w:p>
    <w:p w14:paraId="5873CE24">
      <w:pPr>
        <w:spacing w:line="360" w:lineRule="auto"/>
        <w:ind w:firstLine="315" w:firstLineChars="150"/>
        <w:rPr>
          <w:rFonts w:hint="eastAsia" w:ascii="宋体" w:hAnsi="宋体"/>
          <w:color w:val="auto"/>
          <w:kern w:val="0"/>
        </w:rPr>
      </w:pPr>
      <w:r>
        <w:rPr>
          <w:rFonts w:hint="eastAsia" w:ascii="宋体" w:hAnsi="宋体"/>
          <w:color w:val="auto"/>
          <w:kern w:val="0"/>
        </w:rPr>
        <w:t>（3）强制采购节能产品；优先采购节能产品、环境标志产品。</w:t>
      </w:r>
    </w:p>
    <w:p w14:paraId="02B12DC7">
      <w:pPr>
        <w:spacing w:line="360" w:lineRule="auto"/>
        <w:ind w:firstLine="315" w:firstLineChars="150"/>
        <w:rPr>
          <w:rFonts w:hint="eastAsia" w:ascii="宋体" w:hAnsi="宋体"/>
          <w:color w:val="auto"/>
          <w:kern w:val="0"/>
        </w:rPr>
      </w:pPr>
      <w:r>
        <w:rPr>
          <w:rFonts w:hint="eastAsia" w:ascii="宋体" w:hAnsi="宋体"/>
          <w:color w:val="auto"/>
          <w:kern w:val="0"/>
        </w:rPr>
        <w:t>（4）政府采购促进残疾人就业政策。</w:t>
      </w:r>
    </w:p>
    <w:p w14:paraId="342842FE">
      <w:pPr>
        <w:spacing w:line="360" w:lineRule="auto"/>
        <w:ind w:firstLine="315" w:firstLineChars="150"/>
        <w:rPr>
          <w:rFonts w:hint="eastAsia" w:ascii="宋体" w:hAnsi="宋体"/>
          <w:color w:val="auto"/>
          <w:kern w:val="0"/>
        </w:rPr>
      </w:pPr>
      <w:r>
        <w:rPr>
          <w:rFonts w:hint="eastAsia" w:ascii="宋体" w:hAnsi="宋体"/>
          <w:color w:val="auto"/>
          <w:kern w:val="0"/>
        </w:rPr>
        <w:t>（5）政府采购支持监狱企业发展。</w:t>
      </w:r>
    </w:p>
    <w:p w14:paraId="3527FAA7">
      <w:pPr>
        <w:spacing w:line="360" w:lineRule="auto"/>
        <w:ind w:firstLine="315" w:firstLineChars="150"/>
        <w:rPr>
          <w:rFonts w:hint="eastAsia" w:ascii="宋体" w:hAnsi="宋体"/>
          <w:color w:val="auto"/>
          <w:kern w:val="0"/>
        </w:rPr>
      </w:pPr>
      <w:r>
        <w:rPr>
          <w:rFonts w:hint="eastAsia" w:ascii="宋体" w:hAnsi="宋体"/>
          <w:color w:val="auto"/>
          <w:kern w:val="0"/>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468DB614">
      <w:pPr>
        <w:spacing w:line="360" w:lineRule="auto"/>
        <w:ind w:firstLine="315" w:firstLineChars="150"/>
        <w:rPr>
          <w:rFonts w:hint="eastAsia" w:ascii="宋体" w:hAnsi="宋体"/>
          <w:color w:val="auto"/>
          <w:kern w:val="0"/>
        </w:rPr>
      </w:pPr>
      <w:r>
        <w:rPr>
          <w:rFonts w:hint="eastAsia" w:ascii="宋体" w:hAnsi="宋体"/>
          <w:color w:val="auto"/>
          <w:kern w:val="0"/>
        </w:rPr>
        <w:t>6.若对项目采购电子交易系统操作有疑问，可登录</w:t>
      </w:r>
      <w:r>
        <w:rPr>
          <w:rFonts w:hint="eastAsia" w:ascii="宋体" w:hAnsi="宋体"/>
          <w:color w:val="auto"/>
          <w:kern w:val="0"/>
          <w:lang w:eastAsia="zh-CN"/>
        </w:rPr>
        <w:t>“广西政府采购云”平台（https://www.gcy.zfcg.gxzf.gov.cn/）</w:t>
      </w:r>
      <w:r>
        <w:rPr>
          <w:rFonts w:hint="eastAsia" w:ascii="宋体" w:hAnsi="宋体"/>
          <w:color w:val="auto"/>
          <w:kern w:val="0"/>
        </w:rPr>
        <w:t>，点击右侧咨询小采，获取采小蜜智能服务管家帮助，或拨打</w:t>
      </w:r>
      <w:r>
        <w:rPr>
          <w:rFonts w:hint="eastAsia" w:ascii="宋体" w:hAnsi="宋体"/>
          <w:color w:val="auto"/>
          <w:kern w:val="0"/>
          <w:lang w:eastAsia="zh-CN"/>
        </w:rPr>
        <w:t>广西政府采购云</w:t>
      </w:r>
      <w:r>
        <w:rPr>
          <w:rFonts w:hint="eastAsia" w:ascii="宋体" w:hAnsi="宋体"/>
          <w:color w:val="auto"/>
          <w:kern w:val="0"/>
        </w:rPr>
        <w:t>服务热线95763获取热线服务帮助。</w:t>
      </w:r>
    </w:p>
    <w:p w14:paraId="14C1979F">
      <w:pPr>
        <w:pageBreakBefore w:val="0"/>
        <w:kinsoku/>
        <w:wordWrap/>
        <w:overflowPunct/>
        <w:topLinePunct w:val="0"/>
        <w:bidi w:val="0"/>
        <w:spacing w:beforeAutospacing="0" w:line="360" w:lineRule="auto"/>
        <w:ind w:left="0" w:leftChars="0" w:right="0"/>
        <w:rPr>
          <w:rFonts w:hint="eastAsia" w:ascii="宋体" w:hAnsi="宋体" w:eastAsia="宋体" w:cs="宋体"/>
          <w:b/>
          <w:bCs/>
          <w:color w:val="auto"/>
          <w:sz w:val="24"/>
        </w:rPr>
      </w:pPr>
      <w:r>
        <w:rPr>
          <w:rFonts w:hint="eastAsia" w:ascii="宋体" w:hAnsi="宋体" w:eastAsia="宋体" w:cs="宋体"/>
          <w:b/>
          <w:bCs/>
          <w:color w:val="auto"/>
          <w:sz w:val="24"/>
        </w:rPr>
        <w:t>七、对本次招标提出询问，请按以下方式联系。</w:t>
      </w:r>
      <w:bookmarkEnd w:id="25"/>
      <w:bookmarkEnd w:id="26"/>
      <w:bookmarkEnd w:id="27"/>
      <w:bookmarkEnd w:id="28"/>
    </w:p>
    <w:p w14:paraId="2A87C7BC">
      <w:pPr>
        <w:pageBreakBefore w:val="0"/>
        <w:kinsoku/>
        <w:wordWrap/>
        <w:overflowPunct/>
        <w:topLinePunct w:val="0"/>
        <w:bidi w:val="0"/>
        <w:spacing w:beforeAutospacing="0" w:line="360" w:lineRule="auto"/>
        <w:ind w:left="0" w:leftChars="0" w:right="0"/>
        <w:jc w:val="left"/>
        <w:rPr>
          <w:rFonts w:hint="eastAsia" w:ascii="宋体" w:hAnsi="宋体" w:eastAsia="宋体" w:cs="宋体"/>
          <w:color w:val="auto"/>
          <w:szCs w:val="21"/>
        </w:rPr>
      </w:pPr>
      <w:r>
        <w:rPr>
          <w:rFonts w:hint="eastAsia" w:ascii="宋体" w:hAnsi="宋体" w:eastAsia="宋体" w:cs="宋体"/>
          <w:color w:val="auto"/>
          <w:szCs w:val="21"/>
        </w:rPr>
        <w:t>　　　1.采购人信息</w:t>
      </w:r>
    </w:p>
    <w:p w14:paraId="3DE901B9">
      <w:pPr>
        <w:spacing w:line="360" w:lineRule="auto"/>
        <w:ind w:firstLine="420" w:firstLineChars="200"/>
        <w:jc w:val="left"/>
        <w:rPr>
          <w:rFonts w:hint="eastAsia" w:ascii="宋体" w:hAnsi="宋体" w:eastAsia="宋体"/>
          <w:color w:val="auto"/>
          <w:lang w:eastAsia="zh-CN"/>
        </w:rPr>
      </w:pPr>
      <w:r>
        <w:rPr>
          <w:rFonts w:hint="eastAsia" w:ascii="宋体" w:hAnsi="宋体"/>
          <w:color w:val="auto"/>
        </w:rPr>
        <w:t>名 称：</w:t>
      </w:r>
      <w:r>
        <w:rPr>
          <w:rFonts w:hint="eastAsia" w:ascii="宋体" w:hAnsi="宋体"/>
          <w:color w:val="auto"/>
          <w:u w:val="single"/>
          <w:lang w:eastAsia="zh-CN"/>
        </w:rPr>
        <w:t>南宁市第二看守所</w:t>
      </w:r>
    </w:p>
    <w:p w14:paraId="4DF5D07E">
      <w:pPr>
        <w:spacing w:line="360" w:lineRule="auto"/>
        <w:ind w:firstLine="420" w:firstLineChars="200"/>
        <w:jc w:val="left"/>
        <w:rPr>
          <w:rFonts w:hint="eastAsia" w:ascii="宋体" w:hAnsi="宋体" w:eastAsia="宋体"/>
          <w:color w:val="auto"/>
          <w:lang w:eastAsia="zh-CN"/>
        </w:rPr>
      </w:pPr>
      <w:r>
        <w:rPr>
          <w:rFonts w:hint="eastAsia" w:ascii="宋体" w:hAnsi="宋体"/>
          <w:color w:val="auto"/>
        </w:rPr>
        <w:t>地址：</w:t>
      </w:r>
      <w:r>
        <w:rPr>
          <w:rFonts w:hint="eastAsia" w:ascii="宋体" w:hAnsi="宋体"/>
          <w:color w:val="auto"/>
          <w:u w:val="single"/>
          <w:lang w:eastAsia="zh-CN"/>
        </w:rPr>
        <w:t>南宁市昆仑大道五塘段1221号</w:t>
      </w:r>
    </w:p>
    <w:p w14:paraId="15153D76">
      <w:pPr>
        <w:spacing w:line="360" w:lineRule="auto"/>
        <w:ind w:firstLine="420" w:firstLineChars="200"/>
        <w:jc w:val="left"/>
        <w:rPr>
          <w:rFonts w:hint="default" w:ascii="宋体" w:hAnsi="宋体"/>
          <w:color w:val="auto"/>
          <w:lang w:val="en-US" w:eastAsia="zh-CN"/>
        </w:rPr>
      </w:pPr>
      <w:r>
        <w:rPr>
          <w:rFonts w:hint="eastAsia" w:ascii="宋体" w:hAnsi="宋体"/>
          <w:color w:val="auto"/>
        </w:rPr>
        <w:t>项目联系人：</w:t>
      </w:r>
      <w:r>
        <w:rPr>
          <w:rFonts w:hint="eastAsia" w:ascii="宋体" w:hAnsi="宋体"/>
          <w:color w:val="auto"/>
          <w:u w:val="single"/>
          <w:lang w:val="en-US" w:eastAsia="zh-CN"/>
        </w:rPr>
        <w:t>陈警官</w:t>
      </w:r>
    </w:p>
    <w:p w14:paraId="44F72A40">
      <w:pPr>
        <w:spacing w:line="360" w:lineRule="auto"/>
        <w:ind w:firstLine="420" w:firstLineChars="200"/>
        <w:jc w:val="left"/>
        <w:rPr>
          <w:rFonts w:hint="eastAsia" w:ascii="宋体" w:hAnsi="宋体" w:eastAsia="宋体"/>
          <w:color w:val="auto"/>
        </w:rPr>
      </w:pPr>
      <w:r>
        <w:rPr>
          <w:rFonts w:hint="eastAsia" w:ascii="宋体" w:hAnsi="宋体" w:eastAsia="宋体"/>
          <w:color w:val="auto"/>
        </w:rPr>
        <w:t>联系电话：</w:t>
      </w:r>
      <w:r>
        <w:rPr>
          <w:rFonts w:hint="eastAsia" w:ascii="宋体" w:hAnsi="宋体" w:eastAsia="宋体"/>
          <w:color w:val="auto"/>
          <w:u w:val="single"/>
        </w:rPr>
        <w:t>0771－2200631</w:t>
      </w:r>
    </w:p>
    <w:p w14:paraId="07F57CC9">
      <w:pPr>
        <w:spacing w:line="360" w:lineRule="auto"/>
        <w:ind w:firstLine="420" w:firstLineChars="200"/>
        <w:jc w:val="left"/>
        <w:rPr>
          <w:rFonts w:hint="eastAsia" w:ascii="宋体" w:hAnsi="宋体"/>
          <w:color w:val="auto"/>
        </w:rPr>
      </w:pPr>
      <w:r>
        <w:rPr>
          <w:rFonts w:hint="eastAsia" w:ascii="宋体" w:hAnsi="宋体"/>
          <w:color w:val="auto"/>
        </w:rPr>
        <w:t>2.采购代理机构信息</w:t>
      </w:r>
    </w:p>
    <w:p w14:paraId="4D986ADC">
      <w:pPr>
        <w:spacing w:line="360" w:lineRule="auto"/>
        <w:ind w:firstLine="420" w:firstLineChars="200"/>
        <w:jc w:val="left"/>
        <w:rPr>
          <w:rFonts w:hint="eastAsia" w:ascii="宋体" w:hAnsi="宋体"/>
          <w:color w:val="auto"/>
          <w:u w:val="single"/>
        </w:rPr>
      </w:pPr>
      <w:r>
        <w:rPr>
          <w:rFonts w:hint="eastAsia" w:ascii="宋体" w:hAnsi="宋体"/>
          <w:color w:val="auto"/>
        </w:rPr>
        <w:t>名 称：</w:t>
      </w:r>
      <w:bookmarkStart w:id="34" w:name="PO_3000001867_PM031_1"/>
      <w:bookmarkEnd w:id="34"/>
      <w:r>
        <w:rPr>
          <w:rFonts w:hint="eastAsia" w:ascii="宋体" w:hAnsi="宋体"/>
          <w:color w:val="auto"/>
          <w:u w:val="single"/>
        </w:rPr>
        <w:t>广西景钲工程咨询有限公司</w:t>
      </w:r>
    </w:p>
    <w:p w14:paraId="49FEAB2C">
      <w:pPr>
        <w:spacing w:line="360" w:lineRule="auto"/>
        <w:ind w:firstLine="420" w:firstLineChars="200"/>
        <w:jc w:val="left"/>
        <w:rPr>
          <w:rFonts w:hint="eastAsia" w:ascii="宋体" w:hAnsi="宋体"/>
          <w:color w:val="auto"/>
        </w:rPr>
      </w:pPr>
      <w:r>
        <w:rPr>
          <w:rFonts w:hint="eastAsia" w:ascii="宋体" w:hAnsi="宋体"/>
          <w:color w:val="auto"/>
        </w:rPr>
        <w:t>地 址：</w:t>
      </w:r>
      <w:bookmarkStart w:id="35" w:name="PO_3000001867_PM035"/>
      <w:bookmarkEnd w:id="35"/>
      <w:r>
        <w:rPr>
          <w:rFonts w:hint="eastAsia" w:ascii="宋体" w:hAnsi="宋体"/>
          <w:color w:val="auto"/>
          <w:u w:val="single"/>
        </w:rPr>
        <w:t>南宁市良庆区盘歌路6号富雅·国际生活广场A座五层509号房</w:t>
      </w:r>
    </w:p>
    <w:p w14:paraId="5544F319">
      <w:pPr>
        <w:spacing w:line="360" w:lineRule="auto"/>
        <w:ind w:firstLine="420" w:firstLineChars="200"/>
        <w:jc w:val="left"/>
        <w:rPr>
          <w:rFonts w:hint="default" w:ascii="宋体" w:hAnsi="宋体" w:eastAsia="宋体"/>
          <w:color w:val="auto"/>
          <w:lang w:val="en-US" w:eastAsia="zh-CN"/>
        </w:rPr>
      </w:pPr>
      <w:r>
        <w:rPr>
          <w:rFonts w:hint="eastAsia" w:ascii="宋体" w:hAnsi="宋体"/>
          <w:color w:val="auto"/>
        </w:rPr>
        <w:t>联系电话：</w:t>
      </w:r>
      <w:r>
        <w:rPr>
          <w:rFonts w:hint="eastAsia" w:ascii="宋体" w:hAnsi="宋体"/>
          <w:color w:val="auto"/>
          <w:u w:val="single"/>
        </w:rPr>
        <w:t>0771-28</w:t>
      </w:r>
      <w:r>
        <w:rPr>
          <w:rFonts w:hint="eastAsia" w:ascii="宋体" w:hAnsi="宋体"/>
          <w:color w:val="auto"/>
          <w:u w:val="single"/>
          <w:lang w:val="en-US" w:eastAsia="zh-CN"/>
        </w:rPr>
        <w:t>22223</w:t>
      </w:r>
    </w:p>
    <w:p w14:paraId="5AEE2610">
      <w:pPr>
        <w:spacing w:line="360" w:lineRule="auto"/>
        <w:ind w:firstLine="420" w:firstLineChars="200"/>
        <w:jc w:val="left"/>
        <w:rPr>
          <w:rFonts w:hint="eastAsia" w:ascii="宋体" w:hAnsi="宋体"/>
          <w:color w:val="auto"/>
        </w:rPr>
      </w:pPr>
      <w:r>
        <w:rPr>
          <w:rFonts w:hint="eastAsia" w:ascii="宋体" w:hAnsi="宋体"/>
          <w:color w:val="auto"/>
        </w:rPr>
        <w:t>3.项目联系方式</w:t>
      </w:r>
    </w:p>
    <w:p w14:paraId="339542A4">
      <w:pPr>
        <w:spacing w:line="360" w:lineRule="auto"/>
        <w:ind w:firstLine="420" w:firstLineChars="200"/>
        <w:jc w:val="left"/>
        <w:rPr>
          <w:rFonts w:hint="default" w:ascii="宋体" w:hAnsi="宋体"/>
          <w:color w:val="auto"/>
          <w:lang w:val="en-US"/>
        </w:rPr>
      </w:pPr>
      <w:r>
        <w:rPr>
          <w:rFonts w:hint="eastAsia" w:ascii="宋体" w:hAnsi="宋体"/>
          <w:color w:val="auto"/>
        </w:rPr>
        <w:t>项目联系人：</w:t>
      </w:r>
      <w:r>
        <w:rPr>
          <w:rFonts w:hint="eastAsia" w:ascii="宋体" w:hAnsi="宋体"/>
          <w:color w:val="auto"/>
          <w:u w:val="single"/>
          <w:lang w:val="en-US" w:eastAsia="zh-CN"/>
        </w:rPr>
        <w:t>覃工</w:t>
      </w:r>
    </w:p>
    <w:p w14:paraId="0357C896">
      <w:pPr>
        <w:spacing w:line="360" w:lineRule="auto"/>
        <w:ind w:firstLine="420" w:firstLineChars="200"/>
        <w:jc w:val="left"/>
        <w:rPr>
          <w:rFonts w:hint="eastAsia" w:ascii="宋体" w:hAnsi="宋体"/>
          <w:color w:val="auto"/>
        </w:rPr>
      </w:pPr>
      <w:r>
        <w:rPr>
          <w:rFonts w:hint="eastAsia" w:ascii="宋体" w:hAnsi="宋体"/>
          <w:color w:val="auto"/>
        </w:rPr>
        <w:t>电    话：</w:t>
      </w:r>
      <w:r>
        <w:rPr>
          <w:rFonts w:hint="eastAsia" w:ascii="宋体" w:hAnsi="宋体"/>
          <w:color w:val="auto"/>
          <w:u w:val="single"/>
        </w:rPr>
        <w:t>0771-28</w:t>
      </w:r>
      <w:r>
        <w:rPr>
          <w:rFonts w:hint="eastAsia" w:ascii="宋体" w:hAnsi="宋体"/>
          <w:color w:val="auto"/>
          <w:u w:val="single"/>
          <w:lang w:val="en-US" w:eastAsia="zh-CN"/>
        </w:rPr>
        <w:t>22223</w:t>
      </w:r>
    </w:p>
    <w:p w14:paraId="181BF810">
      <w:pPr>
        <w:spacing w:line="360" w:lineRule="auto"/>
        <w:ind w:firstLine="420" w:firstLineChars="200"/>
        <w:jc w:val="left"/>
        <w:rPr>
          <w:rFonts w:hint="eastAsia" w:ascii="宋体" w:hAnsi="宋体"/>
          <w:color w:val="auto"/>
        </w:rPr>
      </w:pPr>
      <w:r>
        <w:rPr>
          <w:rFonts w:hint="eastAsia" w:ascii="宋体" w:hAnsi="宋体"/>
          <w:color w:val="auto"/>
        </w:rPr>
        <w:t xml:space="preserve">　 </w:t>
      </w:r>
    </w:p>
    <w:p w14:paraId="57FECC0C">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p>
    <w:p w14:paraId="1147F1D3">
      <w:pPr>
        <w:pStyle w:val="5"/>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附件：</w:t>
      </w:r>
    </w:p>
    <w:p w14:paraId="1338A9D9">
      <w:pPr>
        <w:pStyle w:val="5"/>
        <w:spacing w:line="360" w:lineRule="auto"/>
        <w:ind w:firstLine="420" w:firstLineChars="200"/>
        <w:rPr>
          <w:rFonts w:hint="eastAsia" w:ascii="宋体" w:hAnsi="宋体"/>
          <w:color w:val="auto"/>
        </w:rPr>
      </w:pPr>
      <w:r>
        <w:rPr>
          <w:rFonts w:hint="eastAsia" w:ascii="宋体" w:hAnsi="宋体"/>
          <w:color w:val="auto"/>
        </w:rPr>
        <w:t>1.CA证书申请方式及操作指南下载地址（登陆http://nncz.nanning.gov.cn/（南宁市财政局官网）-业务专题-政府采购监督管理-资料下载-“广西政采云西部CA办理方式”或“南宁市政采云CA证书办理操作指南”）。</w:t>
      </w:r>
    </w:p>
    <w:p w14:paraId="3F1DD2F2">
      <w:pPr>
        <w:pStyle w:val="5"/>
        <w:spacing w:line="360" w:lineRule="auto"/>
        <w:ind w:firstLine="420" w:firstLineChars="200"/>
        <w:rPr>
          <w:rFonts w:hint="eastAsia" w:ascii="宋体" w:hAnsi="宋体"/>
          <w:color w:val="auto"/>
        </w:rPr>
      </w:pPr>
      <w:r>
        <w:rPr>
          <w:rFonts w:hint="eastAsia" w:ascii="宋体" w:hAnsi="宋体"/>
          <w:color w:val="auto"/>
        </w:rPr>
        <w:t>2.电子投标文件制作与投送教程（在此网址下载：http://nncz.nanning.gov.cn/（南宁市财政局官网）-业务专题-政府采购监督管理-资料下载-南宁市政府采购项目全流程电子化交易操作指南)。</w:t>
      </w:r>
    </w:p>
    <w:p w14:paraId="5BD511AE">
      <w:pPr>
        <w:pageBreakBefore w:val="0"/>
        <w:kinsoku/>
        <w:wordWrap/>
        <w:overflowPunct/>
        <w:topLinePunct w:val="0"/>
        <w:bidi w:val="0"/>
        <w:spacing w:beforeAutospacing="0" w:line="360" w:lineRule="auto"/>
        <w:ind w:left="0" w:leftChars="0" w:right="0" w:firstLine="420" w:firstLineChars="200"/>
        <w:jc w:val="left"/>
        <w:rPr>
          <w:rFonts w:hint="eastAsia" w:ascii="宋体" w:hAnsi="宋体" w:eastAsia="宋体" w:cs="宋体"/>
          <w:color w:val="auto"/>
          <w:szCs w:val="21"/>
        </w:rPr>
      </w:pPr>
    </w:p>
    <w:p w14:paraId="54B76527">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p>
    <w:p w14:paraId="186F4619">
      <w:pPr>
        <w:pageBreakBefore w:val="0"/>
        <w:kinsoku/>
        <w:wordWrap/>
        <w:overflowPunct/>
        <w:topLinePunct w:val="0"/>
        <w:bidi w:val="0"/>
        <w:spacing w:beforeAutospacing="0" w:line="360" w:lineRule="auto"/>
        <w:ind w:left="0" w:leftChars="0" w:right="0"/>
        <w:jc w:val="right"/>
        <w:rPr>
          <w:rFonts w:hint="eastAsia" w:ascii="宋体" w:hAnsi="宋体" w:eastAsia="宋体" w:cs="宋体"/>
          <w:color w:val="auto"/>
          <w:szCs w:val="21"/>
          <w:lang w:eastAsia="zh-CN"/>
        </w:rPr>
      </w:pPr>
      <w:r>
        <w:rPr>
          <w:rFonts w:hint="eastAsia" w:ascii="宋体" w:hAnsi="宋体" w:cs="宋体"/>
          <w:color w:val="auto"/>
          <w:szCs w:val="21"/>
          <w:u w:val="single"/>
          <w:lang w:eastAsia="zh-CN"/>
        </w:rPr>
        <w:t>广西景钲工程咨询有限公司</w:t>
      </w:r>
    </w:p>
    <w:p w14:paraId="0C92A880">
      <w:pPr>
        <w:pageBreakBefore w:val="0"/>
        <w:kinsoku/>
        <w:wordWrap/>
        <w:overflowPunct/>
        <w:topLinePunct w:val="0"/>
        <w:bidi w:val="0"/>
        <w:spacing w:beforeAutospacing="0" w:line="360" w:lineRule="auto"/>
        <w:ind w:left="0" w:leftChars="0" w:right="0" w:firstLine="210" w:firstLineChars="100"/>
        <w:jc w:val="right"/>
        <w:rPr>
          <w:rFonts w:hint="eastAsia" w:ascii="宋体" w:hAnsi="宋体" w:eastAsia="宋体" w:cs="宋体"/>
          <w:color w:val="auto"/>
          <w:u w:val="single"/>
        </w:rPr>
      </w:pPr>
      <w:r>
        <w:rPr>
          <w:rFonts w:hint="eastAsia" w:ascii="宋体" w:hAnsi="宋体" w:eastAsia="宋体" w:cs="宋体"/>
          <w:color w:val="auto"/>
          <w:szCs w:val="21"/>
          <w:u w:val="single"/>
        </w:rPr>
        <w:t>202</w:t>
      </w:r>
      <w:r>
        <w:rPr>
          <w:rFonts w:hint="eastAsia" w:ascii="宋体" w:hAnsi="宋体" w:cs="宋体"/>
          <w:color w:val="auto"/>
          <w:szCs w:val="21"/>
          <w:u w:val="single"/>
          <w:lang w:val="en-US" w:eastAsia="zh-CN"/>
        </w:rPr>
        <w:t>4</w:t>
      </w:r>
      <w:r>
        <w:rPr>
          <w:rFonts w:hint="eastAsia" w:ascii="宋体" w:hAnsi="宋体" w:eastAsia="宋体" w:cs="宋体"/>
          <w:color w:val="auto"/>
          <w:szCs w:val="21"/>
          <w:u w:val="single"/>
        </w:rPr>
        <w:t>年</w:t>
      </w:r>
      <w:r>
        <w:rPr>
          <w:rFonts w:hint="eastAsia" w:ascii="宋体" w:hAnsi="宋体" w:cs="宋体"/>
          <w:color w:val="auto"/>
          <w:szCs w:val="21"/>
          <w:u w:val="single"/>
          <w:lang w:val="en-US" w:eastAsia="zh-CN"/>
        </w:rPr>
        <w:t>7</w:t>
      </w:r>
      <w:r>
        <w:rPr>
          <w:rFonts w:hint="eastAsia" w:ascii="宋体" w:hAnsi="宋体" w:eastAsia="宋体" w:cs="宋体"/>
          <w:color w:val="auto"/>
          <w:szCs w:val="21"/>
          <w:u w:val="single"/>
        </w:rPr>
        <w:t>月</w:t>
      </w:r>
      <w:r>
        <w:rPr>
          <w:rFonts w:hint="eastAsia" w:ascii="宋体" w:hAnsi="宋体" w:cs="宋体"/>
          <w:color w:val="auto"/>
          <w:szCs w:val="21"/>
          <w:u w:val="single"/>
          <w:lang w:val="en-US" w:eastAsia="zh-CN"/>
        </w:rPr>
        <w:t>22</w:t>
      </w:r>
      <w:r>
        <w:rPr>
          <w:rFonts w:hint="eastAsia" w:ascii="宋体" w:hAnsi="宋体" w:eastAsia="宋体" w:cs="宋体"/>
          <w:color w:val="auto"/>
          <w:szCs w:val="21"/>
          <w:u w:val="single"/>
        </w:rPr>
        <w:t>日</w:t>
      </w:r>
    </w:p>
    <w:p w14:paraId="34122C4F">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 w:val="24"/>
          <w:highlight w:val="yellow"/>
          <w:lang w:val="zh-CN"/>
        </w:rPr>
        <w:sectPr>
          <w:pgSz w:w="11906" w:h="16838"/>
          <w:pgMar w:top="1134" w:right="1134" w:bottom="1134" w:left="1134" w:header="720" w:footer="720" w:gutter="0"/>
          <w:pgNumType w:start="1"/>
          <w:cols w:space="720" w:num="1"/>
          <w:docGrid w:type="lines" w:linePitch="331" w:charSpace="0"/>
        </w:sectPr>
      </w:pPr>
    </w:p>
    <w:p w14:paraId="4FA20812">
      <w:pPr>
        <w:pageBreakBefore w:val="0"/>
        <w:kinsoku/>
        <w:wordWrap/>
        <w:overflowPunct/>
        <w:topLinePunct w:val="0"/>
        <w:bidi w:val="0"/>
        <w:spacing w:beforeAutospacing="0" w:line="360" w:lineRule="auto"/>
        <w:ind w:left="0" w:leftChars="0" w:right="0"/>
        <w:jc w:val="center"/>
        <w:outlineLvl w:val="0"/>
        <w:rPr>
          <w:rFonts w:hint="eastAsia" w:ascii="宋体" w:hAnsi="宋体" w:eastAsia="宋体" w:cs="宋体"/>
          <w:b/>
          <w:color w:val="auto"/>
          <w:sz w:val="36"/>
          <w:szCs w:val="20"/>
        </w:rPr>
      </w:pPr>
      <w:bookmarkStart w:id="36" w:name="_Toc532545042"/>
      <w:bookmarkStart w:id="37" w:name="_Toc20615"/>
      <w:r>
        <w:rPr>
          <w:rFonts w:hint="eastAsia" w:ascii="宋体" w:hAnsi="宋体" w:eastAsia="宋体" w:cs="宋体"/>
          <w:b/>
          <w:color w:val="auto"/>
          <w:sz w:val="36"/>
          <w:szCs w:val="20"/>
        </w:rPr>
        <w:t xml:space="preserve">第二章  </w:t>
      </w:r>
      <w:bookmarkEnd w:id="36"/>
      <w:r>
        <w:rPr>
          <w:rFonts w:hint="eastAsia" w:ascii="宋体" w:hAnsi="宋体" w:eastAsia="宋体" w:cs="宋体"/>
          <w:b/>
          <w:color w:val="auto"/>
          <w:sz w:val="36"/>
          <w:szCs w:val="20"/>
        </w:rPr>
        <w:t>采购需求</w:t>
      </w:r>
      <w:bookmarkEnd w:id="37"/>
    </w:p>
    <w:p w14:paraId="5C96D2FE">
      <w:pPr>
        <w:pageBreakBefore w:val="0"/>
        <w:kinsoku/>
        <w:wordWrap/>
        <w:overflowPunct/>
        <w:topLinePunct w:val="0"/>
        <w:bidi w:val="0"/>
        <w:adjustRightInd w:val="0"/>
        <w:spacing w:beforeAutospacing="0" w:line="360" w:lineRule="auto"/>
        <w:ind w:left="0" w:leftChars="0" w:right="0"/>
        <w:rPr>
          <w:rFonts w:hint="eastAsia" w:ascii="宋体" w:hAnsi="宋体" w:eastAsia="宋体" w:cs="宋体"/>
          <w:b/>
          <w:color w:val="auto"/>
          <w:szCs w:val="21"/>
        </w:rPr>
      </w:pPr>
    </w:p>
    <w:p w14:paraId="2550AB9C">
      <w:pPr>
        <w:pageBreakBefore w:val="0"/>
        <w:kinsoku/>
        <w:wordWrap/>
        <w:overflowPunct/>
        <w:topLinePunct w:val="0"/>
        <w:bidi w:val="0"/>
        <w:adjustRightInd w:val="0"/>
        <w:spacing w:beforeAutospacing="0" w:line="360" w:lineRule="auto"/>
        <w:ind w:left="0" w:leftChars="0" w:right="0"/>
        <w:rPr>
          <w:rFonts w:hint="eastAsia" w:ascii="宋体" w:hAnsi="宋体" w:eastAsia="宋体" w:cs="宋体"/>
          <w:b/>
          <w:color w:val="auto"/>
          <w:szCs w:val="21"/>
        </w:rPr>
      </w:pPr>
      <w:r>
        <w:rPr>
          <w:rFonts w:hint="eastAsia" w:ascii="宋体" w:hAnsi="宋体" w:eastAsia="宋体" w:cs="宋体"/>
          <w:b/>
          <w:color w:val="auto"/>
          <w:szCs w:val="21"/>
        </w:rPr>
        <w:t>说明：</w:t>
      </w:r>
    </w:p>
    <w:p w14:paraId="636E80CB">
      <w:pPr>
        <w:pageBreakBefore w:val="0"/>
        <w:kinsoku/>
        <w:wordWrap/>
        <w:overflowPunct/>
        <w:topLinePunct w:val="0"/>
        <w:bidi w:val="0"/>
        <w:spacing w:beforeAutospacing="0" w:line="360" w:lineRule="auto"/>
        <w:ind w:left="0" w:leftChars="0" w:right="0" w:firstLine="420" w:firstLineChars="200"/>
        <w:jc w:val="left"/>
        <w:rPr>
          <w:rFonts w:hint="eastAsia" w:ascii="宋体" w:hAnsi="宋体" w:eastAsia="宋体" w:cs="宋体"/>
          <w:color w:val="auto"/>
        </w:rPr>
      </w:pPr>
      <w:r>
        <w:rPr>
          <w:rFonts w:hint="eastAsia" w:ascii="宋体" w:hAnsi="宋体" w:eastAsia="宋体" w:cs="宋体"/>
          <w:color w:val="auto"/>
        </w:rPr>
        <w:t>1. 为落实政府采购政策需满足的要求（根据项目实际情况填写内容）</w:t>
      </w:r>
    </w:p>
    <w:p w14:paraId="0F335555">
      <w:pPr>
        <w:pageBreakBefore w:val="0"/>
        <w:kinsoku/>
        <w:wordWrap/>
        <w:overflowPunct/>
        <w:topLinePunct w:val="0"/>
        <w:bidi w:val="0"/>
        <w:spacing w:beforeAutospacing="0" w:line="360" w:lineRule="auto"/>
        <w:ind w:left="0" w:leftChars="0" w:right="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（1）本招标文件所称中小企业必须符合《政府采购促进中小企业发展管理办法》（财库〔2020〕46号）的规定。</w:t>
      </w:r>
    </w:p>
    <w:p w14:paraId="1B8806E6">
      <w:pPr>
        <w:pageBreakBefore w:val="0"/>
        <w:kinsoku/>
        <w:wordWrap/>
        <w:overflowPunct/>
        <w:topLinePunct w:val="0"/>
        <w:bidi w:val="0"/>
        <w:spacing w:beforeAutospacing="0" w:line="360" w:lineRule="auto"/>
        <w:ind w:left="0" w:leftChars="0" w:right="0" w:firstLine="424" w:firstLineChars="202"/>
        <w:jc w:val="left"/>
        <w:rPr>
          <w:rFonts w:hint="eastAsia" w:ascii="宋体" w:hAnsi="宋体" w:eastAsia="宋体" w:cs="宋体"/>
          <w:color w:val="auto"/>
          <w:szCs w:val="21"/>
        </w:rPr>
      </w:pPr>
      <w:r>
        <w:rPr>
          <w:rFonts w:hint="eastAsia" w:ascii="宋体" w:hAnsi="宋体" w:eastAsia="宋体" w:cs="宋体"/>
          <w:color w:val="auto"/>
          <w:szCs w:val="21"/>
        </w:rPr>
        <w:t>（2）服务项目中伴随货物的，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的节能产品认证证书原件扫描件（加盖投标人电子公章），否则投标文件作无效处理。如本项目包含的货物属于品目清单内非标注“★”的产品时，应优先采购，具体详见“第四章 评标方法和评标标准”。</w:t>
      </w:r>
    </w:p>
    <w:p w14:paraId="33458953">
      <w:pPr>
        <w:pageBreakBefore w:val="0"/>
        <w:kinsoku/>
        <w:wordWrap w:val="0"/>
        <w:overflowPunct/>
        <w:topLinePunct w:val="0"/>
        <w:bidi w:val="0"/>
        <w:spacing w:beforeAutospacing="0" w:line="360" w:lineRule="auto"/>
        <w:ind w:left="0" w:leftChars="0" w:right="0" w:firstLine="424" w:firstLineChars="202"/>
        <w:jc w:val="left"/>
        <w:rPr>
          <w:rFonts w:hint="eastAsia" w:ascii="宋体" w:hAnsi="宋体" w:eastAsia="宋体" w:cs="宋体"/>
          <w:b/>
          <w:color w:val="auto"/>
          <w:szCs w:val="21"/>
        </w:rPr>
      </w:pPr>
      <w:r>
        <w:rPr>
          <w:rFonts w:hint="eastAsia" w:ascii="宋体" w:hAnsi="宋体" w:eastAsia="宋体" w:cs="宋体"/>
          <w:color w:val="auto"/>
          <w:szCs w:val="21"/>
        </w:rPr>
        <w:t>（3）</w:t>
      </w:r>
      <w:r>
        <w:rPr>
          <w:rFonts w:hint="eastAsia" w:ascii="宋体" w:hAnsi="宋体" w:eastAsia="宋体" w:cs="宋体"/>
          <w:b w:val="0"/>
          <w:bCs w:val="0"/>
          <w:color w:val="auto"/>
          <w:kern w:val="2"/>
          <w:sz w:val="21"/>
          <w:szCs w:val="21"/>
          <w:highlight w:val="none"/>
          <w:lang w:val="en-US" w:eastAsia="zh-CN" w:bidi="ar-SA"/>
        </w:rPr>
        <w:t>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按无效投标处理。如属于《网络关键设备和网络安全专用产品目录》中“二、网络安全专用产品”内“产品类别”中的所描述的产品，但不属于所列“产品描述”情形的，应提供相应的说明及证明材料。</w:t>
      </w:r>
    </w:p>
    <w:p w14:paraId="7E6B7E1D">
      <w:pPr>
        <w:pageBreakBefore w:val="0"/>
        <w:numPr>
          <w:ilvl w:val="0"/>
          <w:numId w:val="0"/>
        </w:numPr>
        <w:kinsoku/>
        <w:wordWrap/>
        <w:overflowPunct/>
        <w:topLinePunct w:val="0"/>
        <w:bidi w:val="0"/>
        <w:spacing w:beforeAutospacing="0" w:line="360" w:lineRule="auto"/>
        <w:ind w:leftChars="202" w:right="0" w:rightChars="0"/>
        <w:jc w:val="left"/>
        <w:rPr>
          <w:rFonts w:hint="eastAsia" w:ascii="宋体" w:hAnsi="宋体" w:eastAsia="宋体" w:cs="宋体"/>
          <w:color w:val="auto"/>
          <w:szCs w:val="21"/>
        </w:rPr>
      </w:pPr>
      <w:r>
        <w:rPr>
          <w:rFonts w:hint="eastAsia" w:ascii="宋体" w:hAnsi="宋体" w:cs="宋体"/>
          <w:color w:val="auto"/>
          <w:szCs w:val="21"/>
          <w:lang w:val="en-US" w:eastAsia="zh-CN"/>
        </w:rPr>
        <w:t>2.</w:t>
      </w:r>
      <w:r>
        <w:rPr>
          <w:rFonts w:hint="eastAsia" w:ascii="宋体" w:hAnsi="宋体" w:eastAsia="宋体" w:cs="宋体"/>
          <w:color w:val="auto"/>
          <w:szCs w:val="21"/>
        </w:rPr>
        <w:t>“实质性要求”是指招标文件中已经指明不满足则投标无效的条款，或者不能负偏离的条款，或者采购需求中带“▲”的条款。</w:t>
      </w:r>
    </w:p>
    <w:p w14:paraId="4A627384">
      <w:pPr>
        <w:pageBreakBefore w:val="0"/>
        <w:numPr>
          <w:ilvl w:val="0"/>
          <w:numId w:val="0"/>
        </w:numPr>
        <w:kinsoku/>
        <w:wordWrap/>
        <w:overflowPunct/>
        <w:topLinePunct w:val="0"/>
        <w:bidi w:val="0"/>
        <w:spacing w:beforeAutospacing="0" w:line="360" w:lineRule="auto"/>
        <w:ind w:leftChars="202" w:right="0" w:rightChars="0"/>
        <w:jc w:val="left"/>
        <w:rPr>
          <w:rFonts w:hint="eastAsia" w:ascii="宋体" w:hAnsi="宋体" w:eastAsia="宋体" w:cs="宋体"/>
          <w:color w:val="auto"/>
          <w:szCs w:val="21"/>
        </w:rPr>
      </w:pPr>
      <w:r>
        <w:rPr>
          <w:rFonts w:hint="eastAsia" w:ascii="宋体" w:hAnsi="宋体" w:cs="宋体"/>
          <w:color w:val="auto"/>
          <w:szCs w:val="21"/>
          <w:lang w:val="en-US" w:eastAsia="zh-CN"/>
        </w:rPr>
        <w:t>3.</w:t>
      </w:r>
      <w:r>
        <w:rPr>
          <w:rFonts w:hint="eastAsia" w:ascii="宋体" w:hAnsi="宋体" w:eastAsia="宋体" w:cs="宋体"/>
          <w:color w:val="auto"/>
          <w:szCs w:val="21"/>
        </w:rPr>
        <w:t>不需要投标人对采购需求响应为具体数值的，此采购需求的数值后将以◆号标注。</w:t>
      </w:r>
    </w:p>
    <w:p w14:paraId="4A87F43C">
      <w:pPr>
        <w:pageBreakBefore w:val="0"/>
        <w:numPr>
          <w:ilvl w:val="0"/>
          <w:numId w:val="0"/>
        </w:numPr>
        <w:kinsoku/>
        <w:wordWrap/>
        <w:overflowPunct/>
        <w:topLinePunct w:val="0"/>
        <w:bidi w:val="0"/>
        <w:spacing w:beforeAutospacing="0" w:line="360" w:lineRule="auto"/>
        <w:ind w:leftChars="202" w:right="0" w:rightChars="0"/>
        <w:jc w:val="left"/>
        <w:rPr>
          <w:rFonts w:hint="eastAsia" w:ascii="宋体" w:hAnsi="宋体" w:eastAsia="宋体" w:cs="宋体"/>
          <w:color w:val="auto"/>
        </w:rPr>
      </w:pPr>
      <w:r>
        <w:rPr>
          <w:rFonts w:hint="eastAsia" w:ascii="宋体" w:hAnsi="宋体" w:cs="宋体"/>
          <w:color w:val="auto"/>
          <w:lang w:val="en-US" w:eastAsia="zh-CN"/>
        </w:rPr>
        <w:t>4.</w:t>
      </w:r>
      <w:r>
        <w:rPr>
          <w:rFonts w:hint="eastAsia" w:ascii="宋体" w:hAnsi="宋体" w:eastAsia="宋体" w:cs="宋体"/>
          <w:color w:val="auto"/>
        </w:rPr>
        <w:t>如投标人投标产品存在侵犯他人的知识产权或者专利成果行为的，应承担相应法律责任。</w:t>
      </w:r>
    </w:p>
    <w:p w14:paraId="76EB495F">
      <w:pPr>
        <w:pageBreakBefore w:val="0"/>
        <w:kinsoku/>
        <w:wordWrap/>
        <w:overflowPunct/>
        <w:topLinePunct w:val="0"/>
        <w:bidi w:val="0"/>
        <w:spacing w:beforeAutospacing="0" w:line="360" w:lineRule="auto"/>
        <w:ind w:left="0" w:leftChars="0" w:right="0"/>
        <w:rPr>
          <w:rFonts w:hint="eastAsia" w:ascii="宋体" w:hAnsi="宋体" w:eastAsia="宋体" w:cs="宋体"/>
          <w:color w:val="auto"/>
        </w:rPr>
      </w:pPr>
      <w:bookmarkStart w:id="38" w:name="PO_TDCUS_ITEM_PB_REQ_FILE_1_1"/>
    </w:p>
    <w:p w14:paraId="1FDF6E65">
      <w:pPr>
        <w:pageBreakBefore w:val="0"/>
        <w:tabs>
          <w:tab w:val="left" w:pos="1440"/>
        </w:tabs>
        <w:kinsoku/>
        <w:wordWrap/>
        <w:overflowPunct/>
        <w:topLinePunct w:val="0"/>
        <w:bidi w:val="0"/>
        <w:spacing w:beforeAutospacing="0" w:line="360" w:lineRule="auto"/>
        <w:ind w:left="0" w:leftChars="0" w:right="0" w:firstLine="5760" w:firstLineChars="2400"/>
        <w:jc w:val="left"/>
        <w:rPr>
          <w:rFonts w:hint="eastAsia" w:ascii="宋体" w:hAnsi="宋体" w:eastAsia="宋体" w:cs="宋体"/>
          <w:bCs/>
          <w:color w:val="auto"/>
          <w:kern w:val="0"/>
          <w:sz w:val="24"/>
        </w:rPr>
      </w:pPr>
    </w:p>
    <w:p w14:paraId="6F10D07E">
      <w:pPr>
        <w:pageBreakBefore w:val="0"/>
        <w:tabs>
          <w:tab w:val="left" w:pos="1440"/>
        </w:tabs>
        <w:kinsoku/>
        <w:wordWrap/>
        <w:overflowPunct/>
        <w:topLinePunct w:val="0"/>
        <w:bidi w:val="0"/>
        <w:spacing w:beforeAutospacing="0" w:line="360" w:lineRule="auto"/>
        <w:ind w:left="0" w:leftChars="0" w:right="0" w:firstLine="5760" w:firstLineChars="2400"/>
        <w:jc w:val="left"/>
        <w:rPr>
          <w:rFonts w:hint="eastAsia" w:ascii="宋体" w:hAnsi="宋体" w:eastAsia="宋体" w:cs="宋体"/>
          <w:bCs/>
          <w:color w:val="auto"/>
          <w:kern w:val="0"/>
          <w:sz w:val="24"/>
        </w:rPr>
      </w:pPr>
    </w:p>
    <w:p w14:paraId="15A82348">
      <w:pPr>
        <w:pageBreakBefore w:val="0"/>
        <w:tabs>
          <w:tab w:val="left" w:pos="1440"/>
        </w:tabs>
        <w:kinsoku/>
        <w:wordWrap/>
        <w:overflowPunct/>
        <w:topLinePunct w:val="0"/>
        <w:bidi w:val="0"/>
        <w:spacing w:beforeAutospacing="0" w:line="360" w:lineRule="auto"/>
        <w:ind w:left="0" w:leftChars="0" w:right="0"/>
        <w:jc w:val="left"/>
        <w:rPr>
          <w:rFonts w:hint="eastAsia" w:ascii="宋体" w:hAnsi="宋体" w:eastAsia="宋体" w:cs="宋体"/>
          <w:bCs/>
          <w:color w:val="auto"/>
          <w:kern w:val="0"/>
          <w:sz w:val="24"/>
        </w:rPr>
      </w:pPr>
    </w:p>
    <w:p w14:paraId="41D5719D">
      <w:pPr>
        <w:pageBreakBefore w:val="0"/>
        <w:kinsoku/>
        <w:wordWrap/>
        <w:overflowPunct/>
        <w:topLinePunct w:val="0"/>
        <w:bidi w:val="0"/>
        <w:adjustRightInd w:val="0"/>
        <w:spacing w:beforeAutospacing="0" w:line="360" w:lineRule="auto"/>
        <w:ind w:left="0" w:leftChars="0" w:right="0"/>
        <w:jc w:val="left"/>
        <w:textAlignment w:val="baseline"/>
        <w:rPr>
          <w:rFonts w:hint="eastAsia" w:ascii="宋体" w:hAnsi="宋体" w:eastAsia="宋体" w:cs="宋体"/>
          <w:color w:val="auto"/>
          <w:kern w:val="0"/>
        </w:rPr>
      </w:pPr>
    </w:p>
    <w:p w14:paraId="7DD53E07">
      <w:pPr>
        <w:pageBreakBefore w:val="0"/>
        <w:kinsoku/>
        <w:wordWrap/>
        <w:overflowPunct/>
        <w:topLinePunct w:val="0"/>
        <w:bidi w:val="0"/>
        <w:adjustRightInd w:val="0"/>
        <w:spacing w:beforeAutospacing="0" w:line="360" w:lineRule="auto"/>
        <w:ind w:left="0" w:leftChars="0" w:right="0"/>
        <w:jc w:val="left"/>
        <w:textAlignment w:val="baseline"/>
        <w:rPr>
          <w:rFonts w:hint="eastAsia" w:ascii="宋体" w:hAnsi="宋体" w:eastAsia="宋体" w:cs="宋体"/>
          <w:color w:val="auto"/>
          <w:kern w:val="0"/>
        </w:rPr>
      </w:pPr>
    </w:p>
    <w:tbl>
      <w:tblPr>
        <w:tblStyle w:val="15"/>
        <w:tblW w:w="9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1"/>
        <w:gridCol w:w="679"/>
        <w:gridCol w:w="693"/>
        <w:gridCol w:w="5280"/>
        <w:gridCol w:w="1050"/>
        <w:gridCol w:w="1554"/>
      </w:tblGrid>
      <w:tr w14:paraId="701B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561" w:type="dxa"/>
            <w:noWrap w:val="0"/>
            <w:vAlign w:val="center"/>
          </w:tcPr>
          <w:p w14:paraId="518A5BEB">
            <w:pPr>
              <w:pageBreakBefore w:val="0"/>
              <w:widowControl/>
              <w:tabs>
                <w:tab w:val="left" w:pos="1440"/>
              </w:tabs>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项号</w:t>
            </w:r>
          </w:p>
        </w:tc>
        <w:tc>
          <w:tcPr>
            <w:tcW w:w="679" w:type="dxa"/>
            <w:noWrap w:val="0"/>
            <w:tcMar>
              <w:top w:w="0" w:type="dxa"/>
              <w:left w:w="108" w:type="dxa"/>
              <w:bottom w:w="0" w:type="dxa"/>
              <w:right w:w="108" w:type="dxa"/>
            </w:tcMar>
            <w:vAlign w:val="center"/>
          </w:tcPr>
          <w:p w14:paraId="118A87B3">
            <w:pPr>
              <w:pageBreakBefore w:val="0"/>
              <w:widowControl/>
              <w:tabs>
                <w:tab w:val="left" w:pos="1440"/>
              </w:tabs>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服务名称</w:t>
            </w:r>
          </w:p>
        </w:tc>
        <w:tc>
          <w:tcPr>
            <w:tcW w:w="693" w:type="dxa"/>
            <w:noWrap w:val="0"/>
            <w:tcMar>
              <w:top w:w="0" w:type="dxa"/>
              <w:left w:w="108" w:type="dxa"/>
              <w:bottom w:w="0" w:type="dxa"/>
              <w:right w:w="108" w:type="dxa"/>
            </w:tcMar>
            <w:vAlign w:val="center"/>
          </w:tcPr>
          <w:p w14:paraId="2BEF8E17">
            <w:pPr>
              <w:pageBreakBefore w:val="0"/>
              <w:widowControl/>
              <w:tabs>
                <w:tab w:val="left" w:pos="1440"/>
              </w:tabs>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数量</w:t>
            </w:r>
          </w:p>
        </w:tc>
        <w:tc>
          <w:tcPr>
            <w:tcW w:w="5280" w:type="dxa"/>
            <w:noWrap w:val="0"/>
            <w:tcMar>
              <w:top w:w="0" w:type="dxa"/>
              <w:left w:w="108" w:type="dxa"/>
              <w:bottom w:w="0" w:type="dxa"/>
              <w:right w:w="108" w:type="dxa"/>
            </w:tcMar>
            <w:vAlign w:val="center"/>
          </w:tcPr>
          <w:p w14:paraId="140E37F5">
            <w:pPr>
              <w:pageBreakBefore w:val="0"/>
              <w:widowControl/>
              <w:tabs>
                <w:tab w:val="left" w:pos="1440"/>
              </w:tabs>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服务内容及要求</w:t>
            </w:r>
          </w:p>
        </w:tc>
        <w:tc>
          <w:tcPr>
            <w:tcW w:w="1050" w:type="dxa"/>
            <w:noWrap w:val="0"/>
            <w:tcMar>
              <w:top w:w="0" w:type="dxa"/>
              <w:left w:w="108" w:type="dxa"/>
              <w:bottom w:w="0" w:type="dxa"/>
              <w:right w:w="108" w:type="dxa"/>
            </w:tcMar>
            <w:vAlign w:val="center"/>
          </w:tcPr>
          <w:p w14:paraId="526DB620">
            <w:pPr>
              <w:pageBreakBefore w:val="0"/>
              <w:widowControl/>
              <w:tabs>
                <w:tab w:val="left" w:pos="1440"/>
              </w:tabs>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分项预算合价（</w:t>
            </w:r>
            <w:r>
              <w:rPr>
                <w:rFonts w:hint="eastAsia" w:ascii="宋体" w:hAnsi="宋体" w:cs="宋体"/>
                <w:color w:val="auto"/>
                <w:kern w:val="0"/>
                <w:sz w:val="21"/>
                <w:szCs w:val="21"/>
                <w:lang w:val="en-US" w:eastAsia="zh-CN"/>
              </w:rPr>
              <w:t>万</w:t>
            </w:r>
            <w:r>
              <w:rPr>
                <w:rFonts w:hint="eastAsia" w:ascii="宋体" w:hAnsi="宋体" w:eastAsia="宋体" w:cs="宋体"/>
                <w:color w:val="auto"/>
                <w:kern w:val="0"/>
                <w:sz w:val="21"/>
                <w:szCs w:val="21"/>
              </w:rPr>
              <w:t>元）</w:t>
            </w:r>
          </w:p>
        </w:tc>
        <w:tc>
          <w:tcPr>
            <w:tcW w:w="1554" w:type="dxa"/>
            <w:noWrap w:val="0"/>
            <w:vAlign w:val="top"/>
          </w:tcPr>
          <w:p w14:paraId="69652C0D">
            <w:pPr>
              <w:pageBreakBefore w:val="0"/>
              <w:widowControl/>
              <w:tabs>
                <w:tab w:val="left" w:pos="1440"/>
              </w:tabs>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1"/>
                <w:szCs w:val="21"/>
              </w:rPr>
            </w:pPr>
            <w:r>
              <w:rPr>
                <w:rFonts w:hint="eastAsia" w:ascii="宋体" w:hAnsi="宋体" w:eastAsia="宋体" w:cs="宋体"/>
                <w:b/>
                <w:color w:val="auto"/>
                <w:sz w:val="21"/>
                <w:szCs w:val="21"/>
              </w:rPr>
              <w:t>中小企业划分标准所属行业名称（行业名称及划分见本章附件3）</w:t>
            </w:r>
          </w:p>
        </w:tc>
      </w:tr>
      <w:tr w14:paraId="24F72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61" w:type="dxa"/>
            <w:noWrap w:val="0"/>
            <w:tcMar>
              <w:top w:w="0" w:type="dxa"/>
              <w:left w:w="108" w:type="dxa"/>
              <w:bottom w:w="0" w:type="dxa"/>
              <w:right w:w="108" w:type="dxa"/>
            </w:tcMar>
            <w:vAlign w:val="center"/>
          </w:tcPr>
          <w:p w14:paraId="18ECFA85">
            <w:pPr>
              <w:pageBreakBefore w:val="0"/>
              <w:widowControl/>
              <w:tabs>
                <w:tab w:val="left" w:pos="1440"/>
              </w:tabs>
              <w:kinsoku/>
              <w:wordWrap/>
              <w:overflowPunct/>
              <w:topLinePunct w:val="0"/>
              <w:bidi w:val="0"/>
              <w:spacing w:beforeAutospacing="0" w:line="360" w:lineRule="auto"/>
              <w:ind w:left="0" w:leftChars="0" w:right="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p>
        </w:tc>
        <w:tc>
          <w:tcPr>
            <w:tcW w:w="679" w:type="dxa"/>
            <w:noWrap w:val="0"/>
            <w:tcMar>
              <w:top w:w="0" w:type="dxa"/>
              <w:left w:w="108" w:type="dxa"/>
              <w:bottom w:w="0" w:type="dxa"/>
              <w:right w:w="108" w:type="dxa"/>
            </w:tcMar>
            <w:vAlign w:val="center"/>
          </w:tcPr>
          <w:p w14:paraId="5FFF45C3">
            <w:pPr>
              <w:pageBreakBefore w:val="0"/>
              <w:kinsoku/>
              <w:wordWrap/>
              <w:overflowPunct/>
              <w:topLinePunct w:val="0"/>
              <w:bidi w:val="0"/>
              <w:snapToGrid w:val="0"/>
              <w:spacing w:beforeAutospacing="0" w:line="360" w:lineRule="auto"/>
              <w:ind w:left="0" w:leftChars="0" w:right="0" w:firstLine="831" w:firstLineChars="396"/>
              <w:jc w:val="center"/>
              <w:rPr>
                <w:rFonts w:hint="eastAsia"/>
                <w:color w:val="auto"/>
                <w:lang w:eastAsia="zh-CN"/>
              </w:rPr>
            </w:pPr>
            <w:r>
              <w:rPr>
                <w:rFonts w:hint="eastAsia"/>
                <w:color w:val="auto"/>
                <w:lang w:eastAsia="zh-CN"/>
              </w:rPr>
              <w:t>南</w:t>
            </w:r>
            <w:r>
              <w:rPr>
                <w:rFonts w:hint="eastAsia"/>
                <w:color w:val="auto"/>
                <w:lang w:val="en-US" w:eastAsia="zh-CN"/>
              </w:rPr>
              <w:t>南宁市第二看守所在押人员伙房食材配送服务采购项目</w:t>
            </w:r>
          </w:p>
          <w:p w14:paraId="5E8664C3">
            <w:pPr>
              <w:pageBreakBefore w:val="0"/>
              <w:kinsoku/>
              <w:wordWrap/>
              <w:overflowPunct/>
              <w:topLinePunct w:val="0"/>
              <w:bidi w:val="0"/>
              <w:spacing w:beforeAutospacing="0" w:line="360" w:lineRule="auto"/>
              <w:ind w:left="0" w:leftChars="0" w:right="0"/>
              <w:rPr>
                <w:rFonts w:hint="eastAsia" w:ascii="宋体" w:hAnsi="宋体" w:eastAsia="宋体" w:cs="宋体"/>
                <w:bCs/>
                <w:color w:val="auto"/>
                <w:sz w:val="21"/>
                <w:szCs w:val="21"/>
              </w:rPr>
            </w:pPr>
          </w:p>
        </w:tc>
        <w:tc>
          <w:tcPr>
            <w:tcW w:w="693" w:type="dxa"/>
            <w:noWrap w:val="0"/>
            <w:tcMar>
              <w:top w:w="0" w:type="dxa"/>
              <w:left w:w="108" w:type="dxa"/>
              <w:bottom w:w="0" w:type="dxa"/>
              <w:right w:w="108" w:type="dxa"/>
            </w:tcMar>
            <w:vAlign w:val="center"/>
          </w:tcPr>
          <w:p w14:paraId="3E361929">
            <w:pPr>
              <w:pageBreakBefore w:val="0"/>
              <w:widowControl/>
              <w:tabs>
                <w:tab w:val="left" w:pos="1440"/>
              </w:tabs>
              <w:kinsoku/>
              <w:wordWrap/>
              <w:overflowPunct/>
              <w:topLinePunct w:val="0"/>
              <w:bidi w:val="0"/>
              <w:spacing w:beforeAutospacing="0" w:line="360" w:lineRule="auto"/>
              <w:ind w:left="0" w:leftChars="0" w:right="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1项</w:t>
            </w:r>
          </w:p>
        </w:tc>
        <w:tc>
          <w:tcPr>
            <w:tcW w:w="5280" w:type="dxa"/>
            <w:noWrap w:val="0"/>
            <w:tcMar>
              <w:top w:w="0" w:type="dxa"/>
              <w:left w:w="108" w:type="dxa"/>
              <w:bottom w:w="0" w:type="dxa"/>
              <w:right w:w="108" w:type="dxa"/>
            </w:tcMar>
            <w:vAlign w:val="top"/>
          </w:tcPr>
          <w:p w14:paraId="10419D10">
            <w:pPr>
              <w:spacing w:line="360" w:lineRule="auto"/>
              <w:rPr>
                <w:b/>
                <w:bCs/>
                <w:color w:val="auto"/>
              </w:rPr>
            </w:pPr>
            <w:r>
              <w:rPr>
                <w:b/>
                <w:bCs/>
                <w:color w:val="auto"/>
              </w:rPr>
              <w:t>1</w:t>
            </w:r>
            <w:r>
              <w:rPr>
                <w:rFonts w:hint="eastAsia"/>
                <w:b/>
                <w:bCs/>
                <w:color w:val="auto"/>
              </w:rPr>
              <w:t>、蔬菜类配送服务内容：</w:t>
            </w:r>
          </w:p>
          <w:p w14:paraId="595BC113">
            <w:pPr>
              <w:spacing w:after="0" w:line="360" w:lineRule="auto"/>
              <w:rPr>
                <w:rFonts w:hint="eastAsia"/>
                <w:color w:val="auto"/>
              </w:rPr>
            </w:pPr>
            <w:r>
              <w:rPr>
                <w:rFonts w:hint="eastAsia"/>
                <w:color w:val="auto"/>
              </w:rPr>
              <w:t>（1）西红柿：颜色大红、粉红或黄色，光泽亮艳，个大圆整饱满有弹性，肉厚籽少，无叶、无腐烂、压伤、过软、过硬、斑点、畸形、表面光滑无干疤。</w:t>
            </w:r>
          </w:p>
          <w:p w14:paraId="31F5E5E4">
            <w:pPr>
              <w:spacing w:after="0" w:line="360" w:lineRule="auto"/>
              <w:rPr>
                <w:rFonts w:hint="eastAsia"/>
                <w:color w:val="auto"/>
              </w:rPr>
            </w:pPr>
            <w:r>
              <w:rPr>
                <w:rFonts w:hint="eastAsia"/>
                <w:color w:val="auto"/>
              </w:rPr>
              <w:t>（2）冬瓜：皮青翠，有白霜，肉洁白、厚嫩、紧密，膛小有一定硬度。无压伤、烂斑、较软，肉无空 隙、水分少、发糠。表皮平整光滑、无外伤腐烂。</w:t>
            </w:r>
          </w:p>
          <w:p w14:paraId="17F7E223">
            <w:pPr>
              <w:spacing w:after="0" w:line="360" w:lineRule="auto"/>
              <w:rPr>
                <w:rFonts w:hint="eastAsia"/>
                <w:color w:val="auto"/>
              </w:rPr>
            </w:pPr>
            <w:r>
              <w:rPr>
                <w:rFonts w:hint="eastAsia"/>
                <w:color w:val="auto"/>
              </w:rPr>
              <w:t>（3）南瓜：颜色金黄色或橙黄色，瓜形周正，肉金黄紧密、粉甜、表面 硬实，无斑疤、破裂、虫洞、料斑、软烂、畸形。</w:t>
            </w:r>
          </w:p>
          <w:p w14:paraId="124EC86A">
            <w:pPr>
              <w:spacing w:after="0" w:line="360" w:lineRule="auto"/>
              <w:rPr>
                <w:rFonts w:hint="eastAsia"/>
                <w:color w:val="auto"/>
              </w:rPr>
            </w:pPr>
            <w:r>
              <w:rPr>
                <w:rFonts w:hint="eastAsia"/>
                <w:color w:val="auto"/>
              </w:rPr>
              <w:t>（4）茄子：色正（青、紫、白）、形正（棒形、卵形、灯泡形）、表面光滑有光泽，有弹性不软、无压伤、虫蛀、烂斑、皮皱。</w:t>
            </w:r>
          </w:p>
          <w:p w14:paraId="6CDC01FC">
            <w:pPr>
              <w:spacing w:after="0" w:line="360" w:lineRule="auto"/>
              <w:rPr>
                <w:rFonts w:hint="eastAsia"/>
                <w:color w:val="auto"/>
              </w:rPr>
            </w:pPr>
            <w:r>
              <w:rPr>
                <w:rFonts w:hint="eastAsia"/>
                <w:color w:val="auto"/>
              </w:rPr>
              <w:t>（5）包心菜：叶新鲜光泽，棵株大、完整，包心坚实紧密，根部断面洁白完整  无空心、乱心、压伤、冻伤、虫蛀、雨淋、水浸、裂缝、老帮黄叶、外叶萎蔫、包心松、泥土，无苔。</w:t>
            </w:r>
          </w:p>
          <w:p w14:paraId="426FABDB">
            <w:pPr>
              <w:spacing w:after="0" w:line="360" w:lineRule="auto"/>
              <w:rPr>
                <w:rFonts w:hint="eastAsia"/>
                <w:color w:val="auto"/>
              </w:rPr>
            </w:pPr>
            <w:r>
              <w:rPr>
                <w:rFonts w:hint="eastAsia"/>
                <w:color w:val="auto"/>
              </w:rPr>
              <w:t>（6）白萝卜：颜色洁白发亮，表面光滑、细腻，形体完整，底部切面洁白水分大，肉嫩脆，无糠心、空心、灰心、断裂、压伤、虫洞、毛根、糙皮、泥土、黄斑、褐斑。</w:t>
            </w:r>
          </w:p>
          <w:p w14:paraId="18CD6E9D">
            <w:pPr>
              <w:spacing w:after="0" w:line="360" w:lineRule="auto"/>
              <w:rPr>
                <w:rFonts w:hint="eastAsia"/>
                <w:color w:val="auto"/>
              </w:rPr>
            </w:pPr>
            <w:r>
              <w:rPr>
                <w:rFonts w:hint="eastAsia"/>
                <w:color w:val="auto"/>
              </w:rPr>
              <w:t>（7）</w:t>
            </w:r>
            <w:r>
              <w:rPr>
                <w:rFonts w:hint="eastAsia"/>
                <w:color w:val="auto"/>
                <w:lang w:val="en-US" w:eastAsia="zh-CN"/>
              </w:rPr>
              <w:t>胡</w:t>
            </w:r>
            <w:r>
              <w:rPr>
                <w:rFonts w:hint="eastAsia"/>
                <w:color w:val="auto"/>
              </w:rPr>
              <w:t>萝卜：颜色红色可橘黄色，表面光滑、条直匀称，粗壮、硬实，肉质甜脆、中心柱细小，无硬芯，表皮无争缩、刀伤、开裂、体软、褐斑、发糠、泥土。</w:t>
            </w:r>
          </w:p>
          <w:p w14:paraId="60A5DF82">
            <w:pPr>
              <w:spacing w:after="0" w:line="360" w:lineRule="auto"/>
              <w:rPr>
                <w:rFonts w:hint="eastAsia"/>
                <w:color w:val="auto"/>
              </w:rPr>
            </w:pPr>
            <w:r>
              <w:rPr>
                <w:rFonts w:hint="eastAsia"/>
                <w:color w:val="auto"/>
              </w:rPr>
              <w:t>（8）青瓜：颜色青绿，瓜身细短、条直均匀瓜把小，顶花带剌，有白霜或光泽，无压伤、腐烂、断裂色黄、皮皱、肉白或空心。</w:t>
            </w:r>
          </w:p>
          <w:p w14:paraId="42A324C5">
            <w:pPr>
              <w:spacing w:after="0" w:line="360" w:lineRule="auto"/>
              <w:rPr>
                <w:rFonts w:hint="eastAsia"/>
                <w:color w:val="auto"/>
              </w:rPr>
            </w:pPr>
            <w:r>
              <w:rPr>
                <w:rFonts w:hint="eastAsia"/>
                <w:color w:val="auto"/>
              </w:rPr>
              <w:t>（9）洋葱：鳞片颜色粉白或紫白，鳞片肥厚完整无损，抱合紧密，球茎干度适中、有一定硬度。无腐烂、干枯、过软、裂开、发芽、发乌、泥土。</w:t>
            </w:r>
          </w:p>
          <w:p w14:paraId="4B095EB8">
            <w:pPr>
              <w:spacing w:after="0" w:line="360" w:lineRule="auto"/>
              <w:rPr>
                <w:rFonts w:hint="eastAsia"/>
                <w:color w:val="auto"/>
              </w:rPr>
            </w:pPr>
            <w:r>
              <w:rPr>
                <w:rFonts w:hint="eastAsia"/>
                <w:color w:val="auto"/>
              </w:rPr>
              <w:t>（10）白菜：外叶淡绿色、奶黄色；内叶乳白色，棵株大、完整、新鲜有光泽。包心坚实紧密无发芽，根部断面洁白完整，无空心、乱心、压伤、冻伤、虫蛀、雨淋、水浸、裂缝、老帮黄叶、外叶萎蔫、包心松、泥土。</w:t>
            </w:r>
          </w:p>
          <w:p w14:paraId="64DB4077">
            <w:pPr>
              <w:spacing w:after="0" w:line="360" w:lineRule="auto"/>
              <w:rPr>
                <w:rFonts w:hint="eastAsia"/>
                <w:color w:val="auto"/>
              </w:rPr>
            </w:pPr>
            <w:r>
              <w:rPr>
                <w:rFonts w:hint="eastAsia"/>
                <w:color w:val="auto"/>
              </w:rPr>
              <w:t>（</w:t>
            </w:r>
            <w:r>
              <w:rPr>
                <w:rFonts w:hint="eastAsia"/>
                <w:color w:val="auto"/>
                <w:lang w:val="en-US" w:eastAsia="zh-CN"/>
              </w:rPr>
              <w:t>11</w:t>
            </w:r>
            <w:r>
              <w:rPr>
                <w:rFonts w:hint="eastAsia"/>
                <w:color w:val="auto"/>
              </w:rPr>
              <w:t>）</w:t>
            </w:r>
            <w:r>
              <w:rPr>
                <w:rFonts w:hint="eastAsia"/>
                <w:color w:val="auto"/>
                <w:lang w:val="en-US" w:eastAsia="zh-CN"/>
              </w:rPr>
              <w:t>卷筒青</w:t>
            </w:r>
            <w:r>
              <w:rPr>
                <w:rFonts w:hint="eastAsia"/>
                <w:color w:val="auto"/>
              </w:rPr>
              <w:t>：外叶</w:t>
            </w:r>
            <w:r>
              <w:rPr>
                <w:rFonts w:hint="eastAsia"/>
                <w:color w:val="auto"/>
                <w:lang w:val="en-US" w:eastAsia="zh-CN"/>
              </w:rPr>
              <w:t>青</w:t>
            </w:r>
            <w:r>
              <w:rPr>
                <w:rFonts w:hint="eastAsia"/>
                <w:color w:val="auto"/>
              </w:rPr>
              <w:t>绿色；内叶淡绿色，棵株大、完整、新鲜有光泽。根部断面洁白完整，无空心、乱心、压伤、冻伤、虫蛀、雨淋、水浸、裂缝、老帮黄叶、外叶萎蔫、泥土。</w:t>
            </w:r>
          </w:p>
          <w:p w14:paraId="0C30B4CC">
            <w:pPr>
              <w:spacing w:after="0" w:line="360" w:lineRule="auto"/>
              <w:rPr>
                <w:rFonts w:hint="eastAsia"/>
                <w:color w:val="auto"/>
              </w:rPr>
            </w:pPr>
            <w:r>
              <w:rPr>
                <w:rFonts w:hint="eastAsia"/>
                <w:color w:val="auto"/>
              </w:rPr>
              <w:t>（</w:t>
            </w:r>
            <w:r>
              <w:rPr>
                <w:rFonts w:hint="eastAsia"/>
                <w:color w:val="auto"/>
                <w:lang w:val="en-US" w:eastAsia="zh-CN"/>
              </w:rPr>
              <w:t>12</w:t>
            </w:r>
            <w:r>
              <w:rPr>
                <w:rFonts w:hint="eastAsia"/>
                <w:color w:val="auto"/>
              </w:rPr>
              <w:t>）</w:t>
            </w:r>
            <w:r>
              <w:rPr>
                <w:rFonts w:hint="eastAsia"/>
                <w:color w:val="auto"/>
                <w:lang w:val="en-US" w:eastAsia="zh-CN"/>
              </w:rPr>
              <w:t>娃娃菜</w:t>
            </w:r>
            <w:r>
              <w:rPr>
                <w:rFonts w:hint="eastAsia"/>
                <w:color w:val="auto"/>
              </w:rPr>
              <w:t>：外叶奶黄色；内叶乳白色，棵株大、完整、新鲜有光泽。包心坚实紧密无发芽，根部断面洁白完整，无空心、乱心、压伤、冻伤、虫蛀、雨淋、水浸、裂缝、老帮黄叶、外叶萎蔫、包心松、泥土。</w:t>
            </w:r>
          </w:p>
          <w:p w14:paraId="20CFBC09">
            <w:pPr>
              <w:spacing w:after="0" w:line="360" w:lineRule="auto"/>
              <w:rPr>
                <w:rFonts w:hint="eastAsia"/>
                <w:color w:val="auto"/>
              </w:rPr>
            </w:pPr>
            <w:r>
              <w:rPr>
                <w:rFonts w:hint="eastAsia"/>
                <w:color w:val="auto"/>
              </w:rPr>
              <w:t>（</w:t>
            </w:r>
            <w:r>
              <w:rPr>
                <w:rFonts w:hint="eastAsia"/>
                <w:color w:val="auto"/>
                <w:lang w:val="en-US" w:eastAsia="zh-CN"/>
              </w:rPr>
              <w:t>13</w:t>
            </w:r>
            <w:r>
              <w:rPr>
                <w:rFonts w:hint="eastAsia"/>
                <w:color w:val="auto"/>
              </w:rPr>
              <w:t>）</w:t>
            </w:r>
            <w:r>
              <w:rPr>
                <w:rFonts w:hint="eastAsia"/>
                <w:color w:val="auto"/>
                <w:lang w:val="en-US" w:eastAsia="zh-CN"/>
              </w:rPr>
              <w:t>毛节瓜</w:t>
            </w:r>
            <w:r>
              <w:rPr>
                <w:rFonts w:hint="eastAsia"/>
                <w:color w:val="auto"/>
              </w:rPr>
              <w:t>：皮青翠，肉洁白、厚嫩、紧密，膛小有一定硬度。无压伤、烂斑、较软，肉无空 隙、水分少、发糠。表皮平整光滑、无外伤腐烂。</w:t>
            </w:r>
          </w:p>
          <w:p w14:paraId="0E46BB83">
            <w:pPr>
              <w:spacing w:after="0" w:line="360" w:lineRule="auto"/>
              <w:rPr>
                <w:rFonts w:hint="eastAsia"/>
                <w:color w:val="auto"/>
              </w:rPr>
            </w:pPr>
            <w:r>
              <w:rPr>
                <w:rFonts w:hint="eastAsia"/>
                <w:color w:val="auto"/>
              </w:rPr>
              <w:t>（</w:t>
            </w:r>
            <w:r>
              <w:rPr>
                <w:rFonts w:hint="eastAsia"/>
                <w:color w:val="auto"/>
                <w:lang w:val="en-US" w:eastAsia="zh-CN"/>
              </w:rPr>
              <w:t>14</w:t>
            </w:r>
            <w:r>
              <w:rPr>
                <w:rFonts w:hint="eastAsia"/>
                <w:color w:val="auto"/>
              </w:rPr>
              <w:t>）丝瓜：皮颜色翠绿、薄嫩、有白霜，条直均匀、易断无弹性，肉洁白软嫩、子小，无弯曲、伤疤、烂斑、色发黄、皮粗糙。</w:t>
            </w:r>
          </w:p>
          <w:p w14:paraId="58B69BC3">
            <w:pPr>
              <w:spacing w:after="0" w:line="360" w:lineRule="auto"/>
              <w:rPr>
                <w:rFonts w:hint="eastAsia"/>
                <w:color w:val="auto"/>
              </w:rPr>
            </w:pPr>
            <w:r>
              <w:rPr>
                <w:rFonts w:hint="eastAsia"/>
                <w:color w:val="auto"/>
              </w:rPr>
              <w:t>（</w:t>
            </w:r>
            <w:r>
              <w:rPr>
                <w:rFonts w:hint="eastAsia"/>
                <w:color w:val="auto"/>
                <w:lang w:val="en-US" w:eastAsia="zh-CN"/>
              </w:rPr>
              <w:t>15</w:t>
            </w:r>
            <w:r>
              <w:rPr>
                <w:rFonts w:hint="eastAsia"/>
                <w:color w:val="auto"/>
              </w:rPr>
              <w:t>）葱花：叶色青绿，无枯尖和干枯霉烂的叶鞘，不湿水，葱株均匀，完整而不折断，扎成捆，干净无泥，不夹杂异物，无斑点叶及枯霉叶。</w:t>
            </w:r>
          </w:p>
          <w:p w14:paraId="487E25B3">
            <w:pPr>
              <w:spacing w:after="0" w:line="360" w:lineRule="auto"/>
              <w:rPr>
                <w:rFonts w:hint="eastAsia"/>
                <w:color w:val="auto"/>
              </w:rPr>
            </w:pPr>
            <w:r>
              <w:rPr>
                <w:rFonts w:hint="eastAsia"/>
                <w:color w:val="auto"/>
              </w:rPr>
              <w:t>（</w:t>
            </w:r>
            <w:r>
              <w:rPr>
                <w:rFonts w:hint="eastAsia"/>
                <w:color w:val="auto"/>
                <w:lang w:val="en-US" w:eastAsia="zh-CN"/>
              </w:rPr>
              <w:t>16</w:t>
            </w:r>
            <w:r>
              <w:rPr>
                <w:rFonts w:hint="eastAsia"/>
                <w:color w:val="auto"/>
              </w:rPr>
              <w:t>）生姜：肉质坚挺、肥厚,不酥软，色浅黄，有光泽、无病虫伤疤。</w:t>
            </w:r>
          </w:p>
          <w:p w14:paraId="4260E370">
            <w:pPr>
              <w:spacing w:after="0" w:line="360" w:lineRule="auto"/>
              <w:rPr>
                <w:rFonts w:hint="eastAsia"/>
                <w:color w:val="auto"/>
              </w:rPr>
            </w:pPr>
            <w:r>
              <w:rPr>
                <w:rFonts w:hint="eastAsia"/>
                <w:color w:val="auto"/>
              </w:rPr>
              <w:t>（</w:t>
            </w:r>
            <w:r>
              <w:rPr>
                <w:rFonts w:hint="eastAsia"/>
                <w:color w:val="auto"/>
                <w:lang w:val="en-US" w:eastAsia="zh-CN"/>
              </w:rPr>
              <w:t>17</w:t>
            </w:r>
            <w:r>
              <w:rPr>
                <w:rFonts w:hint="eastAsia"/>
                <w:color w:val="auto"/>
              </w:rPr>
              <w:t>）蒜米：色白、脆嫩、无发芽。</w:t>
            </w:r>
          </w:p>
          <w:p w14:paraId="092AD2EE">
            <w:pPr>
              <w:spacing w:after="0" w:line="360" w:lineRule="auto"/>
              <w:rPr>
                <w:rFonts w:hint="eastAsia"/>
                <w:color w:val="auto"/>
              </w:rPr>
            </w:pPr>
            <w:r>
              <w:rPr>
                <w:rFonts w:hint="eastAsia"/>
                <w:color w:val="auto"/>
              </w:rPr>
              <w:t>（</w:t>
            </w:r>
            <w:r>
              <w:rPr>
                <w:rFonts w:hint="eastAsia"/>
                <w:color w:val="auto"/>
                <w:lang w:val="en-US" w:eastAsia="zh-CN"/>
              </w:rPr>
              <w:t>18</w:t>
            </w:r>
            <w:r>
              <w:rPr>
                <w:rFonts w:hint="eastAsia"/>
                <w:color w:val="auto"/>
              </w:rPr>
              <w:t>）蒜苗：叶片鲜嫩青绿（蒜黄为嫩黄色），假茎长且鲜嫩雪白，株棵完整粗壮，无折断，叶片不干枯，无斑点，蒜苗干净无泥土。</w:t>
            </w:r>
          </w:p>
          <w:p w14:paraId="7386C83E">
            <w:pPr>
              <w:spacing w:after="0" w:line="360" w:lineRule="auto"/>
              <w:rPr>
                <w:rFonts w:hint="eastAsia"/>
                <w:color w:val="auto"/>
              </w:rPr>
            </w:pPr>
            <w:r>
              <w:rPr>
                <w:rFonts w:hint="eastAsia"/>
                <w:color w:val="auto"/>
              </w:rPr>
              <w:t>（</w:t>
            </w:r>
            <w:r>
              <w:rPr>
                <w:rFonts w:hint="eastAsia"/>
                <w:color w:val="auto"/>
                <w:lang w:val="en-US" w:eastAsia="zh-CN"/>
              </w:rPr>
              <w:t>19</w:t>
            </w:r>
            <w:r>
              <w:rPr>
                <w:rFonts w:hint="eastAsia"/>
                <w:color w:val="auto"/>
              </w:rPr>
              <w:t>）芹菜：根部干净、颜色翠绿、无斑点，叶翠绿。</w:t>
            </w:r>
          </w:p>
          <w:p w14:paraId="2F34AA22">
            <w:pPr>
              <w:spacing w:after="0" w:line="360" w:lineRule="auto"/>
              <w:rPr>
                <w:rFonts w:hint="eastAsia"/>
                <w:color w:val="auto"/>
                <w:lang w:eastAsia="zh-CN"/>
              </w:rPr>
            </w:pPr>
            <w:r>
              <w:rPr>
                <w:rFonts w:hint="eastAsia"/>
                <w:color w:val="auto"/>
              </w:rPr>
              <w:t>（</w:t>
            </w:r>
            <w:r>
              <w:rPr>
                <w:rFonts w:hint="eastAsia"/>
                <w:color w:val="auto"/>
                <w:lang w:val="en-US" w:eastAsia="zh-CN"/>
              </w:rPr>
              <w:t>20</w:t>
            </w:r>
            <w:r>
              <w:rPr>
                <w:rFonts w:hint="eastAsia"/>
                <w:color w:val="auto"/>
              </w:rPr>
              <w:t>）食用菌类（凤尾菇、鸡腿菇、金针菇、茶树菇）：产品符合国家食品安全要求，证照齐全，新鲜，无异味，无腐烂</w:t>
            </w:r>
            <w:r>
              <w:rPr>
                <w:rFonts w:hint="eastAsia"/>
                <w:color w:val="auto"/>
                <w:lang w:eastAsia="zh-CN"/>
              </w:rPr>
              <w:t>。</w:t>
            </w:r>
          </w:p>
          <w:p w14:paraId="50D93AFD">
            <w:pPr>
              <w:spacing w:after="0" w:line="360" w:lineRule="auto"/>
              <w:rPr>
                <w:rFonts w:hint="eastAsia"/>
                <w:color w:val="auto"/>
              </w:rPr>
            </w:pPr>
            <w:r>
              <w:rPr>
                <w:rFonts w:hint="eastAsia"/>
                <w:color w:val="auto"/>
              </w:rPr>
              <w:t>（</w:t>
            </w:r>
            <w:r>
              <w:rPr>
                <w:rFonts w:hint="eastAsia"/>
                <w:color w:val="auto"/>
                <w:lang w:val="en-US" w:eastAsia="zh-CN"/>
              </w:rPr>
              <w:t>21</w:t>
            </w:r>
            <w:r>
              <w:rPr>
                <w:rFonts w:hint="eastAsia"/>
                <w:color w:val="auto"/>
              </w:rPr>
              <w:t>）其它蔬菜根据蔬菜市场调整品种。</w:t>
            </w:r>
          </w:p>
          <w:p w14:paraId="6A88FA92">
            <w:pPr>
              <w:spacing w:after="0" w:line="360" w:lineRule="auto"/>
              <w:rPr>
                <w:rFonts w:hint="eastAsia"/>
                <w:color w:val="auto"/>
              </w:rPr>
            </w:pPr>
            <w:r>
              <w:rPr>
                <w:rFonts w:hint="eastAsia"/>
                <w:color w:val="auto"/>
              </w:rPr>
              <w:t>▲</w:t>
            </w:r>
            <w:r>
              <w:rPr>
                <w:rFonts w:hint="eastAsia"/>
                <w:color w:val="auto"/>
                <w:lang w:val="en-US" w:eastAsia="zh-CN"/>
              </w:rPr>
              <w:t>（22）</w:t>
            </w:r>
            <w:r>
              <w:rPr>
                <w:rFonts w:hint="eastAsia"/>
                <w:color w:val="auto"/>
              </w:rPr>
              <w:t>质量要求：蔬菜必须保证是新鲜蔬菜，且保持较好色泽及新鲜度，不带黄叶、泥巴等，每批次蔬菜必须经过农药残留检测并提供具有相应资质检测机构出具的农药等残留指标检验合格证明。</w:t>
            </w:r>
          </w:p>
          <w:p w14:paraId="73EA19F7">
            <w:pPr>
              <w:spacing w:line="360" w:lineRule="auto"/>
              <w:rPr>
                <w:rFonts w:hint="eastAsia"/>
                <w:color w:val="auto"/>
                <w:kern w:val="0"/>
              </w:rPr>
            </w:pPr>
            <w:r>
              <w:rPr>
                <w:rFonts w:hint="eastAsia" w:ascii="宋体" w:hAnsi="宋体" w:cs="宋体"/>
                <w:color w:val="auto"/>
                <w:szCs w:val="21"/>
              </w:rPr>
              <w:t>▲</w:t>
            </w:r>
            <w:r>
              <w:rPr>
                <w:rFonts w:hint="eastAsia" w:ascii="宋体" w:hAnsi="宋体"/>
                <w:bCs/>
                <w:color w:val="auto"/>
                <w:kern w:val="0"/>
              </w:rPr>
              <w:t>（</w:t>
            </w:r>
            <w:r>
              <w:rPr>
                <w:rFonts w:hint="eastAsia" w:ascii="宋体" w:hAnsi="宋体"/>
                <w:bCs/>
                <w:color w:val="auto"/>
                <w:kern w:val="0"/>
                <w:lang w:val="en-US" w:eastAsia="zh-CN"/>
              </w:rPr>
              <w:t>23</w:t>
            </w:r>
            <w:r>
              <w:rPr>
                <w:rFonts w:hint="eastAsia" w:ascii="宋体" w:hAnsi="宋体"/>
                <w:bCs/>
                <w:color w:val="auto"/>
                <w:kern w:val="0"/>
              </w:rPr>
              <w:t>）</w:t>
            </w:r>
            <w:r>
              <w:rPr>
                <w:rFonts w:hint="eastAsia"/>
                <w:color w:val="auto"/>
                <w:kern w:val="0"/>
              </w:rPr>
              <w:t>配送</w:t>
            </w:r>
            <w:r>
              <w:rPr>
                <w:color w:val="auto"/>
                <w:kern w:val="0"/>
              </w:rPr>
              <w:t>频率：每天配送</w:t>
            </w:r>
            <w:r>
              <w:rPr>
                <w:rFonts w:hint="eastAsia"/>
                <w:color w:val="auto"/>
                <w:kern w:val="0"/>
              </w:rPr>
              <w:t>。</w:t>
            </w:r>
          </w:p>
          <w:p w14:paraId="09AC1F5D">
            <w:pPr>
              <w:spacing w:line="360" w:lineRule="auto"/>
              <w:rPr>
                <w:rFonts w:hint="eastAsia" w:eastAsia="宋体"/>
                <w:b/>
                <w:bCs/>
                <w:color w:val="auto"/>
                <w:lang w:eastAsia="zh-CN"/>
              </w:rPr>
            </w:pPr>
            <w:r>
              <w:rPr>
                <w:rFonts w:hint="eastAsia"/>
                <w:b/>
                <w:bCs/>
                <w:color w:val="auto"/>
              </w:rPr>
              <w:t>2、肉类配送服务内容</w:t>
            </w:r>
            <w:r>
              <w:rPr>
                <w:rFonts w:hint="eastAsia"/>
                <w:b/>
                <w:bCs/>
                <w:color w:val="auto"/>
                <w:lang w:eastAsia="zh-CN"/>
              </w:rPr>
              <w:t>：</w:t>
            </w:r>
          </w:p>
          <w:p w14:paraId="42CE18AB">
            <w:pPr>
              <w:spacing w:after="0" w:line="360" w:lineRule="auto"/>
              <w:rPr>
                <w:rFonts w:hint="eastAsia"/>
                <w:color w:val="auto"/>
              </w:rPr>
            </w:pPr>
            <w:r>
              <w:rPr>
                <w:rFonts w:hint="eastAsia"/>
                <w:color w:val="auto"/>
              </w:rPr>
              <w:t>（1）新鲜猪肉：肉质新鲜、有弹性、色泽红润、不注水、无寄生虫，无病、毒猪肉。</w:t>
            </w:r>
          </w:p>
          <w:p w14:paraId="1DEDC20C">
            <w:pPr>
              <w:spacing w:after="0" w:line="360" w:lineRule="auto"/>
              <w:rPr>
                <w:rFonts w:hint="eastAsia"/>
                <w:color w:val="auto"/>
              </w:rPr>
            </w:pPr>
            <w:r>
              <w:rPr>
                <w:rFonts w:hint="eastAsia"/>
                <w:color w:val="auto"/>
              </w:rPr>
              <w:t>（2）排骨：外观颜色鲜红，粉红色，拿手指按压排骨，排骨上的肉能迅速地恢复原状，骨断裂处为鲜红色，骨带的肉鲜亮，不沾手，腥膻味。</w:t>
            </w:r>
          </w:p>
          <w:p w14:paraId="2BD73779">
            <w:pPr>
              <w:spacing w:after="0" w:line="360" w:lineRule="auto"/>
              <w:rPr>
                <w:rFonts w:hint="eastAsia"/>
                <w:color w:val="auto"/>
              </w:rPr>
            </w:pPr>
            <w:r>
              <w:rPr>
                <w:rFonts w:hint="eastAsia"/>
                <w:color w:val="auto"/>
              </w:rPr>
              <w:t>（3）新鲜牛肉：肉色深红、肉质有弹性、指压陷部分立刻恢复、切面有光泽及微湿润，极小渗出物、具有浓郁的牛肉气味、脂肪白色或乳白色、无寄生虫、无注水，无禽流感病毒。</w:t>
            </w:r>
          </w:p>
          <w:p w14:paraId="70050484">
            <w:pPr>
              <w:spacing w:after="0" w:line="360" w:lineRule="auto"/>
              <w:rPr>
                <w:rFonts w:hint="eastAsia"/>
                <w:color w:val="auto"/>
              </w:rPr>
            </w:pPr>
            <w:r>
              <w:rPr>
                <w:rFonts w:hint="eastAsia"/>
                <w:color w:val="auto"/>
              </w:rPr>
              <w:t>（4）新鲜羊肉：肉色鲜红而且均匀，有光泽，肉细而紧密，有弹性，外表略干，不粘手，气味新鲜，无其他异味。</w:t>
            </w:r>
          </w:p>
          <w:p w14:paraId="02CEFE22">
            <w:pPr>
              <w:spacing w:after="0" w:line="360" w:lineRule="auto"/>
              <w:rPr>
                <w:rFonts w:hint="eastAsia"/>
                <w:color w:val="auto"/>
              </w:rPr>
            </w:pPr>
            <w:r>
              <w:rPr>
                <w:rFonts w:hint="eastAsia"/>
                <w:color w:val="auto"/>
              </w:rPr>
              <w:t>（5）其它肉类根据市场肉类情况调整品种。</w:t>
            </w:r>
          </w:p>
          <w:p w14:paraId="5BDAC35A">
            <w:pPr>
              <w:spacing w:line="360" w:lineRule="auto"/>
              <w:rPr>
                <w:rFonts w:hint="eastAsia"/>
                <w:color w:val="auto"/>
              </w:rPr>
            </w:pPr>
            <w:r>
              <w:rPr>
                <w:rFonts w:hint="eastAsia"/>
                <w:color w:val="auto"/>
              </w:rPr>
              <w:t>▲</w:t>
            </w:r>
            <w:r>
              <w:rPr>
                <w:rFonts w:hint="eastAsia"/>
                <w:color w:val="auto"/>
                <w:lang w:eastAsia="zh-CN"/>
              </w:rPr>
              <w:t>（</w:t>
            </w:r>
            <w:r>
              <w:rPr>
                <w:rFonts w:hint="eastAsia"/>
                <w:color w:val="auto"/>
                <w:lang w:val="en-US" w:eastAsia="zh-CN"/>
              </w:rPr>
              <w:t>6</w:t>
            </w:r>
            <w:r>
              <w:rPr>
                <w:rFonts w:hint="eastAsia"/>
                <w:color w:val="auto"/>
                <w:lang w:eastAsia="zh-CN"/>
              </w:rPr>
              <w:t>）</w:t>
            </w:r>
            <w:r>
              <w:rPr>
                <w:rFonts w:hint="eastAsia"/>
                <w:color w:val="auto"/>
              </w:rPr>
              <w:t>质量要求：</w:t>
            </w:r>
            <w:r>
              <w:rPr>
                <w:color w:val="auto"/>
              </w:rPr>
              <w:t>符合国家新的食品安全法的标准和要求，</w:t>
            </w:r>
            <w:r>
              <w:rPr>
                <w:rFonts w:hint="eastAsia"/>
                <w:color w:val="auto"/>
              </w:rPr>
              <w:t>保证优质、安全可靠，冷藏状态下配送，配送时出具相应的肉品品质检验证和动物检疫合格证明肉类必须是屠宰的新鲜肉。</w:t>
            </w:r>
          </w:p>
          <w:p w14:paraId="713DFD4D">
            <w:pPr>
              <w:spacing w:line="360" w:lineRule="auto"/>
              <w:rPr>
                <w:rFonts w:hint="eastAsia" w:ascii="宋体" w:hAnsi="宋体"/>
                <w:bCs/>
                <w:color w:val="auto"/>
                <w:kern w:val="0"/>
              </w:rPr>
            </w:pPr>
            <w:r>
              <w:rPr>
                <w:rFonts w:hint="eastAsia" w:ascii="宋体" w:hAnsi="宋体"/>
                <w:bCs/>
                <w:color w:val="auto"/>
                <w:kern w:val="0"/>
              </w:rPr>
              <w:t>▲（7）配送</w:t>
            </w:r>
            <w:r>
              <w:rPr>
                <w:rFonts w:ascii="宋体" w:hAnsi="宋体"/>
                <w:bCs/>
                <w:color w:val="auto"/>
                <w:kern w:val="0"/>
              </w:rPr>
              <w:t>频率：每天配送</w:t>
            </w:r>
            <w:r>
              <w:rPr>
                <w:rFonts w:hint="eastAsia" w:ascii="宋体" w:hAnsi="宋体"/>
                <w:bCs/>
                <w:color w:val="auto"/>
                <w:kern w:val="0"/>
              </w:rPr>
              <w:t>。</w:t>
            </w:r>
          </w:p>
          <w:p w14:paraId="210B56A8">
            <w:pPr>
              <w:spacing w:line="360" w:lineRule="auto"/>
              <w:rPr>
                <w:rFonts w:hint="eastAsia" w:eastAsia="宋体"/>
                <w:b/>
                <w:bCs/>
                <w:color w:val="auto"/>
                <w:lang w:eastAsia="zh-CN"/>
              </w:rPr>
            </w:pPr>
            <w:r>
              <w:rPr>
                <w:rFonts w:hint="eastAsia"/>
                <w:b/>
                <w:bCs/>
                <w:color w:val="auto"/>
              </w:rPr>
              <w:t>3、禽蛋类配送服务内容</w:t>
            </w:r>
            <w:r>
              <w:rPr>
                <w:rFonts w:hint="eastAsia"/>
                <w:b/>
                <w:bCs/>
                <w:color w:val="auto"/>
                <w:lang w:eastAsia="zh-CN"/>
              </w:rPr>
              <w:t>：</w:t>
            </w:r>
          </w:p>
          <w:p w14:paraId="0F7D83A7">
            <w:pPr>
              <w:spacing w:after="0" w:line="360" w:lineRule="auto"/>
              <w:rPr>
                <w:rFonts w:hint="eastAsia"/>
                <w:color w:val="auto"/>
              </w:rPr>
            </w:pPr>
            <w:r>
              <w:rPr>
                <w:rFonts w:hint="eastAsia"/>
                <w:color w:val="auto"/>
              </w:rPr>
              <w:t>（1）新鲜鸡肉：眼球饱满、鸡肚内无一切内脏。皮肤有光泽，因品种不同而呈淡黄、淡红、灰白或灰黑等色。肌肉切而发光、外表微干或微湿润、不粘手、指压后的凹陷立即恢复。具有鲜鸡肉正常气味，淤血斑无或极少，无打水症状、无破皮、鸡的翼部或鸡关节，不能有骨折或因骨折破皮而使骨头外露，无禽流感病毒。</w:t>
            </w:r>
          </w:p>
          <w:p w14:paraId="3D142967">
            <w:pPr>
              <w:spacing w:after="0" w:line="360" w:lineRule="auto"/>
              <w:rPr>
                <w:rFonts w:hint="eastAsia"/>
                <w:color w:val="auto"/>
              </w:rPr>
            </w:pPr>
            <w:r>
              <w:rPr>
                <w:rFonts w:hint="eastAsia"/>
                <w:color w:val="auto"/>
              </w:rPr>
              <w:t>（2）新鲜鸭肉：表皮光滑而有光泽、肉质弹性好且丰满、表皮无毛或少毛、无破皮、无花皮、无显眼淤块；无注水、肚内无一切内脏、 无血水、无异味，无禽流感病毒。</w:t>
            </w:r>
          </w:p>
          <w:p w14:paraId="00DBDE6B">
            <w:pPr>
              <w:spacing w:after="0" w:line="360" w:lineRule="auto"/>
              <w:rPr>
                <w:rFonts w:hint="eastAsia"/>
                <w:color w:val="auto"/>
              </w:rPr>
            </w:pPr>
            <w:r>
              <w:rPr>
                <w:rFonts w:hint="eastAsia"/>
                <w:color w:val="auto"/>
              </w:rPr>
              <w:t>（3）蛋类：优质，产品符合国家食品安全要求，证照齐全，品质新鲜、清洁干燥、外壳坚固无破损完整，色泽自然有光泽, 不得来自疫区；</w:t>
            </w:r>
          </w:p>
          <w:p w14:paraId="760725AA">
            <w:pPr>
              <w:spacing w:after="0" w:line="360" w:lineRule="auto"/>
              <w:rPr>
                <w:rFonts w:hint="eastAsia"/>
                <w:color w:val="auto"/>
              </w:rPr>
            </w:pPr>
            <w:r>
              <w:rPr>
                <w:rFonts w:hint="eastAsia"/>
                <w:color w:val="auto"/>
              </w:rPr>
              <w:t>（4）其它根据市场情况调整品种；</w:t>
            </w:r>
          </w:p>
          <w:p w14:paraId="7A5661B8">
            <w:pPr>
              <w:spacing w:after="0" w:line="360" w:lineRule="auto"/>
              <w:rPr>
                <w:rFonts w:hint="eastAsia"/>
                <w:color w:val="auto"/>
              </w:rPr>
            </w:pPr>
            <w:r>
              <w:rPr>
                <w:rFonts w:hint="eastAsia"/>
                <w:color w:val="auto"/>
              </w:rPr>
              <w:t>▲</w:t>
            </w:r>
            <w:r>
              <w:rPr>
                <w:rFonts w:hint="eastAsia"/>
                <w:color w:val="auto"/>
                <w:lang w:eastAsia="zh-CN"/>
              </w:rPr>
              <w:t>（</w:t>
            </w:r>
            <w:r>
              <w:rPr>
                <w:rFonts w:hint="eastAsia"/>
                <w:color w:val="auto"/>
                <w:lang w:val="en-US" w:eastAsia="zh-CN"/>
              </w:rPr>
              <w:t>5</w:t>
            </w:r>
            <w:r>
              <w:rPr>
                <w:rFonts w:hint="eastAsia"/>
                <w:color w:val="auto"/>
                <w:lang w:eastAsia="zh-CN"/>
              </w:rPr>
              <w:t>）</w:t>
            </w:r>
            <w:r>
              <w:rPr>
                <w:rFonts w:hint="eastAsia"/>
                <w:color w:val="auto"/>
              </w:rPr>
              <w:t>质量要求：符合国家新的食品安全法的标准和要求，保证优质、安全可靠，肉类冷藏状态下配送，配送时出具相应的动物检疫合格证明，肉类必须是屠宰的新鲜肉。</w:t>
            </w:r>
          </w:p>
          <w:p w14:paraId="640C1020">
            <w:pPr>
              <w:spacing w:line="360" w:lineRule="auto"/>
              <w:rPr>
                <w:rFonts w:hint="eastAsia" w:ascii="宋体" w:hAnsi="宋体"/>
                <w:bCs/>
                <w:color w:val="auto"/>
                <w:kern w:val="0"/>
              </w:rPr>
            </w:pPr>
            <w:r>
              <w:rPr>
                <w:rFonts w:hint="eastAsia" w:ascii="宋体" w:hAnsi="宋体"/>
                <w:bCs/>
                <w:color w:val="auto"/>
                <w:kern w:val="0"/>
              </w:rPr>
              <w:t>▲（6）配送</w:t>
            </w:r>
            <w:r>
              <w:rPr>
                <w:rFonts w:ascii="宋体" w:hAnsi="宋体"/>
                <w:bCs/>
                <w:color w:val="auto"/>
                <w:kern w:val="0"/>
              </w:rPr>
              <w:t>频率：每天配送</w:t>
            </w:r>
            <w:r>
              <w:rPr>
                <w:rFonts w:hint="eastAsia" w:ascii="宋体" w:hAnsi="宋体"/>
                <w:bCs/>
                <w:color w:val="auto"/>
                <w:kern w:val="0"/>
              </w:rPr>
              <w:t>。</w:t>
            </w:r>
          </w:p>
          <w:p w14:paraId="17551EE5">
            <w:pPr>
              <w:spacing w:line="360" w:lineRule="auto"/>
              <w:rPr>
                <w:b/>
                <w:bCs/>
                <w:color w:val="auto"/>
              </w:rPr>
            </w:pPr>
            <w:r>
              <w:rPr>
                <w:rFonts w:hint="eastAsia"/>
                <w:b/>
                <w:bCs/>
                <w:color w:val="auto"/>
              </w:rPr>
              <w:t>4、冻品类配送服务内容：</w:t>
            </w:r>
          </w:p>
          <w:p w14:paraId="0F7AD769">
            <w:pPr>
              <w:spacing w:after="0" w:line="360" w:lineRule="auto"/>
              <w:rPr>
                <w:rFonts w:hint="eastAsia" w:ascii="宋体" w:hAnsi="宋体" w:cs="宋体"/>
                <w:bCs/>
                <w:color w:val="auto"/>
                <w:kern w:val="0"/>
              </w:rPr>
            </w:pPr>
            <w:r>
              <w:rPr>
                <w:rFonts w:hint="eastAsia" w:ascii="宋体" w:hAnsi="宋体" w:cs="宋体"/>
                <w:bCs/>
                <w:color w:val="auto"/>
                <w:kern w:val="0"/>
              </w:rPr>
              <w:t>（1）冻猪肉：</w:t>
            </w:r>
            <w:r>
              <w:rPr>
                <w:rFonts w:hint="eastAsia" w:ascii="宋体" w:hAnsi="宋体" w:cs="宋体"/>
                <w:color w:val="auto"/>
                <w:kern w:val="0"/>
              </w:rPr>
              <w:t>肉类解冻后，色泽正常，无霉点、肉质紧密、坚实，不黏手，无异味；</w:t>
            </w:r>
          </w:p>
          <w:p w14:paraId="7C47C31C">
            <w:pPr>
              <w:spacing w:after="0" w:line="360" w:lineRule="auto"/>
              <w:rPr>
                <w:rFonts w:hint="eastAsia" w:ascii="宋体" w:hAnsi="宋体" w:cs="宋体"/>
                <w:color w:val="auto"/>
                <w:kern w:val="0"/>
              </w:rPr>
            </w:pPr>
            <w:r>
              <w:rPr>
                <w:rFonts w:hint="eastAsia" w:ascii="宋体" w:hAnsi="宋体" w:cs="宋体"/>
                <w:bCs/>
                <w:color w:val="auto"/>
                <w:kern w:val="0"/>
              </w:rPr>
              <w:t>（2）冻鸡肉：去毛干净，无内脏，</w:t>
            </w:r>
            <w:r>
              <w:rPr>
                <w:rFonts w:hint="eastAsia" w:ascii="宋体" w:hAnsi="宋体" w:cs="宋体"/>
                <w:color w:val="auto"/>
                <w:kern w:val="0"/>
              </w:rPr>
              <w:t>解冻后，色泽正常，无霉点、肉质紧密、坚实，不黏手，无异味；</w:t>
            </w:r>
          </w:p>
          <w:p w14:paraId="6F265AFD">
            <w:pPr>
              <w:spacing w:after="0" w:line="360" w:lineRule="auto"/>
              <w:rPr>
                <w:rFonts w:hint="eastAsia" w:ascii="宋体" w:hAnsi="宋体" w:cs="宋体"/>
                <w:color w:val="auto"/>
                <w:kern w:val="0"/>
              </w:rPr>
            </w:pPr>
            <w:r>
              <w:rPr>
                <w:rFonts w:hint="eastAsia" w:ascii="宋体" w:hAnsi="宋体" w:cs="宋体"/>
                <w:color w:val="auto"/>
                <w:kern w:val="0"/>
              </w:rPr>
              <w:t>（3）牛肉丸：新鲜、无异味，不是病毒牛肉做成的制品，包装完整，注册商标、厂名、厂址、质量等级、重量、SC证号等各类标识清楚；</w:t>
            </w:r>
          </w:p>
          <w:p w14:paraId="74790CE5">
            <w:pPr>
              <w:spacing w:after="0" w:line="360" w:lineRule="auto"/>
              <w:rPr>
                <w:rFonts w:hint="eastAsia" w:ascii="宋体" w:hAnsi="宋体" w:cs="宋体"/>
                <w:color w:val="auto"/>
                <w:kern w:val="0"/>
              </w:rPr>
            </w:pPr>
            <w:r>
              <w:rPr>
                <w:rFonts w:hint="eastAsia" w:ascii="宋体" w:hAnsi="宋体" w:cs="宋体"/>
                <w:color w:val="auto"/>
                <w:kern w:val="0"/>
              </w:rPr>
              <w:t>（4）鱼丸：包装完整，注册商标、厂名、厂址、质量等级、重量、SC证号等各类标识清楚；</w:t>
            </w:r>
          </w:p>
          <w:p w14:paraId="459361DF">
            <w:pPr>
              <w:spacing w:after="0" w:line="360" w:lineRule="auto"/>
              <w:rPr>
                <w:rFonts w:hint="eastAsia" w:ascii="宋体" w:hAnsi="宋体"/>
                <w:bCs/>
                <w:color w:val="auto"/>
                <w:kern w:val="0"/>
              </w:rPr>
            </w:pPr>
            <w:r>
              <w:rPr>
                <w:rFonts w:hint="eastAsia" w:ascii="宋体" w:hAnsi="宋体"/>
                <w:bCs/>
                <w:color w:val="auto"/>
                <w:kern w:val="0"/>
              </w:rPr>
              <w:t>（5）其他预包装半加工的冷冻食品：包装要有生产日期标识，且包装标识必须符合国家法定标准并有质量安全标识。</w:t>
            </w:r>
          </w:p>
          <w:p w14:paraId="2112BFEC">
            <w:pPr>
              <w:spacing w:line="360" w:lineRule="auto"/>
              <w:rPr>
                <w:rFonts w:hint="eastAsia" w:ascii="宋体" w:hAnsi="宋体"/>
                <w:bCs/>
                <w:color w:val="auto"/>
                <w:kern w:val="0"/>
              </w:rPr>
            </w:pPr>
            <w:r>
              <w:rPr>
                <w:rFonts w:hint="eastAsia" w:ascii="宋体" w:hAnsi="宋体"/>
                <w:b/>
                <w:bCs/>
                <w:color w:val="auto"/>
              </w:rPr>
              <w:t>▲</w:t>
            </w:r>
            <w:r>
              <w:rPr>
                <w:rFonts w:hint="eastAsia" w:ascii="宋体" w:hAnsi="宋体"/>
                <w:bCs/>
                <w:color w:val="auto"/>
                <w:kern w:val="0"/>
                <w:lang w:eastAsia="zh-CN"/>
              </w:rPr>
              <w:t>（</w:t>
            </w:r>
            <w:r>
              <w:rPr>
                <w:rFonts w:hint="eastAsia" w:ascii="宋体" w:hAnsi="宋体"/>
                <w:bCs/>
                <w:color w:val="auto"/>
                <w:kern w:val="0"/>
                <w:lang w:val="en-US" w:eastAsia="zh-CN"/>
              </w:rPr>
              <w:t>6</w:t>
            </w:r>
            <w:r>
              <w:rPr>
                <w:rFonts w:hint="eastAsia" w:ascii="宋体" w:hAnsi="宋体"/>
                <w:bCs/>
                <w:color w:val="auto"/>
                <w:kern w:val="0"/>
                <w:lang w:eastAsia="zh-CN"/>
              </w:rPr>
              <w:t>）</w:t>
            </w:r>
            <w:r>
              <w:rPr>
                <w:rFonts w:hint="eastAsia" w:ascii="宋体" w:hAnsi="宋体"/>
                <w:bCs/>
                <w:color w:val="auto"/>
                <w:kern w:val="0"/>
              </w:rPr>
              <w:t>质量要求：必须符合国家相关食品安全卫生标准，保持较好的外观，达到合格的等级，供货时的剩余保质期不少于三分之二，冷藏状态下配送，每批次配送时必须提供对应批次食材原材料检测报告。</w:t>
            </w:r>
          </w:p>
          <w:p w14:paraId="3F35A33B">
            <w:pPr>
              <w:spacing w:line="360" w:lineRule="auto"/>
              <w:rPr>
                <w:rFonts w:hint="eastAsia" w:ascii="宋体" w:hAnsi="宋体"/>
                <w:bCs/>
                <w:color w:val="auto"/>
                <w:kern w:val="0"/>
              </w:rPr>
            </w:pPr>
            <w:r>
              <w:rPr>
                <w:rFonts w:hint="eastAsia" w:ascii="宋体" w:hAnsi="宋体"/>
                <w:bCs/>
                <w:color w:val="auto"/>
                <w:kern w:val="0"/>
              </w:rPr>
              <w:t>▲（7）配送</w:t>
            </w:r>
            <w:r>
              <w:rPr>
                <w:rFonts w:ascii="宋体" w:hAnsi="宋体"/>
                <w:bCs/>
                <w:color w:val="auto"/>
                <w:kern w:val="0"/>
              </w:rPr>
              <w:t>频率：</w:t>
            </w:r>
            <w:r>
              <w:rPr>
                <w:rFonts w:hint="eastAsia" w:ascii="宋体" w:hAnsi="宋体"/>
                <w:bCs/>
                <w:color w:val="auto"/>
                <w:kern w:val="0"/>
              </w:rPr>
              <w:t>按采购</w:t>
            </w:r>
            <w:r>
              <w:rPr>
                <w:rFonts w:ascii="宋体" w:hAnsi="宋体"/>
                <w:bCs/>
                <w:color w:val="auto"/>
                <w:kern w:val="0"/>
              </w:rPr>
              <w:t>人</w:t>
            </w:r>
            <w:r>
              <w:rPr>
                <w:rFonts w:hint="eastAsia" w:ascii="宋体" w:hAnsi="宋体"/>
                <w:bCs/>
                <w:color w:val="auto"/>
                <w:kern w:val="0"/>
              </w:rPr>
              <w:t>要求</w:t>
            </w:r>
            <w:r>
              <w:rPr>
                <w:rFonts w:ascii="宋体" w:hAnsi="宋体"/>
                <w:bCs/>
                <w:color w:val="auto"/>
                <w:kern w:val="0"/>
              </w:rPr>
              <w:t>配送</w:t>
            </w:r>
            <w:r>
              <w:rPr>
                <w:rFonts w:hint="eastAsia" w:ascii="宋体" w:hAnsi="宋体"/>
                <w:bCs/>
                <w:color w:val="auto"/>
                <w:kern w:val="0"/>
              </w:rPr>
              <w:t>。</w:t>
            </w:r>
          </w:p>
          <w:p w14:paraId="5195EE4B">
            <w:pPr>
              <w:spacing w:line="360" w:lineRule="auto"/>
              <w:rPr>
                <w:rFonts w:hint="eastAsia"/>
                <w:b/>
                <w:bCs/>
                <w:color w:val="auto"/>
              </w:rPr>
            </w:pPr>
            <w:r>
              <w:rPr>
                <w:rFonts w:hint="eastAsia"/>
                <w:b/>
                <w:bCs/>
                <w:color w:val="auto"/>
              </w:rPr>
              <w:t>5、鲜活水产类配送服务内容：</w:t>
            </w:r>
          </w:p>
          <w:p w14:paraId="6E20F678">
            <w:pPr>
              <w:numPr>
                <w:ilvl w:val="0"/>
                <w:numId w:val="0"/>
              </w:numPr>
              <w:spacing w:after="0" w:line="360" w:lineRule="auto"/>
              <w:rPr>
                <w:rFonts w:hint="eastAsia"/>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新鲜、无病毒、不含有害物质，禁止采购来自受污染的海、江河、湖泊等水域的水产品，其根据市场情况调整品种</w:t>
            </w:r>
          </w:p>
          <w:p w14:paraId="18DC11EA">
            <w:pPr>
              <w:spacing w:after="0" w:line="360" w:lineRule="auto"/>
              <w:rPr>
                <w:rFonts w:hint="eastAsia"/>
                <w:color w:val="auto"/>
              </w:rPr>
            </w:pPr>
            <w:r>
              <w:rPr>
                <w:rFonts w:hint="eastAsia"/>
                <w:color w:val="auto"/>
              </w:rPr>
              <w:t>▲</w:t>
            </w: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rPr>
              <w:t>质量要求：必须符合国家相关食品安全卫生标准和要求</w:t>
            </w:r>
            <w:r>
              <w:rPr>
                <w:rFonts w:hint="eastAsia"/>
                <w:color w:val="auto"/>
                <w:lang w:eastAsia="zh-CN"/>
              </w:rPr>
              <w:t>，</w:t>
            </w:r>
            <w:bookmarkStart w:id="39" w:name="OLE_LINK3"/>
            <w:r>
              <w:rPr>
                <w:rFonts w:hint="eastAsia" w:ascii="宋体" w:hAnsi="宋体"/>
                <w:bCs/>
                <w:color w:val="auto"/>
                <w:kern w:val="0"/>
              </w:rPr>
              <w:t>每批次配送时必须提供对应批次</w:t>
            </w:r>
            <w:r>
              <w:rPr>
                <w:rFonts w:hint="eastAsia" w:ascii="宋体" w:hAnsi="宋体"/>
                <w:bCs/>
                <w:color w:val="auto"/>
                <w:kern w:val="0"/>
                <w:lang w:val="en-US" w:eastAsia="zh-CN"/>
              </w:rPr>
              <w:t>具有相应资质检测机构出具的</w:t>
            </w:r>
            <w:r>
              <w:rPr>
                <w:rFonts w:hint="eastAsia" w:ascii="宋体" w:hAnsi="宋体"/>
                <w:bCs/>
                <w:color w:val="auto"/>
                <w:kern w:val="0"/>
              </w:rPr>
              <w:t>检测报告</w:t>
            </w:r>
            <w:bookmarkEnd w:id="39"/>
            <w:r>
              <w:rPr>
                <w:rFonts w:hint="eastAsia"/>
                <w:color w:val="auto"/>
              </w:rPr>
              <w:t>。需剖杀的鱼要做到鱼鳞刮除干净，去内脏、鱼腮、腹内黑膜。</w:t>
            </w:r>
          </w:p>
          <w:p w14:paraId="6903B7A0">
            <w:pPr>
              <w:spacing w:line="360" w:lineRule="auto"/>
              <w:rPr>
                <w:rFonts w:hint="eastAsia"/>
                <w:color w:val="auto"/>
              </w:rPr>
            </w:pPr>
            <w:r>
              <w:rPr>
                <w:rFonts w:hint="eastAsia" w:ascii="宋体" w:hAnsi="宋体"/>
                <w:bCs/>
                <w:color w:val="auto"/>
                <w:kern w:val="0"/>
              </w:rPr>
              <w:t>▲（3）配送</w:t>
            </w:r>
            <w:r>
              <w:rPr>
                <w:rFonts w:ascii="宋体" w:hAnsi="宋体"/>
                <w:bCs/>
                <w:color w:val="auto"/>
                <w:kern w:val="0"/>
              </w:rPr>
              <w:t>频率：每天配送</w:t>
            </w:r>
            <w:r>
              <w:rPr>
                <w:rFonts w:hint="eastAsia" w:ascii="宋体" w:hAnsi="宋体"/>
                <w:bCs/>
                <w:color w:val="auto"/>
                <w:kern w:val="0"/>
              </w:rPr>
              <w:t>。</w:t>
            </w:r>
          </w:p>
          <w:p w14:paraId="3AF6735F">
            <w:pPr>
              <w:spacing w:line="360" w:lineRule="auto"/>
              <w:rPr>
                <w:rFonts w:hint="eastAsia"/>
                <w:b/>
                <w:bCs/>
                <w:color w:val="auto"/>
              </w:rPr>
            </w:pPr>
            <w:r>
              <w:rPr>
                <w:rFonts w:hint="eastAsia"/>
                <w:b/>
                <w:bCs/>
                <w:color w:val="auto"/>
              </w:rPr>
              <w:t>6、水果类配送服务内容：</w:t>
            </w:r>
          </w:p>
          <w:p w14:paraId="5ACBF37B">
            <w:pPr>
              <w:numPr>
                <w:ilvl w:val="0"/>
                <w:numId w:val="0"/>
              </w:numPr>
              <w:spacing w:after="0" w:line="360" w:lineRule="auto"/>
              <w:rPr>
                <w:rFonts w:hint="eastAsia"/>
                <w:color w:val="auto"/>
                <w:lang w:eastAsia="zh-CN"/>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各类时令水果</w:t>
            </w:r>
            <w:r>
              <w:rPr>
                <w:rFonts w:hint="eastAsia"/>
                <w:color w:val="auto"/>
                <w:lang w:eastAsia="zh-CN"/>
              </w:rPr>
              <w:t>；</w:t>
            </w:r>
          </w:p>
          <w:p w14:paraId="40AA1D6B">
            <w:pPr>
              <w:numPr>
                <w:ilvl w:val="0"/>
                <w:numId w:val="0"/>
              </w:numPr>
              <w:spacing w:after="0" w:line="360" w:lineRule="auto"/>
              <w:rPr>
                <w:rFonts w:hint="eastAsia"/>
                <w:color w:val="auto"/>
              </w:rPr>
            </w:pPr>
            <w:r>
              <w:rPr>
                <w:rFonts w:hint="eastAsia"/>
                <w:color w:val="auto"/>
              </w:rPr>
              <w:t>2.质量要求：</w:t>
            </w:r>
          </w:p>
          <w:p w14:paraId="1C6DED6F">
            <w:pPr>
              <w:spacing w:after="0" w:line="360" w:lineRule="auto"/>
              <w:rPr>
                <w:rFonts w:hint="eastAsia"/>
                <w:color w:val="auto"/>
              </w:rPr>
            </w:pPr>
            <w:r>
              <w:rPr>
                <w:rFonts w:hint="eastAsia"/>
                <w:color w:val="auto"/>
              </w:rPr>
              <w:t>（1）果实结实、有弹性，汁多肉甜味足，手掂重量合理，未失水干缩，柄叶新鲜，果形完整，个体均匀，带本色香味，表皮颜色自然有光泽，无疤痕、变色或受挤压变形、压伤，无虫眼或虫啃咬过的痕迹，无过熟、腐烂现象。</w:t>
            </w:r>
          </w:p>
          <w:p w14:paraId="0A35B191">
            <w:pPr>
              <w:spacing w:after="0" w:line="360" w:lineRule="auto"/>
              <w:rPr>
                <w:rFonts w:hint="eastAsia"/>
                <w:color w:val="auto"/>
              </w:rPr>
            </w:pPr>
            <w:r>
              <w:rPr>
                <w:rFonts w:hint="eastAsia"/>
                <w:color w:val="auto"/>
              </w:rPr>
              <w:t>▲（2）必须符合国家相关食品安全卫生标准和要求</w:t>
            </w:r>
            <w:r>
              <w:rPr>
                <w:rFonts w:hint="eastAsia"/>
                <w:color w:val="auto"/>
                <w:lang w:eastAsia="zh-CN"/>
              </w:rPr>
              <w:t>，</w:t>
            </w:r>
            <w:r>
              <w:rPr>
                <w:rFonts w:hint="eastAsia" w:ascii="宋体" w:hAnsi="宋体"/>
                <w:bCs/>
                <w:color w:val="auto"/>
                <w:kern w:val="0"/>
              </w:rPr>
              <w:t>每批次配送时必须提供对应批次</w:t>
            </w:r>
            <w:r>
              <w:rPr>
                <w:rFonts w:hint="eastAsia" w:ascii="宋体" w:hAnsi="宋体"/>
                <w:bCs/>
                <w:color w:val="auto"/>
                <w:kern w:val="0"/>
                <w:lang w:val="en-US" w:eastAsia="zh-CN"/>
              </w:rPr>
              <w:t>具有相应资质检测机构出具的</w:t>
            </w:r>
            <w:r>
              <w:rPr>
                <w:rFonts w:hint="eastAsia" w:ascii="宋体" w:hAnsi="宋体"/>
                <w:bCs/>
                <w:color w:val="auto"/>
                <w:kern w:val="0"/>
              </w:rPr>
              <w:t>检测报告。</w:t>
            </w:r>
            <w:r>
              <w:rPr>
                <w:rFonts w:hint="eastAsia"/>
                <w:color w:val="auto"/>
              </w:rPr>
              <w:t>。</w:t>
            </w:r>
          </w:p>
          <w:p w14:paraId="6C27920D">
            <w:pPr>
              <w:spacing w:line="360" w:lineRule="auto"/>
              <w:rPr>
                <w:rFonts w:hint="eastAsia" w:ascii="宋体" w:hAnsi="宋体" w:eastAsia="宋体"/>
                <w:bCs/>
                <w:color w:val="auto"/>
                <w:kern w:val="0"/>
                <w:lang w:eastAsia="zh-CN"/>
              </w:rPr>
            </w:pPr>
            <w:r>
              <w:rPr>
                <w:rFonts w:hint="eastAsia" w:ascii="宋体" w:hAnsi="宋体" w:cs="宋体"/>
                <w:color w:val="auto"/>
                <w:szCs w:val="21"/>
              </w:rPr>
              <w:t>▲</w:t>
            </w:r>
            <w:r>
              <w:rPr>
                <w:rFonts w:hint="eastAsia" w:ascii="宋体" w:hAnsi="宋体"/>
                <w:bCs/>
                <w:color w:val="auto"/>
                <w:kern w:val="0"/>
              </w:rPr>
              <w:t>（3）</w:t>
            </w:r>
            <w:r>
              <w:rPr>
                <w:rFonts w:hint="eastAsia"/>
                <w:color w:val="auto"/>
                <w:kern w:val="0"/>
              </w:rPr>
              <w:t>配送</w:t>
            </w:r>
            <w:r>
              <w:rPr>
                <w:color w:val="auto"/>
                <w:kern w:val="0"/>
              </w:rPr>
              <w:t>频率：</w:t>
            </w:r>
            <w:r>
              <w:rPr>
                <w:rFonts w:hint="eastAsia" w:ascii="宋体" w:hAnsi="宋体"/>
                <w:bCs/>
                <w:color w:val="auto"/>
                <w:kern w:val="0"/>
              </w:rPr>
              <w:t>按采购</w:t>
            </w:r>
            <w:r>
              <w:rPr>
                <w:rFonts w:ascii="宋体" w:hAnsi="宋体"/>
                <w:bCs/>
                <w:color w:val="auto"/>
                <w:kern w:val="0"/>
              </w:rPr>
              <w:t>人</w:t>
            </w:r>
            <w:r>
              <w:rPr>
                <w:rFonts w:hint="eastAsia" w:ascii="宋体" w:hAnsi="宋体"/>
                <w:bCs/>
                <w:color w:val="auto"/>
                <w:kern w:val="0"/>
              </w:rPr>
              <w:t>要求</w:t>
            </w:r>
            <w:r>
              <w:rPr>
                <w:rFonts w:ascii="宋体" w:hAnsi="宋体"/>
                <w:bCs/>
                <w:color w:val="auto"/>
                <w:kern w:val="0"/>
              </w:rPr>
              <w:t>配送</w:t>
            </w:r>
            <w:r>
              <w:rPr>
                <w:rFonts w:hint="eastAsia" w:ascii="宋体" w:hAnsi="宋体"/>
                <w:bCs/>
                <w:color w:val="auto"/>
                <w:kern w:val="0"/>
                <w:lang w:eastAsia="zh-CN"/>
              </w:rPr>
              <w:t>。</w:t>
            </w:r>
          </w:p>
          <w:p w14:paraId="4C7DE0FD">
            <w:pPr>
              <w:spacing w:line="360" w:lineRule="auto"/>
              <w:rPr>
                <w:b/>
                <w:bCs/>
                <w:color w:val="auto"/>
              </w:rPr>
            </w:pPr>
            <w:r>
              <w:rPr>
                <w:rFonts w:hint="eastAsia"/>
                <w:b/>
                <w:bCs/>
                <w:color w:val="auto"/>
              </w:rPr>
              <w:t>7、豆类、豆制品类配送服务内容：</w:t>
            </w:r>
          </w:p>
          <w:p w14:paraId="69389EAD">
            <w:pPr>
              <w:spacing w:after="0" w:line="360" w:lineRule="auto"/>
              <w:rPr>
                <w:rFonts w:hint="eastAsia"/>
                <w:color w:val="auto"/>
              </w:rPr>
            </w:pPr>
            <w:r>
              <w:rPr>
                <w:rFonts w:hint="eastAsia"/>
                <w:color w:val="auto"/>
              </w:rPr>
              <w:t>（1）黄豆:色泽为黄色或者淡黄色，脐为黄褐、淡褐。颗粒圆形饱满，无异味，无蛀虫腐烂。</w:t>
            </w:r>
          </w:p>
          <w:p w14:paraId="7A903ED3">
            <w:pPr>
              <w:spacing w:after="0" w:line="360" w:lineRule="auto"/>
              <w:rPr>
                <w:rFonts w:hint="eastAsia"/>
                <w:color w:val="auto"/>
              </w:rPr>
            </w:pPr>
            <w:r>
              <w:rPr>
                <w:rFonts w:hint="eastAsia"/>
                <w:color w:val="auto"/>
              </w:rPr>
              <w:t>（2）绿豆：</w:t>
            </w:r>
            <w:r>
              <w:rPr>
                <w:color w:val="auto"/>
              </w:rPr>
              <w:t>新鲜绿豆颜色呈绿色，陈的则为灰绿色</w:t>
            </w:r>
            <w:r>
              <w:rPr>
                <w:rFonts w:hint="eastAsia"/>
                <w:color w:val="auto"/>
              </w:rPr>
              <w:t>，</w:t>
            </w:r>
            <w:r>
              <w:rPr>
                <w:color w:val="auto"/>
              </w:rPr>
              <w:t>无杂质、碎末、生虫的现象</w:t>
            </w:r>
            <w:r>
              <w:rPr>
                <w:rFonts w:hint="eastAsia"/>
                <w:color w:val="auto"/>
              </w:rPr>
              <w:t>。颗粒圆形饱满，无异味，无蛀虫腐烂。</w:t>
            </w:r>
          </w:p>
          <w:p w14:paraId="08FDB173">
            <w:pPr>
              <w:spacing w:after="0" w:line="360" w:lineRule="auto"/>
              <w:rPr>
                <w:rFonts w:hint="eastAsia"/>
                <w:color w:val="auto"/>
              </w:rPr>
            </w:pPr>
            <w:r>
              <w:rPr>
                <w:rFonts w:hint="eastAsia"/>
                <w:color w:val="auto"/>
              </w:rPr>
              <w:t>（3）豆制品类</w:t>
            </w:r>
          </w:p>
          <w:p w14:paraId="4354FC76">
            <w:pPr>
              <w:spacing w:after="0" w:line="360" w:lineRule="auto"/>
              <w:rPr>
                <w:rFonts w:hint="eastAsia"/>
                <w:color w:val="auto"/>
              </w:rPr>
            </w:pPr>
            <w:r>
              <w:rPr>
                <w:rFonts w:hint="eastAsia"/>
                <w:color w:val="auto"/>
              </w:rPr>
              <w:t>1）豆腐：色泽洁白，形态完整，质地细腻，有弹性，无酸味，无卤味，水分适度。</w:t>
            </w:r>
          </w:p>
          <w:p w14:paraId="6CD2E4BD">
            <w:pPr>
              <w:spacing w:after="0" w:line="360" w:lineRule="auto"/>
              <w:rPr>
                <w:rFonts w:hint="eastAsia"/>
                <w:color w:val="auto"/>
              </w:rPr>
            </w:pPr>
            <w:r>
              <w:rPr>
                <w:rFonts w:hint="eastAsia"/>
                <w:color w:val="auto"/>
              </w:rPr>
              <w:t>2）豆腐丝、豆腐干、豆腐泡：表面清爽无粘液，无酸味、霉变。</w:t>
            </w:r>
          </w:p>
          <w:p w14:paraId="5BAEA543">
            <w:pPr>
              <w:spacing w:after="0" w:line="360" w:lineRule="auto"/>
              <w:rPr>
                <w:rFonts w:hint="eastAsia"/>
                <w:color w:val="auto"/>
              </w:rPr>
            </w:pPr>
            <w:r>
              <w:rPr>
                <w:rFonts w:hint="eastAsia"/>
                <w:color w:val="auto"/>
              </w:rPr>
              <w:t>3）干豆腐：产品符合国家食品安全要求，新鲜，无异味，无腐烂；</w:t>
            </w:r>
          </w:p>
          <w:p w14:paraId="2F85B97A">
            <w:pPr>
              <w:spacing w:after="0" w:line="360" w:lineRule="auto"/>
              <w:rPr>
                <w:rFonts w:hint="eastAsia"/>
                <w:color w:val="auto"/>
              </w:rPr>
            </w:pPr>
            <w:r>
              <w:rPr>
                <w:rFonts w:hint="eastAsia"/>
                <w:color w:val="auto"/>
              </w:rPr>
              <w:t>4）油片：产品符合国家食品安全要求，新鲜，无异味，无腐烂；</w:t>
            </w:r>
          </w:p>
          <w:p w14:paraId="42CDB4CF">
            <w:pPr>
              <w:spacing w:after="0" w:line="360" w:lineRule="auto"/>
              <w:rPr>
                <w:rFonts w:hint="eastAsia"/>
                <w:color w:val="auto"/>
              </w:rPr>
            </w:pPr>
            <w:r>
              <w:rPr>
                <w:rFonts w:hint="eastAsia"/>
                <w:color w:val="auto"/>
              </w:rPr>
              <w:t>5）油果：产品符合国家食品安全要求，新鲜，无异味，无腐烂。</w:t>
            </w:r>
          </w:p>
          <w:p w14:paraId="23CB7B26">
            <w:pPr>
              <w:spacing w:after="0" w:line="360" w:lineRule="auto"/>
              <w:jc w:val="left"/>
              <w:rPr>
                <w:rFonts w:hint="eastAsia"/>
                <w:color w:val="auto"/>
              </w:rPr>
            </w:pPr>
            <w:r>
              <w:rPr>
                <w:rFonts w:hint="eastAsia"/>
                <w:color w:val="auto"/>
              </w:rPr>
              <w:t>▲</w:t>
            </w:r>
            <w:r>
              <w:rPr>
                <w:rFonts w:hint="eastAsia"/>
                <w:color w:val="auto"/>
                <w:lang w:eastAsia="zh-CN"/>
              </w:rPr>
              <w:t>（</w:t>
            </w:r>
            <w:r>
              <w:rPr>
                <w:rFonts w:hint="eastAsia"/>
                <w:color w:val="auto"/>
                <w:lang w:val="en-US" w:eastAsia="zh-CN"/>
              </w:rPr>
              <w:t>4</w:t>
            </w:r>
            <w:r>
              <w:rPr>
                <w:rFonts w:hint="eastAsia"/>
                <w:color w:val="auto"/>
                <w:lang w:eastAsia="zh-CN"/>
              </w:rPr>
              <w:t>）</w:t>
            </w:r>
            <w:r>
              <w:rPr>
                <w:rFonts w:hint="eastAsia"/>
                <w:color w:val="auto"/>
              </w:rPr>
              <w:t>质量要求：符合国家食品安全法规定标准。豆制品类必须具有食品生产许可证和产品合格证，供货时的剩余保质期不少于三分之二。</w:t>
            </w:r>
          </w:p>
          <w:p w14:paraId="3EE20AC9">
            <w:pPr>
              <w:spacing w:line="360" w:lineRule="auto"/>
              <w:rPr>
                <w:rFonts w:hint="eastAsia" w:ascii="宋体" w:hAnsi="宋体" w:eastAsia="宋体"/>
                <w:bCs/>
                <w:color w:val="auto"/>
                <w:kern w:val="0"/>
                <w:lang w:eastAsia="zh-CN"/>
              </w:rPr>
            </w:pPr>
            <w:r>
              <w:rPr>
                <w:rFonts w:hint="eastAsia" w:ascii="宋体" w:hAnsi="宋体" w:cs="宋体"/>
                <w:color w:val="auto"/>
                <w:szCs w:val="21"/>
              </w:rPr>
              <w:t>▲</w:t>
            </w:r>
            <w:r>
              <w:rPr>
                <w:rFonts w:hint="eastAsia" w:ascii="宋体" w:hAnsi="宋体"/>
                <w:bCs/>
                <w:color w:val="auto"/>
                <w:kern w:val="0"/>
              </w:rPr>
              <w:t>（5）</w:t>
            </w:r>
            <w:r>
              <w:rPr>
                <w:rFonts w:hint="eastAsia"/>
                <w:color w:val="auto"/>
                <w:kern w:val="0"/>
              </w:rPr>
              <w:t>配送</w:t>
            </w:r>
            <w:r>
              <w:rPr>
                <w:color w:val="auto"/>
                <w:kern w:val="0"/>
              </w:rPr>
              <w:t>频率：</w:t>
            </w:r>
            <w:r>
              <w:rPr>
                <w:rFonts w:hint="eastAsia" w:ascii="宋体" w:hAnsi="宋体"/>
                <w:bCs/>
                <w:color w:val="auto"/>
                <w:kern w:val="0"/>
              </w:rPr>
              <w:t>按采购</w:t>
            </w:r>
            <w:r>
              <w:rPr>
                <w:rFonts w:ascii="宋体" w:hAnsi="宋体"/>
                <w:bCs/>
                <w:color w:val="auto"/>
                <w:kern w:val="0"/>
              </w:rPr>
              <w:t>人</w:t>
            </w:r>
            <w:r>
              <w:rPr>
                <w:rFonts w:hint="eastAsia" w:ascii="宋体" w:hAnsi="宋体"/>
                <w:bCs/>
                <w:color w:val="auto"/>
                <w:kern w:val="0"/>
              </w:rPr>
              <w:t>要求</w:t>
            </w:r>
            <w:r>
              <w:rPr>
                <w:rFonts w:ascii="宋体" w:hAnsi="宋体"/>
                <w:bCs/>
                <w:color w:val="auto"/>
                <w:kern w:val="0"/>
              </w:rPr>
              <w:t>配送</w:t>
            </w:r>
            <w:r>
              <w:rPr>
                <w:rFonts w:hint="eastAsia" w:ascii="宋体" w:hAnsi="宋体"/>
                <w:bCs/>
                <w:color w:val="auto"/>
                <w:kern w:val="0"/>
                <w:lang w:eastAsia="zh-CN"/>
              </w:rPr>
              <w:t>。</w:t>
            </w:r>
          </w:p>
          <w:p w14:paraId="66778DD7">
            <w:pPr>
              <w:spacing w:line="360" w:lineRule="auto"/>
              <w:rPr>
                <w:rFonts w:hint="eastAsia"/>
                <w:b/>
                <w:bCs/>
                <w:color w:val="auto"/>
              </w:rPr>
            </w:pPr>
            <w:r>
              <w:rPr>
                <w:rFonts w:hint="eastAsia"/>
                <w:b/>
                <w:bCs/>
                <w:color w:val="auto"/>
              </w:rPr>
              <w:t>8、调味品配送服务内容：</w:t>
            </w:r>
          </w:p>
          <w:p w14:paraId="38F1E593">
            <w:pPr>
              <w:numPr>
                <w:ilvl w:val="0"/>
                <w:numId w:val="0"/>
              </w:numPr>
              <w:spacing w:after="0" w:line="360" w:lineRule="auto"/>
              <w:rPr>
                <w:rFonts w:hint="eastAsia"/>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生抽、老抽、蚝油、盐、白糖、</w:t>
            </w:r>
            <w:r>
              <w:rPr>
                <w:rFonts w:hint="eastAsia"/>
                <w:color w:val="auto"/>
                <w:lang w:val="en-US" w:eastAsia="zh-CN"/>
              </w:rPr>
              <w:t>黄糖片、</w:t>
            </w:r>
            <w:r>
              <w:rPr>
                <w:rFonts w:hint="eastAsia"/>
                <w:color w:val="auto"/>
              </w:rPr>
              <w:t>白醋、鸡精、辣椒酱、豆瓣酱、生粉、腐乳、陈醋、麻辣酱、十三香、米酒等日常调味品。</w:t>
            </w:r>
          </w:p>
          <w:p w14:paraId="2784B802">
            <w:pPr>
              <w:spacing w:after="0" w:line="360" w:lineRule="auto"/>
              <w:rPr>
                <w:rFonts w:hint="eastAsia"/>
                <w:color w:val="auto"/>
              </w:rPr>
            </w:pPr>
            <w:r>
              <w:rPr>
                <w:rFonts w:hint="eastAsia"/>
                <w:color w:val="auto"/>
              </w:rPr>
              <w:t>▲</w:t>
            </w: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rPr>
              <w:t>质量要求：</w:t>
            </w:r>
          </w:p>
          <w:p w14:paraId="1DA3F2E3">
            <w:pPr>
              <w:spacing w:after="0" w:line="360" w:lineRule="auto"/>
              <w:rPr>
                <w:rFonts w:hint="eastAsia"/>
                <w:color w:val="auto"/>
              </w:rPr>
            </w:pPr>
            <w:r>
              <w:rPr>
                <w:rFonts w:hint="eastAsia"/>
                <w:color w:val="auto"/>
                <w:lang w:val="en-US" w:eastAsia="zh-CN"/>
              </w:rPr>
              <w:t>1</w:t>
            </w:r>
            <w:r>
              <w:rPr>
                <w:rFonts w:hint="eastAsia"/>
                <w:color w:val="auto"/>
                <w:lang w:eastAsia="zh-CN"/>
              </w:rPr>
              <w:t>）</w:t>
            </w:r>
            <w:r>
              <w:rPr>
                <w:rFonts w:hint="eastAsia"/>
                <w:color w:val="auto"/>
              </w:rPr>
              <w:t>必须符合现行行业、地方、企业及国家质量、卫生、安全标准，有SC食品生产许可证编号；</w:t>
            </w:r>
          </w:p>
          <w:p w14:paraId="4A4BAAC6">
            <w:pPr>
              <w:spacing w:after="0" w:line="360" w:lineRule="auto"/>
              <w:rPr>
                <w:rFonts w:hint="eastAsia"/>
                <w:color w:val="auto"/>
              </w:rPr>
            </w:pPr>
            <w:r>
              <w:rPr>
                <w:rFonts w:hint="eastAsia"/>
                <w:color w:val="auto"/>
              </w:rPr>
              <w:t>2</w:t>
            </w:r>
            <w:r>
              <w:rPr>
                <w:rFonts w:hint="eastAsia"/>
                <w:color w:val="auto"/>
                <w:lang w:eastAsia="zh-CN"/>
              </w:rPr>
              <w:t>）</w:t>
            </w:r>
            <w:r>
              <w:rPr>
                <w:rFonts w:hint="eastAsia"/>
                <w:color w:val="auto"/>
              </w:rPr>
              <w:t>品质良好，包装完好、产品供货时的剩余保质期不少于三分之二；</w:t>
            </w:r>
          </w:p>
          <w:p w14:paraId="21295AF6">
            <w:pPr>
              <w:spacing w:after="0" w:line="360" w:lineRule="auto"/>
              <w:rPr>
                <w:rFonts w:hint="eastAsia"/>
                <w:color w:val="auto"/>
              </w:rPr>
            </w:pPr>
            <w:r>
              <w:rPr>
                <w:rFonts w:hint="eastAsia"/>
                <w:color w:val="auto"/>
              </w:rPr>
              <w:t>3</w:t>
            </w:r>
            <w:r>
              <w:rPr>
                <w:rFonts w:hint="eastAsia"/>
                <w:color w:val="auto"/>
                <w:lang w:eastAsia="zh-CN"/>
              </w:rPr>
              <w:t>）</w:t>
            </w:r>
            <w:r>
              <w:rPr>
                <w:rFonts w:hint="eastAsia"/>
                <w:color w:val="auto"/>
              </w:rPr>
              <w:t>无发霉变质。</w:t>
            </w:r>
          </w:p>
          <w:p w14:paraId="7C72B1BE">
            <w:pPr>
              <w:spacing w:line="360" w:lineRule="auto"/>
              <w:rPr>
                <w:color w:val="auto"/>
              </w:rPr>
            </w:pPr>
            <w:r>
              <w:rPr>
                <w:rFonts w:hint="eastAsia"/>
                <w:color w:val="auto"/>
                <w:lang w:val="en-US" w:eastAsia="zh-CN"/>
              </w:rPr>
              <w:t>4）</w:t>
            </w:r>
            <w:r>
              <w:rPr>
                <w:rFonts w:hint="eastAsia" w:ascii="Times New Roman" w:hAnsi="Times New Roman"/>
                <w:bCs w:val="0"/>
                <w:color w:val="auto"/>
                <w:kern w:val="2"/>
              </w:rPr>
              <w:t>每批次配送时必须提供对应批次</w:t>
            </w:r>
            <w:r>
              <w:rPr>
                <w:rFonts w:hint="eastAsia" w:ascii="Times New Roman" w:hAnsi="Times New Roman"/>
                <w:bCs w:val="0"/>
                <w:color w:val="auto"/>
                <w:kern w:val="2"/>
                <w:lang w:val="en-US" w:eastAsia="zh-CN"/>
              </w:rPr>
              <w:t>具有相应资质检测机构出具的</w:t>
            </w:r>
            <w:r>
              <w:rPr>
                <w:rFonts w:hint="eastAsia" w:ascii="Times New Roman" w:hAnsi="Times New Roman"/>
                <w:bCs w:val="0"/>
                <w:color w:val="auto"/>
                <w:kern w:val="2"/>
              </w:rPr>
              <w:t>检测报告。</w:t>
            </w:r>
          </w:p>
          <w:p w14:paraId="445A7A01">
            <w:pPr>
              <w:spacing w:line="360" w:lineRule="auto"/>
              <w:rPr>
                <w:rFonts w:hint="eastAsia" w:eastAsia="宋体"/>
                <w:color w:val="auto"/>
                <w:kern w:val="0"/>
                <w:lang w:eastAsia="zh-CN"/>
              </w:rPr>
            </w:pPr>
            <w:r>
              <w:rPr>
                <w:rFonts w:hint="eastAsia" w:ascii="宋体" w:hAnsi="宋体" w:cs="宋体"/>
                <w:color w:val="auto"/>
                <w:szCs w:val="21"/>
              </w:rPr>
              <w:t>▲</w:t>
            </w:r>
            <w:r>
              <w:rPr>
                <w:rFonts w:hint="eastAsia" w:ascii="宋体" w:hAnsi="宋体"/>
                <w:bCs/>
                <w:color w:val="auto"/>
                <w:kern w:val="0"/>
              </w:rPr>
              <w:t>（3）</w:t>
            </w:r>
            <w:r>
              <w:rPr>
                <w:rFonts w:hint="eastAsia"/>
                <w:color w:val="auto"/>
                <w:kern w:val="0"/>
              </w:rPr>
              <w:t>配送</w:t>
            </w:r>
            <w:r>
              <w:rPr>
                <w:color w:val="auto"/>
                <w:kern w:val="0"/>
              </w:rPr>
              <w:t>频率：</w:t>
            </w:r>
            <w:r>
              <w:rPr>
                <w:rFonts w:hint="eastAsia"/>
                <w:color w:val="auto"/>
                <w:kern w:val="0"/>
              </w:rPr>
              <w:t>按采购</w:t>
            </w:r>
            <w:r>
              <w:rPr>
                <w:color w:val="auto"/>
                <w:kern w:val="0"/>
              </w:rPr>
              <w:t>人</w:t>
            </w:r>
            <w:r>
              <w:rPr>
                <w:rFonts w:hint="eastAsia"/>
                <w:color w:val="auto"/>
                <w:kern w:val="0"/>
              </w:rPr>
              <w:t>要求</w:t>
            </w:r>
            <w:r>
              <w:rPr>
                <w:color w:val="auto"/>
                <w:kern w:val="0"/>
              </w:rPr>
              <w:t>配送</w:t>
            </w:r>
            <w:r>
              <w:rPr>
                <w:rFonts w:hint="eastAsia"/>
                <w:color w:val="auto"/>
                <w:kern w:val="0"/>
                <w:lang w:eastAsia="zh-CN"/>
              </w:rPr>
              <w:t>。</w:t>
            </w:r>
          </w:p>
          <w:p w14:paraId="318FFC2E">
            <w:pPr>
              <w:spacing w:line="360" w:lineRule="auto"/>
              <w:rPr>
                <w:color w:val="auto"/>
              </w:rPr>
            </w:pPr>
            <w:r>
              <w:rPr>
                <w:rFonts w:hint="eastAsia"/>
                <w:b/>
                <w:bCs/>
                <w:color w:val="auto"/>
              </w:rPr>
              <w:t>9、湿米粉配送服务内容</w:t>
            </w:r>
            <w:r>
              <w:rPr>
                <w:rFonts w:hint="eastAsia"/>
                <w:color w:val="auto"/>
              </w:rPr>
              <w:t>：</w:t>
            </w:r>
            <w:r>
              <w:rPr>
                <w:color w:val="auto"/>
              </w:rPr>
              <w:t xml:space="preserve"> </w:t>
            </w:r>
          </w:p>
          <w:p w14:paraId="5DF6F03A">
            <w:pPr>
              <w:spacing w:after="0" w:line="360" w:lineRule="auto"/>
              <w:rPr>
                <w:rFonts w:hint="eastAsia"/>
                <w:color w:val="auto"/>
              </w:rPr>
            </w:pPr>
            <w:r>
              <w:rPr>
                <w:rFonts w:hint="eastAsia"/>
                <w:color w:val="auto"/>
              </w:rPr>
              <w:t>▲</w:t>
            </w: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.质量要求：符合DBS45/020-2017《鲜湿米粉》要求，符合《中华人民共和国食品安全法》要求，拥有SC食品生产许可证编号，包装要有生产日期、生产厂家、生产地址等标识，且包装标识必须符合国家法定标准。</w:t>
            </w:r>
          </w:p>
          <w:p w14:paraId="0233C513">
            <w:pPr>
              <w:spacing w:line="360" w:lineRule="auto"/>
              <w:rPr>
                <w:rFonts w:hint="eastAsia" w:ascii="宋体" w:hAnsi="宋体" w:eastAsia="宋体" w:cs="宋体"/>
                <w:color w:val="auto"/>
                <w:kern w:val="0"/>
                <w:lang w:eastAsia="zh-CN"/>
              </w:rPr>
            </w:pPr>
            <w:r>
              <w:rPr>
                <w:rFonts w:hint="eastAsia" w:ascii="宋体" w:hAnsi="宋体" w:cs="宋体"/>
                <w:color w:val="auto"/>
                <w:kern w:val="0"/>
              </w:rPr>
              <w:t>▲（</w:t>
            </w:r>
            <w:r>
              <w:rPr>
                <w:rFonts w:hint="eastAsia" w:ascii="宋体" w:hAnsi="宋体" w:cs="宋体"/>
                <w:color w:val="auto"/>
                <w:kern w:val="0"/>
                <w:lang w:val="en-US" w:eastAsia="zh-CN"/>
              </w:rPr>
              <w:t>2</w:t>
            </w:r>
            <w:r>
              <w:rPr>
                <w:rFonts w:hint="eastAsia" w:ascii="宋体" w:hAnsi="宋体" w:cs="宋体"/>
                <w:color w:val="auto"/>
                <w:kern w:val="0"/>
              </w:rPr>
              <w:t>）配送</w:t>
            </w:r>
            <w:r>
              <w:rPr>
                <w:rFonts w:ascii="宋体" w:hAnsi="宋体" w:cs="宋体"/>
                <w:color w:val="auto"/>
                <w:kern w:val="0"/>
              </w:rPr>
              <w:t>频率：每天配送</w:t>
            </w:r>
            <w:r>
              <w:rPr>
                <w:rFonts w:hint="eastAsia" w:ascii="宋体" w:hAnsi="宋体" w:cs="宋体"/>
                <w:color w:val="auto"/>
                <w:kern w:val="0"/>
                <w:lang w:eastAsia="zh-CN"/>
              </w:rPr>
              <w:t>。</w:t>
            </w:r>
          </w:p>
          <w:p w14:paraId="66C7A32B">
            <w:pPr>
              <w:spacing w:line="360" w:lineRule="auto"/>
              <w:rPr>
                <w:b/>
                <w:bCs/>
                <w:color w:val="auto"/>
              </w:rPr>
            </w:pPr>
            <w:r>
              <w:rPr>
                <w:rFonts w:hint="eastAsia"/>
                <w:b/>
                <w:bCs/>
                <w:color w:val="auto"/>
              </w:rPr>
              <w:t>10、大米配送服务内容：</w:t>
            </w:r>
          </w:p>
          <w:p w14:paraId="7413A28E">
            <w:pPr>
              <w:spacing w:after="0" w:line="360" w:lineRule="auto"/>
              <w:rPr>
                <w:rFonts w:hint="eastAsia"/>
                <w:color w:val="auto"/>
              </w:rPr>
            </w:pPr>
            <w:r>
              <w:rPr>
                <w:rFonts w:hint="eastAsia"/>
                <w:color w:val="auto"/>
              </w:rPr>
              <w:t>▲</w:t>
            </w: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质量要求：</w:t>
            </w:r>
          </w:p>
          <w:p w14:paraId="7A0A7A3D">
            <w:pPr>
              <w:spacing w:after="0" w:line="360" w:lineRule="auto"/>
              <w:rPr>
                <w:rFonts w:hint="eastAsia"/>
                <w:color w:val="auto"/>
              </w:rPr>
            </w:pPr>
            <w:r>
              <w:rPr>
                <w:rFonts w:hint="eastAsia"/>
                <w:color w:val="auto"/>
              </w:rPr>
              <w:t>1）必须符合现行行业、地方、企业及国家质量、卫生、安全标准，有SC食品生产许可证编号。</w:t>
            </w:r>
          </w:p>
          <w:p w14:paraId="4EDC06B2">
            <w:pPr>
              <w:spacing w:after="0" w:line="360" w:lineRule="auto"/>
              <w:rPr>
                <w:rFonts w:hint="eastAsia"/>
                <w:color w:val="auto"/>
              </w:rPr>
            </w:pPr>
            <w:r>
              <w:rPr>
                <w:rFonts w:hint="eastAsia"/>
                <w:color w:val="auto"/>
              </w:rPr>
              <w:t>2）具体质量标准：</w:t>
            </w:r>
          </w:p>
          <w:p w14:paraId="08413CAC">
            <w:pPr>
              <w:spacing w:after="0" w:line="360" w:lineRule="auto"/>
              <w:rPr>
                <w:rFonts w:hint="eastAsia"/>
                <w:color w:val="auto"/>
              </w:rPr>
            </w:pPr>
            <w:r>
              <w:rPr>
                <w:rFonts w:hint="eastAsia"/>
                <w:color w:val="auto"/>
                <w:lang w:val="en-US" w:eastAsia="zh-CN"/>
              </w:rPr>
              <w:t>①</w:t>
            </w:r>
            <w:r>
              <w:rPr>
                <w:rFonts w:hint="eastAsia"/>
                <w:color w:val="auto"/>
              </w:rPr>
              <w:t>优质籼米：</w:t>
            </w:r>
          </w:p>
          <w:p w14:paraId="0DD27D7A">
            <w:pPr>
              <w:spacing w:after="0" w:line="360" w:lineRule="auto"/>
              <w:ind w:firstLine="210" w:firstLineChars="100"/>
              <w:rPr>
                <w:rFonts w:hint="eastAsia"/>
                <w:color w:val="auto"/>
              </w:rPr>
            </w:pPr>
            <w:r>
              <w:rPr>
                <w:rFonts w:hint="eastAsia"/>
                <w:color w:val="auto"/>
              </w:rPr>
              <w:t>一级：碎米总量≤10.0%，其中小碎米含量≤0.2%；加工精度：精碾；垩白度≤2.0，品尝评分值≥90分，直链淀粉含量13.0%~22.0%，水分含量≤14.5%，不完善粒含量≤3.0%；杂质限量总量≤0.25%，其中无机杂质含量≤0.02%；黄粒米含量≤0.5%；互混率≤5.0%；色泽、气味：正常。</w:t>
            </w:r>
          </w:p>
          <w:p w14:paraId="57FEB510">
            <w:pPr>
              <w:spacing w:after="0" w:line="360" w:lineRule="auto"/>
              <w:ind w:firstLine="210" w:firstLineChars="100"/>
              <w:rPr>
                <w:rFonts w:hint="eastAsia"/>
                <w:color w:val="auto"/>
              </w:rPr>
            </w:pPr>
            <w:r>
              <w:rPr>
                <w:rFonts w:hint="eastAsia"/>
                <w:color w:val="auto"/>
              </w:rPr>
              <w:t>二级：碎米总量≤12.5%，其中小碎米含量≤0.5%；加工精度：精碾；垩白度≤5.0，品尝评分值≥80分，直链淀粉含量13.0%~22.0%，水分含量≤14.5%，不完善粒含量≤3.0%；杂质限量总量≤0.25%，其中无机杂质含量≤0.02%；黄粒米含量≤0.5%；互混率≤5.0%；色泽、气味：正常。</w:t>
            </w:r>
          </w:p>
          <w:p w14:paraId="4A5106A1">
            <w:pPr>
              <w:spacing w:after="0" w:line="360" w:lineRule="auto"/>
              <w:ind w:firstLine="210" w:firstLineChars="100"/>
              <w:rPr>
                <w:rFonts w:hint="eastAsia"/>
                <w:color w:val="auto"/>
              </w:rPr>
            </w:pPr>
            <w:r>
              <w:rPr>
                <w:rFonts w:hint="eastAsia"/>
                <w:color w:val="auto"/>
              </w:rPr>
              <w:t>三级：碎米总量≤15.0%，其中小碎米含量≤1.0%；加工精度：适碾；垩白度≤8.0，品尝评分值≥70分，直链淀粉含量13.0%~22.0%，水分含量≤14.5%，不完善粒含量≤3.0%；杂质限量总量≤0.25%，其中无机杂质含量≤0.02%；黄粒米含量≤0.5%；互混率≤5.0%；色泽、气味：正常。</w:t>
            </w:r>
          </w:p>
          <w:p w14:paraId="4D1C7425">
            <w:pPr>
              <w:spacing w:after="0" w:line="360" w:lineRule="auto"/>
              <w:rPr>
                <w:rFonts w:hint="eastAsia"/>
                <w:color w:val="auto"/>
              </w:rPr>
            </w:pPr>
            <w:r>
              <w:rPr>
                <w:rFonts w:hint="eastAsia"/>
                <w:color w:val="auto"/>
                <w:lang w:val="en-US" w:eastAsia="zh-CN"/>
              </w:rPr>
              <w:t>②</w:t>
            </w:r>
            <w:r>
              <w:rPr>
                <w:rFonts w:hint="eastAsia"/>
                <w:color w:val="auto"/>
              </w:rPr>
              <w:t>优质粳米：</w:t>
            </w:r>
          </w:p>
          <w:p w14:paraId="25311BE7">
            <w:pPr>
              <w:spacing w:after="0" w:line="360" w:lineRule="auto"/>
              <w:ind w:firstLine="210" w:firstLineChars="100"/>
              <w:rPr>
                <w:rFonts w:hint="eastAsia"/>
                <w:color w:val="auto"/>
              </w:rPr>
            </w:pPr>
            <w:r>
              <w:rPr>
                <w:rFonts w:hint="eastAsia"/>
                <w:color w:val="auto"/>
              </w:rPr>
              <w:t>一级：碎米总量≤5.0%，其中小碎米含量≤0.1%；加工精度：精碾；垩白度≤2.0，品尝评分值≥90分，直链淀粉含量13.0%~20.0%，水分含量≤15.5%，不完善粒含量≤3.0%；杂质限量总量≤0.25%，其中无机杂质含量≤0.02%；黄粒米含量≤0.5%；互混率≤5.0%；色泽、气味：正常。</w:t>
            </w:r>
          </w:p>
          <w:p w14:paraId="31001687">
            <w:pPr>
              <w:spacing w:after="0" w:line="360" w:lineRule="auto"/>
              <w:ind w:firstLine="210" w:firstLineChars="100"/>
              <w:rPr>
                <w:rFonts w:hint="eastAsia"/>
                <w:color w:val="auto"/>
              </w:rPr>
            </w:pPr>
            <w:r>
              <w:rPr>
                <w:rFonts w:hint="eastAsia"/>
                <w:color w:val="auto"/>
              </w:rPr>
              <w:t>二级：碎米总量≤7.5%，其中小碎米含量≤0.3%；加工精度：精碾；垩白度≤4.0，品尝评分值≥80分，直链淀粉含量13.0%~20.0%，水分含量≤15.5%，不完善粒含量≤3.0%；杂质限量总量≤0.25%，其中无机杂质含量≤0.02%；黄粒米含量≤0.5%；互混率≤5.0%；色泽、气味：正常。</w:t>
            </w:r>
          </w:p>
          <w:p w14:paraId="11CC1B90">
            <w:pPr>
              <w:spacing w:after="0" w:line="360" w:lineRule="auto"/>
              <w:ind w:firstLine="210" w:firstLineChars="100"/>
              <w:rPr>
                <w:rFonts w:hint="eastAsia"/>
                <w:color w:val="auto"/>
              </w:rPr>
            </w:pPr>
            <w:r>
              <w:rPr>
                <w:rFonts w:hint="eastAsia"/>
                <w:color w:val="auto"/>
              </w:rPr>
              <w:t>三级：碎米总量≤10.0%，其中小碎米含量≤0.5%；加工精度：适碾；垩白度≤6.0，品尝评分值≥70分，直链淀粉含量13.0%~20.0%，水分含量≤15.5%，不完善粒含量≤3.0%；杂质限量总量≤0.25%，其中无机杂质含量≤0.02%；黄粒米含量≤0.5%；互混率≤5.0%；色泽、气味：正常。</w:t>
            </w:r>
          </w:p>
          <w:p w14:paraId="3E549C04">
            <w:pPr>
              <w:spacing w:after="0" w:line="360" w:lineRule="auto"/>
              <w:rPr>
                <w:rFonts w:hint="eastAsia"/>
                <w:color w:val="auto"/>
              </w:rPr>
            </w:pPr>
            <w:r>
              <w:rPr>
                <w:rFonts w:hint="eastAsia"/>
                <w:color w:val="auto"/>
                <w:lang w:val="en-US" w:eastAsia="zh-CN"/>
              </w:rPr>
              <w:t>③</w:t>
            </w:r>
            <w:r>
              <w:rPr>
                <w:rFonts w:hint="eastAsia"/>
                <w:color w:val="auto"/>
              </w:rPr>
              <w:t>籼米：</w:t>
            </w:r>
          </w:p>
          <w:p w14:paraId="7E40DAAE">
            <w:pPr>
              <w:spacing w:after="0" w:line="360" w:lineRule="auto"/>
              <w:ind w:firstLine="210" w:firstLineChars="100"/>
              <w:rPr>
                <w:rFonts w:hint="eastAsia"/>
                <w:color w:val="auto"/>
              </w:rPr>
            </w:pPr>
            <w:r>
              <w:rPr>
                <w:rFonts w:hint="eastAsia"/>
                <w:color w:val="auto"/>
              </w:rPr>
              <w:t>一级籼米：碎米总量≤15.0%，其中小碎米含量≤1.0%；加工精度：精碾；不完善粒含量≤3.0%；水分含量≤14.5%；杂质总量≤0.25%，其中无机杂质含量≤0.02%；黄粒米含量≤1.0%；互混率≤5.0%；色泽、气味：正常。</w:t>
            </w:r>
          </w:p>
          <w:p w14:paraId="1F757A74">
            <w:pPr>
              <w:spacing w:after="0" w:line="360" w:lineRule="auto"/>
              <w:ind w:firstLine="210" w:firstLineChars="100"/>
              <w:rPr>
                <w:rFonts w:hint="eastAsia"/>
                <w:color w:val="auto"/>
              </w:rPr>
            </w:pPr>
            <w:r>
              <w:rPr>
                <w:rFonts w:hint="eastAsia"/>
                <w:color w:val="auto"/>
              </w:rPr>
              <w:t>二级籼米：碎米总量≤20.0%，其中小碎米含量≤1.5%；加工精度：精碾；不完善粒含量4.0%；水分含量≤14.5%；杂质总量≤0.25%，其中无机杂质含量≤0.02%；黄粒米含量≤1.0%；互混率≤5.0%；色泽、气味：正常。</w:t>
            </w:r>
          </w:p>
          <w:p w14:paraId="532DCDA5">
            <w:pPr>
              <w:spacing w:after="0" w:line="360" w:lineRule="auto"/>
              <w:ind w:firstLine="210" w:firstLineChars="100"/>
              <w:rPr>
                <w:rFonts w:hint="eastAsia"/>
                <w:color w:val="auto"/>
              </w:rPr>
            </w:pPr>
            <w:r>
              <w:rPr>
                <w:rFonts w:hint="eastAsia"/>
                <w:color w:val="auto"/>
              </w:rPr>
              <w:t>三级籼米：碎米总量≤30.0%，其中小碎米含量≤2.0%；加工精度：适碾；不完善粒含量≤6.0%；水分含量≤14.5%；杂质总量≤0.25%，其中无机杂质含量≤0.02%；黄粒米含量≤1.0%；互混率≤5.0%；色泽、气味：正常。</w:t>
            </w:r>
          </w:p>
          <w:p w14:paraId="536B1853">
            <w:pPr>
              <w:spacing w:after="0" w:line="360" w:lineRule="auto"/>
              <w:rPr>
                <w:rFonts w:hint="eastAsia"/>
                <w:color w:val="auto"/>
              </w:rPr>
            </w:pPr>
            <w:r>
              <w:rPr>
                <w:rFonts w:hint="eastAsia"/>
                <w:color w:val="auto"/>
                <w:lang w:val="en-US" w:eastAsia="zh-CN"/>
              </w:rPr>
              <w:t>④</w:t>
            </w:r>
            <w:r>
              <w:rPr>
                <w:rFonts w:hint="eastAsia"/>
                <w:color w:val="auto"/>
              </w:rPr>
              <w:t>粳米：</w:t>
            </w:r>
          </w:p>
          <w:p w14:paraId="47DCB2C0">
            <w:pPr>
              <w:spacing w:after="0" w:line="360" w:lineRule="auto"/>
              <w:ind w:firstLine="210" w:firstLineChars="100"/>
              <w:rPr>
                <w:rFonts w:hint="eastAsia"/>
                <w:color w:val="auto"/>
              </w:rPr>
            </w:pPr>
            <w:r>
              <w:rPr>
                <w:rFonts w:hint="eastAsia"/>
                <w:color w:val="auto"/>
              </w:rPr>
              <w:t>一级粳米：碎米总量≤10.0%，其中小碎米含量≤1.0%；加工精度：精碾；不完善粒含量≤3.0%；水分含量≤15.5%；杂质总量≤0.25%，其中无机杂质含量≤0.02%；黄粒米含量≤1.0%；互混率≤5.0%；色泽、气味：正常。</w:t>
            </w:r>
          </w:p>
          <w:p w14:paraId="69AB4EDA">
            <w:pPr>
              <w:spacing w:after="0" w:line="360" w:lineRule="auto"/>
              <w:ind w:firstLine="210" w:firstLineChars="100"/>
              <w:rPr>
                <w:rFonts w:hint="eastAsia"/>
                <w:color w:val="auto"/>
              </w:rPr>
            </w:pPr>
            <w:r>
              <w:rPr>
                <w:rFonts w:hint="eastAsia"/>
                <w:color w:val="auto"/>
              </w:rPr>
              <w:t>二级粳米：碎米总量≤15.0%，其中小碎米含量≤1.5%；加工精度：精碾；不完善粒含量≤4.0%；水分含量≤15.5%；杂质总量≤0.25%，其中无机杂质含量≤0.02%；黄粒米含量≤1.0%；互混率≤5.0%；色泽、气味：正常。</w:t>
            </w:r>
          </w:p>
          <w:p w14:paraId="2219ED93">
            <w:pPr>
              <w:spacing w:after="0" w:line="360" w:lineRule="auto"/>
              <w:ind w:firstLine="210" w:firstLineChars="100"/>
              <w:rPr>
                <w:rFonts w:hint="eastAsia"/>
                <w:color w:val="auto"/>
              </w:rPr>
            </w:pPr>
            <w:r>
              <w:rPr>
                <w:rFonts w:hint="eastAsia"/>
                <w:color w:val="auto"/>
              </w:rPr>
              <w:t>三级粳米：碎米总量≤20.0%，其中小碎米含量≤2.0%；加工精度：适碾；不完善粒含量≤4.0%；水分含量≤15.5%；杂质总量≤0.25%，其中无机杂质含量≤0.02%；黄粒米含量≤1.0%；互混率≤5.0%；色泽、气味：正常。</w:t>
            </w:r>
          </w:p>
          <w:p w14:paraId="14B2FDC2">
            <w:pPr>
              <w:spacing w:after="0" w:line="360" w:lineRule="auto"/>
              <w:rPr>
                <w:rFonts w:hint="eastAsia"/>
                <w:color w:val="auto"/>
              </w:rPr>
            </w:pPr>
            <w:r>
              <w:rPr>
                <w:rFonts w:hint="eastAsia"/>
                <w:color w:val="auto"/>
                <w:lang w:val="en-US" w:eastAsia="zh-CN"/>
              </w:rPr>
              <w:t>⑤</w:t>
            </w:r>
            <w:r>
              <w:rPr>
                <w:rFonts w:hint="eastAsia"/>
                <w:color w:val="auto"/>
              </w:rPr>
              <w:t>籼糯米：</w:t>
            </w:r>
          </w:p>
          <w:p w14:paraId="4D8C3DF7">
            <w:pPr>
              <w:spacing w:after="0" w:line="360" w:lineRule="auto"/>
              <w:ind w:firstLine="210" w:firstLineChars="100"/>
              <w:rPr>
                <w:rFonts w:hint="eastAsia"/>
                <w:color w:val="auto"/>
              </w:rPr>
            </w:pPr>
            <w:r>
              <w:rPr>
                <w:rFonts w:hint="eastAsia"/>
                <w:color w:val="auto"/>
              </w:rPr>
              <w:t>一级籼糯米：碎米总量≤15.0%，其中小碎米含量2.0%；加工精度：精碾；不完善粒含量≤4.0%；水分含量≤14.5%；杂质总量≤0.25%，其中无机杂质含量≤0.02%；黄粒米含量≤1.0%；互混率≤5.0%；色泽、气味：正常。</w:t>
            </w:r>
          </w:p>
          <w:p w14:paraId="08D63440">
            <w:pPr>
              <w:spacing w:after="0" w:line="360" w:lineRule="auto"/>
              <w:ind w:firstLine="210" w:firstLineChars="100"/>
              <w:rPr>
                <w:rFonts w:hint="eastAsia"/>
                <w:color w:val="auto"/>
              </w:rPr>
            </w:pPr>
            <w:r>
              <w:rPr>
                <w:rFonts w:hint="eastAsia"/>
                <w:color w:val="auto"/>
              </w:rPr>
              <w:t>二级籼糯米：碎米总量≤25.0%，其中小碎米含量2.5%；加工精度：适碾；不完善粒含量≤6.0%；水分含量≤14.5%；杂质总量≤0.25%，其中无机杂质含量≤0.02%；黄粒米含量≤1.0%；互混率≤5.0%；色泽、气味：正常。</w:t>
            </w:r>
          </w:p>
          <w:p w14:paraId="59D2C190">
            <w:pPr>
              <w:spacing w:after="0" w:line="360" w:lineRule="auto"/>
              <w:rPr>
                <w:rFonts w:hint="eastAsia"/>
                <w:color w:val="auto"/>
              </w:rPr>
            </w:pPr>
            <w:r>
              <w:rPr>
                <w:rFonts w:hint="eastAsia"/>
                <w:color w:val="auto"/>
                <w:lang w:val="en-US" w:eastAsia="zh-CN"/>
              </w:rPr>
              <w:t>⑥</w:t>
            </w:r>
            <w:r>
              <w:rPr>
                <w:rFonts w:hint="eastAsia"/>
                <w:color w:val="auto"/>
              </w:rPr>
              <w:t>粳糯米：</w:t>
            </w:r>
          </w:p>
          <w:p w14:paraId="7FA17DA0">
            <w:pPr>
              <w:spacing w:after="0" w:line="360" w:lineRule="auto"/>
              <w:ind w:firstLine="210" w:firstLineChars="100"/>
              <w:rPr>
                <w:rFonts w:hint="eastAsia"/>
                <w:color w:val="auto"/>
              </w:rPr>
            </w:pPr>
            <w:r>
              <w:rPr>
                <w:rFonts w:hint="eastAsia"/>
                <w:color w:val="auto"/>
              </w:rPr>
              <w:t>一级粳糯米：碎米总量≤10.0%，其中小碎米含量≤1.5%；加工精度：精碾；不完善粒含量≤4.0%；水分含量≤15.5%；杂质总量≤0.25%，其中无机杂质含量≤0.02%；黄粒米含量≤1.0%；互混率≤5.0%；色泽、气味：正常。</w:t>
            </w:r>
          </w:p>
          <w:p w14:paraId="61DE073D">
            <w:pPr>
              <w:spacing w:after="0" w:line="360" w:lineRule="auto"/>
              <w:ind w:firstLine="210" w:firstLineChars="100"/>
              <w:rPr>
                <w:rFonts w:hint="eastAsia"/>
                <w:color w:val="auto"/>
              </w:rPr>
            </w:pPr>
            <w:r>
              <w:rPr>
                <w:rFonts w:hint="eastAsia"/>
                <w:color w:val="auto"/>
              </w:rPr>
              <w:t>二级粳糯米：碎米总量≤15.0%，其中小碎米含量≤2.0%；加工精度：适碾；不完善粒含量≤6.0%；水分含量≤15.5%；杂质总量≤0.25%，其中无机杂质含量≤0.02%；黄粒米含量≤1.0%；互混率≤5.0%；色泽、气味：正常。</w:t>
            </w:r>
          </w:p>
          <w:p w14:paraId="2CDFD6D2">
            <w:pPr>
              <w:spacing w:after="0" w:line="360" w:lineRule="auto"/>
              <w:rPr>
                <w:rFonts w:hint="eastAsia"/>
                <w:color w:val="auto"/>
              </w:rPr>
            </w:pPr>
            <w:r>
              <w:rPr>
                <w:rFonts w:hint="eastAsia"/>
                <w:color w:val="auto"/>
              </w:rPr>
              <w:t>▲3</w:t>
            </w:r>
            <w:r>
              <w:rPr>
                <w:rFonts w:hint="eastAsia"/>
                <w:color w:val="auto"/>
                <w:lang w:eastAsia="zh-CN"/>
              </w:rPr>
              <w:t>）</w:t>
            </w:r>
            <w:r>
              <w:rPr>
                <w:rFonts w:hint="eastAsia"/>
                <w:color w:val="auto"/>
              </w:rPr>
              <w:t>具有固有色泽和香味，无污染、无虫害，色泽、气味、口味正常，无异味或霉味（霉变），无虫蛀结块挂丝或杂质等；</w:t>
            </w:r>
          </w:p>
          <w:p w14:paraId="777675A7">
            <w:pPr>
              <w:spacing w:after="0" w:line="360" w:lineRule="auto"/>
              <w:rPr>
                <w:rFonts w:hint="eastAsia"/>
                <w:color w:val="auto"/>
              </w:rPr>
            </w:pPr>
            <w:r>
              <w:rPr>
                <w:rFonts w:hint="eastAsia"/>
                <w:color w:val="auto"/>
              </w:rPr>
              <w:t>▲4</w:t>
            </w:r>
            <w:r>
              <w:rPr>
                <w:rFonts w:hint="eastAsia"/>
                <w:color w:val="auto"/>
                <w:lang w:eastAsia="zh-CN"/>
              </w:rPr>
              <w:t>）</w:t>
            </w:r>
            <w:r>
              <w:rPr>
                <w:rFonts w:hint="eastAsia"/>
                <w:color w:val="auto"/>
              </w:rPr>
              <w:t>产品标明加工厂名称、品名、生产日期、保持期或保存期，供货时的剩余保质期不少于三分之二。</w:t>
            </w:r>
          </w:p>
          <w:p w14:paraId="59D3A1D9">
            <w:pPr>
              <w:spacing w:line="360" w:lineRule="auto"/>
              <w:rPr>
                <w:rFonts w:hint="eastAsia" w:eastAsia="宋体"/>
                <w:color w:val="auto"/>
                <w:lang w:val="en-US" w:eastAsia="zh-CN"/>
              </w:rPr>
            </w:pPr>
            <w:r>
              <w:rPr>
                <w:rFonts w:hint="eastAsia"/>
                <w:color w:val="auto"/>
                <w:lang w:val="en-US" w:eastAsia="zh-CN"/>
              </w:rPr>
              <w:t>4）</w:t>
            </w:r>
            <w:r>
              <w:rPr>
                <w:rFonts w:hint="eastAsia" w:ascii="Times New Roman" w:hAnsi="Times New Roman"/>
                <w:bCs w:val="0"/>
                <w:color w:val="auto"/>
                <w:kern w:val="2"/>
              </w:rPr>
              <w:t>每批次配送时必须提供对应批次</w:t>
            </w:r>
            <w:r>
              <w:rPr>
                <w:rFonts w:hint="eastAsia" w:ascii="Times New Roman" w:hAnsi="Times New Roman"/>
                <w:bCs w:val="0"/>
                <w:color w:val="auto"/>
                <w:kern w:val="2"/>
                <w:lang w:val="en-US" w:eastAsia="zh-CN"/>
              </w:rPr>
              <w:t>具有相应资质检测机构出具的</w:t>
            </w:r>
            <w:r>
              <w:rPr>
                <w:rFonts w:hint="eastAsia" w:ascii="Times New Roman" w:hAnsi="Times New Roman"/>
                <w:bCs w:val="0"/>
                <w:color w:val="auto"/>
                <w:kern w:val="2"/>
              </w:rPr>
              <w:t>检测报告。</w:t>
            </w:r>
          </w:p>
          <w:p w14:paraId="4634B456">
            <w:pPr>
              <w:spacing w:line="360" w:lineRule="auto"/>
              <w:rPr>
                <w:rFonts w:hint="eastAsia" w:eastAsia="宋体"/>
                <w:color w:val="auto"/>
                <w:kern w:val="0"/>
                <w:lang w:eastAsia="zh-CN"/>
              </w:rPr>
            </w:pPr>
            <w:r>
              <w:rPr>
                <w:rFonts w:hint="eastAsia" w:ascii="宋体" w:hAnsi="宋体" w:cs="宋体"/>
                <w:color w:val="auto"/>
                <w:szCs w:val="21"/>
              </w:rPr>
              <w:t>▲</w:t>
            </w:r>
            <w:r>
              <w:rPr>
                <w:rFonts w:hint="eastAsia" w:ascii="宋体" w:hAnsi="宋体"/>
                <w:bCs/>
                <w:color w:val="auto"/>
                <w:kern w:val="0"/>
              </w:rPr>
              <w:t>（2）</w:t>
            </w:r>
            <w:r>
              <w:rPr>
                <w:rFonts w:hint="eastAsia"/>
                <w:color w:val="auto"/>
                <w:kern w:val="0"/>
              </w:rPr>
              <w:t>配送</w:t>
            </w:r>
            <w:r>
              <w:rPr>
                <w:color w:val="auto"/>
                <w:kern w:val="0"/>
              </w:rPr>
              <w:t>频率：</w:t>
            </w:r>
            <w:r>
              <w:rPr>
                <w:rFonts w:hint="eastAsia"/>
                <w:color w:val="auto"/>
                <w:kern w:val="0"/>
              </w:rPr>
              <w:t>按采购</w:t>
            </w:r>
            <w:r>
              <w:rPr>
                <w:color w:val="auto"/>
                <w:kern w:val="0"/>
              </w:rPr>
              <w:t>人</w:t>
            </w:r>
            <w:r>
              <w:rPr>
                <w:rFonts w:hint="eastAsia"/>
                <w:color w:val="auto"/>
                <w:kern w:val="0"/>
              </w:rPr>
              <w:t>要求</w:t>
            </w:r>
            <w:r>
              <w:rPr>
                <w:color w:val="auto"/>
                <w:kern w:val="0"/>
              </w:rPr>
              <w:t>配送</w:t>
            </w:r>
            <w:r>
              <w:rPr>
                <w:rFonts w:hint="eastAsia"/>
                <w:color w:val="auto"/>
                <w:kern w:val="0"/>
                <w:lang w:eastAsia="zh-CN"/>
              </w:rPr>
              <w:t>。</w:t>
            </w:r>
          </w:p>
          <w:p w14:paraId="135AE7AB">
            <w:pPr>
              <w:spacing w:line="360" w:lineRule="auto"/>
              <w:rPr>
                <w:rFonts w:hint="eastAsia"/>
                <w:b/>
                <w:bCs/>
                <w:color w:val="auto"/>
              </w:rPr>
            </w:pPr>
            <w:r>
              <w:rPr>
                <w:rFonts w:hint="eastAsia"/>
                <w:b/>
                <w:bCs/>
                <w:color w:val="auto"/>
              </w:rPr>
              <w:t>11、食用油配送服务内容：</w:t>
            </w:r>
          </w:p>
          <w:p w14:paraId="60A9CEC1">
            <w:pPr>
              <w:numPr>
                <w:ilvl w:val="0"/>
                <w:numId w:val="0"/>
              </w:numPr>
              <w:spacing w:after="0" w:line="360" w:lineRule="auto"/>
              <w:rPr>
                <w:rFonts w:hint="eastAsia"/>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食用油（包括但不限于菜籽油、玉米油、大豆油等）。</w:t>
            </w:r>
          </w:p>
          <w:p w14:paraId="3F73C3EE">
            <w:pPr>
              <w:spacing w:after="0" w:line="360" w:lineRule="auto"/>
              <w:rPr>
                <w:rFonts w:hint="eastAsia"/>
                <w:color w:val="auto"/>
              </w:rPr>
            </w:pPr>
            <w:r>
              <w:rPr>
                <w:rFonts w:hint="eastAsia"/>
                <w:color w:val="auto"/>
              </w:rPr>
              <w:t>▲</w:t>
            </w: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rPr>
              <w:t>质量要求：必须符合</w:t>
            </w:r>
            <w:r>
              <w:rPr>
                <w:rFonts w:hint="eastAsia"/>
                <w:color w:val="auto"/>
                <w:lang w:val="zh-CN"/>
              </w:rPr>
              <w:t>现行行业、地方、企业及国家质量、卫生、安全标准，有</w:t>
            </w:r>
            <w:r>
              <w:rPr>
                <w:rFonts w:hint="eastAsia"/>
                <w:color w:val="auto"/>
              </w:rPr>
              <w:t>SC食品生产许可证编号。</w:t>
            </w:r>
          </w:p>
          <w:p w14:paraId="26957E3B">
            <w:pPr>
              <w:spacing w:after="0" w:line="360" w:lineRule="auto"/>
              <w:rPr>
                <w:rFonts w:hint="eastAsia"/>
                <w:color w:val="auto"/>
              </w:rPr>
            </w:pPr>
            <w:r>
              <w:rPr>
                <w:rFonts w:hint="eastAsia"/>
                <w:color w:val="auto"/>
              </w:rPr>
              <w:t>1）外包装完好，标明品名、厂名、重量、生产日期、保质期或保存期、执行标准，剩余保质期不少于三分之二，具有产品合格证。具有正常植物油的色泽、透明度、气味和滋味，无焦臭、酸败及其他异味。</w:t>
            </w:r>
          </w:p>
          <w:p w14:paraId="4C4965E0">
            <w:pPr>
              <w:spacing w:after="0" w:line="360" w:lineRule="auto"/>
              <w:rPr>
                <w:rFonts w:hint="eastAsia"/>
                <w:color w:val="auto"/>
              </w:rPr>
            </w:pPr>
            <w:r>
              <w:rPr>
                <w:rFonts w:hint="eastAsia"/>
                <w:color w:val="auto"/>
              </w:rPr>
              <w:t>2）不得混有其他食用油或非食用油。</w:t>
            </w:r>
          </w:p>
          <w:p w14:paraId="306E52D5">
            <w:pPr>
              <w:spacing w:line="360" w:lineRule="auto"/>
              <w:rPr>
                <w:rFonts w:hint="eastAsia" w:eastAsia="宋体"/>
                <w:color w:val="auto"/>
                <w:lang w:val="en-US" w:eastAsia="zh-CN"/>
              </w:rPr>
            </w:pPr>
            <w:r>
              <w:rPr>
                <w:rFonts w:hint="eastAsia"/>
                <w:bCs w:val="0"/>
                <w:color w:val="auto"/>
                <w:kern w:val="2"/>
                <w:lang w:val="en-US" w:eastAsia="zh-CN"/>
              </w:rPr>
              <w:t>3）</w:t>
            </w:r>
            <w:r>
              <w:rPr>
                <w:rFonts w:hint="eastAsia" w:ascii="Times New Roman" w:hAnsi="Times New Roman"/>
                <w:bCs w:val="0"/>
                <w:color w:val="auto"/>
                <w:kern w:val="2"/>
              </w:rPr>
              <w:t>每批次配送时必须提供对应批次</w:t>
            </w:r>
            <w:r>
              <w:rPr>
                <w:rFonts w:hint="eastAsia" w:ascii="Times New Roman" w:hAnsi="Times New Roman"/>
                <w:bCs w:val="0"/>
                <w:color w:val="auto"/>
                <w:kern w:val="2"/>
                <w:lang w:val="en-US" w:eastAsia="zh-CN"/>
              </w:rPr>
              <w:t>具有相应资质检测机构出具的</w:t>
            </w:r>
            <w:r>
              <w:rPr>
                <w:rFonts w:hint="eastAsia" w:ascii="Times New Roman" w:hAnsi="Times New Roman"/>
                <w:bCs w:val="0"/>
                <w:color w:val="auto"/>
                <w:kern w:val="2"/>
              </w:rPr>
              <w:t>检测报告。</w:t>
            </w:r>
          </w:p>
          <w:p w14:paraId="5A9E60BE">
            <w:pPr>
              <w:spacing w:line="360" w:lineRule="auto"/>
              <w:rPr>
                <w:rFonts w:hint="eastAsia" w:eastAsia="宋体"/>
                <w:color w:val="auto"/>
                <w:kern w:val="0"/>
                <w:lang w:eastAsia="zh-CN"/>
              </w:rPr>
            </w:pPr>
            <w:r>
              <w:rPr>
                <w:rFonts w:hint="eastAsia" w:ascii="宋体" w:hAnsi="宋体" w:cs="宋体"/>
                <w:color w:val="auto"/>
                <w:szCs w:val="21"/>
              </w:rPr>
              <w:t>▲</w:t>
            </w:r>
            <w:r>
              <w:rPr>
                <w:rFonts w:hint="eastAsia" w:ascii="宋体" w:hAnsi="宋体"/>
                <w:bCs/>
                <w:color w:val="auto"/>
                <w:kern w:val="0"/>
              </w:rPr>
              <w:t>（3）</w:t>
            </w:r>
            <w:r>
              <w:rPr>
                <w:rFonts w:hint="eastAsia"/>
                <w:color w:val="auto"/>
                <w:kern w:val="0"/>
              </w:rPr>
              <w:t>配送</w:t>
            </w:r>
            <w:r>
              <w:rPr>
                <w:color w:val="auto"/>
                <w:kern w:val="0"/>
              </w:rPr>
              <w:t>频率：</w:t>
            </w:r>
            <w:r>
              <w:rPr>
                <w:rFonts w:hint="eastAsia"/>
                <w:color w:val="auto"/>
                <w:kern w:val="0"/>
              </w:rPr>
              <w:t>按采购</w:t>
            </w:r>
            <w:r>
              <w:rPr>
                <w:color w:val="auto"/>
                <w:kern w:val="0"/>
              </w:rPr>
              <w:t>人</w:t>
            </w:r>
            <w:r>
              <w:rPr>
                <w:rFonts w:hint="eastAsia"/>
                <w:color w:val="auto"/>
                <w:kern w:val="0"/>
              </w:rPr>
              <w:t>要求</w:t>
            </w:r>
            <w:r>
              <w:rPr>
                <w:color w:val="auto"/>
                <w:kern w:val="0"/>
              </w:rPr>
              <w:t>配送</w:t>
            </w:r>
            <w:r>
              <w:rPr>
                <w:rFonts w:hint="eastAsia"/>
                <w:color w:val="auto"/>
                <w:kern w:val="0"/>
                <w:lang w:eastAsia="zh-CN"/>
              </w:rPr>
              <w:t>。</w:t>
            </w:r>
          </w:p>
          <w:p w14:paraId="1C0D54FF">
            <w:pPr>
              <w:spacing w:line="360" w:lineRule="auto"/>
              <w:rPr>
                <w:rFonts w:hint="eastAsia"/>
                <w:b/>
                <w:bCs/>
                <w:color w:val="auto"/>
              </w:rPr>
            </w:pPr>
            <w:r>
              <w:rPr>
                <w:rFonts w:hint="eastAsia"/>
                <w:b/>
                <w:bCs/>
                <w:color w:val="auto"/>
              </w:rPr>
              <w:t>12、其他食品配送服务内容：</w:t>
            </w:r>
          </w:p>
          <w:p w14:paraId="6A3F2E13">
            <w:pPr>
              <w:numPr>
                <w:ilvl w:val="0"/>
                <w:numId w:val="0"/>
              </w:numPr>
              <w:spacing w:after="0" w:line="360" w:lineRule="auto"/>
              <w:rPr>
                <w:rFonts w:hint="eastAsia"/>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面制品（面条、方便面等）、</w:t>
            </w:r>
            <w:r>
              <w:rPr>
                <w:color w:val="auto"/>
              </w:rPr>
              <w:t>奶制品类</w:t>
            </w:r>
            <w:r>
              <w:rPr>
                <w:rFonts w:hint="eastAsia"/>
                <w:color w:val="auto"/>
              </w:rPr>
              <w:t>、</w:t>
            </w:r>
            <w:r>
              <w:rPr>
                <w:rFonts w:hint="eastAsia"/>
                <w:color w:val="auto"/>
                <w:lang w:val="zh-CN"/>
              </w:rPr>
              <w:t>腌制品（萝卜干、酸菜、榨菜等）、</w:t>
            </w:r>
            <w:r>
              <w:rPr>
                <w:rFonts w:hint="eastAsia"/>
                <w:color w:val="auto"/>
              </w:rPr>
              <w:t>糕点类、火腿肠等。</w:t>
            </w:r>
          </w:p>
          <w:p w14:paraId="3449F308">
            <w:pPr>
              <w:spacing w:after="0" w:line="360" w:lineRule="auto"/>
              <w:rPr>
                <w:rFonts w:hint="eastAsia"/>
                <w:color w:val="auto"/>
              </w:rPr>
            </w:pPr>
            <w:r>
              <w:rPr>
                <w:rFonts w:hint="eastAsia"/>
                <w:color w:val="auto"/>
              </w:rPr>
              <w:t>▲</w:t>
            </w: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rPr>
              <w:t>质量要求</w:t>
            </w:r>
          </w:p>
          <w:p w14:paraId="7DF2C5C9">
            <w:pPr>
              <w:spacing w:after="0" w:line="360" w:lineRule="auto"/>
              <w:rPr>
                <w:rFonts w:hint="eastAsia"/>
                <w:color w:val="auto"/>
              </w:rPr>
            </w:pPr>
            <w:r>
              <w:rPr>
                <w:rFonts w:hint="eastAsia"/>
                <w:color w:val="auto"/>
              </w:rPr>
              <w:t>1）面制品:必须符合现行行业、地方、企业及国家质量、卫生、安全标准，有SC食品生产许可证编号，产品标明加工厂名称、品名、生产日期、保持期或保存期，货物供货时的剩余保质期不少于三分之二。</w:t>
            </w:r>
          </w:p>
          <w:p w14:paraId="65851191">
            <w:pPr>
              <w:spacing w:line="360" w:lineRule="auto"/>
              <w:rPr>
                <w:rFonts w:hint="eastAsia"/>
                <w:color w:val="auto"/>
              </w:rPr>
            </w:pPr>
            <w:r>
              <w:rPr>
                <w:rFonts w:hint="eastAsia"/>
                <w:color w:val="auto"/>
              </w:rPr>
              <w:t>2）</w:t>
            </w:r>
            <w:r>
              <w:rPr>
                <w:color w:val="auto"/>
              </w:rPr>
              <w:t>奶制品类</w:t>
            </w:r>
            <w:r>
              <w:rPr>
                <w:rFonts w:hint="eastAsia"/>
                <w:color w:val="auto"/>
              </w:rPr>
              <w:t>（包含瓶装酸奶、件装盒奶等）：</w:t>
            </w:r>
            <w:r>
              <w:rPr>
                <w:rFonts w:hint="eastAsia"/>
                <w:color w:val="auto"/>
                <w:lang w:val="zh-CN"/>
              </w:rPr>
              <w:t>必须符合相关品类国家食品卫生标准。包装完好，品牌、商标、生产厂家、生产日期齐全，有</w:t>
            </w:r>
            <w:r>
              <w:rPr>
                <w:rFonts w:hint="eastAsia"/>
                <w:color w:val="auto"/>
              </w:rPr>
              <w:t>SC食品生产许可证编号</w:t>
            </w:r>
            <w:r>
              <w:rPr>
                <w:rFonts w:hint="eastAsia"/>
                <w:color w:val="auto"/>
                <w:lang w:val="zh-CN"/>
              </w:rPr>
              <w:t>。供货时的剩余保质期不少于三分之二。供货时的剩余保质期不少于三分之二。</w:t>
            </w:r>
          </w:p>
          <w:p w14:paraId="29841C05">
            <w:pPr>
              <w:spacing w:after="0" w:line="360" w:lineRule="auto"/>
              <w:rPr>
                <w:rFonts w:hint="eastAsia"/>
                <w:color w:val="auto"/>
                <w:lang w:val="zh-CN"/>
              </w:rPr>
            </w:pPr>
            <w:r>
              <w:rPr>
                <w:rFonts w:hint="eastAsia"/>
                <w:color w:val="auto"/>
                <w:lang w:val="zh-CN"/>
              </w:rPr>
              <w:t>3）腌制品（萝卜干、酸菜、榨菜等）：必须符合相关品类国家食品卫生标准。包装完好，品牌、商标、生产厂家、生产日期齐全，有</w:t>
            </w:r>
            <w:r>
              <w:rPr>
                <w:rFonts w:hint="eastAsia"/>
                <w:color w:val="auto"/>
              </w:rPr>
              <w:t>SC食品生产许可证编号</w:t>
            </w:r>
            <w:r>
              <w:rPr>
                <w:rFonts w:hint="eastAsia"/>
                <w:color w:val="auto"/>
                <w:lang w:val="zh-CN"/>
              </w:rPr>
              <w:t>。供货时的剩余保质期不少于三分之二。</w:t>
            </w:r>
          </w:p>
          <w:p w14:paraId="12872919">
            <w:pPr>
              <w:spacing w:after="0" w:line="360" w:lineRule="auto"/>
              <w:rPr>
                <w:rFonts w:hint="eastAsia"/>
                <w:color w:val="auto"/>
              </w:rPr>
            </w:pPr>
            <w:r>
              <w:rPr>
                <w:rFonts w:hint="eastAsia"/>
                <w:color w:val="auto"/>
              </w:rPr>
              <w:t>4）糕点类（</w:t>
            </w:r>
            <w:r>
              <w:rPr>
                <w:rFonts w:hint="eastAsia"/>
                <w:color w:val="auto"/>
                <w:lang w:val="zh-CN"/>
              </w:rPr>
              <w:t>包含</w:t>
            </w:r>
            <w:r>
              <w:rPr>
                <w:rFonts w:hint="eastAsia"/>
                <w:color w:val="auto"/>
              </w:rPr>
              <w:t>但不限于</w:t>
            </w:r>
            <w:r>
              <w:rPr>
                <w:rFonts w:hint="eastAsia"/>
                <w:color w:val="auto"/>
                <w:lang w:val="zh-CN"/>
              </w:rPr>
              <w:t>蛋糕、三明治、全麦方包、酸奶包、肉松包、绿茶饼等</w:t>
            </w:r>
            <w:r>
              <w:rPr>
                <w:rFonts w:hint="eastAsia"/>
                <w:color w:val="auto"/>
              </w:rPr>
              <w:t>）：</w:t>
            </w:r>
            <w:r>
              <w:rPr>
                <w:rFonts w:hint="eastAsia"/>
                <w:color w:val="auto"/>
                <w:lang w:val="zh-CN"/>
              </w:rPr>
              <w:t>必须符合相关品类国家生产标准。</w:t>
            </w:r>
            <w:r>
              <w:rPr>
                <w:color w:val="auto"/>
                <w:lang w:val="zh-CN"/>
              </w:rPr>
              <w:t>糕点通则(GB/T 20977-2007)</w:t>
            </w:r>
            <w:r>
              <w:rPr>
                <w:rFonts w:hint="eastAsia"/>
                <w:color w:val="auto"/>
                <w:lang w:val="zh-CN"/>
              </w:rPr>
              <w:t>包装完好，品牌、商标、生产厂家、生产日期齐全，</w:t>
            </w:r>
            <w:r>
              <w:rPr>
                <w:rFonts w:hint="eastAsia"/>
                <w:color w:val="auto"/>
              </w:rPr>
              <w:t>必须具有SC食品生产许可证编号。</w:t>
            </w:r>
            <w:r>
              <w:rPr>
                <w:rFonts w:hint="eastAsia"/>
                <w:color w:val="auto"/>
                <w:lang w:val="zh-CN"/>
              </w:rPr>
              <w:t>供货时的剩余保质期不少于三分之二。</w:t>
            </w:r>
          </w:p>
          <w:p w14:paraId="3384B6E8">
            <w:pPr>
              <w:spacing w:after="0" w:line="360" w:lineRule="auto"/>
              <w:rPr>
                <w:rFonts w:hint="eastAsia"/>
                <w:color w:val="auto"/>
              </w:rPr>
            </w:pPr>
            <w:r>
              <w:rPr>
                <w:rFonts w:hint="eastAsia"/>
                <w:color w:val="auto"/>
              </w:rPr>
              <w:t>5）火腿肠：气味、口味正常，符合</w:t>
            </w:r>
            <w:r>
              <w:rPr>
                <w:color w:val="auto"/>
              </w:rPr>
              <w:t>GB/T20712-2006国家标准</w:t>
            </w:r>
            <w:r>
              <w:rPr>
                <w:rFonts w:hint="eastAsia"/>
                <w:color w:val="auto"/>
              </w:rPr>
              <w:t>，</w:t>
            </w:r>
            <w:r>
              <w:rPr>
                <w:color w:val="auto"/>
              </w:rPr>
              <w:t>有</w:t>
            </w:r>
            <w:r>
              <w:rPr>
                <w:rFonts w:hint="eastAsia"/>
                <w:color w:val="auto"/>
              </w:rPr>
              <w:t>SC食品生产许可证编号，包装完好，标明品名、厂名、重量、生产日期、保质期或保存期、执行标准，供货时的剩余保质期不少于三分之二。</w:t>
            </w:r>
          </w:p>
          <w:p w14:paraId="04DFEC3B">
            <w:pPr>
              <w:pStyle w:val="6"/>
              <w:rPr>
                <w:rFonts w:hint="default" w:ascii="宋体" w:hAnsi="宋体" w:eastAsia="宋体" w:cs="宋体"/>
                <w:color w:val="auto"/>
                <w:sz w:val="21"/>
                <w:szCs w:val="24"/>
                <w:lang w:val="zh-CN"/>
              </w:rPr>
            </w:pPr>
            <w:r>
              <w:rPr>
                <w:rFonts w:hint="default" w:ascii="宋体" w:hAnsi="宋体" w:eastAsia="宋体" w:cs="宋体"/>
                <w:color w:val="auto"/>
                <w:sz w:val="21"/>
                <w:szCs w:val="24"/>
                <w:lang w:val="zh-CN" w:eastAsia="zh-CN"/>
              </w:rPr>
              <w:t>（3）</w:t>
            </w:r>
            <w:r>
              <w:rPr>
                <w:rFonts w:hint="default" w:ascii="宋体" w:hAnsi="宋体" w:eastAsia="宋体" w:cs="宋体"/>
                <w:bCs w:val="0"/>
                <w:color w:val="auto"/>
                <w:kern w:val="2"/>
                <w:sz w:val="21"/>
                <w:szCs w:val="24"/>
                <w:lang w:val="zh-CN"/>
              </w:rPr>
              <w:t>每批次配送时必须提供对应批次</w:t>
            </w:r>
            <w:r>
              <w:rPr>
                <w:rFonts w:hint="default" w:ascii="宋体" w:hAnsi="宋体" w:eastAsia="宋体" w:cs="宋体"/>
                <w:bCs w:val="0"/>
                <w:color w:val="auto"/>
                <w:kern w:val="2"/>
                <w:sz w:val="21"/>
                <w:szCs w:val="24"/>
                <w:lang w:val="zh-CN" w:eastAsia="zh-CN"/>
              </w:rPr>
              <w:t>具有相应资质检测机构出具的</w:t>
            </w:r>
            <w:r>
              <w:rPr>
                <w:rFonts w:hint="default" w:ascii="宋体" w:hAnsi="宋体" w:eastAsia="宋体" w:cs="宋体"/>
                <w:bCs w:val="0"/>
                <w:color w:val="auto"/>
                <w:kern w:val="2"/>
                <w:sz w:val="21"/>
                <w:szCs w:val="24"/>
                <w:lang w:val="zh-CN"/>
              </w:rPr>
              <w:t>检测报告。</w:t>
            </w:r>
          </w:p>
          <w:p w14:paraId="363F81B2">
            <w:pPr>
              <w:spacing w:line="360" w:lineRule="auto"/>
              <w:rPr>
                <w:rFonts w:ascii="宋体" w:hAnsi="宋体" w:cs="宋体"/>
                <w:color w:val="auto"/>
                <w:lang w:val="zh-CN"/>
              </w:rPr>
            </w:pPr>
            <w:r>
              <w:rPr>
                <w:rFonts w:hint="eastAsia" w:ascii="宋体" w:hAnsi="宋体" w:cs="宋体"/>
                <w:color w:val="auto"/>
                <w:lang w:val="zh-CN"/>
              </w:rPr>
              <w:t>▲（</w:t>
            </w:r>
            <w:r>
              <w:rPr>
                <w:rFonts w:hint="eastAsia" w:ascii="宋体" w:hAnsi="宋体" w:cs="宋体"/>
                <w:color w:val="auto"/>
                <w:lang w:val="en-US" w:eastAsia="zh-CN"/>
              </w:rPr>
              <w:t>4</w:t>
            </w:r>
            <w:r>
              <w:rPr>
                <w:rFonts w:hint="eastAsia" w:ascii="宋体" w:hAnsi="宋体" w:cs="宋体"/>
                <w:color w:val="auto"/>
                <w:lang w:val="zh-CN"/>
              </w:rPr>
              <w:t>）配送</w:t>
            </w:r>
            <w:r>
              <w:rPr>
                <w:rFonts w:ascii="宋体" w:hAnsi="宋体" w:cs="宋体"/>
                <w:color w:val="auto"/>
                <w:lang w:val="zh-CN"/>
              </w:rPr>
              <w:t>频率：</w:t>
            </w:r>
            <w:r>
              <w:rPr>
                <w:rFonts w:hint="eastAsia" w:ascii="宋体" w:hAnsi="宋体" w:cs="宋体"/>
                <w:color w:val="auto"/>
                <w:lang w:val="zh-CN"/>
              </w:rPr>
              <w:t>按采购</w:t>
            </w:r>
            <w:r>
              <w:rPr>
                <w:rFonts w:ascii="宋体" w:hAnsi="宋体" w:cs="宋体"/>
                <w:color w:val="auto"/>
                <w:lang w:val="zh-CN"/>
              </w:rPr>
              <w:t>人</w:t>
            </w:r>
            <w:r>
              <w:rPr>
                <w:rFonts w:hint="eastAsia" w:ascii="宋体" w:hAnsi="宋体" w:cs="宋体"/>
                <w:color w:val="auto"/>
                <w:lang w:val="zh-CN"/>
              </w:rPr>
              <w:t>要求</w:t>
            </w:r>
            <w:r>
              <w:rPr>
                <w:rFonts w:ascii="宋体" w:hAnsi="宋体" w:cs="宋体"/>
                <w:color w:val="auto"/>
                <w:lang w:val="zh-CN"/>
              </w:rPr>
              <w:t>配送</w:t>
            </w:r>
            <w:r>
              <w:rPr>
                <w:rFonts w:hint="eastAsia" w:ascii="宋体" w:hAnsi="宋体" w:cs="宋体"/>
                <w:color w:val="auto"/>
                <w:lang w:val="zh-CN"/>
              </w:rPr>
              <w:t>。</w:t>
            </w:r>
          </w:p>
          <w:p w14:paraId="17898284">
            <w:pPr>
              <w:spacing w:line="360" w:lineRule="auto"/>
              <w:rPr>
                <w:b/>
                <w:bCs/>
                <w:color w:val="auto"/>
              </w:rPr>
            </w:pPr>
            <w:r>
              <w:rPr>
                <w:rFonts w:hint="eastAsia"/>
                <w:b/>
                <w:bCs/>
                <w:color w:val="auto"/>
                <w:lang w:val="zh-CN"/>
              </w:rPr>
              <w:t>13、</w:t>
            </w:r>
            <w:r>
              <w:rPr>
                <w:rFonts w:hint="eastAsia"/>
                <w:b/>
                <w:bCs/>
                <w:color w:val="auto"/>
              </w:rPr>
              <w:t>食材配送要求</w:t>
            </w:r>
          </w:p>
          <w:p w14:paraId="381D31B0">
            <w:pPr>
              <w:spacing w:line="360" w:lineRule="auto"/>
              <w:ind w:firstLine="420" w:firstLineChars="200"/>
              <w:rPr>
                <w:color w:val="auto"/>
              </w:rPr>
            </w:pPr>
            <w:r>
              <w:rPr>
                <w:rFonts w:hint="eastAsia"/>
                <w:color w:val="auto"/>
              </w:rPr>
              <w:t>（</w:t>
            </w:r>
            <w:r>
              <w:rPr>
                <w:color w:val="auto"/>
              </w:rPr>
              <w:t>1</w:t>
            </w:r>
            <w:r>
              <w:rPr>
                <w:rFonts w:hint="eastAsia"/>
                <w:color w:val="auto"/>
              </w:rPr>
              <w:t>）中标供应商应配备“配送专用车”，不</w:t>
            </w:r>
            <w:r>
              <w:rPr>
                <w:color w:val="auto"/>
              </w:rPr>
              <w:t>允许随意</w:t>
            </w:r>
            <w:r>
              <w:rPr>
                <w:rFonts w:hint="eastAsia"/>
                <w:color w:val="auto"/>
              </w:rPr>
              <w:t>变</w:t>
            </w:r>
            <w:r>
              <w:rPr>
                <w:color w:val="auto"/>
              </w:rPr>
              <w:t>更，如需变更，须经采购人同意，</w:t>
            </w:r>
            <w:r>
              <w:rPr>
                <w:rFonts w:hint="eastAsia"/>
                <w:color w:val="auto"/>
              </w:rPr>
              <w:t>凭专用通行证（采购人自行制定）进出提交服务成果地点。</w:t>
            </w:r>
          </w:p>
          <w:p w14:paraId="6F1C52F8">
            <w:pPr>
              <w:spacing w:line="360" w:lineRule="auto"/>
              <w:ind w:firstLine="420" w:firstLineChars="200"/>
              <w:rPr>
                <w:color w:val="auto"/>
              </w:rPr>
            </w:pPr>
            <w:r>
              <w:rPr>
                <w:rFonts w:hint="eastAsia"/>
                <w:color w:val="auto"/>
              </w:rPr>
              <w:t>（</w:t>
            </w:r>
            <w:r>
              <w:rPr>
                <w:color w:val="auto"/>
              </w:rPr>
              <w:t>2</w:t>
            </w:r>
            <w:r>
              <w:rPr>
                <w:rFonts w:hint="eastAsia"/>
                <w:color w:val="auto"/>
              </w:rPr>
              <w:t>）采购人根据实际需要，提前</w:t>
            </w:r>
            <w:r>
              <w:rPr>
                <w:color w:val="auto"/>
              </w:rPr>
              <w:t>一日与中标</w:t>
            </w:r>
            <w:r>
              <w:rPr>
                <w:rFonts w:hint="eastAsia"/>
                <w:color w:val="auto"/>
              </w:rPr>
              <w:t>供应</w:t>
            </w:r>
            <w:r>
              <w:rPr>
                <w:color w:val="auto"/>
              </w:rPr>
              <w:t>商确定次日需配</w:t>
            </w:r>
            <w:r>
              <w:rPr>
                <w:rFonts w:hint="eastAsia"/>
                <w:color w:val="auto"/>
              </w:rPr>
              <w:t>送</w:t>
            </w:r>
            <w:r>
              <w:rPr>
                <w:color w:val="auto"/>
              </w:rPr>
              <w:t>的各项产</w:t>
            </w:r>
            <w:r>
              <w:rPr>
                <w:rFonts w:hint="eastAsia"/>
                <w:color w:val="auto"/>
              </w:rPr>
              <w:t>品</w:t>
            </w:r>
            <w:r>
              <w:rPr>
                <w:color w:val="auto"/>
              </w:rPr>
              <w:t>清单。</w:t>
            </w:r>
            <w:r>
              <w:rPr>
                <w:rFonts w:hint="eastAsia"/>
                <w:color w:val="auto"/>
              </w:rPr>
              <w:t>清单</w:t>
            </w:r>
            <w:r>
              <w:rPr>
                <w:color w:val="auto"/>
              </w:rPr>
              <w:t>包括</w:t>
            </w:r>
            <w:r>
              <w:rPr>
                <w:rFonts w:hint="eastAsia"/>
                <w:color w:val="auto"/>
              </w:rPr>
              <w:t>产</w:t>
            </w:r>
            <w:r>
              <w:rPr>
                <w:color w:val="auto"/>
              </w:rPr>
              <w:t>品名称、</w:t>
            </w:r>
            <w:r>
              <w:rPr>
                <w:rFonts w:hint="eastAsia"/>
                <w:color w:val="auto"/>
              </w:rPr>
              <w:t>送</w:t>
            </w:r>
            <w:r>
              <w:rPr>
                <w:color w:val="auto"/>
              </w:rPr>
              <w:t>达时间、地点、</w:t>
            </w:r>
            <w:r>
              <w:rPr>
                <w:rFonts w:hint="eastAsia"/>
                <w:color w:val="auto"/>
              </w:rPr>
              <w:t>采购</w:t>
            </w:r>
            <w:r>
              <w:rPr>
                <w:color w:val="auto"/>
              </w:rPr>
              <w:t>人接收及</w:t>
            </w:r>
            <w:r>
              <w:rPr>
                <w:rFonts w:hint="eastAsia"/>
                <w:color w:val="auto"/>
              </w:rPr>
              <w:t>验</w:t>
            </w:r>
            <w:r>
              <w:rPr>
                <w:color w:val="auto"/>
              </w:rPr>
              <w:t>收人员名单</w:t>
            </w:r>
            <w:r>
              <w:rPr>
                <w:rFonts w:hint="eastAsia"/>
                <w:color w:val="auto"/>
              </w:rPr>
              <w:t>。</w:t>
            </w:r>
          </w:p>
          <w:p w14:paraId="17240843">
            <w:pPr>
              <w:spacing w:line="360" w:lineRule="auto"/>
              <w:ind w:firstLine="420" w:firstLineChars="200"/>
              <w:rPr>
                <w:color w:val="auto"/>
              </w:rPr>
            </w:pPr>
            <w:r>
              <w:rPr>
                <w:rFonts w:hint="eastAsia"/>
                <w:color w:val="auto"/>
              </w:rPr>
              <w:t>（</w:t>
            </w:r>
            <w:r>
              <w:rPr>
                <w:color w:val="auto"/>
              </w:rPr>
              <w:t>3</w:t>
            </w:r>
            <w:r>
              <w:rPr>
                <w:rFonts w:hint="eastAsia"/>
                <w:color w:val="auto"/>
              </w:rPr>
              <w:t>）紧急供货要求：在收到采购人发出紧急配送供货通知后，中标供应商应在与采购人约定的时限内完成当次现场紧急配送供货。</w:t>
            </w:r>
          </w:p>
          <w:p w14:paraId="2ACF9137">
            <w:pPr>
              <w:spacing w:line="360" w:lineRule="auto"/>
              <w:ind w:firstLine="420" w:firstLineChars="200"/>
              <w:rPr>
                <w:color w:val="auto"/>
              </w:rPr>
            </w:pPr>
            <w:r>
              <w:rPr>
                <w:rFonts w:hint="eastAsia"/>
                <w:color w:val="auto"/>
              </w:rPr>
              <w:t>（</w:t>
            </w:r>
            <w:r>
              <w:rPr>
                <w:color w:val="auto"/>
              </w:rPr>
              <w:t>4</w:t>
            </w:r>
            <w:r>
              <w:rPr>
                <w:rFonts w:hint="eastAsia"/>
                <w:color w:val="auto"/>
              </w:rPr>
              <w:t>）中标供应商必须按照采购人的接受配送服务单位通知的各项产品配送时间、数量、品种、规格、品质等要求及协定的价格准点配送各项产品到采购人的接受配送服务各单位指定地点，并经上述单位对配送的各项目产品验收合格入库后共同签字确认；不能以任何理由推托、拖延和延误，一经采购人书面上报确认中标供应商配送的</w:t>
            </w:r>
            <w:r>
              <w:rPr>
                <w:rFonts w:hint="eastAsia"/>
                <w:color w:val="auto"/>
                <w:kern w:val="0"/>
                <w:szCs w:val="21"/>
              </w:rPr>
              <w:t>食材品种、数量未在规定时间内送达的</w:t>
            </w:r>
            <w:r>
              <w:rPr>
                <w:rFonts w:hint="eastAsia"/>
                <w:color w:val="auto"/>
              </w:rPr>
              <w:t>而影响公安工作正常运转的，中标供应商应承担相应的经济赔偿，赔偿方式为中标供应商对采购人某个自然日某次配送</w:t>
            </w:r>
            <w:r>
              <w:rPr>
                <w:rFonts w:hint="eastAsia"/>
                <w:color w:val="auto"/>
                <w:kern w:val="0"/>
                <w:szCs w:val="21"/>
              </w:rPr>
              <w:t>食材品种、数量未在规定时间内送达的</w:t>
            </w:r>
            <w:r>
              <w:rPr>
                <w:rFonts w:hint="eastAsia"/>
                <w:color w:val="auto"/>
              </w:rPr>
              <w:t>的，按对应的配送次数单次赔偿人民币</w:t>
            </w:r>
            <w:r>
              <w:rPr>
                <w:color w:val="auto"/>
              </w:rPr>
              <w:t>1000</w:t>
            </w:r>
            <w:r>
              <w:rPr>
                <w:rFonts w:hint="eastAsia"/>
                <w:color w:val="auto"/>
              </w:rPr>
              <w:t>元计罚赔偿款；每个月累计超过</w:t>
            </w:r>
            <w:r>
              <w:rPr>
                <w:color w:val="auto"/>
              </w:rPr>
              <w:t>10</w:t>
            </w:r>
            <w:r>
              <w:rPr>
                <w:rFonts w:hint="eastAsia"/>
                <w:color w:val="auto"/>
              </w:rPr>
              <w:t>次或每季度累计超过</w:t>
            </w:r>
            <w:r>
              <w:rPr>
                <w:color w:val="auto"/>
              </w:rPr>
              <w:t>20</w:t>
            </w:r>
            <w:r>
              <w:rPr>
                <w:rFonts w:hint="eastAsia"/>
                <w:color w:val="auto"/>
              </w:rPr>
              <w:t>次的，采购人可单方面解除本招标项下所涉及的合同，并由中标供应商自行承担所有损失及后果，因此产生的行政、刑事处罚和全部经济责任及法律责任均由中标供应商自行负责。</w:t>
            </w:r>
          </w:p>
          <w:p w14:paraId="3CFFF8EA">
            <w:pPr>
              <w:spacing w:line="360" w:lineRule="auto"/>
              <w:ind w:firstLine="420" w:firstLineChars="200"/>
              <w:rPr>
                <w:color w:val="auto"/>
              </w:rPr>
            </w:pPr>
            <w:r>
              <w:rPr>
                <w:rFonts w:hint="eastAsia"/>
                <w:color w:val="auto"/>
              </w:rPr>
              <w:t>（</w:t>
            </w:r>
            <w:r>
              <w:rPr>
                <w:color w:val="auto"/>
              </w:rPr>
              <w:t>5</w:t>
            </w:r>
            <w:r>
              <w:rPr>
                <w:rFonts w:hint="eastAsia"/>
                <w:color w:val="auto"/>
              </w:rPr>
              <w:t>）配送由中标供应商自行负责，搬运入库进行安全摆放；各项产品包装破损、质量有问题或经采购人验收不合格的，中标供应商必须无条件更换。</w:t>
            </w:r>
          </w:p>
          <w:p w14:paraId="7C939D1F">
            <w:pPr>
              <w:spacing w:line="360" w:lineRule="auto"/>
              <w:rPr>
                <w:b/>
                <w:bCs/>
                <w:color w:val="auto"/>
              </w:rPr>
            </w:pPr>
            <w:r>
              <w:rPr>
                <w:rFonts w:hint="eastAsia"/>
                <w:b/>
                <w:bCs/>
                <w:color w:val="auto"/>
              </w:rPr>
              <w:t>14、其他</w:t>
            </w:r>
            <w:r>
              <w:rPr>
                <w:b/>
                <w:bCs/>
                <w:color w:val="auto"/>
              </w:rPr>
              <w:t>要求</w:t>
            </w:r>
          </w:p>
          <w:p w14:paraId="338AA112">
            <w:pPr>
              <w:spacing w:line="360" w:lineRule="auto"/>
              <w:ind w:firstLine="420" w:firstLineChars="200"/>
              <w:rPr>
                <w:color w:val="auto"/>
              </w:rPr>
            </w:pPr>
            <w:r>
              <w:rPr>
                <w:rFonts w:hint="eastAsia"/>
                <w:color w:val="auto"/>
              </w:rPr>
              <w:t>（</w:t>
            </w:r>
            <w:r>
              <w:rPr>
                <w:color w:val="auto"/>
              </w:rPr>
              <w:t>1</w:t>
            </w:r>
            <w:r>
              <w:rPr>
                <w:rFonts w:hint="eastAsia"/>
                <w:color w:val="auto"/>
              </w:rPr>
              <w:t>）中标供应商具有固定的经营场所，无尘无音、封闭式的操作间、库房、配送车辆和固定的配送人员；具有符合食品冷冻管理的“冷库”、农产品种植、养殖基地或与农产品种植、养殖基地有长期合作，保证长期稳定的本招标项下履约所需供货配送能力。</w:t>
            </w:r>
          </w:p>
          <w:p w14:paraId="7E88E2FC">
            <w:pPr>
              <w:spacing w:line="360" w:lineRule="auto"/>
              <w:ind w:firstLine="420" w:firstLineChars="200"/>
              <w:rPr>
                <w:color w:val="auto"/>
              </w:rPr>
            </w:pPr>
            <w:r>
              <w:rPr>
                <w:rFonts w:hint="eastAsia"/>
                <w:color w:val="auto"/>
              </w:rPr>
              <w:t>（</w:t>
            </w:r>
            <w:r>
              <w:rPr>
                <w:color w:val="auto"/>
              </w:rPr>
              <w:t>2</w:t>
            </w:r>
            <w:r>
              <w:rPr>
                <w:rFonts w:hint="eastAsia"/>
                <w:color w:val="auto"/>
              </w:rPr>
              <w:t>）中标供应商应具有农产品农药残留快速检测室，配备农药残留快速检测仪器设备，具有相应证书或上岗证的取样及检测人员≥</w:t>
            </w:r>
            <w:r>
              <w:rPr>
                <w:color w:val="auto"/>
              </w:rPr>
              <w:t>2</w:t>
            </w:r>
            <w:r>
              <w:rPr>
                <w:rFonts w:hint="eastAsia"/>
                <w:color w:val="auto"/>
              </w:rPr>
              <w:t>名，对采购配送的农产品（水果、蔬菜等）进行检测，并将检测结果上报相关监管部门备案。</w:t>
            </w:r>
          </w:p>
          <w:p w14:paraId="678C5700">
            <w:pPr>
              <w:spacing w:line="360" w:lineRule="auto"/>
              <w:ind w:firstLine="420"/>
              <w:rPr>
                <w:color w:val="auto"/>
              </w:rPr>
            </w:pPr>
            <w:r>
              <w:rPr>
                <w:rFonts w:hint="eastAsia"/>
                <w:color w:val="auto"/>
              </w:rPr>
              <w:t>（</w:t>
            </w:r>
            <w:r>
              <w:rPr>
                <w:color w:val="auto"/>
              </w:rPr>
              <w:t>3</w:t>
            </w:r>
            <w:r>
              <w:rPr>
                <w:rFonts w:hint="eastAsia"/>
                <w:color w:val="auto"/>
              </w:rPr>
              <w:t>）每批次配送的产品必须按照国家相关检验标准提供有效的检验合格证明，必须按时、按质、按量进行配送供货。</w:t>
            </w:r>
          </w:p>
          <w:p w14:paraId="5525E121">
            <w:pPr>
              <w:spacing w:after="120" w:line="360" w:lineRule="auto"/>
              <w:ind w:firstLine="420" w:firstLineChars="200"/>
              <w:rPr>
                <w:color w:val="auto"/>
              </w:rPr>
            </w:pPr>
            <w:r>
              <w:rPr>
                <w:rFonts w:hint="eastAsia" w:ascii="宋体" w:hAnsi="宋体" w:cs="宋体"/>
                <w:color w:val="auto"/>
                <w:szCs w:val="21"/>
              </w:rPr>
              <w:t>▲</w:t>
            </w:r>
            <w:r>
              <w:rPr>
                <w:rFonts w:hint="eastAsia"/>
                <w:color w:val="auto"/>
              </w:rPr>
              <w:t>（</w:t>
            </w:r>
            <w:r>
              <w:rPr>
                <w:color w:val="auto"/>
              </w:rPr>
              <w:t>4</w:t>
            </w:r>
            <w:r>
              <w:rPr>
                <w:rFonts w:hint="eastAsia"/>
                <w:color w:val="auto"/>
              </w:rPr>
              <w:t>）投入本招标项的配送人员≥</w:t>
            </w:r>
            <w:r>
              <w:rPr>
                <w:color w:val="auto"/>
              </w:rPr>
              <w:t>8</w:t>
            </w:r>
            <w:r>
              <w:rPr>
                <w:rFonts w:hint="eastAsia"/>
                <w:color w:val="auto"/>
              </w:rPr>
              <w:t>人，必须办理健康证明，投标文件中必须提供有效的身份证、驾驶证、健康证明原件扫描件。中标供应商不得委托非本公司的单位或者个人直接配送产品给采购人。</w:t>
            </w:r>
          </w:p>
          <w:p w14:paraId="78B5718E">
            <w:pPr>
              <w:spacing w:line="360" w:lineRule="auto"/>
              <w:ind w:firstLine="420" w:firstLineChars="200"/>
              <w:rPr>
                <w:color w:val="auto"/>
              </w:rPr>
            </w:pPr>
            <w:r>
              <w:rPr>
                <w:rFonts w:hint="eastAsia"/>
                <w:color w:val="auto"/>
              </w:rPr>
              <w:t>（</w:t>
            </w:r>
            <w:r>
              <w:rPr>
                <w:color w:val="auto"/>
              </w:rPr>
              <w:t>5</w:t>
            </w:r>
            <w:r>
              <w:rPr>
                <w:rFonts w:hint="eastAsia"/>
                <w:color w:val="auto"/>
              </w:rPr>
              <w:t>）中标供应商投入本招标项的“配送专用车”应符合国家年检标准，确保配送过程的安全，配送过程中的任何事故责任及经济损失由中标供应商自行承担；恒温配送车≥</w:t>
            </w:r>
            <w:r>
              <w:rPr>
                <w:color w:val="auto"/>
              </w:rPr>
              <w:t>2</w:t>
            </w:r>
            <w:r>
              <w:rPr>
                <w:rFonts w:hint="eastAsia"/>
                <w:color w:val="auto"/>
              </w:rPr>
              <w:t>辆，冷链车≥</w:t>
            </w:r>
            <w:r>
              <w:rPr>
                <w:color w:val="auto"/>
              </w:rPr>
              <w:t>2</w:t>
            </w:r>
            <w:r>
              <w:rPr>
                <w:rFonts w:hint="eastAsia"/>
                <w:color w:val="auto"/>
              </w:rPr>
              <w:t>辆，并于签订合同后</w:t>
            </w:r>
            <w:r>
              <w:rPr>
                <w:color w:val="auto"/>
              </w:rPr>
              <w:t>10</w:t>
            </w:r>
            <w:r>
              <w:rPr>
                <w:rFonts w:hint="eastAsia"/>
                <w:color w:val="auto"/>
              </w:rPr>
              <w:t>日内与采购人为拟投入车辆办理专用通行证（如为供应商自有车辆，投标文件中需提供车辆提供行驶证或登记证、彩色照片等相关证明材料原件扫描件；如为租赁车辆，必须提供车辆租赁合同、车辆行驶证或登记证、彩色照片等相关证明材料原件扫描件，投标截止之日起租赁期剩余有效期≥</w:t>
            </w:r>
            <w:r>
              <w:rPr>
                <w:color w:val="auto"/>
              </w:rPr>
              <w:t>365</w:t>
            </w:r>
            <w:r>
              <w:rPr>
                <w:rFonts w:hint="eastAsia"/>
                <w:color w:val="auto"/>
              </w:rPr>
              <w:t>日历天）。</w:t>
            </w:r>
          </w:p>
          <w:p w14:paraId="603558FC">
            <w:pPr>
              <w:spacing w:line="360" w:lineRule="auto"/>
              <w:rPr>
                <w:b/>
                <w:bCs/>
                <w:color w:val="auto"/>
              </w:rPr>
            </w:pPr>
            <w:r>
              <w:rPr>
                <w:rFonts w:hint="eastAsia" w:ascii="宋体" w:hAnsi="宋体" w:cs="宋体"/>
                <w:b/>
                <w:bCs/>
                <w:color w:val="auto"/>
                <w:szCs w:val="21"/>
              </w:rPr>
              <w:t>▲</w:t>
            </w:r>
            <w:r>
              <w:rPr>
                <w:rFonts w:hint="eastAsia"/>
                <w:b/>
                <w:bCs/>
                <w:color w:val="auto"/>
              </w:rPr>
              <w:t>15、留样管理</w:t>
            </w:r>
          </w:p>
          <w:p w14:paraId="0D13F6F2">
            <w:pPr>
              <w:spacing w:line="360" w:lineRule="auto"/>
              <w:rPr>
                <w:color w:val="auto"/>
              </w:rPr>
            </w:pPr>
            <w:r>
              <w:rPr>
                <w:rFonts w:hint="eastAsia"/>
                <w:color w:val="auto"/>
              </w:rPr>
              <w:t>（</w:t>
            </w:r>
            <w:r>
              <w:rPr>
                <w:color w:val="auto"/>
              </w:rPr>
              <w:t>1</w:t>
            </w:r>
            <w:r>
              <w:rPr>
                <w:rFonts w:hint="eastAsia"/>
                <w:color w:val="auto"/>
              </w:rPr>
              <w:t>）中标供应商每批次配送的各项产品，均由采购人依照公安内部管理相关规章制度与中标供应商共同开展各项产品留样工作，留样采集时应使用经消毒的专用取样工具取、存样本。</w:t>
            </w:r>
          </w:p>
          <w:p w14:paraId="2B91BBCB">
            <w:pPr>
              <w:spacing w:line="360" w:lineRule="auto"/>
              <w:rPr>
                <w:color w:val="auto"/>
              </w:rPr>
            </w:pPr>
            <w:r>
              <w:rPr>
                <w:rFonts w:hint="eastAsia"/>
                <w:color w:val="auto"/>
              </w:rPr>
              <w:t>（</w:t>
            </w:r>
            <w:r>
              <w:rPr>
                <w:color w:val="auto"/>
              </w:rPr>
              <w:t>2</w:t>
            </w:r>
            <w:r>
              <w:rPr>
                <w:rFonts w:hint="eastAsia"/>
                <w:color w:val="auto"/>
              </w:rPr>
              <w:t>）留样分别由采购人和中标供应商各留足至少</w:t>
            </w:r>
            <w:r>
              <w:rPr>
                <w:rFonts w:hint="eastAsia"/>
                <w:color w:val="auto"/>
                <w:lang w:val="en-US" w:eastAsia="zh-CN"/>
              </w:rPr>
              <w:t>135</w:t>
            </w:r>
            <w:r>
              <w:rPr>
                <w:rFonts w:hint="eastAsia"/>
                <w:color w:val="auto"/>
              </w:rPr>
              <w:t>克，分别盛放在已消毒的专用器皿中。</w:t>
            </w:r>
          </w:p>
          <w:p w14:paraId="5CA17D83">
            <w:pPr>
              <w:spacing w:line="360" w:lineRule="auto"/>
              <w:rPr>
                <w:color w:val="auto"/>
              </w:rPr>
            </w:pPr>
            <w:r>
              <w:rPr>
                <w:rFonts w:hint="eastAsia"/>
                <w:color w:val="auto"/>
              </w:rPr>
              <w:t>（</w:t>
            </w:r>
            <w:r>
              <w:rPr>
                <w:color w:val="auto"/>
              </w:rPr>
              <w:t>3</w:t>
            </w:r>
            <w:r>
              <w:rPr>
                <w:rFonts w:hint="eastAsia"/>
                <w:color w:val="auto"/>
              </w:rPr>
              <w:t>）产品采集取样后，相应的样本应立即存放在完好的物理隔离物（箱、罩、瓶等）内，以免被污染、损毁等，并在其外部贴上标签、标明留样日期、时间、品名、</w:t>
            </w:r>
            <w:r>
              <w:rPr>
                <w:rFonts w:hint="eastAsia"/>
                <w:color w:val="auto"/>
                <w:lang w:val="en-US" w:eastAsia="zh-CN"/>
              </w:rPr>
              <w:t>克数、</w:t>
            </w:r>
            <w:r>
              <w:rPr>
                <w:rFonts w:hint="eastAsia"/>
                <w:color w:val="auto"/>
              </w:rPr>
              <w:t>留样采集人和保管责任人。</w:t>
            </w:r>
          </w:p>
          <w:p w14:paraId="7C9DB696">
            <w:pPr>
              <w:spacing w:line="360" w:lineRule="auto"/>
              <w:rPr>
                <w:color w:val="auto"/>
              </w:rPr>
            </w:pPr>
            <w:r>
              <w:rPr>
                <w:rFonts w:hint="eastAsia"/>
                <w:color w:val="auto"/>
              </w:rPr>
              <w:t>（</w:t>
            </w:r>
            <w:r>
              <w:rPr>
                <w:color w:val="auto"/>
              </w:rPr>
              <w:t>4</w:t>
            </w:r>
            <w:r>
              <w:rPr>
                <w:rFonts w:hint="eastAsia"/>
                <w:color w:val="auto"/>
              </w:rPr>
              <w:t>）将贴好标签的留样按秩序分别存放在采购人和中标供应商经消毒的专用冷藏箱内妥善保存，并动态登记各自的业务管理台账。</w:t>
            </w:r>
          </w:p>
          <w:p w14:paraId="5888756A">
            <w:pPr>
              <w:spacing w:line="360" w:lineRule="auto"/>
              <w:rPr>
                <w:color w:val="auto"/>
              </w:rPr>
            </w:pPr>
            <w:r>
              <w:rPr>
                <w:rFonts w:hint="eastAsia"/>
                <w:color w:val="auto"/>
              </w:rPr>
              <w:t>（</w:t>
            </w:r>
            <w:r>
              <w:rPr>
                <w:color w:val="auto"/>
              </w:rPr>
              <w:t>5</w:t>
            </w:r>
            <w:r>
              <w:rPr>
                <w:rFonts w:hint="eastAsia"/>
                <w:color w:val="auto"/>
              </w:rPr>
              <w:t>）留样保存</w:t>
            </w:r>
            <w:r>
              <w:rPr>
                <w:rFonts w:hint="eastAsia"/>
                <w:color w:val="auto"/>
                <w:lang w:val="en-US" w:eastAsia="zh-CN"/>
              </w:rPr>
              <w:t>48</w:t>
            </w:r>
            <w:r>
              <w:rPr>
                <w:rFonts w:hint="eastAsia"/>
                <w:color w:val="auto"/>
              </w:rPr>
              <w:t>小时，进餐者如无异常，即可处理留样并各自在采购人和中标供应商的业务管理台账中据实登记；如有异常，应当同步立即封存留样，由采购人和中标供应商共同送食品卫生安全部门查验。</w:t>
            </w:r>
          </w:p>
          <w:p w14:paraId="491FEE5D">
            <w:pPr>
              <w:spacing w:line="360" w:lineRule="auto"/>
              <w:rPr>
                <w:color w:val="auto"/>
              </w:rPr>
            </w:pPr>
            <w:r>
              <w:rPr>
                <w:rFonts w:hint="eastAsia"/>
                <w:color w:val="auto"/>
              </w:rPr>
              <w:t>（</w:t>
            </w:r>
            <w:r>
              <w:rPr>
                <w:color w:val="auto"/>
              </w:rPr>
              <w:t>6</w:t>
            </w:r>
            <w:r>
              <w:rPr>
                <w:rFonts w:hint="eastAsia"/>
                <w:color w:val="auto"/>
              </w:rPr>
              <w:t>）留样存储的冷藏箱为专用设备，严禁存放与留样无关的一切物品。</w:t>
            </w:r>
          </w:p>
          <w:p w14:paraId="6D487000">
            <w:pPr>
              <w:spacing w:line="360" w:lineRule="auto"/>
              <w:rPr>
                <w:color w:val="auto"/>
              </w:rPr>
            </w:pPr>
            <w:r>
              <w:rPr>
                <w:rFonts w:hint="eastAsia"/>
                <w:color w:val="auto"/>
              </w:rPr>
              <w:t>（</w:t>
            </w:r>
            <w:r>
              <w:rPr>
                <w:color w:val="auto"/>
              </w:rPr>
              <w:t>7</w:t>
            </w:r>
            <w:r>
              <w:rPr>
                <w:rFonts w:hint="eastAsia"/>
                <w:color w:val="auto"/>
              </w:rPr>
              <w:t>）留样、检验工作等造成的产品损耗、消耗由中标供应商承担。</w:t>
            </w:r>
          </w:p>
          <w:p w14:paraId="2DEE2066">
            <w:pPr>
              <w:spacing w:line="360" w:lineRule="auto"/>
              <w:rPr>
                <w:color w:val="auto"/>
              </w:rPr>
            </w:pPr>
            <w:r>
              <w:rPr>
                <w:rFonts w:hint="eastAsia"/>
                <w:color w:val="auto"/>
              </w:rPr>
              <w:t>（</w:t>
            </w:r>
            <w:r>
              <w:rPr>
                <w:color w:val="auto"/>
              </w:rPr>
              <w:t>8</w:t>
            </w:r>
            <w:r>
              <w:rPr>
                <w:rFonts w:hint="eastAsia"/>
                <w:color w:val="auto"/>
              </w:rPr>
              <w:t>）若抽样检查出现不合格产品的，采购人可单方面解除本招标项所涉及的合同，并由中标供应商自行承担所有损失及后果，因此产生的行政、刑事处罚和全部经济责任及法律责任均由中标供应商自行负责。</w:t>
            </w:r>
          </w:p>
          <w:p w14:paraId="66C582E8">
            <w:pPr>
              <w:spacing w:line="360" w:lineRule="auto"/>
              <w:rPr>
                <w:b/>
                <w:bCs/>
                <w:color w:val="auto"/>
              </w:rPr>
            </w:pPr>
            <w:r>
              <w:rPr>
                <w:rFonts w:hint="eastAsia" w:ascii="宋体" w:hAnsi="宋体" w:cs="宋体"/>
                <w:b/>
                <w:bCs/>
                <w:color w:val="auto"/>
                <w:szCs w:val="21"/>
              </w:rPr>
              <w:t>▲</w:t>
            </w:r>
            <w:r>
              <w:rPr>
                <w:rFonts w:hint="eastAsia"/>
                <w:b/>
                <w:bCs/>
                <w:color w:val="auto"/>
              </w:rPr>
              <w:t>16、食品安全</w:t>
            </w:r>
          </w:p>
          <w:p w14:paraId="35FBBEDD">
            <w:pPr>
              <w:spacing w:line="360" w:lineRule="auto"/>
              <w:rPr>
                <w:color w:val="auto"/>
              </w:rPr>
            </w:pPr>
            <w:r>
              <w:rPr>
                <w:rFonts w:hint="eastAsia"/>
                <w:color w:val="auto"/>
              </w:rPr>
              <w:t>（</w:t>
            </w:r>
            <w:r>
              <w:rPr>
                <w:color w:val="auto"/>
              </w:rPr>
              <w:t>1</w:t>
            </w:r>
            <w:r>
              <w:rPr>
                <w:rFonts w:hint="eastAsia"/>
                <w:color w:val="auto"/>
              </w:rPr>
              <w:t>）中标供应商为履行本招标项下的配送服务，而从生产加工单位、生产基地、流通经营单位（商店、超市、个体工商户）等采购各项产品的，采购人的接受配送服务单位可要求查验上述生产加工单位、生产基地、流通经营单位（商店、超市、个体工商户）等相关第三方供货商的资质证件，无《食品经营许可证》的生产经营单位、企业（个人）供应的产品不得向采购人的接受配送服务单位配送。</w:t>
            </w:r>
          </w:p>
          <w:p w14:paraId="0C10CB17">
            <w:pPr>
              <w:spacing w:line="360" w:lineRule="auto"/>
              <w:rPr>
                <w:color w:val="auto"/>
              </w:rPr>
            </w:pPr>
            <w:r>
              <w:rPr>
                <w:rFonts w:hint="eastAsia"/>
                <w:color w:val="auto"/>
              </w:rPr>
              <w:t>（</w:t>
            </w:r>
            <w:r>
              <w:rPr>
                <w:color w:val="auto"/>
              </w:rPr>
              <w:t>2</w:t>
            </w:r>
            <w:r>
              <w:rPr>
                <w:rFonts w:hint="eastAsia"/>
                <w:color w:val="auto"/>
              </w:rPr>
              <w:t>）中标供应商必须遵守《中华人民共和国产品质量法》《中华人民共和国消费者权益保护法》《中华人民共和国食品安全法》《中华人民共和国计量法》《动物检疫法》等现行相关法律、法规，严格按国家食品卫生标准要求执行，保证向采购人的接受配送服务单位所提供的配送各项产品质量安全且具有工商、质监部门认可的检验合格证书；凡是《食品安全法》等禁止经营的产品一律不得向采购人的接受配送服务单位配送，严禁配送“三无”、有毒、有害，过期、变质、假冒伪劣等不合格产品。</w:t>
            </w:r>
          </w:p>
          <w:p w14:paraId="051B9FAC">
            <w:pPr>
              <w:spacing w:line="360" w:lineRule="auto"/>
              <w:rPr>
                <w:color w:val="auto"/>
              </w:rPr>
            </w:pPr>
            <w:r>
              <w:rPr>
                <w:rFonts w:hint="eastAsia"/>
                <w:color w:val="auto"/>
              </w:rPr>
              <w:t>（</w:t>
            </w:r>
            <w:r>
              <w:rPr>
                <w:color w:val="auto"/>
              </w:rPr>
              <w:t>3</w:t>
            </w:r>
            <w:r>
              <w:rPr>
                <w:rFonts w:hint="eastAsia"/>
                <w:color w:val="auto"/>
              </w:rPr>
              <w:t>）配送预包装类的产品，必须符合</w:t>
            </w:r>
            <w:r>
              <w:rPr>
                <w:color w:val="auto"/>
              </w:rPr>
              <w:t>GB7718</w:t>
            </w:r>
            <w:r>
              <w:rPr>
                <w:rFonts w:hint="eastAsia"/>
                <w:color w:val="auto"/>
              </w:rPr>
              <w:t>－</w:t>
            </w:r>
            <w:r>
              <w:rPr>
                <w:color w:val="auto"/>
              </w:rPr>
              <w:t>2004</w:t>
            </w:r>
            <w:r>
              <w:rPr>
                <w:rFonts w:hint="eastAsia"/>
                <w:color w:val="auto"/>
              </w:rPr>
              <w:t>《预包装食品标签通则》的规定。</w:t>
            </w:r>
          </w:p>
          <w:p w14:paraId="4F7DA9B6">
            <w:pPr>
              <w:spacing w:line="360" w:lineRule="auto"/>
              <w:rPr>
                <w:color w:val="auto"/>
              </w:rPr>
            </w:pPr>
            <w:r>
              <w:rPr>
                <w:rFonts w:hint="eastAsia"/>
                <w:color w:val="auto"/>
              </w:rPr>
              <w:t>（</w:t>
            </w:r>
            <w:r>
              <w:rPr>
                <w:color w:val="auto"/>
              </w:rPr>
              <w:t>4</w:t>
            </w:r>
            <w:r>
              <w:rPr>
                <w:rFonts w:hint="eastAsia"/>
                <w:color w:val="auto"/>
              </w:rPr>
              <w:t>）合同履约过程中，中标供应商履约验收不力、对出现食品安全责任事故迟报、漏报、处置不当的应承担相应的法</w:t>
            </w:r>
            <w:r>
              <w:rPr>
                <w:color w:val="auto"/>
              </w:rPr>
              <w:t>律</w:t>
            </w:r>
            <w:r>
              <w:rPr>
                <w:rFonts w:hint="eastAsia"/>
                <w:color w:val="auto"/>
              </w:rPr>
              <w:t>责任。</w:t>
            </w:r>
          </w:p>
          <w:p w14:paraId="1267270B">
            <w:pPr>
              <w:spacing w:line="360" w:lineRule="auto"/>
              <w:rPr>
                <w:color w:val="auto"/>
              </w:rPr>
            </w:pPr>
            <w:r>
              <w:rPr>
                <w:rFonts w:hint="eastAsia"/>
                <w:color w:val="auto"/>
                <w:lang w:val="en-US" w:eastAsia="zh-CN"/>
              </w:rPr>
              <w:t>17、</w:t>
            </w:r>
            <w:r>
              <w:rPr>
                <w:rFonts w:hint="eastAsia"/>
                <w:color w:val="auto"/>
              </w:rPr>
              <w:t>本招标需求和其项下配送服务涉及的所有产品的相关质量合格证明、产品质量检测合格报告、动物检验检疫证明、检疫报告等原件扫描件，均应按照采购人要求提供原件备查。</w:t>
            </w:r>
          </w:p>
          <w:p w14:paraId="681449CF">
            <w:pPr>
              <w:spacing w:line="360" w:lineRule="auto"/>
              <w:rPr>
                <w:rFonts w:ascii="宋体" w:cs="宋体"/>
                <w:color w:val="auto"/>
                <w:szCs w:val="21"/>
              </w:rPr>
            </w:pPr>
            <w:r>
              <w:rPr>
                <w:rFonts w:hint="eastAsia" w:ascii="宋体" w:hAnsi="宋体" w:cs="宋体"/>
                <w:color w:val="auto"/>
                <w:szCs w:val="21"/>
              </w:rPr>
              <w:t>▲</w:t>
            </w:r>
            <w:r>
              <w:rPr>
                <w:rFonts w:hint="eastAsia" w:ascii="宋体" w:hAnsi="宋体" w:cs="宋体"/>
                <w:color w:val="auto"/>
              </w:rPr>
              <w:t>18、</w:t>
            </w:r>
            <w:r>
              <w:rPr>
                <w:rFonts w:hint="eastAsia" w:ascii="宋体" w:hAnsi="宋体" w:cs="宋体"/>
                <w:color w:val="auto"/>
                <w:szCs w:val="21"/>
              </w:rPr>
              <w:t>专人专车，能达到集中配送需求。送货前要清洗消杀，封闭运输。</w:t>
            </w:r>
          </w:p>
          <w:p w14:paraId="2E6E6BDF">
            <w:pPr>
              <w:numPr>
                <w:ilvl w:val="0"/>
                <w:numId w:val="1"/>
              </w:numPr>
              <w:spacing w:line="360" w:lineRule="auto"/>
              <w:rPr>
                <w:color w:val="auto"/>
                <w:kern w:val="0"/>
                <w:szCs w:val="21"/>
              </w:rPr>
            </w:pPr>
            <w:r>
              <w:rPr>
                <w:rFonts w:hint="eastAsia"/>
                <w:color w:val="auto"/>
                <w:kern w:val="0"/>
                <w:szCs w:val="21"/>
              </w:rPr>
              <w:t>投标人应当购买《食品安全责任保险》，且投保的责任险在有效期内，并提供保险单复印件1份，剩余的保险期不足以服务365个自然日，须提供一份承诺书（格</w:t>
            </w:r>
            <w:r>
              <w:rPr>
                <w:color w:val="auto"/>
                <w:kern w:val="0"/>
                <w:szCs w:val="21"/>
              </w:rPr>
              <w:t>式自拟）</w:t>
            </w:r>
            <w:r>
              <w:rPr>
                <w:rFonts w:hint="eastAsia"/>
                <w:color w:val="auto"/>
                <w:kern w:val="0"/>
                <w:szCs w:val="21"/>
              </w:rPr>
              <w:t>，承诺在服务期内续保。</w:t>
            </w:r>
          </w:p>
          <w:p w14:paraId="42FA2380">
            <w:pPr>
              <w:numPr>
                <w:ilvl w:val="0"/>
                <w:numId w:val="1"/>
              </w:numPr>
              <w:spacing w:line="360" w:lineRule="auto"/>
              <w:rPr>
                <w:rFonts w:ascii="Calibri" w:hAnsi="Calibri"/>
                <w:color w:val="auto"/>
              </w:rPr>
            </w:pPr>
            <w:r>
              <w:rPr>
                <w:rFonts w:hint="eastAsia" w:ascii="Calibri" w:hAnsi="Calibri"/>
                <w:color w:val="auto"/>
              </w:rPr>
              <w:t>仓储条件（配送面积、仓储面积、分类分批次专仓）。配送到二看的食材要在供应商的冷库、冷藏库、常温库中专门区</w:t>
            </w:r>
            <w:r>
              <w:rPr>
                <w:rFonts w:hint="eastAsia" w:ascii="Calibri" w:hAnsi="Calibri" w:eastAsia="宋体"/>
                <w:color w:val="auto"/>
              </w:rPr>
              <w:t>域放置48小时，</w:t>
            </w:r>
            <w:r>
              <w:rPr>
                <w:rFonts w:hint="eastAsia" w:ascii="Calibri" w:hAnsi="Calibri" w:eastAsia="宋体"/>
                <w:color w:val="auto"/>
                <w:lang w:val="en-US" w:eastAsia="zh-CN"/>
              </w:rPr>
              <w:t>储存货物前</w:t>
            </w:r>
            <w:r>
              <w:rPr>
                <w:rFonts w:hint="eastAsia" w:ascii="Calibri" w:hAnsi="Calibri" w:eastAsia="宋体"/>
                <w:color w:val="auto"/>
              </w:rPr>
              <w:t>库房中需使用紫外线照射消毒，配送场地在装卸配送到二看的货物前要进行消杀。</w:t>
            </w:r>
          </w:p>
          <w:p w14:paraId="0581455B">
            <w:pPr>
              <w:numPr>
                <w:ilvl w:val="0"/>
                <w:numId w:val="1"/>
              </w:numPr>
              <w:spacing w:line="360" w:lineRule="auto"/>
              <w:rPr>
                <w:rFonts w:hint="eastAsia" w:ascii="宋体" w:hAnsi="宋体" w:eastAsia="宋体" w:cs="宋体"/>
                <w:color w:val="auto"/>
                <w:sz w:val="21"/>
                <w:szCs w:val="21"/>
              </w:rPr>
            </w:pPr>
            <w:r>
              <w:rPr>
                <w:rFonts w:hint="eastAsia" w:ascii="Calibri" w:hAnsi="Calibri"/>
                <w:color w:val="auto"/>
              </w:rPr>
              <w:t>检测要求（农残、</w:t>
            </w:r>
            <w:r>
              <w:rPr>
                <w:rFonts w:hint="eastAsia" w:ascii="Calibri" w:hAnsi="Calibri"/>
                <w:color w:val="auto"/>
                <w:lang w:val="en-US" w:eastAsia="zh-CN"/>
              </w:rPr>
              <w:t>兽残、</w:t>
            </w:r>
            <w:r>
              <w:rPr>
                <w:rFonts w:hint="eastAsia" w:ascii="Calibri" w:hAnsi="Calibri"/>
                <w:color w:val="auto"/>
              </w:rPr>
              <w:t>微生物检测）。供应商对每批次配送的食材需进行农残</w:t>
            </w:r>
            <w:r>
              <w:rPr>
                <w:rFonts w:hint="eastAsia" w:ascii="Calibri" w:hAnsi="Calibri"/>
                <w:color w:val="auto"/>
                <w:lang w:eastAsia="zh-CN"/>
              </w:rPr>
              <w:t>、</w:t>
            </w:r>
            <w:r>
              <w:rPr>
                <w:rFonts w:hint="eastAsia" w:ascii="Calibri" w:hAnsi="Calibri"/>
                <w:color w:val="auto"/>
                <w:lang w:val="en-US" w:eastAsia="zh-CN"/>
              </w:rPr>
              <w:t>兽残</w:t>
            </w:r>
            <w:r>
              <w:rPr>
                <w:rFonts w:hint="eastAsia" w:ascii="Calibri" w:hAnsi="Calibri"/>
                <w:color w:val="auto"/>
              </w:rPr>
              <w:t>和微生物检测，自身没有实验室的，可以聘请第三方有相关资质的检测单位检测并提供检测报告。</w:t>
            </w:r>
            <w:r>
              <w:rPr>
                <w:rFonts w:hint="eastAsia" w:ascii="宋体" w:hAnsi="宋体" w:eastAsia="宋体" w:cs="宋体"/>
                <w:b w:val="0"/>
                <w:bCs w:val="0"/>
                <w:color w:val="auto"/>
                <w:sz w:val="21"/>
                <w:szCs w:val="21"/>
                <w:lang w:val="en-US" w:eastAsia="zh-CN"/>
              </w:rPr>
              <w:t>自有或第三方检测机构的</w:t>
            </w:r>
            <w:r>
              <w:rPr>
                <w:rFonts w:hint="eastAsia" w:ascii="Calibri" w:hAnsi="Calibri"/>
                <w:color w:val="auto"/>
              </w:rPr>
              <w:t>微生物检测实验室应配有食品安全检测仪、细菌微生物检测仪、五合一前处理设备、恒温水浴锅、恒温培养箱、均质器、恒温振动器等设备。检测报告内容：蛋及蛋制品：沙门氏菌、葡萄球菌、变形杆菌等；水产品海产品：链球菌、副溶血性弧菌；乳制品：沙门氏菌、志贺氏菌、葡萄球菌、链球菌、蜡样芽孢杆菌；畜禽肉类：肠道致病菌和致病性球菌；米面类：蜡样芽孢杆菌、变形杆菌、酵母霉菌等。</w:t>
            </w:r>
          </w:p>
        </w:tc>
        <w:tc>
          <w:tcPr>
            <w:tcW w:w="1050" w:type="dxa"/>
            <w:noWrap w:val="0"/>
            <w:tcMar>
              <w:top w:w="0" w:type="dxa"/>
              <w:left w:w="108" w:type="dxa"/>
              <w:bottom w:w="0" w:type="dxa"/>
              <w:right w:w="108" w:type="dxa"/>
            </w:tcMar>
            <w:vAlign w:val="center"/>
          </w:tcPr>
          <w:p w14:paraId="329D8F4B">
            <w:pPr>
              <w:pageBreakBefore w:val="0"/>
              <w:kinsoku/>
              <w:wordWrap/>
              <w:overflowPunct/>
              <w:topLinePunct w:val="0"/>
              <w:bidi w:val="0"/>
              <w:spacing w:beforeAutospacing="0" w:line="360" w:lineRule="auto"/>
              <w:ind w:left="0" w:leftChars="0" w:right="0"/>
              <w:rPr>
                <w:rFonts w:hint="default" w:ascii="宋体" w:hAnsi="宋体" w:eastAsia="宋体" w:cs="宋体"/>
                <w:color w:val="auto"/>
                <w:kern w:val="0"/>
                <w:sz w:val="21"/>
                <w:szCs w:val="21"/>
                <w:lang w:val="en-US" w:eastAsia="zh-CN"/>
              </w:rPr>
            </w:pPr>
            <w:r>
              <w:rPr>
                <w:rFonts w:hint="eastAsia"/>
                <w:color w:val="auto"/>
                <w:lang w:val="en-US" w:eastAsia="zh-CN"/>
              </w:rPr>
              <w:t>2059.20</w:t>
            </w:r>
          </w:p>
        </w:tc>
        <w:tc>
          <w:tcPr>
            <w:tcW w:w="1554" w:type="dxa"/>
            <w:noWrap w:val="0"/>
            <w:vAlign w:val="top"/>
          </w:tcPr>
          <w:p w14:paraId="3139E5A1">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1"/>
                <w:szCs w:val="21"/>
              </w:rPr>
            </w:pPr>
          </w:p>
          <w:p w14:paraId="49E406AD">
            <w:pPr>
              <w:pageBreakBefore w:val="0"/>
              <w:kinsoku/>
              <w:wordWrap/>
              <w:overflowPunct/>
              <w:topLinePunct w:val="0"/>
              <w:bidi w:val="0"/>
              <w:spacing w:beforeAutospacing="0" w:line="360" w:lineRule="auto"/>
              <w:ind w:left="0" w:leftChars="0" w:right="0"/>
              <w:rPr>
                <w:rFonts w:hint="eastAsia" w:ascii="宋体" w:hAnsi="宋体" w:eastAsia="宋体" w:cs="宋体"/>
                <w:color w:val="auto"/>
                <w:kern w:val="0"/>
                <w:sz w:val="21"/>
                <w:szCs w:val="21"/>
              </w:rPr>
            </w:pPr>
            <w:r>
              <w:rPr>
                <w:rFonts w:hint="eastAsia" w:ascii="宋体" w:hAnsi="宋体" w:eastAsia="宋体" w:cs="宋体"/>
                <w:color w:val="auto"/>
                <w:sz w:val="21"/>
                <w:szCs w:val="21"/>
              </w:rPr>
              <w:t>其他未列明行业</w:t>
            </w:r>
          </w:p>
        </w:tc>
      </w:tr>
      <w:tr w14:paraId="7112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561" w:type="dxa"/>
            <w:noWrap w:val="0"/>
            <w:tcMar>
              <w:top w:w="0" w:type="dxa"/>
              <w:left w:w="108" w:type="dxa"/>
              <w:bottom w:w="0" w:type="dxa"/>
              <w:right w:w="108" w:type="dxa"/>
            </w:tcMar>
            <w:vAlign w:val="center"/>
          </w:tcPr>
          <w:p w14:paraId="1B9AFCA4">
            <w:pPr>
              <w:pageBreakBefore w:val="0"/>
              <w:widowControl/>
              <w:tabs>
                <w:tab w:val="left" w:pos="1440"/>
              </w:tabs>
              <w:kinsoku/>
              <w:wordWrap/>
              <w:overflowPunct/>
              <w:topLinePunct w:val="0"/>
              <w:bidi w:val="0"/>
              <w:spacing w:beforeAutospacing="0" w:line="360" w:lineRule="auto"/>
              <w:ind w:left="0" w:leftChars="0" w:right="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商务条款</w:t>
            </w:r>
          </w:p>
        </w:tc>
        <w:tc>
          <w:tcPr>
            <w:tcW w:w="9256" w:type="dxa"/>
            <w:gridSpan w:val="5"/>
            <w:noWrap w:val="0"/>
            <w:tcMar>
              <w:top w:w="0" w:type="dxa"/>
              <w:left w:w="108" w:type="dxa"/>
              <w:bottom w:w="0" w:type="dxa"/>
              <w:right w:w="108" w:type="dxa"/>
            </w:tcMar>
            <w:vAlign w:val="top"/>
          </w:tcPr>
          <w:p w14:paraId="5560B76A">
            <w:pPr>
              <w:pageBreakBefore w:val="0"/>
              <w:kinsoku/>
              <w:wordWrap/>
              <w:overflowPunct/>
              <w:topLinePunct w:val="0"/>
              <w:bidi w:val="0"/>
              <w:spacing w:beforeAutospacing="0" w:line="360" w:lineRule="auto"/>
              <w:ind w:left="0" w:leftChars="0" w:right="0" w:firstLine="105" w:firstLineChars="5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w:t>
            </w:r>
            <w:r>
              <w:rPr>
                <w:rFonts w:hint="eastAsia" w:ascii="宋体" w:hAnsi="宋体" w:eastAsia="宋体" w:cs="宋体"/>
                <w:b/>
                <w:bCs/>
                <w:color w:val="auto"/>
                <w:sz w:val="21"/>
                <w:szCs w:val="21"/>
              </w:rPr>
              <w:t>一、合同签订期：</w:t>
            </w:r>
            <w:r>
              <w:rPr>
                <w:rFonts w:hint="eastAsia" w:ascii="宋体" w:hAnsi="宋体" w:eastAsia="宋体" w:cs="宋体"/>
                <w:color w:val="auto"/>
                <w:sz w:val="21"/>
                <w:szCs w:val="21"/>
              </w:rPr>
              <w:t>自中标通知书发出之日起 25日内</w:t>
            </w:r>
            <w:r>
              <w:rPr>
                <w:rFonts w:hint="eastAsia" w:ascii="宋体" w:hAnsi="宋体" w:cs="宋体"/>
                <w:color w:val="auto"/>
                <w:sz w:val="21"/>
                <w:szCs w:val="21"/>
                <w:lang w:eastAsia="zh-CN"/>
              </w:rPr>
              <w:t>。</w:t>
            </w:r>
          </w:p>
          <w:p w14:paraId="01DF53BE">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 </w:t>
            </w:r>
            <w:r>
              <w:rPr>
                <w:rFonts w:hint="eastAsia" w:ascii="宋体" w:hAnsi="宋体" w:eastAsia="宋体" w:cs="宋体"/>
                <w:color w:val="auto"/>
                <w:sz w:val="21"/>
                <w:szCs w:val="21"/>
              </w:rPr>
              <w:t>▲</w:t>
            </w:r>
            <w:r>
              <w:rPr>
                <w:rFonts w:hint="eastAsia" w:ascii="宋体" w:hAnsi="宋体" w:eastAsia="宋体" w:cs="宋体"/>
                <w:b/>
                <w:bCs/>
                <w:color w:val="auto"/>
                <w:sz w:val="21"/>
                <w:szCs w:val="21"/>
              </w:rPr>
              <w:t>二、服务期限：</w:t>
            </w:r>
            <w:r>
              <w:rPr>
                <w:rFonts w:hint="eastAsia" w:cs="宋体"/>
                <w:color w:val="auto"/>
                <w:lang w:eastAsia="zh-CN" w:bidi="ar"/>
              </w:rPr>
              <w:t>自签订合同之日起365个自然日。本项目合同履约到期后，招标人依据本项目的服务履约评价情况及实际需求，并根据《财政部关于推进和完善服务项目政府有关问题的通知》（财库〔2014〕37号）及《政府购买服务管理办法》（财政部令第102号）等规定，在年度预算保障的前提下，对于购买内容（采购需求）相对固定、连续（延续）性强、经费来源稳定、价格变化幅度小的政府采购服务项目，可以通过一年一续签方式签订合同，期限总长不得超过三年。</w:t>
            </w:r>
          </w:p>
          <w:p w14:paraId="116FDC3F">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b/>
                <w:bCs/>
                <w:color w:val="auto"/>
                <w:sz w:val="21"/>
                <w:szCs w:val="21"/>
              </w:rPr>
              <w:t>三、提交服务成果地点：</w:t>
            </w:r>
            <w:r>
              <w:rPr>
                <w:rFonts w:hint="eastAsia" w:ascii="宋体" w:hAnsi="宋体" w:eastAsia="宋体" w:cs="宋体"/>
                <w:color w:val="auto"/>
                <w:sz w:val="21"/>
                <w:szCs w:val="21"/>
              </w:rPr>
              <w:t>南宁市内采购人指定地点。</w:t>
            </w:r>
          </w:p>
          <w:p w14:paraId="0510DE4E">
            <w:pPr>
              <w:pageBreakBefore w:val="0"/>
              <w:kinsoku/>
              <w:wordWrap/>
              <w:overflowPunct/>
              <w:topLinePunct w:val="0"/>
              <w:bidi w:val="0"/>
              <w:spacing w:beforeAutospacing="0" w:line="360" w:lineRule="auto"/>
              <w:ind w:left="0" w:leftChars="0" w:right="0"/>
              <w:jc w:val="left"/>
              <w:rPr>
                <w:rFonts w:hint="eastAsia" w:ascii="宋体" w:hAnsi="宋体" w:eastAsia="宋体" w:cs="宋体"/>
                <w:color w:val="auto"/>
                <w:kern w:val="0"/>
                <w:sz w:val="21"/>
                <w:szCs w:val="21"/>
              </w:rPr>
            </w:pPr>
            <w:r>
              <w:rPr>
                <w:rFonts w:hint="eastAsia" w:ascii="宋体" w:hAnsi="宋体" w:eastAsia="宋体" w:cs="宋体"/>
                <w:color w:val="auto"/>
                <w:sz w:val="21"/>
                <w:szCs w:val="21"/>
              </w:rPr>
              <w:t>▲</w:t>
            </w:r>
            <w:r>
              <w:rPr>
                <w:rFonts w:hint="eastAsia" w:ascii="宋体" w:hAnsi="宋体" w:eastAsia="宋体" w:cs="宋体"/>
                <w:b/>
                <w:bCs/>
                <w:color w:val="auto"/>
                <w:sz w:val="21"/>
                <w:szCs w:val="21"/>
              </w:rPr>
              <w:t>四、投标报价及结算要求</w:t>
            </w:r>
          </w:p>
          <w:p w14:paraId="5693FC5F">
            <w:pPr>
              <w:pageBreakBefore w:val="0"/>
              <w:kinsoku/>
              <w:wordWrap/>
              <w:overflowPunct/>
              <w:topLinePunct w:val="0"/>
              <w:bidi w:val="0"/>
              <w:spacing w:beforeAutospacing="0" w:line="360" w:lineRule="auto"/>
              <w:ind w:left="0" w:leftChars="0" w:right="0" w:firstLine="211" w:firstLineChars="100"/>
              <w:jc w:val="lef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1.投标报价要求</w:t>
            </w:r>
          </w:p>
          <w:p w14:paraId="43A66D9E">
            <w:pPr>
              <w:pageBreakBefore w:val="0"/>
              <w:tabs>
                <w:tab w:val="left" w:pos="611"/>
              </w:tabs>
              <w:kinsoku/>
              <w:wordWrap/>
              <w:overflowPunct/>
              <w:topLinePunct w:val="0"/>
              <w:bidi w:val="0"/>
              <w:spacing w:beforeAutospacing="0" w:line="360" w:lineRule="auto"/>
              <w:ind w:left="0" w:leftChars="0" w:right="0" w:firstLine="420" w:firstLineChars="200"/>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（1）</w:t>
            </w:r>
            <w:r>
              <w:rPr>
                <w:rFonts w:hint="eastAsia"/>
                <w:color w:val="auto"/>
              </w:rPr>
              <w:t>投标</w:t>
            </w:r>
            <w:r>
              <w:rPr>
                <w:color w:val="auto"/>
              </w:rPr>
              <w:t>人</w:t>
            </w:r>
            <w:r>
              <w:rPr>
                <w:rFonts w:hint="eastAsia"/>
                <w:color w:val="auto"/>
              </w:rPr>
              <w:t>根据市场价格、成本及自身条件、市场风险考虑，以折扣率方式进行报价，有效折扣率范围为：</w:t>
            </w:r>
            <w:r>
              <w:rPr>
                <w:color w:val="auto"/>
              </w:rPr>
              <w:t>0</w:t>
            </w:r>
            <w:r>
              <w:rPr>
                <w:rFonts w:hint="eastAsia"/>
                <w:color w:val="auto"/>
              </w:rPr>
              <w:t>～</w:t>
            </w:r>
            <w:r>
              <w:rPr>
                <w:color w:val="auto"/>
              </w:rPr>
              <w:t>100%</w:t>
            </w:r>
            <w:r>
              <w:rPr>
                <w:rFonts w:hint="eastAsia" w:ascii="宋体" w:hAnsi="宋体" w:cs="宋体"/>
                <w:color w:val="auto"/>
                <w:kern w:val="0"/>
                <w:sz w:val="21"/>
                <w:szCs w:val="21"/>
                <w:lang w:eastAsia="zh-CN"/>
              </w:rPr>
              <w:t>。</w:t>
            </w:r>
          </w:p>
          <w:p w14:paraId="25BCBDED">
            <w:pPr>
              <w:pageBreakBefore w:val="0"/>
              <w:tabs>
                <w:tab w:val="left" w:pos="611"/>
              </w:tabs>
              <w:kinsoku/>
              <w:wordWrap/>
              <w:overflowPunct/>
              <w:topLinePunct w:val="0"/>
              <w:bidi w:val="0"/>
              <w:spacing w:beforeAutospacing="0" w:line="360" w:lineRule="auto"/>
              <w:ind w:left="0" w:leftChars="0" w:right="0"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（2）报价必须含以下部分，投标报价为南宁市行政区内采购人指定地点的现场交货价</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详见</w:t>
            </w:r>
            <w:r>
              <w:rPr>
                <w:rFonts w:hint="eastAsia" w:ascii="宋体" w:hAnsi="宋体" w:eastAsia="宋体" w:cs="宋体"/>
                <w:color w:val="auto"/>
                <w:kern w:val="0"/>
                <w:sz w:val="21"/>
                <w:szCs w:val="21"/>
              </w:rPr>
              <w:t>食材基准价确定规则</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以及合同履约包含的所有风险、责任等各项应有费用，原则上采购人不再支付任何费用，包括：</w:t>
            </w:r>
          </w:p>
          <w:p w14:paraId="097D51E5">
            <w:pPr>
              <w:pageBreakBefore w:val="0"/>
              <w:kinsoku/>
              <w:wordWrap/>
              <w:overflowPunct/>
              <w:topLinePunct w:val="0"/>
              <w:bidi w:val="0"/>
              <w:spacing w:beforeAutospacing="0" w:line="360" w:lineRule="auto"/>
              <w:ind w:left="0" w:leftChars="0" w:right="0"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①产品及标准附件、专用工具、包装、保鲜、加工、保质期内服务价格；</w:t>
            </w:r>
          </w:p>
          <w:p w14:paraId="6C7270FE">
            <w:pPr>
              <w:pageBreakBefore w:val="0"/>
              <w:kinsoku/>
              <w:wordWrap/>
              <w:overflowPunct/>
              <w:topLinePunct w:val="0"/>
              <w:bidi w:val="0"/>
              <w:spacing w:beforeAutospacing="0" w:line="360" w:lineRule="auto"/>
              <w:ind w:left="0" w:leftChars="0" w:right="0"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②仓储、包装、运输、搬运、深加工、检验检测、售后服务等相关费用；</w:t>
            </w:r>
          </w:p>
          <w:p w14:paraId="02B0C2B9">
            <w:pPr>
              <w:pageBreakBefore w:val="0"/>
              <w:kinsoku/>
              <w:wordWrap/>
              <w:overflowPunct/>
              <w:topLinePunct w:val="0"/>
              <w:bidi w:val="0"/>
              <w:spacing w:beforeAutospacing="0" w:line="360" w:lineRule="auto"/>
              <w:ind w:left="0" w:leftChars="0" w:right="0"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③人员的工资、加班费及必要的保险费用和各种税费；</w:t>
            </w:r>
          </w:p>
          <w:p w14:paraId="3D3FF199">
            <w:pPr>
              <w:pageBreakBefore w:val="0"/>
              <w:kinsoku/>
              <w:wordWrap/>
              <w:overflowPunct/>
              <w:topLinePunct w:val="0"/>
              <w:bidi w:val="0"/>
              <w:spacing w:beforeAutospacing="0" w:line="360" w:lineRule="auto"/>
              <w:ind w:left="0" w:leftChars="0" w:right="0"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④验收过程当中所产生的一切费用均由成交服务方承担，有检测资质的机构出具检测报告的费用；</w:t>
            </w:r>
          </w:p>
          <w:p w14:paraId="6F66CADD">
            <w:pPr>
              <w:pageBreakBefore w:val="0"/>
              <w:kinsoku/>
              <w:wordWrap/>
              <w:overflowPunct/>
              <w:topLinePunct w:val="0"/>
              <w:bidi w:val="0"/>
              <w:spacing w:beforeAutospacing="0" w:line="360" w:lineRule="auto"/>
              <w:ind w:left="0" w:leftChars="0" w:right="0" w:firstLine="315" w:firstLineChars="15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⑤货物、服务的价格</w:t>
            </w:r>
            <w:r>
              <w:rPr>
                <w:rFonts w:hint="eastAsia" w:ascii="宋体" w:hAnsi="宋体" w:eastAsia="宋体" w:cs="宋体"/>
                <w:color w:val="auto"/>
                <w:sz w:val="21"/>
                <w:szCs w:val="21"/>
                <w:lang w:eastAsia="zh-CN"/>
              </w:rPr>
              <w:t>。</w:t>
            </w:r>
          </w:p>
          <w:p w14:paraId="106B278B">
            <w:pPr>
              <w:pageBreakBefore w:val="0"/>
              <w:kinsoku/>
              <w:wordWrap/>
              <w:overflowPunct/>
              <w:topLinePunct w:val="0"/>
              <w:bidi w:val="0"/>
              <w:spacing w:beforeAutospacing="0" w:line="360" w:lineRule="auto"/>
              <w:ind w:left="0" w:leftChars="0" w:right="0" w:firstLine="316" w:firstLineChars="150"/>
              <w:rPr>
                <w:rFonts w:hint="eastAsia" w:ascii="宋体" w:hAnsi="宋体" w:eastAsia="宋体" w:cs="宋体"/>
                <w:b/>
                <w:bCs/>
                <w:color w:val="auto"/>
                <w:sz w:val="21"/>
                <w:szCs w:val="21"/>
              </w:rPr>
            </w:pPr>
            <w:r>
              <w:rPr>
                <w:rFonts w:hint="eastAsia" w:ascii="宋体" w:hAnsi="宋体" w:eastAsia="宋体" w:cs="宋体"/>
                <w:b/>
                <w:bCs/>
                <w:color w:val="auto"/>
                <w:sz w:val="21"/>
                <w:szCs w:val="21"/>
              </w:rPr>
              <w:t>2.付款方式</w:t>
            </w:r>
          </w:p>
          <w:p w14:paraId="2B239CB8">
            <w:pPr>
              <w:pageBreakBefore w:val="0"/>
              <w:kinsoku/>
              <w:wordWrap/>
              <w:overflowPunct/>
              <w:topLinePunct w:val="0"/>
              <w:bidi w:val="0"/>
              <w:spacing w:beforeAutospacing="0" w:line="360" w:lineRule="auto"/>
              <w:ind w:left="0" w:leftChars="0" w:right="0"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（1）本项目无预付款。每个月按实际采购验收数量计算合同款。</w:t>
            </w:r>
          </w:p>
          <w:p w14:paraId="548977B3">
            <w:pPr>
              <w:pageBreakBefore w:val="0"/>
              <w:kinsoku/>
              <w:wordWrap/>
              <w:overflowPunct/>
              <w:topLinePunct w:val="0"/>
              <w:bidi w:val="0"/>
              <w:spacing w:beforeAutospacing="0" w:line="360" w:lineRule="auto"/>
              <w:ind w:left="0" w:leftChars="0" w:right="0"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（2）根据采购人当月实际验收的各类产品的数量和各项产品当季度基准价计算各项产品当月合同款。基准价的确定：按产品基准价确定规则执行(详见附件2)。</w:t>
            </w:r>
          </w:p>
          <w:p w14:paraId="73187DE9">
            <w:pPr>
              <w:pageBreakBefore w:val="0"/>
              <w:kinsoku/>
              <w:wordWrap/>
              <w:overflowPunct/>
              <w:topLinePunct w:val="0"/>
              <w:bidi w:val="0"/>
              <w:spacing w:beforeAutospacing="0" w:line="360" w:lineRule="auto"/>
              <w:ind w:left="0" w:leftChars="0" w:right="0"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 xml:space="preserve">合同款计算公式如下： </w:t>
            </w:r>
          </w:p>
          <w:p w14:paraId="684E5B02">
            <w:pPr>
              <w:tabs>
                <w:tab w:val="left" w:pos="611"/>
              </w:tabs>
              <w:spacing w:line="360" w:lineRule="auto"/>
              <w:ind w:firstLine="420" w:firstLineChars="200"/>
              <w:jc w:val="left"/>
              <w:rPr>
                <w:color w:val="auto"/>
              </w:rPr>
            </w:pPr>
            <w:r>
              <w:rPr>
                <w:rFonts w:hint="eastAsia"/>
                <w:color w:val="auto"/>
              </w:rPr>
              <w:t>①蔬菜类：当季度基准价×折扣率×蔬菜类当月实际采购验收数量</w:t>
            </w:r>
          </w:p>
          <w:p w14:paraId="0A863C9F">
            <w:pPr>
              <w:tabs>
                <w:tab w:val="left" w:pos="611"/>
              </w:tabs>
              <w:spacing w:line="360" w:lineRule="auto"/>
              <w:ind w:firstLine="420" w:firstLineChars="200"/>
              <w:jc w:val="left"/>
              <w:rPr>
                <w:color w:val="auto"/>
              </w:rPr>
            </w:pPr>
            <w:r>
              <w:rPr>
                <w:rFonts w:hint="eastAsia"/>
                <w:color w:val="auto"/>
              </w:rPr>
              <w:t>②肉类：当季度基准价×折扣率×肉类当月实际采购验收数量</w:t>
            </w:r>
          </w:p>
          <w:p w14:paraId="209E079E">
            <w:pPr>
              <w:tabs>
                <w:tab w:val="left" w:pos="611"/>
              </w:tabs>
              <w:spacing w:line="360" w:lineRule="auto"/>
              <w:ind w:firstLine="420" w:firstLineChars="200"/>
              <w:jc w:val="left"/>
              <w:rPr>
                <w:color w:val="auto"/>
              </w:rPr>
            </w:pPr>
            <w:r>
              <w:rPr>
                <w:rFonts w:hint="eastAsia"/>
                <w:color w:val="auto"/>
              </w:rPr>
              <w:t>③禽蛋类：当季度基准价×折扣率×禽蛋类当月实际采购验收数量</w:t>
            </w:r>
          </w:p>
          <w:p w14:paraId="1F578D43">
            <w:pPr>
              <w:tabs>
                <w:tab w:val="left" w:pos="611"/>
              </w:tabs>
              <w:spacing w:line="360" w:lineRule="auto"/>
              <w:ind w:firstLine="420" w:firstLineChars="200"/>
              <w:jc w:val="left"/>
              <w:rPr>
                <w:color w:val="auto"/>
              </w:rPr>
            </w:pPr>
            <w:r>
              <w:rPr>
                <w:rFonts w:hint="eastAsia"/>
                <w:color w:val="auto"/>
              </w:rPr>
              <w:t>④冻品类：当季度基准价×折扣率×冻品类当月实际采购验收数量</w:t>
            </w:r>
          </w:p>
          <w:p w14:paraId="586B5D2C">
            <w:pPr>
              <w:tabs>
                <w:tab w:val="left" w:pos="611"/>
              </w:tabs>
              <w:spacing w:line="360" w:lineRule="auto"/>
              <w:ind w:firstLine="420" w:firstLineChars="200"/>
              <w:jc w:val="left"/>
              <w:rPr>
                <w:color w:val="auto"/>
              </w:rPr>
            </w:pPr>
            <w:r>
              <w:rPr>
                <w:rFonts w:hint="eastAsia"/>
                <w:color w:val="auto"/>
              </w:rPr>
              <w:t>⑤鲜活水产类:当季度基准价×折扣率×蔬鲜活水产类当月实际采购验收数量</w:t>
            </w:r>
          </w:p>
          <w:p w14:paraId="3F37FDDE">
            <w:pPr>
              <w:tabs>
                <w:tab w:val="left" w:pos="611"/>
              </w:tabs>
              <w:spacing w:line="360" w:lineRule="auto"/>
              <w:ind w:firstLine="420" w:firstLineChars="200"/>
              <w:jc w:val="left"/>
              <w:rPr>
                <w:color w:val="auto"/>
              </w:rPr>
            </w:pPr>
            <w:r>
              <w:rPr>
                <w:rFonts w:hint="eastAsia"/>
                <w:color w:val="auto"/>
              </w:rPr>
              <w:t>⑥水果类:当季度基准价×折扣率×水果类当月实际采购验收数量</w:t>
            </w:r>
          </w:p>
          <w:p w14:paraId="38ACCF21">
            <w:pPr>
              <w:tabs>
                <w:tab w:val="left" w:pos="611"/>
              </w:tabs>
              <w:spacing w:line="360" w:lineRule="auto"/>
              <w:ind w:firstLine="420" w:firstLineChars="200"/>
              <w:jc w:val="left"/>
              <w:rPr>
                <w:color w:val="auto"/>
              </w:rPr>
            </w:pPr>
            <w:r>
              <w:rPr>
                <w:rFonts w:hint="eastAsia"/>
                <w:color w:val="auto"/>
              </w:rPr>
              <w:t>⑦豆类、豆制品类:当季度基准价×折扣率×豆类、豆制品类当月实际采购验收数量</w:t>
            </w:r>
          </w:p>
          <w:p w14:paraId="21D1DF8D">
            <w:pPr>
              <w:tabs>
                <w:tab w:val="left" w:pos="611"/>
              </w:tabs>
              <w:spacing w:line="360" w:lineRule="auto"/>
              <w:ind w:firstLine="420" w:firstLineChars="200"/>
              <w:jc w:val="left"/>
              <w:rPr>
                <w:color w:val="auto"/>
              </w:rPr>
            </w:pPr>
            <w:r>
              <w:rPr>
                <w:rFonts w:hint="eastAsia"/>
                <w:color w:val="auto"/>
              </w:rPr>
              <w:t>⑧调味品类:当季度基准价×折扣率×调味品类当月实际采购验收数量</w:t>
            </w:r>
          </w:p>
          <w:p w14:paraId="40017BCF">
            <w:pPr>
              <w:tabs>
                <w:tab w:val="left" w:pos="611"/>
              </w:tabs>
              <w:spacing w:line="360" w:lineRule="auto"/>
              <w:ind w:firstLine="420" w:firstLineChars="200"/>
              <w:jc w:val="left"/>
              <w:rPr>
                <w:color w:val="auto"/>
              </w:rPr>
            </w:pPr>
            <w:r>
              <w:rPr>
                <w:rFonts w:hint="eastAsia"/>
                <w:color w:val="auto"/>
              </w:rPr>
              <w:t>⑨湿米粉类:当季度基准价×折扣率×米粉类当月实际采购验收数量</w:t>
            </w:r>
          </w:p>
          <w:p w14:paraId="26828583">
            <w:pPr>
              <w:tabs>
                <w:tab w:val="left" w:pos="611"/>
              </w:tabs>
              <w:spacing w:line="360" w:lineRule="auto"/>
              <w:ind w:firstLine="420" w:firstLineChars="200"/>
              <w:jc w:val="left"/>
              <w:rPr>
                <w:color w:val="auto"/>
              </w:rPr>
            </w:pPr>
            <w:r>
              <w:rPr>
                <w:rFonts w:hint="eastAsia"/>
                <w:color w:val="auto"/>
              </w:rPr>
              <w:t>⑩大米类:当季度基准价×折扣率×大米类当月实际采购验收数量</w:t>
            </w:r>
          </w:p>
          <w:p w14:paraId="08681A60">
            <w:pPr>
              <w:tabs>
                <w:tab w:val="left" w:pos="611"/>
              </w:tabs>
              <w:spacing w:line="360" w:lineRule="auto"/>
              <w:ind w:firstLine="420" w:firstLineChars="200"/>
              <w:jc w:val="left"/>
              <w:rPr>
                <w:color w:val="auto"/>
              </w:rPr>
            </w:pPr>
            <w:r>
              <w:rPr>
                <w:rFonts w:ascii="Cambria Math" w:hAnsi="Cambria Math" w:cs="Cambria Math"/>
                <w:color w:val="auto"/>
                <w:kern w:val="0"/>
                <w:szCs w:val="21"/>
              </w:rPr>
              <w:t>⑪</w:t>
            </w:r>
            <w:r>
              <w:rPr>
                <w:rFonts w:hint="eastAsia"/>
                <w:color w:val="auto"/>
              </w:rPr>
              <w:t>食用油类:当季度基准价×折扣率×食用油类当月实际采购验收数量</w:t>
            </w:r>
          </w:p>
          <w:p w14:paraId="0A43A601">
            <w:pPr>
              <w:tabs>
                <w:tab w:val="left" w:pos="611"/>
              </w:tabs>
              <w:spacing w:line="360" w:lineRule="auto"/>
              <w:ind w:right="54" w:firstLine="420" w:firstLineChars="200"/>
              <w:jc w:val="left"/>
              <w:rPr>
                <w:color w:val="auto"/>
              </w:rPr>
            </w:pPr>
            <w:r>
              <w:rPr>
                <w:rFonts w:ascii="Cambria Math" w:hAnsi="Cambria Math" w:cs="Cambria Math"/>
                <w:color w:val="auto"/>
                <w:szCs w:val="21"/>
              </w:rPr>
              <w:t>⑫</w:t>
            </w:r>
            <w:r>
              <w:rPr>
                <w:rFonts w:hint="eastAsia"/>
                <w:color w:val="auto"/>
              </w:rPr>
              <w:t>其他食品类:当季度基准价×折扣率×其他食品类当月实际采购验收数量</w:t>
            </w:r>
          </w:p>
          <w:p w14:paraId="274CB2E8">
            <w:pPr>
              <w:pageBreakBefore w:val="0"/>
              <w:tabs>
                <w:tab w:val="left" w:pos="611"/>
              </w:tabs>
              <w:kinsoku/>
              <w:wordWrap/>
              <w:overflowPunct/>
              <w:topLinePunct w:val="0"/>
              <w:bidi w:val="0"/>
              <w:spacing w:beforeAutospacing="0" w:line="360" w:lineRule="auto"/>
              <w:ind w:left="0" w:leftChars="0" w:right="0" w:firstLine="422" w:firstLineChars="200"/>
              <w:jc w:val="left"/>
              <w:rPr>
                <w:rFonts w:hint="eastAsia" w:ascii="宋体" w:hAnsi="宋体" w:eastAsia="宋体" w:cs="宋体"/>
                <w:b/>
                <w:color w:val="auto"/>
                <w:kern w:val="0"/>
                <w:sz w:val="21"/>
                <w:szCs w:val="21"/>
              </w:rPr>
            </w:pPr>
            <w:r>
              <w:rPr>
                <w:rFonts w:hint="eastAsia" w:ascii="宋体" w:hAnsi="宋体" w:eastAsia="宋体" w:cs="宋体"/>
                <w:b/>
                <w:color w:val="auto"/>
                <w:sz w:val="21"/>
                <w:szCs w:val="21"/>
              </w:rPr>
              <w:t>每月合同总价为：</w:t>
            </w:r>
            <w:r>
              <w:rPr>
                <w:rFonts w:hint="eastAsia" w:ascii="宋体" w:hAnsi="宋体" w:eastAsia="宋体" w:cs="宋体"/>
                <w:b/>
                <w:color w:val="auto"/>
                <w:kern w:val="0"/>
                <w:sz w:val="21"/>
                <w:szCs w:val="21"/>
              </w:rPr>
              <w:t>①＋②＋③＋④＋⑤＋⑥＋⑦＋⑧＋⑨＋⑩＋⑪＋⑫</w:t>
            </w:r>
          </w:p>
          <w:p w14:paraId="03511257">
            <w:pPr>
              <w:spacing w:line="360" w:lineRule="auto"/>
              <w:ind w:firstLine="315" w:firstLineChars="150"/>
              <w:rPr>
                <w:color w:val="auto"/>
              </w:rPr>
            </w:pPr>
            <w:r>
              <w:rPr>
                <w:rFonts w:hint="eastAsia"/>
                <w:color w:val="auto"/>
              </w:rPr>
              <w:t>（</w:t>
            </w:r>
            <w:r>
              <w:rPr>
                <w:color w:val="auto"/>
              </w:rPr>
              <w:t>3</w:t>
            </w:r>
            <w:r>
              <w:rPr>
                <w:rFonts w:hint="eastAsia"/>
                <w:color w:val="auto"/>
              </w:rPr>
              <w:t>）各项产品当月合同款，于次月</w:t>
            </w:r>
            <w:r>
              <w:rPr>
                <w:color w:val="auto"/>
              </w:rPr>
              <w:t>1</w:t>
            </w:r>
            <w:r>
              <w:rPr>
                <w:rFonts w:hint="eastAsia"/>
                <w:color w:val="auto"/>
              </w:rPr>
              <w:t>日起30个自然日内（如遇节假日顺延），由采购人在收到与中标供应商核对一致的相应月份各项产品验收入库单据、合同款结算明细单与汇总单、请款书和各项产品当月合同款的全额发票及匹配的销售清单等后，依照现行财政纪律、单位内控制度依规办理上述款项支付手续。</w:t>
            </w:r>
          </w:p>
          <w:p w14:paraId="47FFB536">
            <w:pPr>
              <w:spacing w:line="360" w:lineRule="auto"/>
              <w:ind w:firstLine="210" w:firstLineChars="100"/>
              <w:rPr>
                <w:rFonts w:hint="eastAsia"/>
                <w:color w:val="auto"/>
              </w:rPr>
            </w:pPr>
            <w:r>
              <w:rPr>
                <w:rFonts w:hint="eastAsia"/>
                <w:color w:val="auto"/>
              </w:rPr>
              <w:t>（</w:t>
            </w:r>
            <w:r>
              <w:rPr>
                <w:color w:val="auto"/>
              </w:rPr>
              <w:t>4</w:t>
            </w:r>
            <w:r>
              <w:rPr>
                <w:rFonts w:hint="eastAsia"/>
                <w:color w:val="auto"/>
              </w:rPr>
              <w:t>）内部审计监督及其结果应用。在依规办理各项产品当月合同款支付手续时，中标供应商协同采购人应按照采购人的内部监督要求的程序和方式逐月报送采购人的审计部门、监所主管部门</w:t>
            </w:r>
            <w:r>
              <w:rPr>
                <w:rFonts w:hint="eastAsia"/>
                <w:color w:val="auto"/>
                <w:lang w:val="en-US" w:eastAsia="zh-CN"/>
              </w:rPr>
              <w:t>或采购人聘请的第三方审计单位（会计师事务所）</w:t>
            </w:r>
            <w:r>
              <w:rPr>
                <w:rFonts w:hint="eastAsia"/>
                <w:color w:val="auto"/>
              </w:rPr>
              <w:t>等审核各项产品当月合同款，并将上述审核结果应用于各项产品相应月份的合同款支付：如上述审核结果于各项产品当月合同款付款前形成的，按审核结果据实结算各项产品当月合同款；如上述审核结果于各项产品当月合同款付款后形成的，采取在支付各项产品次月合同款时据实补款或扣款；由此产生的各项产品当月合同款应付金额与实付金额的差异，对中标供应商已开具的相应发票不进行更正或调换，所产生的差额在下月发票予以补齐或扣除。</w:t>
            </w:r>
          </w:p>
          <w:p w14:paraId="1ACA2921">
            <w:pPr>
              <w:pageBreakBefore w:val="0"/>
              <w:kinsoku/>
              <w:wordWrap/>
              <w:overflowPunct/>
              <w:topLinePunct w:val="0"/>
              <w:bidi w:val="0"/>
              <w:spacing w:beforeAutospacing="0" w:line="360" w:lineRule="auto"/>
              <w:ind w:left="0" w:leftChars="0" w:right="0"/>
              <w:jc w:val="left"/>
              <w:rPr>
                <w:rFonts w:hint="eastAsia" w:ascii="宋体" w:hAnsi="宋体" w:cs="宋体"/>
                <w:b/>
                <w:bCs/>
                <w:color w:val="auto"/>
                <w:sz w:val="21"/>
                <w:szCs w:val="21"/>
                <w:lang w:val="en-US" w:eastAsia="zh-CN"/>
              </w:rPr>
            </w:pPr>
            <w:r>
              <w:rPr>
                <w:rFonts w:hint="eastAsia" w:ascii="宋体" w:hAnsi="宋体" w:eastAsia="宋体" w:cs="宋体"/>
                <w:b/>
                <w:bCs/>
                <w:color w:val="auto"/>
                <w:sz w:val="21"/>
                <w:szCs w:val="21"/>
              </w:rPr>
              <w:t>五、</w:t>
            </w:r>
            <w:r>
              <w:rPr>
                <w:rFonts w:hint="eastAsia" w:ascii="宋体" w:hAnsi="宋体" w:cs="宋体"/>
                <w:b/>
                <w:bCs/>
                <w:color w:val="auto"/>
                <w:sz w:val="21"/>
                <w:szCs w:val="21"/>
                <w:lang w:val="en-US" w:eastAsia="zh-CN"/>
              </w:rPr>
              <w:t>其它费用</w:t>
            </w:r>
          </w:p>
          <w:p w14:paraId="10B449A2">
            <w:pPr>
              <w:pStyle w:val="6"/>
              <w:numPr>
                <w:ilvl w:val="0"/>
                <w:numId w:val="0"/>
              </w:numPr>
              <w:ind w:leftChars="200" w:right="0" w:rightChars="0"/>
              <w:rPr>
                <w:rFonts w:hint="eastAsia" w:ascii="Calibri" w:hAnsi="Calibri" w:eastAsia="宋体" w:cs="Arial"/>
                <w:color w:val="auto"/>
                <w:kern w:val="2"/>
                <w:sz w:val="21"/>
                <w:szCs w:val="22"/>
                <w:lang w:val="en-US" w:eastAsia="zh-CN" w:bidi="ar-SA"/>
              </w:rPr>
            </w:pPr>
            <w:r>
              <w:rPr>
                <w:rFonts w:hint="eastAsia" w:ascii="Calibri" w:hAnsi="Calibri" w:eastAsia="宋体" w:cs="Arial"/>
                <w:color w:val="auto"/>
                <w:kern w:val="2"/>
                <w:sz w:val="21"/>
                <w:szCs w:val="22"/>
                <w:lang w:val="en-US" w:eastAsia="zh-CN" w:bidi="ar-SA"/>
              </w:rPr>
              <w:t>如需聘请第三方审计单位（会计师事务所）审核各项产品当月合同款，由采购人确定第三</w:t>
            </w:r>
          </w:p>
          <w:p w14:paraId="2523834D">
            <w:pPr>
              <w:pStyle w:val="6"/>
              <w:numPr>
                <w:ilvl w:val="0"/>
                <w:numId w:val="0"/>
              </w:numPr>
              <w:ind w:right="0" w:rightChars="0"/>
              <w:rPr>
                <w:rFonts w:hint="eastAsia" w:ascii="Calibri" w:hAnsi="Calibri" w:eastAsia="宋体" w:cs="Arial"/>
                <w:color w:val="auto"/>
                <w:kern w:val="2"/>
                <w:sz w:val="21"/>
                <w:szCs w:val="22"/>
                <w:lang w:val="en-US" w:eastAsia="zh-CN" w:bidi="ar-SA"/>
              </w:rPr>
            </w:pPr>
            <w:r>
              <w:rPr>
                <w:rFonts w:hint="eastAsia" w:ascii="Calibri" w:hAnsi="Calibri" w:eastAsia="宋体" w:cs="Arial"/>
                <w:color w:val="auto"/>
                <w:kern w:val="2"/>
                <w:sz w:val="21"/>
                <w:szCs w:val="22"/>
                <w:lang w:val="en-US" w:eastAsia="zh-CN" w:bidi="ar-SA"/>
              </w:rPr>
              <w:t>方审计单位，产生的相关</w:t>
            </w:r>
            <w:bookmarkStart w:id="40" w:name="OLE_LINK8"/>
            <w:r>
              <w:rPr>
                <w:rFonts w:hint="eastAsia" w:ascii="Calibri" w:hAnsi="Calibri" w:eastAsia="宋体" w:cs="Arial"/>
                <w:color w:val="auto"/>
                <w:kern w:val="2"/>
                <w:sz w:val="21"/>
                <w:szCs w:val="22"/>
                <w:lang w:val="en-US" w:eastAsia="zh-CN" w:bidi="ar-SA"/>
              </w:rPr>
              <w:t>审计服务费</w:t>
            </w:r>
            <w:bookmarkEnd w:id="40"/>
            <w:r>
              <w:rPr>
                <w:rFonts w:hint="eastAsia" w:ascii="Calibri" w:hAnsi="Calibri" w:eastAsia="宋体" w:cs="Arial"/>
                <w:color w:val="auto"/>
                <w:kern w:val="2"/>
                <w:sz w:val="21"/>
                <w:szCs w:val="22"/>
                <w:lang w:val="en-US" w:eastAsia="zh-CN" w:bidi="ar-SA"/>
              </w:rPr>
              <w:t>用由成交服务方承担，具体的审计服务费标准详见附件3。</w:t>
            </w:r>
          </w:p>
          <w:p w14:paraId="09BFDC0F">
            <w:pPr>
              <w:pageBreakBefore w:val="0"/>
              <w:kinsoku/>
              <w:wordWrap/>
              <w:overflowPunct/>
              <w:topLinePunct w:val="0"/>
              <w:bidi w:val="0"/>
              <w:spacing w:beforeAutospacing="0" w:line="360" w:lineRule="auto"/>
              <w:ind w:left="0" w:leftChars="0" w:right="0"/>
              <w:jc w:val="left"/>
              <w:rPr>
                <w:rFonts w:hint="eastAsia" w:ascii="宋体" w:hAnsi="宋体" w:eastAsia="宋体" w:cs="宋体"/>
                <w:b/>
                <w:bCs/>
                <w:color w:val="auto"/>
                <w:sz w:val="21"/>
                <w:szCs w:val="21"/>
              </w:rPr>
            </w:pPr>
            <w:r>
              <w:rPr>
                <w:rFonts w:hint="eastAsia" w:ascii="宋体" w:hAnsi="宋体" w:cs="宋体"/>
                <w:b/>
                <w:bCs/>
                <w:color w:val="auto"/>
                <w:sz w:val="21"/>
                <w:szCs w:val="21"/>
                <w:lang w:val="en-US" w:eastAsia="zh-CN"/>
              </w:rPr>
              <w:t>六、</w:t>
            </w:r>
            <w:r>
              <w:rPr>
                <w:rFonts w:hint="eastAsia" w:ascii="宋体" w:hAnsi="宋体" w:eastAsia="宋体" w:cs="宋体"/>
                <w:b/>
                <w:bCs/>
                <w:color w:val="auto"/>
                <w:sz w:val="21"/>
                <w:szCs w:val="21"/>
              </w:rPr>
              <w:t>验收要求</w:t>
            </w:r>
          </w:p>
          <w:p w14:paraId="66C19AD9">
            <w:pPr>
              <w:spacing w:line="360" w:lineRule="auto"/>
              <w:ind w:firstLine="420" w:firstLineChars="200"/>
              <w:rPr>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每批次配送的产品数量以采购人所验收的数量为准。</w:t>
            </w:r>
          </w:p>
          <w:p w14:paraId="65130BA4">
            <w:pPr>
              <w:spacing w:line="360" w:lineRule="auto"/>
              <w:ind w:firstLine="420" w:firstLineChars="200"/>
              <w:rPr>
                <w:color w:val="auto"/>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rPr>
              <w:t>每批次配送的产品运输、配送过程中造成的损耗，由中标供应商负责及时更换或补充，以达到采购人对该批次配送供货的要求；如在该批次约定交货时间内验收数量无法达到配送供货要求的，按本招标项的配送服务要求执行，所产生的一切责任由中标供应商自行承担。</w:t>
            </w:r>
          </w:p>
          <w:p w14:paraId="33CBBEC2">
            <w:pPr>
              <w:spacing w:line="360" w:lineRule="auto"/>
              <w:ind w:firstLine="420" w:firstLineChars="200"/>
              <w:rPr>
                <w:color w:val="auto"/>
              </w:rPr>
            </w:pPr>
            <w:r>
              <w:rPr>
                <w:rFonts w:hint="eastAsia"/>
                <w:color w:val="auto"/>
                <w:lang w:eastAsia="zh-CN"/>
              </w:rPr>
              <w:t>（</w:t>
            </w:r>
            <w:r>
              <w:rPr>
                <w:rFonts w:hint="eastAsia"/>
                <w:color w:val="auto"/>
                <w:lang w:val="en-US" w:eastAsia="zh-CN"/>
              </w:rPr>
              <w:t>3</w:t>
            </w:r>
            <w:r>
              <w:rPr>
                <w:rFonts w:hint="eastAsia"/>
                <w:color w:val="auto"/>
                <w:lang w:eastAsia="zh-CN"/>
              </w:rPr>
              <w:t>）</w:t>
            </w:r>
            <w:r>
              <w:rPr>
                <w:rFonts w:hint="eastAsia"/>
                <w:color w:val="auto"/>
              </w:rPr>
              <w:t>中标供应商每次的随货的送货清单，经采购人指定管理人员验货后签字确定，清单上注明产品的名称、规格、重量、单价、金额，采购人和中标供应商双方各执一份，以此作为结算时的依据之一。</w:t>
            </w:r>
          </w:p>
          <w:p w14:paraId="7904D252">
            <w:pPr>
              <w:spacing w:line="360" w:lineRule="auto"/>
              <w:ind w:firstLine="420" w:firstLineChars="200"/>
              <w:rPr>
                <w:color w:val="auto"/>
              </w:rPr>
            </w:pPr>
            <w:r>
              <w:rPr>
                <w:rFonts w:hint="eastAsia"/>
                <w:color w:val="auto"/>
                <w:lang w:eastAsia="zh-CN"/>
              </w:rPr>
              <w:t>（</w:t>
            </w:r>
            <w:r>
              <w:rPr>
                <w:rFonts w:hint="eastAsia"/>
                <w:color w:val="auto"/>
                <w:lang w:val="en-US" w:eastAsia="zh-CN"/>
              </w:rPr>
              <w:t>4</w:t>
            </w:r>
            <w:r>
              <w:rPr>
                <w:rFonts w:hint="eastAsia"/>
                <w:color w:val="auto"/>
                <w:lang w:eastAsia="zh-CN"/>
              </w:rPr>
              <w:t>）</w:t>
            </w:r>
            <w:r>
              <w:rPr>
                <w:rFonts w:hint="eastAsia"/>
                <w:color w:val="auto"/>
              </w:rPr>
              <w:t>中标供应商应保证所有提供的产品必须是合格安全的产品，因产品质量问题食物中毒等事故，由中标供应商承担经济赔偿责任及其他法律责任；对不符合《中华人民共和国食品安全法》有关规定的产品，采购人有权拒绝收货。</w:t>
            </w:r>
          </w:p>
          <w:p w14:paraId="34A535D7">
            <w:pPr>
              <w:spacing w:line="360" w:lineRule="auto"/>
              <w:ind w:firstLine="420" w:firstLineChars="200"/>
              <w:rPr>
                <w:color w:val="auto"/>
              </w:rPr>
            </w:pPr>
            <w:r>
              <w:rPr>
                <w:rFonts w:hint="eastAsia"/>
                <w:color w:val="auto"/>
              </w:rPr>
              <w:t>（</w:t>
            </w:r>
            <w:r>
              <w:rPr>
                <w:color w:val="auto"/>
              </w:rPr>
              <w:t>5</w:t>
            </w:r>
            <w:r>
              <w:rPr>
                <w:rFonts w:hint="eastAsia"/>
                <w:color w:val="auto"/>
              </w:rPr>
              <w:t>）每批次配送的产品验收工作由采购人和中标供应商共同现场实地开展。中标供应商提供的每批次配送的产品，须经过采购人指定管理人员的感官检验、外观检验和试用检验等；验收时，中标供应商所提供的产品在采购人验收入库时如发现以下问题必须及时无条件退换产品：①感官品质质量不符合规定要求；②有腐败变质现象；③有霉变结块现象；④超过保质期限；⑤内包装损坏；⑥预包装产品的包装标签内容不充分，进口产品没有中文标识；⑦未经国家卫生监管部门检验检疫合格的食品原料；⑧其他不符合食品卫生标准和要求的食品等。</w:t>
            </w:r>
          </w:p>
          <w:p w14:paraId="7F526257">
            <w:pPr>
              <w:spacing w:line="360" w:lineRule="auto"/>
              <w:ind w:firstLine="420" w:firstLineChars="200"/>
              <w:rPr>
                <w:color w:val="auto"/>
              </w:rPr>
            </w:pPr>
            <w:r>
              <w:rPr>
                <w:rFonts w:hint="eastAsia"/>
                <w:color w:val="auto"/>
              </w:rPr>
              <w:t>（</w:t>
            </w:r>
            <w:r>
              <w:rPr>
                <w:color w:val="auto"/>
              </w:rPr>
              <w:t>6</w:t>
            </w:r>
            <w:r>
              <w:rPr>
                <w:rFonts w:hint="eastAsia"/>
                <w:color w:val="auto"/>
              </w:rPr>
              <w:t>）每批次配送的产品经采购人和中标供应商验收合格后，中标供应商所提供的产品虽经采购人抽检验收，但在使用过程中发现产品存在质量问题的，中标供应商应及时无条件给予退换产品。经采购人组织开展本招标项下的服务履约过程动态评价，书面确认中标供应商不能满足本招标项所需的产品质量、数量、配送时间及售后服务要求时，采购人经</w:t>
            </w:r>
            <w:bookmarkStart w:id="41" w:name="OLE_LINK13"/>
            <w:r>
              <w:rPr>
                <w:rFonts w:hint="eastAsia"/>
                <w:color w:val="auto"/>
              </w:rPr>
              <w:t>报</w:t>
            </w:r>
            <w:r>
              <w:rPr>
                <w:rFonts w:hint="eastAsia"/>
                <w:color w:val="auto"/>
                <w:lang w:val="en-US" w:eastAsia="zh-CN"/>
              </w:rPr>
              <w:t>南宁市政府采购监督</w:t>
            </w:r>
            <w:r>
              <w:rPr>
                <w:rFonts w:hint="eastAsia"/>
                <w:color w:val="auto"/>
              </w:rPr>
              <w:t>部门</w:t>
            </w:r>
            <w:r>
              <w:rPr>
                <w:rFonts w:hint="eastAsia"/>
                <w:color w:val="auto"/>
                <w:lang w:val="en-US" w:eastAsia="zh-CN"/>
              </w:rPr>
              <w:t>核实批准</w:t>
            </w:r>
            <w:r>
              <w:rPr>
                <w:rFonts w:hint="eastAsia"/>
                <w:color w:val="auto"/>
              </w:rPr>
              <w:t>后</w:t>
            </w:r>
            <w:bookmarkEnd w:id="41"/>
            <w:r>
              <w:rPr>
                <w:rFonts w:hint="eastAsia"/>
                <w:color w:val="auto"/>
              </w:rPr>
              <w:t>可解除本招标项所涉及的合同，并由中标供应商自行承担所有损失及后果，因此产生的行政、刑事处罚和全部经济责任及法律责任均由中标供应商自行负责。</w:t>
            </w:r>
          </w:p>
          <w:p w14:paraId="03486E83">
            <w:pPr>
              <w:spacing w:line="360" w:lineRule="auto"/>
              <w:ind w:firstLine="420" w:firstLineChars="200"/>
              <w:rPr>
                <w:color w:val="auto"/>
              </w:rPr>
            </w:pPr>
            <w:r>
              <w:rPr>
                <w:rFonts w:hint="eastAsia"/>
                <w:color w:val="auto"/>
              </w:rPr>
              <w:t>（</w:t>
            </w:r>
            <w:r>
              <w:rPr>
                <w:color w:val="auto"/>
              </w:rPr>
              <w:t>7</w:t>
            </w:r>
            <w:r>
              <w:rPr>
                <w:rFonts w:hint="eastAsia"/>
                <w:color w:val="auto"/>
              </w:rPr>
              <w:t>）验收工作的一般程序为：根据产品请购清单的具体要求，对所购配送的产品进行清点、外观检查以及对产品的各项指标等进行实测，并逐项记录。检测结束后，验收人员在验收单上签字。对未能通过验收的，一律退货、更换直至验收合格。</w:t>
            </w:r>
          </w:p>
          <w:p w14:paraId="55B5788C">
            <w:pPr>
              <w:spacing w:line="360" w:lineRule="auto"/>
              <w:ind w:firstLine="420" w:firstLineChars="200"/>
              <w:rPr>
                <w:color w:val="auto"/>
              </w:rPr>
            </w:pPr>
            <w:r>
              <w:rPr>
                <w:rFonts w:hint="eastAsia"/>
                <w:color w:val="auto"/>
              </w:rPr>
              <w:t>（</w:t>
            </w:r>
            <w:r>
              <w:rPr>
                <w:color w:val="auto"/>
              </w:rPr>
              <w:t>8</w:t>
            </w:r>
            <w:r>
              <w:rPr>
                <w:rFonts w:hint="eastAsia"/>
                <w:color w:val="auto"/>
              </w:rPr>
              <w:t>）依据产品质量监督检验所等相关质量标准，中标供应商提供的产品应根据有关法律法规经过质量监督管理部门等的有效检验并取得相关合格合规证明的产品，每批次产品提供时应按照采购人要求随时提供产品相关的质量合格证明、产品质量检测合格报告或检疫报告等原件扫描件，其中配送的畜禽肉类必须具有动物检验检疫证明或肉品品质合格证明原件扫描件（以上原件备查）。</w:t>
            </w:r>
          </w:p>
          <w:p w14:paraId="194FE1C8">
            <w:pPr>
              <w:spacing w:line="360" w:lineRule="auto"/>
              <w:ind w:firstLine="420" w:firstLineChars="200"/>
              <w:rPr>
                <w:color w:val="auto"/>
              </w:rPr>
            </w:pPr>
            <w:r>
              <w:rPr>
                <w:rFonts w:hint="eastAsia"/>
                <w:color w:val="auto"/>
              </w:rPr>
              <w:t>（</w:t>
            </w:r>
            <w:r>
              <w:rPr>
                <w:color w:val="auto"/>
              </w:rPr>
              <w:t>9</w:t>
            </w:r>
            <w:r>
              <w:rPr>
                <w:rFonts w:hint="eastAsia"/>
                <w:color w:val="auto"/>
              </w:rPr>
              <w:t>）中标供应商每次供货应提供盖章（或签字）的送货单；腐败变质、掺杂掺假、发霉生虫、有害有毒的产品（或产品原料）以及预包装产品无产地、无厂名、无生产日期和保质期或标志不清、超过保质期限的，中标供应商不得配送供货，采购人应当不予接收。</w:t>
            </w:r>
          </w:p>
          <w:p w14:paraId="24DA1A50">
            <w:pPr>
              <w:pageBreakBefore w:val="0"/>
              <w:kinsoku/>
              <w:wordWrap/>
              <w:overflowPunct/>
              <w:topLinePunct w:val="0"/>
              <w:bidi w:val="0"/>
              <w:spacing w:beforeAutospacing="0" w:line="360" w:lineRule="auto"/>
              <w:ind w:left="0" w:leftChars="0" w:right="0"/>
              <w:jc w:val="left"/>
              <w:rPr>
                <w:rFonts w:hint="eastAsia" w:ascii="宋体" w:hAnsi="宋体" w:eastAsia="宋体" w:cs="宋体"/>
                <w:b/>
                <w:bCs/>
                <w:color w:val="auto"/>
                <w:sz w:val="21"/>
                <w:szCs w:val="21"/>
              </w:rPr>
            </w:pPr>
            <w:r>
              <w:rPr>
                <w:rFonts w:hint="eastAsia" w:ascii="宋体" w:hAnsi="宋体" w:cs="宋体"/>
                <w:b/>
                <w:bCs/>
                <w:color w:val="auto"/>
                <w:sz w:val="21"/>
                <w:szCs w:val="21"/>
                <w:lang w:val="en-US" w:eastAsia="zh-CN"/>
              </w:rPr>
              <w:t>七</w:t>
            </w:r>
            <w:r>
              <w:rPr>
                <w:rFonts w:hint="eastAsia" w:ascii="宋体" w:hAnsi="宋体" w:eastAsia="宋体" w:cs="宋体"/>
                <w:b/>
                <w:bCs/>
                <w:color w:val="auto"/>
                <w:sz w:val="21"/>
                <w:szCs w:val="21"/>
              </w:rPr>
              <w:t>、违约责任</w:t>
            </w:r>
          </w:p>
          <w:p w14:paraId="728DB551">
            <w:pPr>
              <w:spacing w:line="360" w:lineRule="auto"/>
              <w:ind w:firstLine="420" w:firstLineChars="200"/>
              <w:rPr>
                <w:color w:val="auto"/>
              </w:rPr>
            </w:pPr>
            <w:r>
              <w:rPr>
                <w:rFonts w:hint="eastAsia"/>
                <w:color w:val="auto"/>
              </w:rPr>
              <w:t>（</w:t>
            </w:r>
            <w:r>
              <w:rPr>
                <w:color w:val="auto"/>
              </w:rPr>
              <w:t>1</w:t>
            </w:r>
            <w:r>
              <w:rPr>
                <w:rFonts w:hint="eastAsia"/>
                <w:color w:val="auto"/>
              </w:rPr>
              <w:t>）中标供应商在本招标项下的合同履约过程中出现下列情形并经采购人及其业务主管部门书面确认的，采购人将有关情况上报南宁市政府采购监督管理部门依法依规进行处理</w:t>
            </w:r>
            <w:r>
              <w:rPr>
                <w:rFonts w:hint="eastAsia"/>
                <w:color w:val="auto"/>
                <w:lang w:val="en-US" w:eastAsia="zh-CN"/>
              </w:rPr>
              <w:t>并</w:t>
            </w:r>
            <w:r>
              <w:rPr>
                <w:rFonts w:hint="eastAsia"/>
                <w:color w:val="auto"/>
              </w:rPr>
              <w:t>解除本招标项所涉及的合同，并由中标供应商自行承担所有损失及后果，因此产生的行政、刑事处罚和全部经济责任及法律责任均由中标供应商自行负责。</w:t>
            </w:r>
          </w:p>
          <w:p w14:paraId="2A1FC3F4">
            <w:pPr>
              <w:spacing w:line="360" w:lineRule="auto"/>
              <w:ind w:firstLine="420" w:firstLineChars="200"/>
              <w:rPr>
                <w:color w:val="auto"/>
              </w:rPr>
            </w:pPr>
            <w:r>
              <w:rPr>
                <w:rFonts w:hint="eastAsia"/>
                <w:color w:val="auto"/>
              </w:rPr>
              <w:t>①中标供应商达不到本招标项下约定的相关配送要求、承诺等，配送出现问题，影响采购人的接受配送服务单位相关工作、业务正常运转或是形成实际无法履约的；</w:t>
            </w:r>
          </w:p>
          <w:p w14:paraId="1E37E747">
            <w:pPr>
              <w:spacing w:line="360" w:lineRule="auto"/>
              <w:ind w:firstLine="420" w:firstLineChars="200"/>
              <w:rPr>
                <w:color w:val="auto"/>
              </w:rPr>
            </w:pPr>
            <w:r>
              <w:rPr>
                <w:rFonts w:hint="eastAsia"/>
                <w:color w:val="auto"/>
              </w:rPr>
              <w:t>②中标供应商有违反《中华人民共和国产品质量法》《中华人民共和国消费者权益保护法》《中华人民共和国食品安全法》《中华人民共和国计量法》等现行相关法律、法规的行为，受到相关单位或部门处罚的；</w:t>
            </w:r>
          </w:p>
          <w:p w14:paraId="377084DE">
            <w:pPr>
              <w:spacing w:line="360" w:lineRule="auto"/>
              <w:ind w:firstLine="420" w:firstLineChars="200"/>
              <w:rPr>
                <w:color w:val="auto"/>
              </w:rPr>
            </w:pPr>
            <w:r>
              <w:rPr>
                <w:rFonts w:hint="eastAsia"/>
                <w:color w:val="auto"/>
              </w:rPr>
              <w:t>③采购人发现中标供应商配送的各项产品存在“以次充好”、产品质量不达标、不符合食用标准的；</w:t>
            </w:r>
          </w:p>
          <w:p w14:paraId="5CA3B554">
            <w:pPr>
              <w:spacing w:line="360" w:lineRule="auto"/>
              <w:ind w:firstLine="420" w:firstLineChars="200"/>
              <w:rPr>
                <w:color w:val="auto"/>
              </w:rPr>
            </w:pPr>
            <w:r>
              <w:rPr>
                <w:rFonts w:hint="eastAsia"/>
                <w:color w:val="auto"/>
              </w:rPr>
              <w:t>④采购人发现中标供应商存在擅自将本招标项下配送服务或合同等转包、分包或部分转包、分包给第三方的；</w:t>
            </w:r>
          </w:p>
          <w:p w14:paraId="45D0DE82">
            <w:pPr>
              <w:spacing w:line="360" w:lineRule="auto"/>
              <w:ind w:firstLine="420" w:firstLineChars="200"/>
              <w:rPr>
                <w:color w:val="auto"/>
              </w:rPr>
            </w:pPr>
            <w:r>
              <w:rPr>
                <w:rFonts w:hint="eastAsia"/>
                <w:color w:val="auto"/>
              </w:rPr>
              <w:t>⑤中标供应商的相关证照被行政主管部门吊销的。</w:t>
            </w:r>
          </w:p>
          <w:p w14:paraId="34B2F414">
            <w:pPr>
              <w:spacing w:line="360" w:lineRule="auto"/>
              <w:rPr>
                <w:color w:val="auto"/>
              </w:rPr>
            </w:pPr>
            <w:r>
              <w:rPr>
                <w:color w:val="auto"/>
              </w:rPr>
              <w:t xml:space="preserve">   </w:t>
            </w:r>
            <w:r>
              <w:rPr>
                <w:rFonts w:hint="eastAsia"/>
                <w:color w:val="auto"/>
              </w:rPr>
              <w:t>（</w:t>
            </w:r>
            <w:r>
              <w:rPr>
                <w:color w:val="auto"/>
              </w:rPr>
              <w:t>2</w:t>
            </w:r>
            <w:r>
              <w:rPr>
                <w:rFonts w:hint="eastAsia"/>
                <w:color w:val="auto"/>
              </w:rPr>
              <w:t>）中标供应商在本招标项下的合同履约过程中出现下列情形并经采购人及其业务主管部门书面确认的，采购人与中标供应商除同步采取全部退（换）货措施外，采购人有权要求中标供应商支付本项目采购总预算金额</w:t>
            </w:r>
            <w:r>
              <w:rPr>
                <w:color w:val="auto"/>
              </w:rPr>
              <w:t>1%</w:t>
            </w:r>
            <w:r>
              <w:rPr>
                <w:rFonts w:hint="eastAsia"/>
                <w:color w:val="auto"/>
              </w:rPr>
              <w:t>的违约金，违约金计算方式为按采购人及其业务主管部门书面确认的次数，每个月累计超过</w:t>
            </w:r>
            <w:r>
              <w:rPr>
                <w:color w:val="auto"/>
              </w:rPr>
              <w:t>10</w:t>
            </w:r>
            <w:r>
              <w:rPr>
                <w:rFonts w:hint="eastAsia"/>
                <w:color w:val="auto"/>
              </w:rPr>
              <w:t>次或每季度累计超过</w:t>
            </w:r>
            <w:r>
              <w:rPr>
                <w:color w:val="auto"/>
              </w:rPr>
              <w:t>20</w:t>
            </w:r>
            <w:r>
              <w:rPr>
                <w:rFonts w:hint="eastAsia"/>
                <w:color w:val="auto"/>
              </w:rPr>
              <w:t>次的，采购人可报</w:t>
            </w:r>
            <w:r>
              <w:rPr>
                <w:rFonts w:hint="eastAsia"/>
                <w:color w:val="auto"/>
                <w:lang w:val="en-US" w:eastAsia="zh-CN"/>
              </w:rPr>
              <w:t>南宁市政府采购监督</w:t>
            </w:r>
            <w:r>
              <w:rPr>
                <w:rFonts w:hint="eastAsia"/>
                <w:color w:val="auto"/>
              </w:rPr>
              <w:t>部门</w:t>
            </w:r>
            <w:r>
              <w:rPr>
                <w:rFonts w:hint="eastAsia"/>
                <w:color w:val="auto"/>
                <w:lang w:val="en-US" w:eastAsia="zh-CN"/>
              </w:rPr>
              <w:t>核实批准</w:t>
            </w:r>
            <w:r>
              <w:rPr>
                <w:rFonts w:hint="eastAsia"/>
                <w:color w:val="auto"/>
              </w:rPr>
              <w:t>后解除本招标项所涉及的合同，并由中标供应商自行承担所有损失及后果，因此产生的行政、刑事处罚和全部经济责任及法律责任均由中标供应商自行负责：</w:t>
            </w:r>
          </w:p>
          <w:p w14:paraId="61EBD314">
            <w:pPr>
              <w:spacing w:line="360" w:lineRule="auto"/>
              <w:ind w:firstLine="420" w:firstLineChars="200"/>
              <w:rPr>
                <w:color w:val="auto"/>
              </w:rPr>
            </w:pPr>
            <w:r>
              <w:rPr>
                <w:rFonts w:hint="eastAsia"/>
                <w:color w:val="auto"/>
              </w:rPr>
              <w:t>①提供超过保质期的产品；</w:t>
            </w:r>
          </w:p>
          <w:p w14:paraId="56ADFD4F">
            <w:pPr>
              <w:spacing w:line="360" w:lineRule="auto"/>
              <w:ind w:firstLine="420" w:firstLineChars="200"/>
              <w:rPr>
                <w:color w:val="auto"/>
              </w:rPr>
            </w:pPr>
            <w:r>
              <w:rPr>
                <w:rFonts w:hint="eastAsia"/>
                <w:color w:val="auto"/>
              </w:rPr>
              <w:t>②提供腐败变质、油脂酸败、霉变、生虫、污秽不洁、混有异物或者其他感官性状异常的产品；</w:t>
            </w:r>
          </w:p>
          <w:p w14:paraId="7BFC7DB8">
            <w:pPr>
              <w:spacing w:line="360" w:lineRule="auto"/>
              <w:ind w:firstLine="420" w:firstLineChars="200"/>
              <w:rPr>
                <w:color w:val="auto"/>
              </w:rPr>
            </w:pPr>
            <w:r>
              <w:rPr>
                <w:rFonts w:hint="eastAsia"/>
                <w:color w:val="auto"/>
              </w:rPr>
              <w:t>③提供含有毒、有害物质或者被有毒有害物质污染的产品，或是对人体健康有害的产品；</w:t>
            </w:r>
          </w:p>
          <w:p w14:paraId="5F6E1F29">
            <w:pPr>
              <w:spacing w:line="360" w:lineRule="auto"/>
              <w:ind w:firstLine="420" w:firstLineChars="200"/>
              <w:rPr>
                <w:color w:val="auto"/>
              </w:rPr>
            </w:pPr>
            <w:r>
              <w:rPr>
                <w:rFonts w:hint="eastAsia"/>
                <w:color w:val="auto"/>
              </w:rPr>
              <w:t>④提供的产品含有致病性寄生虫、微生物或者微生物含量超过相关限定标准的；</w:t>
            </w:r>
          </w:p>
          <w:p w14:paraId="7B99AED1">
            <w:pPr>
              <w:spacing w:line="360" w:lineRule="auto"/>
              <w:ind w:firstLine="420" w:firstLineChars="200"/>
              <w:rPr>
                <w:color w:val="auto"/>
              </w:rPr>
            </w:pPr>
            <w:r>
              <w:rPr>
                <w:rFonts w:hint="eastAsia"/>
                <w:color w:val="auto"/>
              </w:rPr>
              <w:t>⑤提供不符合相关食品安全标准的产品；</w:t>
            </w:r>
          </w:p>
          <w:p w14:paraId="2213B188">
            <w:pPr>
              <w:spacing w:line="360" w:lineRule="auto"/>
              <w:ind w:firstLine="420" w:firstLineChars="200"/>
              <w:rPr>
                <w:color w:val="auto"/>
              </w:rPr>
            </w:pPr>
            <w:r>
              <w:rPr>
                <w:rFonts w:hint="eastAsia"/>
                <w:color w:val="auto"/>
              </w:rPr>
              <w:t>⑥提供法律、法规、规章规定的其他禁止生产经营或者不符合食品安全标准的产品、产品添加剂等；</w:t>
            </w:r>
          </w:p>
          <w:p w14:paraId="395E1068">
            <w:pPr>
              <w:spacing w:line="360" w:lineRule="auto"/>
              <w:ind w:firstLine="420" w:firstLineChars="200"/>
              <w:rPr>
                <w:color w:val="auto"/>
              </w:rPr>
            </w:pPr>
            <w:r>
              <w:rPr>
                <w:rFonts w:hint="eastAsia"/>
                <w:color w:val="auto"/>
              </w:rPr>
              <w:t>⑦未经动物检疫部门检疫、检验或者检疫、检验不合格的肉类及其制品；病死、毒死或者死因不明的禽、蓄、兽、水产动物等及其制品；</w:t>
            </w:r>
          </w:p>
          <w:p w14:paraId="021BAE97">
            <w:pPr>
              <w:spacing w:line="360" w:lineRule="auto"/>
              <w:ind w:firstLine="420" w:firstLineChars="200"/>
              <w:rPr>
                <w:color w:val="auto"/>
              </w:rPr>
            </w:pPr>
            <w:r>
              <w:rPr>
                <w:rFonts w:hint="eastAsia"/>
                <w:color w:val="auto"/>
              </w:rPr>
              <w:t>⑧掺假、掺杂、伪造，影响营养、卫生的产品；</w:t>
            </w:r>
          </w:p>
          <w:p w14:paraId="3D1FCF01">
            <w:pPr>
              <w:spacing w:line="360" w:lineRule="auto"/>
              <w:ind w:firstLine="420" w:firstLineChars="200"/>
              <w:rPr>
                <w:color w:val="auto"/>
              </w:rPr>
            </w:pPr>
            <w:r>
              <w:rPr>
                <w:rFonts w:hint="eastAsia"/>
                <w:color w:val="auto"/>
              </w:rPr>
              <w:t>⑨用非食品原料加工或加入非食品用化学物质或者将非食品当作食品的；</w:t>
            </w:r>
          </w:p>
          <w:p w14:paraId="4972EC87">
            <w:pPr>
              <w:spacing w:line="360" w:lineRule="auto"/>
              <w:ind w:firstLine="420" w:firstLineChars="200"/>
              <w:rPr>
                <w:color w:val="auto"/>
              </w:rPr>
            </w:pPr>
            <w:r>
              <w:rPr>
                <w:rFonts w:hint="eastAsia"/>
                <w:color w:val="auto"/>
              </w:rPr>
              <w:t>⑩如中标供货商无法配送采购人预定的产品，应及时直接与采购人沟通，确定替代产品，并及时按要求配送到位；若发生不能配送采购人预定产品而又未及时沟通妥善解决的，或是中标供货商所配送产品与采购人预定产品不符等，进而影响到采购人相关工作、业务正常运转的。</w:t>
            </w:r>
          </w:p>
          <w:p w14:paraId="59FC34AC">
            <w:pPr>
              <w:spacing w:line="360" w:lineRule="auto"/>
              <w:ind w:firstLine="420" w:firstLineChars="200"/>
              <w:rPr>
                <w:color w:val="auto"/>
              </w:rPr>
            </w:pPr>
            <w:r>
              <w:rPr>
                <w:rFonts w:hint="eastAsia"/>
                <w:color w:val="auto"/>
              </w:rPr>
              <w:t>（</w:t>
            </w:r>
            <w:r>
              <w:rPr>
                <w:color w:val="auto"/>
              </w:rPr>
              <w:t>3</w:t>
            </w:r>
            <w:r>
              <w:rPr>
                <w:rFonts w:hint="eastAsia"/>
                <w:color w:val="auto"/>
              </w:rPr>
              <w:t>）中标供应商在本招标项下的合同履约过程中，采购人或是其业务主管部门对中标供应商服务履约情况按月或季度开展动态评价，书面评价结果为“不合格”且经整改后复评的书面评价结果仍为“不合格”的，采购人报</w:t>
            </w:r>
            <w:r>
              <w:rPr>
                <w:rFonts w:hint="eastAsia"/>
                <w:color w:val="auto"/>
                <w:lang w:val="en-US" w:eastAsia="zh-CN"/>
              </w:rPr>
              <w:t>南宁市政府采购监督</w:t>
            </w:r>
            <w:r>
              <w:rPr>
                <w:rFonts w:hint="eastAsia"/>
                <w:color w:val="auto"/>
              </w:rPr>
              <w:t>部门</w:t>
            </w:r>
            <w:r>
              <w:rPr>
                <w:rFonts w:hint="eastAsia"/>
                <w:color w:val="auto"/>
                <w:lang w:val="en-US" w:eastAsia="zh-CN"/>
              </w:rPr>
              <w:t>核实批准</w:t>
            </w:r>
            <w:r>
              <w:rPr>
                <w:rFonts w:hint="eastAsia"/>
                <w:color w:val="auto"/>
              </w:rPr>
              <w:t>后解除本招标项所涉及的合同，并由中标供应商自行承担所有损失及后果，因此产生的行政、刑事处罚和全部经济责任及法律责任均由中标供应商自行负责。</w:t>
            </w:r>
          </w:p>
          <w:p w14:paraId="32533205">
            <w:pPr>
              <w:spacing w:line="360" w:lineRule="auto"/>
              <w:ind w:firstLine="420" w:firstLineChars="200"/>
              <w:rPr>
                <w:color w:val="auto"/>
              </w:rPr>
            </w:pPr>
            <w:r>
              <w:rPr>
                <w:rFonts w:hint="eastAsia"/>
                <w:color w:val="auto"/>
              </w:rPr>
              <w:t>（</w:t>
            </w:r>
            <w:r>
              <w:rPr>
                <w:color w:val="auto"/>
              </w:rPr>
              <w:t>4</w:t>
            </w:r>
            <w:r>
              <w:rPr>
                <w:rFonts w:hint="eastAsia"/>
                <w:color w:val="auto"/>
              </w:rPr>
              <w:t>）在本招标项下的合同履约过程中，中标供应商发生经采购人或其业务主管部门依据国家相关法律法规或公安机关内部条例文件书面认定的食品安全事故、情形、事件等，采购人有权要求中标供应商支付本项目采购总预算金额</w:t>
            </w:r>
            <w:r>
              <w:rPr>
                <w:color w:val="auto"/>
              </w:rPr>
              <w:t>5%</w:t>
            </w:r>
            <w:r>
              <w:rPr>
                <w:rFonts w:hint="eastAsia"/>
                <w:color w:val="auto"/>
              </w:rPr>
              <w:t>的违约金；同时采购人报</w:t>
            </w:r>
            <w:r>
              <w:rPr>
                <w:rFonts w:hint="eastAsia"/>
                <w:color w:val="auto"/>
                <w:lang w:val="en-US" w:eastAsia="zh-CN"/>
              </w:rPr>
              <w:t>南宁市政府采购监督</w:t>
            </w:r>
            <w:r>
              <w:rPr>
                <w:rFonts w:hint="eastAsia"/>
                <w:color w:val="auto"/>
              </w:rPr>
              <w:t>部门</w:t>
            </w:r>
            <w:r>
              <w:rPr>
                <w:rFonts w:hint="eastAsia"/>
                <w:color w:val="auto"/>
                <w:lang w:val="en-US" w:eastAsia="zh-CN"/>
              </w:rPr>
              <w:t>核实批准</w:t>
            </w:r>
            <w:r>
              <w:rPr>
                <w:rFonts w:hint="eastAsia"/>
                <w:color w:val="auto"/>
              </w:rPr>
              <w:t>后解除本招标项所涉及的合同，并由中标供应商自行承担所有损失及后果，因此产生的行政、刑事处罚和全部经济责任及法律责任均由中标供应商自行负责。</w:t>
            </w:r>
          </w:p>
          <w:p w14:paraId="4CF1CED5">
            <w:pPr>
              <w:spacing w:line="360" w:lineRule="auto"/>
              <w:ind w:firstLine="420" w:firstLineChars="200"/>
              <w:rPr>
                <w:color w:val="auto"/>
              </w:rPr>
            </w:pPr>
            <w:r>
              <w:rPr>
                <w:rFonts w:hint="eastAsia"/>
                <w:color w:val="auto"/>
              </w:rPr>
              <w:t>（</w:t>
            </w:r>
            <w:r>
              <w:rPr>
                <w:color w:val="auto"/>
              </w:rPr>
              <w:t>5</w:t>
            </w:r>
            <w:r>
              <w:rPr>
                <w:rFonts w:hint="eastAsia"/>
                <w:color w:val="auto"/>
              </w:rPr>
              <w:t>）中标供应商不能满足本招标项下的配送服务要求时或是主动提出中止合同的，中标供应商必须提前两个月书面通知采购人，采购人书面同意后方可中止合同；否则，中标供应商应支付采购人本项目采购总预算金额</w:t>
            </w:r>
            <w:r>
              <w:rPr>
                <w:color w:val="auto"/>
              </w:rPr>
              <w:t>5%</w:t>
            </w:r>
            <w:r>
              <w:rPr>
                <w:rFonts w:hint="eastAsia"/>
                <w:color w:val="auto"/>
              </w:rPr>
              <w:t>的违约金。在采购人书面同意中止合同之前，中标供应商应按本招标项下的合同持续履约、提供相关配送服务，并由中标供应商自行承担所有损失及后果，因此产生的行政、刑事处罚和全部经济责任及法律责任均由中标供应商自行负责。</w:t>
            </w:r>
          </w:p>
          <w:p w14:paraId="1F708D57">
            <w:pPr>
              <w:pageBreakBefore w:val="0"/>
              <w:kinsoku/>
              <w:wordWrap/>
              <w:overflowPunct/>
              <w:topLinePunct w:val="0"/>
              <w:bidi w:val="0"/>
              <w:spacing w:beforeAutospacing="0" w:line="360" w:lineRule="auto"/>
              <w:ind w:right="0"/>
              <w:rPr>
                <w:rFonts w:hint="eastAsia" w:ascii="宋体" w:hAnsi="宋体" w:eastAsia="宋体" w:cs="宋体"/>
                <w:color w:val="auto"/>
                <w:sz w:val="21"/>
                <w:szCs w:val="21"/>
              </w:rPr>
            </w:pPr>
            <w:r>
              <w:rPr>
                <w:rFonts w:hint="eastAsia" w:ascii="宋体" w:hAnsi="宋体" w:cs="宋体"/>
                <w:b/>
                <w:bCs/>
                <w:color w:val="auto"/>
                <w:sz w:val="21"/>
                <w:szCs w:val="21"/>
                <w:lang w:val="en-US" w:eastAsia="zh-CN"/>
              </w:rPr>
              <w:t>八</w:t>
            </w:r>
            <w:r>
              <w:rPr>
                <w:rFonts w:hint="eastAsia" w:ascii="宋体" w:hAnsi="宋体" w:eastAsia="宋体" w:cs="宋体"/>
                <w:b/>
                <w:bCs/>
                <w:color w:val="auto"/>
                <w:sz w:val="21"/>
                <w:szCs w:val="21"/>
              </w:rPr>
              <w:t>、附件1</w:t>
            </w:r>
            <w:r>
              <w:rPr>
                <w:rFonts w:hint="eastAsia" w:ascii="宋体" w:hAnsi="宋体" w:eastAsia="宋体" w:cs="宋体"/>
                <w:color w:val="auto"/>
                <w:sz w:val="21"/>
                <w:szCs w:val="21"/>
              </w:rPr>
              <w:t>《</w:t>
            </w:r>
            <w:r>
              <w:rPr>
                <w:rFonts w:hint="eastAsia" w:ascii="宋体" w:hAnsi="宋体" w:cs="宋体"/>
                <w:color w:val="auto"/>
                <w:sz w:val="21"/>
                <w:szCs w:val="21"/>
                <w:lang w:eastAsia="zh-CN"/>
              </w:rPr>
              <w:t>南宁市第二看守所</w:t>
            </w:r>
            <w:r>
              <w:rPr>
                <w:rFonts w:hint="eastAsia" w:ascii="宋体" w:hAnsi="宋体" w:eastAsia="宋体" w:cs="宋体"/>
                <w:color w:val="auto"/>
                <w:sz w:val="21"/>
                <w:szCs w:val="21"/>
              </w:rPr>
              <w:t>在押人员伙房食材配送服务采购实施方案》为按最近一年数据的预估和测算数，以作参考，不代表实际采购数量和金额,实际采购数量以采购人验收为准，实际采购金额以结算金额为准。</w:t>
            </w:r>
          </w:p>
          <w:p w14:paraId="403D0249">
            <w:pPr>
              <w:pageBreakBefore w:val="0"/>
              <w:kinsoku/>
              <w:wordWrap/>
              <w:overflowPunct/>
              <w:topLinePunct w:val="0"/>
              <w:bidi w:val="0"/>
              <w:spacing w:beforeAutospacing="0" w:line="360" w:lineRule="auto"/>
              <w:ind w:right="0"/>
              <w:rPr>
                <w:rFonts w:hint="eastAsia" w:ascii="宋体" w:hAnsi="宋体" w:eastAsia="宋体" w:cs="宋体"/>
                <w:b/>
                <w:bCs/>
                <w:color w:val="auto"/>
                <w:sz w:val="21"/>
                <w:szCs w:val="21"/>
              </w:rPr>
            </w:pPr>
            <w:r>
              <w:rPr>
                <w:rFonts w:hint="eastAsia" w:ascii="宋体" w:hAnsi="宋体" w:cs="宋体"/>
                <w:b/>
                <w:bCs/>
                <w:color w:val="auto"/>
                <w:sz w:val="21"/>
                <w:szCs w:val="21"/>
                <w:lang w:val="en-US" w:eastAsia="zh-CN"/>
              </w:rPr>
              <w:t>九</w:t>
            </w:r>
            <w:r>
              <w:rPr>
                <w:rFonts w:hint="eastAsia" w:ascii="宋体" w:hAnsi="宋体" w:eastAsia="宋体" w:cs="宋体"/>
                <w:b/>
                <w:bCs/>
                <w:color w:val="auto"/>
                <w:sz w:val="21"/>
                <w:szCs w:val="21"/>
              </w:rPr>
              <w:t>、中标供应商服务条件核实</w:t>
            </w:r>
          </w:p>
          <w:p w14:paraId="302B8397">
            <w:pPr>
              <w:pageBreakBefore w:val="0"/>
              <w:kinsoku/>
              <w:wordWrap/>
              <w:overflowPunct/>
              <w:topLinePunct w:val="0"/>
              <w:bidi w:val="0"/>
              <w:spacing w:beforeAutospacing="0" w:line="360" w:lineRule="auto"/>
              <w:ind w:left="0" w:leftChars="0" w:right="0"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中标公告发布后7个工作日内采购人组织采购人实地考察、核实中标供应商的场地、人员及车辆、小微企业资格等；如发现实际情况与中标供应商投标、应标文件或承诺内容不符的，则视同中标供应商虚假应标和无条件放弃中标资格，并由中标供应商自行承担所有损失及后果，因此产生的行政、刑事处罚和全部经济责任及法律责任均由中标供应商自行负责。</w:t>
            </w:r>
          </w:p>
          <w:p w14:paraId="342F282D">
            <w:pPr>
              <w:pageBreakBefore w:val="0"/>
              <w:kinsoku/>
              <w:wordWrap/>
              <w:overflowPunct/>
              <w:topLinePunct w:val="0"/>
              <w:bidi w:val="0"/>
              <w:spacing w:beforeAutospacing="0" w:line="360" w:lineRule="auto"/>
              <w:ind w:right="0"/>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w:t>
            </w:r>
            <w:r>
              <w:rPr>
                <w:rFonts w:hint="eastAsia" w:ascii="宋体" w:hAnsi="宋体" w:cs="宋体"/>
                <w:b/>
                <w:bCs/>
                <w:color w:val="auto"/>
                <w:sz w:val="21"/>
                <w:szCs w:val="21"/>
                <w:lang w:val="en-US" w:eastAsia="zh-CN"/>
              </w:rPr>
              <w:t>十</w:t>
            </w:r>
            <w:r>
              <w:rPr>
                <w:rFonts w:hint="eastAsia" w:ascii="宋体" w:hAnsi="宋体" w:eastAsia="宋体" w:cs="宋体"/>
                <w:b/>
                <w:bCs/>
                <w:color w:val="auto"/>
                <w:sz w:val="21"/>
                <w:szCs w:val="21"/>
                <w:lang w:eastAsia="zh-CN"/>
              </w:rPr>
              <w:t>、扶贫产品相关采购要求</w:t>
            </w:r>
          </w:p>
          <w:p w14:paraId="6437D8E7">
            <w:pPr>
              <w:pageBreakBefore w:val="0"/>
              <w:kinsoku/>
              <w:wordWrap/>
              <w:overflowPunct/>
              <w:topLinePunct w:val="0"/>
              <w:bidi w:val="0"/>
              <w:spacing w:beforeAutospacing="0" w:line="360" w:lineRule="auto"/>
              <w:ind w:left="0" w:leftChars="0" w:right="0"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1）根据《南宁市人民政府办公室关于印发南宁市深入开展消费扶贫助力打赢脱贫攻坚战实施方案通知》等扶贫、乡村振兴政策要求，本项目中标供应商所采购的贫困地区农副产品累计金额不低于本项目中标供应商所采购的农副产品累计金额的20%（具体要求以采购人的书面通知为准）。</w:t>
            </w:r>
          </w:p>
          <w:p w14:paraId="6A986888">
            <w:pPr>
              <w:pageBreakBefore w:val="0"/>
              <w:kinsoku/>
              <w:wordWrap/>
              <w:overflowPunct/>
              <w:topLinePunct w:val="0"/>
              <w:bidi w:val="0"/>
              <w:spacing w:beforeAutospacing="0" w:line="360" w:lineRule="auto"/>
              <w:ind w:left="0" w:leftChars="0" w:right="0"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（2）根据扶贫、乡村振兴等政策需求，采购人可要求中标供应商通过规定或指定的平台（渠道）采购相关扶贫产品（具体要求以采购人的书面通知为准）。</w:t>
            </w:r>
          </w:p>
          <w:p w14:paraId="34C7A9BF">
            <w:pPr>
              <w:pageBreakBefore w:val="0"/>
              <w:kinsoku/>
              <w:wordWrap/>
              <w:overflowPunct/>
              <w:topLinePunct w:val="0"/>
              <w:bidi w:val="0"/>
              <w:spacing w:beforeAutospacing="0" w:line="360" w:lineRule="auto"/>
              <w:ind w:left="0" w:leftChars="0" w:right="0"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（3）中标供应商通过规定或指定的平台（渠道）采购相关扶贫产品，相关产品的结算价格按规定或指定的平台（渠道）结算价格执行，可不执行中标供应商承诺的优惠率。</w:t>
            </w:r>
          </w:p>
          <w:p w14:paraId="785DD4BF">
            <w:pPr>
              <w:pageBreakBefore w:val="0"/>
              <w:kinsoku/>
              <w:wordWrap/>
              <w:overflowPunct/>
              <w:topLinePunct w:val="0"/>
              <w:bidi w:val="0"/>
              <w:spacing w:beforeAutospacing="0" w:line="360" w:lineRule="auto"/>
              <w:ind w:right="0"/>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十</w:t>
            </w:r>
            <w:r>
              <w:rPr>
                <w:rFonts w:hint="eastAsia" w:ascii="宋体" w:hAnsi="宋体" w:cs="宋体"/>
                <w:b/>
                <w:bCs/>
                <w:color w:val="auto"/>
                <w:sz w:val="21"/>
                <w:szCs w:val="21"/>
                <w:lang w:val="en-US" w:eastAsia="zh-CN"/>
              </w:rPr>
              <w:t>一</w:t>
            </w:r>
            <w:r>
              <w:rPr>
                <w:rFonts w:hint="eastAsia" w:ascii="宋体" w:hAnsi="宋体" w:eastAsia="宋体" w:cs="宋体"/>
                <w:b/>
                <w:bCs/>
                <w:color w:val="auto"/>
                <w:sz w:val="21"/>
                <w:szCs w:val="21"/>
              </w:rPr>
              <w:t>、投标时如有以下实施方案请提供：</w:t>
            </w:r>
          </w:p>
          <w:p w14:paraId="7875F892">
            <w:pPr>
              <w:spacing w:line="360" w:lineRule="auto"/>
              <w:ind w:firstLine="420" w:firstLineChars="200"/>
              <w:rPr>
                <w:color w:val="auto"/>
              </w:rPr>
            </w:pPr>
            <w:r>
              <w:rPr>
                <w:rFonts w:hint="eastAsia"/>
                <w:color w:val="auto"/>
              </w:rPr>
              <w:t>（1）项目实施方案，具体要求如下：有完备的运营流程、配送流程、效率保障，有实施的技术力量和人力资源安排。</w:t>
            </w:r>
          </w:p>
          <w:p w14:paraId="671D3F2D">
            <w:pPr>
              <w:spacing w:line="360" w:lineRule="auto"/>
              <w:ind w:firstLine="420" w:firstLineChars="200"/>
              <w:rPr>
                <w:color w:val="auto"/>
              </w:rPr>
            </w:pPr>
            <w:r>
              <w:rPr>
                <w:rFonts w:hint="eastAsia"/>
                <w:color w:val="auto"/>
              </w:rPr>
              <w:t>（2）质量保障措施方案，具体要求如下：有食品安全及卫生保障预案，有完善的安全及卫生保障流程、制度。</w:t>
            </w:r>
          </w:p>
          <w:p w14:paraId="51238816">
            <w:pPr>
              <w:spacing w:line="360" w:lineRule="auto"/>
              <w:ind w:firstLine="420" w:firstLineChars="200"/>
              <w:rPr>
                <w:color w:val="auto"/>
              </w:rPr>
            </w:pPr>
            <w:r>
              <w:rPr>
                <w:rFonts w:hint="eastAsia"/>
                <w:color w:val="auto"/>
              </w:rPr>
              <w:t>（3）应急预案，具体要求如下：应急和突发事件处理预案基本完备，组织领导和分工、处置规程、应急保障机制等要素合理、可行性充分且承诺解决问题时间快速。</w:t>
            </w:r>
          </w:p>
          <w:p w14:paraId="0850103F">
            <w:pPr>
              <w:spacing w:line="360" w:lineRule="auto"/>
              <w:ind w:firstLine="420" w:firstLineChars="200"/>
              <w:rPr>
                <w:color w:val="auto"/>
              </w:rPr>
            </w:pPr>
            <w:r>
              <w:rPr>
                <w:rFonts w:hint="eastAsia"/>
                <w:color w:val="auto"/>
              </w:rPr>
              <w:t>（4）售后服务方案，具体要求如下：售后服务方案阐述较齐全、较完整，可行性较好，能提供本地化服务的，售后流程清晰，服务响应快速；</w:t>
            </w:r>
          </w:p>
          <w:p w14:paraId="4FAEB29A">
            <w:pPr>
              <w:pageBreakBefore w:val="0"/>
              <w:kinsoku/>
              <w:wordWrap/>
              <w:overflowPunct/>
              <w:topLinePunct w:val="0"/>
              <w:bidi w:val="0"/>
              <w:spacing w:beforeAutospacing="0" w:line="360" w:lineRule="auto"/>
              <w:ind w:right="0"/>
              <w:rPr>
                <w:rFonts w:hint="eastAsia" w:ascii="宋体" w:hAnsi="宋体" w:eastAsia="宋体" w:cs="宋体"/>
                <w:b/>
                <w:bCs/>
                <w:color w:val="auto"/>
                <w:sz w:val="21"/>
                <w:szCs w:val="21"/>
              </w:rPr>
            </w:pPr>
            <w:r>
              <w:rPr>
                <w:rFonts w:hint="eastAsia" w:ascii="宋体" w:hAnsi="宋体" w:eastAsia="宋体" w:cs="宋体"/>
                <w:b/>
                <w:bCs/>
                <w:color w:val="auto"/>
                <w:sz w:val="21"/>
                <w:szCs w:val="21"/>
              </w:rPr>
              <w:t>十</w:t>
            </w:r>
            <w:r>
              <w:rPr>
                <w:rFonts w:hint="eastAsia" w:ascii="宋体" w:hAnsi="宋体" w:eastAsia="宋体" w:cs="宋体"/>
                <w:b/>
                <w:bCs/>
                <w:color w:val="auto"/>
                <w:sz w:val="21"/>
                <w:szCs w:val="21"/>
                <w:lang w:eastAsia="zh-CN"/>
              </w:rPr>
              <w:t>二</w:t>
            </w:r>
            <w:r>
              <w:rPr>
                <w:rFonts w:hint="eastAsia" w:ascii="宋体" w:hAnsi="宋体" w:eastAsia="宋体" w:cs="宋体"/>
                <w:b/>
                <w:bCs/>
                <w:color w:val="auto"/>
                <w:sz w:val="21"/>
                <w:szCs w:val="21"/>
              </w:rPr>
              <w:t>、投标时 如有以下证明材料请提供：</w:t>
            </w:r>
          </w:p>
          <w:p w14:paraId="61CB2ED4">
            <w:pPr>
              <w:pageBreakBefore w:val="0"/>
              <w:kinsoku/>
              <w:wordWrap/>
              <w:overflowPunct/>
              <w:topLinePunct w:val="0"/>
              <w:bidi w:val="0"/>
              <w:spacing w:beforeAutospacing="0" w:line="360" w:lineRule="auto"/>
              <w:ind w:left="0" w:leftChars="0" w:right="0"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（1）供应商有保证食品卫生安全和质量的能力，自20</w:t>
            </w: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年以来有类似食材配送业绩的证明材料；</w:t>
            </w:r>
          </w:p>
          <w:p w14:paraId="45FE6BD0">
            <w:pPr>
              <w:pageBreakBefore w:val="0"/>
              <w:kinsoku/>
              <w:wordWrap/>
              <w:overflowPunct/>
              <w:topLinePunct w:val="0"/>
              <w:bidi w:val="0"/>
              <w:spacing w:beforeAutospacing="0" w:line="360" w:lineRule="auto"/>
              <w:ind w:left="0" w:leftChars="0" w:right="0"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（2）供应商</w:t>
            </w:r>
            <w:r>
              <w:rPr>
                <w:rFonts w:hint="eastAsia" w:ascii="宋体" w:hAnsi="宋体" w:cs="宋体"/>
                <w:color w:val="auto"/>
                <w:sz w:val="21"/>
                <w:szCs w:val="21"/>
                <w:lang w:val="en-US" w:eastAsia="zh-CN"/>
              </w:rPr>
              <w:t>自</w:t>
            </w:r>
            <w:r>
              <w:rPr>
                <w:rFonts w:hint="eastAsia" w:ascii="宋体" w:hAnsi="宋体" w:eastAsia="宋体" w:cs="宋体"/>
                <w:color w:val="auto"/>
                <w:sz w:val="21"/>
                <w:szCs w:val="21"/>
              </w:rPr>
              <w:t>有</w:t>
            </w:r>
            <w:r>
              <w:rPr>
                <w:rFonts w:hint="eastAsia" w:ascii="宋体" w:hAnsi="宋体" w:cs="宋体"/>
                <w:color w:val="auto"/>
                <w:sz w:val="21"/>
                <w:szCs w:val="21"/>
                <w:lang w:val="en-US" w:eastAsia="zh-CN"/>
              </w:rPr>
              <w:t>或租赁有</w:t>
            </w:r>
            <w:r>
              <w:rPr>
                <w:rFonts w:hint="eastAsia" w:ascii="宋体" w:hAnsi="宋体" w:eastAsia="宋体" w:cs="宋体"/>
                <w:color w:val="auto"/>
                <w:sz w:val="21"/>
                <w:szCs w:val="21"/>
              </w:rPr>
              <w:t>固定的营业场所的证明材料；</w:t>
            </w:r>
          </w:p>
          <w:p w14:paraId="07EC464E">
            <w:pPr>
              <w:pageBreakBefore w:val="0"/>
              <w:kinsoku/>
              <w:wordWrap/>
              <w:overflowPunct/>
              <w:topLinePunct w:val="0"/>
              <w:bidi w:val="0"/>
              <w:spacing w:beforeAutospacing="0" w:line="360" w:lineRule="auto"/>
              <w:ind w:left="0" w:leftChars="0" w:right="0"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（3）供应商或法定代表人与种植场或养殖场有长期的合作协议或自有种植场、养殖场的证明材料；</w:t>
            </w:r>
          </w:p>
          <w:p w14:paraId="2DB2939A">
            <w:pPr>
              <w:pageBreakBefore w:val="0"/>
              <w:kinsoku/>
              <w:wordWrap/>
              <w:overflowPunct/>
              <w:topLinePunct w:val="0"/>
              <w:bidi w:val="0"/>
              <w:spacing w:beforeAutospacing="0" w:line="360" w:lineRule="auto"/>
              <w:ind w:left="0" w:leftChars="0" w:right="0"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（4）拟投入专用冷链车2辆及专用运输配送车的证明材料；</w:t>
            </w:r>
          </w:p>
          <w:p w14:paraId="7717D82D">
            <w:pPr>
              <w:pageBreakBefore w:val="0"/>
              <w:kinsoku/>
              <w:wordWrap/>
              <w:overflowPunct/>
              <w:topLinePunct w:val="0"/>
              <w:bidi w:val="0"/>
              <w:spacing w:beforeAutospacing="0" w:line="360" w:lineRule="auto"/>
              <w:ind w:left="0" w:leftChars="0" w:right="0"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（5）投标人具有食品安全检测能力的证明材料；</w:t>
            </w:r>
          </w:p>
          <w:p w14:paraId="314CDA16">
            <w:pPr>
              <w:pageBreakBefore w:val="0"/>
              <w:kinsoku/>
              <w:wordWrap/>
              <w:overflowPunct/>
              <w:topLinePunct w:val="0"/>
              <w:bidi w:val="0"/>
              <w:spacing w:beforeAutospacing="0" w:line="360" w:lineRule="auto"/>
              <w:ind w:left="0" w:leftChars="0" w:right="0"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（6）投标人购买《食品安全责任保险》的证明材料。</w:t>
            </w:r>
          </w:p>
          <w:p w14:paraId="2B18B1C7">
            <w:pPr>
              <w:rPr>
                <w:rFonts w:hint="eastAsia"/>
                <w:color w:val="auto"/>
              </w:rPr>
            </w:pPr>
          </w:p>
        </w:tc>
      </w:tr>
    </w:tbl>
    <w:p w14:paraId="1958A7A3">
      <w:pPr>
        <w:pageBreakBefore w:val="0"/>
        <w:kinsoku/>
        <w:wordWrap/>
        <w:overflowPunct/>
        <w:topLinePunct w:val="0"/>
        <w:bidi w:val="0"/>
        <w:adjustRightInd w:val="0"/>
        <w:spacing w:beforeAutospacing="0" w:line="360" w:lineRule="auto"/>
        <w:ind w:left="0" w:leftChars="0" w:right="0"/>
        <w:jc w:val="left"/>
        <w:textAlignment w:val="baseline"/>
        <w:rPr>
          <w:rFonts w:hint="eastAsia" w:ascii="宋体" w:hAnsi="宋体" w:eastAsia="宋体" w:cs="宋体"/>
          <w:color w:val="auto"/>
          <w:kern w:val="0"/>
        </w:rPr>
      </w:pPr>
    </w:p>
    <w:p w14:paraId="6172A2A8">
      <w:pPr>
        <w:pageBreakBefore w:val="0"/>
        <w:kinsoku/>
        <w:wordWrap/>
        <w:overflowPunct/>
        <w:topLinePunct w:val="0"/>
        <w:bidi w:val="0"/>
        <w:adjustRightInd w:val="0"/>
        <w:spacing w:beforeAutospacing="0" w:line="360" w:lineRule="auto"/>
        <w:ind w:left="0" w:leftChars="0" w:right="0"/>
        <w:jc w:val="left"/>
        <w:textAlignment w:val="baseline"/>
        <w:rPr>
          <w:rFonts w:hint="eastAsia" w:ascii="宋体" w:hAnsi="宋体" w:eastAsia="宋体" w:cs="宋体"/>
          <w:b/>
          <w:bCs/>
          <w:color w:val="auto"/>
          <w:kern w:val="0"/>
        </w:rPr>
      </w:pPr>
    </w:p>
    <w:p w14:paraId="22EDCD8D">
      <w:pPr>
        <w:pageBreakBefore w:val="0"/>
        <w:kinsoku/>
        <w:wordWrap/>
        <w:overflowPunct/>
        <w:topLinePunct w:val="0"/>
        <w:bidi w:val="0"/>
        <w:adjustRightInd w:val="0"/>
        <w:spacing w:beforeAutospacing="0" w:line="360" w:lineRule="auto"/>
        <w:ind w:left="0" w:leftChars="0" w:right="0"/>
        <w:jc w:val="left"/>
        <w:textAlignment w:val="baseline"/>
        <w:rPr>
          <w:rFonts w:hint="eastAsia" w:ascii="宋体" w:hAnsi="宋体" w:eastAsia="宋体" w:cs="宋体"/>
          <w:b/>
          <w:bCs/>
          <w:color w:val="auto"/>
          <w:kern w:val="0"/>
        </w:rPr>
      </w:pPr>
      <w:r>
        <w:rPr>
          <w:rFonts w:hint="eastAsia" w:ascii="宋体" w:hAnsi="宋体" w:eastAsia="宋体" w:cs="宋体"/>
          <w:b/>
          <w:bCs/>
          <w:color w:val="auto"/>
          <w:kern w:val="0"/>
        </w:rPr>
        <w:t>附件1：《</w:t>
      </w:r>
      <w:r>
        <w:rPr>
          <w:rFonts w:hint="eastAsia" w:ascii="宋体" w:hAnsi="宋体" w:cs="宋体"/>
          <w:b/>
          <w:bCs/>
          <w:color w:val="auto"/>
          <w:lang w:eastAsia="zh-CN"/>
        </w:rPr>
        <w:t>南宁市第二看守所</w:t>
      </w:r>
      <w:r>
        <w:rPr>
          <w:rFonts w:hint="eastAsia" w:ascii="宋体" w:hAnsi="宋体" w:cs="宋体"/>
          <w:b/>
          <w:bCs/>
          <w:color w:val="auto"/>
        </w:rPr>
        <w:t>在押人员伙房食材配送服务采购实施方案</w:t>
      </w:r>
      <w:r>
        <w:rPr>
          <w:rFonts w:hint="eastAsia" w:ascii="宋体" w:hAnsi="宋体" w:eastAsia="宋体" w:cs="宋体"/>
          <w:b/>
          <w:bCs/>
          <w:color w:val="auto"/>
          <w:kern w:val="0"/>
        </w:rPr>
        <w:t>》</w:t>
      </w:r>
    </w:p>
    <w:tbl>
      <w:tblPr>
        <w:tblStyle w:val="15"/>
        <w:tblW w:w="9843" w:type="dxa"/>
        <w:tblInd w:w="-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827"/>
        <w:gridCol w:w="870"/>
        <w:gridCol w:w="970"/>
        <w:gridCol w:w="2000"/>
        <w:gridCol w:w="976"/>
        <w:gridCol w:w="1377"/>
        <w:gridCol w:w="2304"/>
      </w:tblGrid>
      <w:tr w14:paraId="18DD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519" w:type="dxa"/>
            <w:vMerge w:val="restart"/>
            <w:noWrap w:val="0"/>
            <w:vAlign w:val="center"/>
          </w:tcPr>
          <w:p w14:paraId="40EF5EA4">
            <w:pPr>
              <w:widowControl/>
              <w:jc w:val="center"/>
              <w:rPr>
                <w:rFonts w:ascii="宋体" w:cs="宋体"/>
                <w:b/>
                <w:bCs/>
                <w:color w:val="auto"/>
                <w:kern w:val="0"/>
                <w:sz w:val="16"/>
                <w:szCs w:val="16"/>
              </w:rPr>
            </w:pPr>
            <w:r>
              <w:rPr>
                <w:rFonts w:hint="eastAsia" w:ascii="宋体" w:hAnsi="宋体" w:cs="宋体"/>
                <w:b/>
                <w:bCs/>
                <w:color w:val="auto"/>
                <w:kern w:val="0"/>
                <w:sz w:val="16"/>
                <w:szCs w:val="16"/>
              </w:rPr>
              <w:t>序号</w:t>
            </w:r>
          </w:p>
        </w:tc>
        <w:tc>
          <w:tcPr>
            <w:tcW w:w="827" w:type="dxa"/>
            <w:vMerge w:val="restart"/>
            <w:noWrap w:val="0"/>
            <w:vAlign w:val="center"/>
          </w:tcPr>
          <w:p w14:paraId="7EBCB275">
            <w:pPr>
              <w:widowControl/>
              <w:jc w:val="center"/>
              <w:rPr>
                <w:rFonts w:ascii="宋体" w:cs="宋体"/>
                <w:b/>
                <w:bCs/>
                <w:color w:val="auto"/>
                <w:kern w:val="0"/>
                <w:sz w:val="16"/>
                <w:szCs w:val="16"/>
              </w:rPr>
            </w:pPr>
            <w:r>
              <w:rPr>
                <w:rFonts w:hint="eastAsia" w:ascii="宋体" w:hAnsi="宋体" w:cs="宋体"/>
                <w:b/>
                <w:bCs/>
                <w:color w:val="auto"/>
                <w:kern w:val="0"/>
                <w:sz w:val="16"/>
                <w:szCs w:val="16"/>
              </w:rPr>
              <w:t>食材品种</w:t>
            </w:r>
          </w:p>
        </w:tc>
        <w:tc>
          <w:tcPr>
            <w:tcW w:w="4816" w:type="dxa"/>
            <w:gridSpan w:val="4"/>
            <w:noWrap w:val="0"/>
            <w:vAlign w:val="center"/>
          </w:tcPr>
          <w:p w14:paraId="4509BCB2">
            <w:pPr>
              <w:widowControl/>
              <w:jc w:val="center"/>
              <w:rPr>
                <w:rFonts w:ascii="宋体" w:cs="宋体"/>
                <w:b/>
                <w:bCs/>
                <w:color w:val="auto"/>
                <w:kern w:val="0"/>
                <w:sz w:val="16"/>
                <w:szCs w:val="16"/>
              </w:rPr>
            </w:pPr>
            <w:r>
              <w:rPr>
                <w:rFonts w:hint="eastAsia" w:ascii="宋体" w:hAnsi="宋体" w:cs="宋体"/>
                <w:b/>
                <w:bCs/>
                <w:color w:val="auto"/>
                <w:kern w:val="0"/>
                <w:sz w:val="16"/>
                <w:szCs w:val="16"/>
              </w:rPr>
              <w:t>月均费用（元</w:t>
            </w:r>
            <w:r>
              <w:rPr>
                <w:rFonts w:ascii="宋体" w:hAnsi="宋体" w:cs="宋体"/>
                <w:b/>
                <w:bCs/>
                <w:color w:val="auto"/>
                <w:kern w:val="0"/>
                <w:sz w:val="16"/>
                <w:szCs w:val="16"/>
              </w:rPr>
              <w:t>/</w:t>
            </w:r>
            <w:r>
              <w:rPr>
                <w:rFonts w:hint="eastAsia" w:ascii="宋体" w:hAnsi="宋体" w:cs="宋体"/>
                <w:b/>
                <w:bCs/>
                <w:color w:val="auto"/>
                <w:kern w:val="0"/>
                <w:sz w:val="16"/>
                <w:szCs w:val="16"/>
              </w:rPr>
              <w:t>月</w:t>
            </w:r>
            <w:r>
              <w:rPr>
                <w:rFonts w:ascii="宋体" w:cs="宋体"/>
                <w:b/>
                <w:bCs/>
                <w:color w:val="auto"/>
                <w:kern w:val="0"/>
                <w:sz w:val="16"/>
                <w:szCs w:val="16"/>
              </w:rPr>
              <w:t>.</w:t>
            </w:r>
            <w:r>
              <w:rPr>
                <w:rFonts w:hint="eastAsia" w:ascii="宋体" w:hAnsi="宋体" w:cs="宋体"/>
                <w:b/>
                <w:bCs/>
                <w:color w:val="auto"/>
                <w:kern w:val="0"/>
                <w:sz w:val="16"/>
                <w:szCs w:val="16"/>
              </w:rPr>
              <w:t>人）</w:t>
            </w:r>
          </w:p>
        </w:tc>
        <w:tc>
          <w:tcPr>
            <w:tcW w:w="1377" w:type="dxa"/>
            <w:noWrap w:val="0"/>
            <w:vAlign w:val="center"/>
          </w:tcPr>
          <w:p w14:paraId="17EADD09">
            <w:pPr>
              <w:widowControl/>
              <w:jc w:val="center"/>
              <w:rPr>
                <w:rFonts w:ascii="宋体" w:cs="宋体"/>
                <w:b/>
                <w:bCs/>
                <w:color w:val="auto"/>
                <w:kern w:val="0"/>
                <w:sz w:val="16"/>
                <w:szCs w:val="16"/>
              </w:rPr>
            </w:pPr>
            <w:r>
              <w:rPr>
                <w:rFonts w:hint="eastAsia" w:ascii="宋体" w:hAnsi="宋体" w:cs="宋体"/>
                <w:b/>
                <w:bCs/>
                <w:color w:val="auto"/>
                <w:kern w:val="0"/>
                <w:sz w:val="16"/>
                <w:szCs w:val="16"/>
              </w:rPr>
              <w:t>第一看守所</w:t>
            </w:r>
          </w:p>
        </w:tc>
        <w:tc>
          <w:tcPr>
            <w:tcW w:w="2304" w:type="dxa"/>
            <w:noWrap w:val="0"/>
            <w:vAlign w:val="center"/>
          </w:tcPr>
          <w:p w14:paraId="15739A45">
            <w:pPr>
              <w:widowControl/>
              <w:jc w:val="center"/>
              <w:rPr>
                <w:rFonts w:ascii="宋体" w:cs="宋体"/>
                <w:b/>
                <w:bCs/>
                <w:color w:val="auto"/>
                <w:kern w:val="0"/>
                <w:sz w:val="16"/>
                <w:szCs w:val="16"/>
              </w:rPr>
            </w:pPr>
            <w:r>
              <w:rPr>
                <w:rFonts w:hint="eastAsia" w:ascii="宋体" w:hAnsi="宋体" w:cs="宋体"/>
                <w:b/>
                <w:bCs/>
                <w:color w:val="auto"/>
                <w:kern w:val="0"/>
                <w:sz w:val="16"/>
                <w:szCs w:val="16"/>
              </w:rPr>
              <w:t>备注</w:t>
            </w:r>
          </w:p>
        </w:tc>
      </w:tr>
      <w:tr w14:paraId="2A1D5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519" w:type="dxa"/>
            <w:vMerge w:val="continue"/>
            <w:noWrap w:val="0"/>
            <w:vAlign w:val="center"/>
          </w:tcPr>
          <w:p w14:paraId="556F6B32">
            <w:pPr>
              <w:widowControl/>
              <w:jc w:val="left"/>
              <w:rPr>
                <w:rFonts w:ascii="宋体" w:cs="宋体"/>
                <w:b/>
                <w:bCs/>
                <w:color w:val="auto"/>
                <w:kern w:val="0"/>
                <w:sz w:val="16"/>
                <w:szCs w:val="16"/>
              </w:rPr>
            </w:pPr>
          </w:p>
        </w:tc>
        <w:tc>
          <w:tcPr>
            <w:tcW w:w="827" w:type="dxa"/>
            <w:vMerge w:val="continue"/>
            <w:noWrap w:val="0"/>
            <w:vAlign w:val="center"/>
          </w:tcPr>
          <w:p w14:paraId="72F667D4">
            <w:pPr>
              <w:widowControl/>
              <w:jc w:val="left"/>
              <w:rPr>
                <w:rFonts w:ascii="宋体" w:cs="宋体"/>
                <w:b/>
                <w:bCs/>
                <w:color w:val="auto"/>
                <w:kern w:val="0"/>
                <w:sz w:val="16"/>
                <w:szCs w:val="16"/>
              </w:rPr>
            </w:pPr>
          </w:p>
        </w:tc>
        <w:tc>
          <w:tcPr>
            <w:tcW w:w="870" w:type="dxa"/>
            <w:noWrap w:val="0"/>
            <w:vAlign w:val="center"/>
          </w:tcPr>
          <w:p w14:paraId="3B82BD21">
            <w:pPr>
              <w:widowControl/>
              <w:jc w:val="center"/>
              <w:rPr>
                <w:rFonts w:ascii="宋体" w:cs="宋体"/>
                <w:b/>
                <w:bCs/>
                <w:color w:val="auto"/>
                <w:kern w:val="0"/>
                <w:sz w:val="16"/>
                <w:szCs w:val="16"/>
              </w:rPr>
            </w:pPr>
            <w:r>
              <w:rPr>
                <w:rFonts w:hint="eastAsia" w:ascii="宋体" w:hAnsi="宋体" w:cs="宋体"/>
                <w:b/>
                <w:bCs/>
                <w:color w:val="auto"/>
                <w:kern w:val="0"/>
                <w:sz w:val="16"/>
                <w:szCs w:val="16"/>
              </w:rPr>
              <w:t>单价（元）</w:t>
            </w:r>
          </w:p>
        </w:tc>
        <w:tc>
          <w:tcPr>
            <w:tcW w:w="970" w:type="dxa"/>
            <w:noWrap w:val="0"/>
            <w:vAlign w:val="center"/>
          </w:tcPr>
          <w:p w14:paraId="329EDB27">
            <w:pPr>
              <w:widowControl/>
              <w:jc w:val="center"/>
              <w:rPr>
                <w:rFonts w:ascii="宋体" w:cs="宋体"/>
                <w:b/>
                <w:bCs/>
                <w:color w:val="auto"/>
                <w:kern w:val="0"/>
                <w:sz w:val="16"/>
                <w:szCs w:val="16"/>
              </w:rPr>
            </w:pPr>
            <w:r>
              <w:rPr>
                <w:rFonts w:hint="eastAsia" w:ascii="宋体" w:hAnsi="宋体" w:cs="宋体"/>
                <w:b/>
                <w:bCs/>
                <w:color w:val="auto"/>
                <w:kern w:val="0"/>
                <w:sz w:val="16"/>
                <w:szCs w:val="16"/>
              </w:rPr>
              <w:t>月均实物量（斤</w:t>
            </w:r>
            <w:r>
              <w:rPr>
                <w:rFonts w:ascii="宋体" w:hAnsi="宋体" w:cs="宋体"/>
                <w:b/>
                <w:bCs/>
                <w:color w:val="auto"/>
                <w:kern w:val="0"/>
                <w:sz w:val="16"/>
                <w:szCs w:val="16"/>
              </w:rPr>
              <w:t>/</w:t>
            </w:r>
            <w:r>
              <w:rPr>
                <w:rFonts w:hint="eastAsia" w:ascii="宋体" w:hAnsi="宋体" w:cs="宋体"/>
                <w:b/>
                <w:bCs/>
                <w:color w:val="auto"/>
                <w:kern w:val="0"/>
                <w:sz w:val="16"/>
                <w:szCs w:val="16"/>
              </w:rPr>
              <w:t>月</w:t>
            </w:r>
            <w:r>
              <w:rPr>
                <w:rFonts w:ascii="宋体" w:cs="宋体"/>
                <w:b/>
                <w:bCs/>
                <w:color w:val="auto"/>
                <w:kern w:val="0"/>
                <w:sz w:val="16"/>
                <w:szCs w:val="16"/>
              </w:rPr>
              <w:t>.</w:t>
            </w:r>
            <w:r>
              <w:rPr>
                <w:rFonts w:hint="eastAsia" w:ascii="宋体" w:hAnsi="宋体" w:cs="宋体"/>
                <w:b/>
                <w:bCs/>
                <w:color w:val="auto"/>
                <w:kern w:val="0"/>
                <w:sz w:val="16"/>
                <w:szCs w:val="16"/>
              </w:rPr>
              <w:t>人）</w:t>
            </w:r>
          </w:p>
        </w:tc>
        <w:tc>
          <w:tcPr>
            <w:tcW w:w="2000" w:type="dxa"/>
            <w:noWrap w:val="0"/>
            <w:vAlign w:val="center"/>
          </w:tcPr>
          <w:p w14:paraId="5013C5C9">
            <w:pPr>
              <w:widowControl/>
              <w:jc w:val="center"/>
              <w:rPr>
                <w:rFonts w:ascii="宋体" w:cs="宋体"/>
                <w:b/>
                <w:bCs/>
                <w:color w:val="auto"/>
                <w:kern w:val="0"/>
                <w:sz w:val="16"/>
                <w:szCs w:val="16"/>
              </w:rPr>
            </w:pPr>
            <w:r>
              <w:rPr>
                <w:rFonts w:hint="eastAsia" w:ascii="宋体" w:hAnsi="宋体" w:cs="宋体"/>
                <w:b/>
                <w:bCs/>
                <w:color w:val="auto"/>
                <w:kern w:val="0"/>
                <w:sz w:val="16"/>
                <w:szCs w:val="16"/>
              </w:rPr>
              <w:t>财政部、公安部（财行</w:t>
            </w:r>
            <w:r>
              <w:rPr>
                <w:rFonts w:ascii="宋体" w:hAnsi="宋体" w:cs="宋体"/>
                <w:b/>
                <w:bCs/>
                <w:color w:val="auto"/>
                <w:kern w:val="0"/>
                <w:sz w:val="16"/>
                <w:szCs w:val="16"/>
              </w:rPr>
              <w:t>[2016]430</w:t>
            </w:r>
            <w:r>
              <w:rPr>
                <w:rFonts w:hint="eastAsia" w:ascii="宋体" w:hAnsi="宋体" w:cs="宋体"/>
                <w:b/>
                <w:bCs/>
                <w:color w:val="auto"/>
                <w:kern w:val="0"/>
                <w:sz w:val="16"/>
                <w:szCs w:val="16"/>
              </w:rPr>
              <w:t>号规定实物量标准（斤</w:t>
            </w:r>
            <w:r>
              <w:rPr>
                <w:rFonts w:ascii="宋体" w:hAnsi="宋体" w:cs="宋体"/>
                <w:b/>
                <w:bCs/>
                <w:color w:val="auto"/>
                <w:kern w:val="0"/>
                <w:sz w:val="16"/>
                <w:szCs w:val="16"/>
              </w:rPr>
              <w:t>/</w:t>
            </w:r>
            <w:r>
              <w:rPr>
                <w:rFonts w:hint="eastAsia" w:ascii="宋体" w:hAnsi="宋体" w:cs="宋体"/>
                <w:b/>
                <w:bCs/>
                <w:color w:val="auto"/>
                <w:kern w:val="0"/>
                <w:sz w:val="16"/>
                <w:szCs w:val="16"/>
              </w:rPr>
              <w:t>月</w:t>
            </w:r>
            <w:r>
              <w:rPr>
                <w:rFonts w:ascii="宋体" w:cs="宋体"/>
                <w:b/>
                <w:bCs/>
                <w:color w:val="auto"/>
                <w:kern w:val="0"/>
                <w:sz w:val="16"/>
                <w:szCs w:val="16"/>
              </w:rPr>
              <w:t>.</w:t>
            </w:r>
            <w:r>
              <w:rPr>
                <w:rFonts w:hint="eastAsia" w:ascii="宋体" w:hAnsi="宋体" w:cs="宋体"/>
                <w:b/>
                <w:bCs/>
                <w:color w:val="auto"/>
                <w:kern w:val="0"/>
                <w:sz w:val="16"/>
                <w:szCs w:val="16"/>
              </w:rPr>
              <w:t>人）</w:t>
            </w:r>
          </w:p>
        </w:tc>
        <w:tc>
          <w:tcPr>
            <w:tcW w:w="976" w:type="dxa"/>
            <w:noWrap w:val="0"/>
            <w:vAlign w:val="center"/>
          </w:tcPr>
          <w:p w14:paraId="0D0C6A45">
            <w:pPr>
              <w:widowControl/>
              <w:jc w:val="center"/>
              <w:rPr>
                <w:rFonts w:ascii="宋体" w:cs="宋体"/>
                <w:b/>
                <w:bCs/>
                <w:color w:val="auto"/>
                <w:kern w:val="0"/>
                <w:sz w:val="16"/>
                <w:szCs w:val="16"/>
              </w:rPr>
            </w:pPr>
            <w:r>
              <w:rPr>
                <w:rFonts w:hint="eastAsia" w:ascii="宋体" w:hAnsi="宋体" w:cs="宋体"/>
                <w:b/>
                <w:bCs/>
                <w:color w:val="auto"/>
                <w:kern w:val="0"/>
                <w:sz w:val="16"/>
                <w:szCs w:val="16"/>
              </w:rPr>
              <w:t>小计</w:t>
            </w:r>
          </w:p>
        </w:tc>
        <w:tc>
          <w:tcPr>
            <w:tcW w:w="1377" w:type="dxa"/>
            <w:noWrap w:val="0"/>
            <w:vAlign w:val="center"/>
          </w:tcPr>
          <w:p w14:paraId="40256FCD">
            <w:pPr>
              <w:widowControl/>
              <w:jc w:val="center"/>
              <w:rPr>
                <w:rFonts w:ascii="宋体" w:cs="宋体"/>
                <w:b/>
                <w:bCs/>
                <w:color w:val="auto"/>
                <w:kern w:val="0"/>
                <w:sz w:val="16"/>
                <w:szCs w:val="16"/>
              </w:rPr>
            </w:pPr>
            <w:r>
              <w:rPr>
                <w:rFonts w:hint="eastAsia" w:ascii="宋体" w:hAnsi="宋体" w:cs="宋体"/>
                <w:b/>
                <w:bCs/>
                <w:color w:val="auto"/>
                <w:kern w:val="0"/>
                <w:sz w:val="16"/>
                <w:szCs w:val="16"/>
              </w:rPr>
              <w:t>年费用（万元）</w:t>
            </w:r>
          </w:p>
        </w:tc>
        <w:tc>
          <w:tcPr>
            <w:tcW w:w="2304" w:type="dxa"/>
            <w:noWrap w:val="0"/>
            <w:vAlign w:val="center"/>
          </w:tcPr>
          <w:p w14:paraId="3B9DDEF8">
            <w:pPr>
              <w:widowControl/>
              <w:jc w:val="left"/>
              <w:rPr>
                <w:rFonts w:ascii="宋体" w:hAnsi="宋体" w:cs="宋体"/>
                <w:color w:val="auto"/>
                <w:kern w:val="0"/>
                <w:sz w:val="16"/>
                <w:szCs w:val="16"/>
              </w:rPr>
            </w:pPr>
            <w:r>
              <w:rPr>
                <w:rFonts w:hint="eastAsia" w:ascii="宋体" w:hAnsi="宋体" w:cs="宋体"/>
                <w:color w:val="auto"/>
                <w:kern w:val="0"/>
                <w:sz w:val="16"/>
                <w:szCs w:val="16"/>
              </w:rPr>
              <w:t>　</w:t>
            </w:r>
          </w:p>
        </w:tc>
      </w:tr>
      <w:tr w14:paraId="17BE5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19" w:type="dxa"/>
            <w:noWrap w:val="0"/>
            <w:vAlign w:val="center"/>
          </w:tcPr>
          <w:p w14:paraId="63BF890F">
            <w:pPr>
              <w:widowControl/>
              <w:jc w:val="center"/>
              <w:rPr>
                <w:rFonts w:ascii="宋体" w:cs="宋体"/>
                <w:color w:val="auto"/>
                <w:kern w:val="0"/>
                <w:sz w:val="16"/>
                <w:szCs w:val="16"/>
              </w:rPr>
            </w:pPr>
            <w:r>
              <w:rPr>
                <w:rFonts w:ascii="宋体" w:hAnsi="宋体" w:cs="宋体"/>
                <w:color w:val="auto"/>
                <w:kern w:val="0"/>
                <w:sz w:val="16"/>
                <w:szCs w:val="16"/>
              </w:rPr>
              <w:t>1</w:t>
            </w:r>
          </w:p>
        </w:tc>
        <w:tc>
          <w:tcPr>
            <w:tcW w:w="827" w:type="dxa"/>
            <w:noWrap w:val="0"/>
            <w:vAlign w:val="center"/>
          </w:tcPr>
          <w:p w14:paraId="0C82F68B">
            <w:pPr>
              <w:widowControl/>
              <w:jc w:val="center"/>
              <w:rPr>
                <w:rFonts w:ascii="宋体" w:cs="宋体"/>
                <w:color w:val="auto"/>
                <w:kern w:val="0"/>
                <w:sz w:val="16"/>
                <w:szCs w:val="16"/>
              </w:rPr>
            </w:pPr>
            <w:r>
              <w:rPr>
                <w:rFonts w:hint="eastAsia" w:ascii="宋体" w:hAnsi="宋体" w:cs="宋体"/>
                <w:color w:val="auto"/>
                <w:kern w:val="0"/>
                <w:sz w:val="16"/>
                <w:szCs w:val="16"/>
              </w:rPr>
              <w:t>大米</w:t>
            </w:r>
          </w:p>
        </w:tc>
        <w:tc>
          <w:tcPr>
            <w:tcW w:w="870" w:type="dxa"/>
            <w:noWrap w:val="0"/>
            <w:vAlign w:val="center"/>
          </w:tcPr>
          <w:p w14:paraId="039BD80A">
            <w:pPr>
              <w:widowControl/>
              <w:jc w:val="center"/>
              <w:rPr>
                <w:rFonts w:hint="default" w:ascii="宋体" w:eastAsia="宋体" w:cs="宋体"/>
                <w:color w:val="auto"/>
                <w:kern w:val="0"/>
                <w:sz w:val="16"/>
                <w:szCs w:val="16"/>
                <w:lang w:val="en-US" w:eastAsia="zh-CN"/>
              </w:rPr>
            </w:pPr>
            <w:r>
              <w:rPr>
                <w:rFonts w:hint="eastAsia" w:ascii="宋体" w:hAnsi="宋体" w:cs="宋体"/>
                <w:color w:val="auto"/>
                <w:kern w:val="0"/>
                <w:sz w:val="16"/>
                <w:szCs w:val="16"/>
                <w:lang w:val="en-US" w:eastAsia="zh-CN"/>
              </w:rPr>
              <w:t>2.8</w:t>
            </w:r>
          </w:p>
        </w:tc>
        <w:tc>
          <w:tcPr>
            <w:tcW w:w="970" w:type="dxa"/>
            <w:noWrap w:val="0"/>
            <w:vAlign w:val="center"/>
          </w:tcPr>
          <w:p w14:paraId="3F5B90A1">
            <w:pPr>
              <w:widowControl/>
              <w:jc w:val="center"/>
              <w:rPr>
                <w:rFonts w:hint="default" w:ascii="宋体" w:eastAsia="宋体" w:cs="宋体"/>
                <w:color w:val="auto"/>
                <w:kern w:val="0"/>
                <w:sz w:val="16"/>
                <w:szCs w:val="16"/>
                <w:lang w:val="en-US" w:eastAsia="zh-CN"/>
              </w:rPr>
            </w:pPr>
            <w:r>
              <w:rPr>
                <w:rFonts w:hint="eastAsia" w:ascii="宋体" w:hAnsi="宋体" w:cs="宋体"/>
                <w:color w:val="auto"/>
                <w:kern w:val="0"/>
                <w:sz w:val="16"/>
                <w:szCs w:val="16"/>
                <w:lang w:val="en-US" w:eastAsia="zh-CN"/>
              </w:rPr>
              <w:t>34</w:t>
            </w:r>
          </w:p>
        </w:tc>
        <w:tc>
          <w:tcPr>
            <w:tcW w:w="2000" w:type="dxa"/>
            <w:noWrap w:val="0"/>
            <w:vAlign w:val="center"/>
          </w:tcPr>
          <w:p w14:paraId="36386320">
            <w:pPr>
              <w:widowControl/>
              <w:jc w:val="center"/>
              <w:rPr>
                <w:rFonts w:ascii="宋体" w:cs="宋体"/>
                <w:color w:val="auto"/>
                <w:kern w:val="0"/>
                <w:sz w:val="16"/>
                <w:szCs w:val="16"/>
              </w:rPr>
            </w:pPr>
            <w:r>
              <w:rPr>
                <w:rFonts w:hint="eastAsia" w:ascii="宋体" w:hAnsi="宋体" w:cs="宋体"/>
                <w:color w:val="auto"/>
                <w:kern w:val="0"/>
                <w:sz w:val="16"/>
                <w:szCs w:val="16"/>
              </w:rPr>
              <w:t>粮食</w:t>
            </w:r>
            <w:r>
              <w:rPr>
                <w:rFonts w:ascii="宋体" w:hAnsi="宋体" w:cs="宋体"/>
                <w:color w:val="auto"/>
                <w:kern w:val="0"/>
                <w:sz w:val="16"/>
                <w:szCs w:val="16"/>
              </w:rPr>
              <w:t>30-40</w:t>
            </w:r>
          </w:p>
        </w:tc>
        <w:tc>
          <w:tcPr>
            <w:tcW w:w="976" w:type="dxa"/>
            <w:noWrap w:val="0"/>
            <w:vAlign w:val="center"/>
          </w:tcPr>
          <w:p w14:paraId="6A4B0879">
            <w:pPr>
              <w:widowControl/>
              <w:jc w:val="center"/>
              <w:rPr>
                <w:rFonts w:hint="default" w:ascii="宋体" w:eastAsia="宋体" w:cs="宋体"/>
                <w:color w:val="auto"/>
                <w:kern w:val="0"/>
                <w:sz w:val="16"/>
                <w:szCs w:val="16"/>
                <w:lang w:val="en-US" w:eastAsia="zh-CN"/>
              </w:rPr>
            </w:pPr>
            <w:r>
              <w:rPr>
                <w:rFonts w:hint="eastAsia" w:ascii="宋体" w:hAnsi="宋体" w:cs="宋体"/>
                <w:color w:val="auto"/>
                <w:kern w:val="0"/>
                <w:sz w:val="16"/>
                <w:szCs w:val="16"/>
                <w:lang w:val="en-US" w:eastAsia="zh-CN"/>
              </w:rPr>
              <w:t>95.2</w:t>
            </w:r>
          </w:p>
        </w:tc>
        <w:tc>
          <w:tcPr>
            <w:tcW w:w="1377" w:type="dxa"/>
            <w:noWrap w:val="0"/>
            <w:vAlign w:val="center"/>
          </w:tcPr>
          <w:p w14:paraId="38C5A210">
            <w:pPr>
              <w:widowControl/>
              <w:jc w:val="center"/>
              <w:rPr>
                <w:rFonts w:hint="default" w:ascii="宋体" w:eastAsia="宋体" w:cs="宋体"/>
                <w:color w:val="auto"/>
                <w:kern w:val="0"/>
                <w:sz w:val="16"/>
                <w:szCs w:val="16"/>
                <w:lang w:val="en-US" w:eastAsia="zh-CN"/>
              </w:rPr>
            </w:pPr>
            <w:r>
              <w:rPr>
                <w:rFonts w:hint="eastAsia" w:ascii="宋体" w:hAnsi="宋体" w:cs="宋体"/>
                <w:color w:val="auto"/>
                <w:kern w:val="0"/>
                <w:sz w:val="16"/>
                <w:szCs w:val="16"/>
                <w:lang w:val="en-US" w:eastAsia="zh-CN"/>
              </w:rPr>
              <w:t>251.32</w:t>
            </w:r>
          </w:p>
        </w:tc>
        <w:tc>
          <w:tcPr>
            <w:tcW w:w="2304" w:type="dxa"/>
            <w:noWrap w:val="0"/>
            <w:vAlign w:val="center"/>
          </w:tcPr>
          <w:p w14:paraId="0CC7C0A6">
            <w:pPr>
              <w:widowControl/>
              <w:jc w:val="left"/>
              <w:rPr>
                <w:rFonts w:ascii="宋体" w:cs="宋体"/>
                <w:color w:val="auto"/>
                <w:kern w:val="0"/>
                <w:sz w:val="16"/>
                <w:szCs w:val="16"/>
              </w:rPr>
            </w:pPr>
            <w:r>
              <w:rPr>
                <w:rFonts w:hint="eastAsia" w:ascii="宋体" w:hAnsi="宋体" w:cs="宋体"/>
                <w:color w:val="auto"/>
                <w:kern w:val="0"/>
                <w:sz w:val="16"/>
                <w:szCs w:val="16"/>
              </w:rPr>
              <w:t>　</w:t>
            </w:r>
          </w:p>
        </w:tc>
      </w:tr>
      <w:tr w14:paraId="355F3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19" w:type="dxa"/>
            <w:noWrap w:val="0"/>
            <w:vAlign w:val="center"/>
          </w:tcPr>
          <w:p w14:paraId="5B283EE8">
            <w:pPr>
              <w:widowControl/>
              <w:jc w:val="center"/>
              <w:rPr>
                <w:rFonts w:hint="eastAsia" w:ascii="宋体" w:eastAsia="宋体" w:cs="宋体"/>
                <w:color w:val="auto"/>
                <w:kern w:val="0"/>
                <w:sz w:val="16"/>
                <w:szCs w:val="16"/>
                <w:lang w:eastAsia="zh-CN"/>
              </w:rPr>
            </w:pPr>
            <w:r>
              <w:rPr>
                <w:rFonts w:hint="eastAsia" w:ascii="宋体" w:hAnsi="宋体" w:cs="宋体"/>
                <w:color w:val="auto"/>
                <w:kern w:val="0"/>
                <w:sz w:val="16"/>
                <w:szCs w:val="16"/>
                <w:lang w:val="en-US" w:eastAsia="zh-CN"/>
              </w:rPr>
              <w:t>2</w:t>
            </w:r>
          </w:p>
        </w:tc>
        <w:tc>
          <w:tcPr>
            <w:tcW w:w="827" w:type="dxa"/>
            <w:noWrap w:val="0"/>
            <w:vAlign w:val="center"/>
          </w:tcPr>
          <w:p w14:paraId="4E9729E1">
            <w:pPr>
              <w:widowControl/>
              <w:jc w:val="center"/>
              <w:rPr>
                <w:rFonts w:ascii="宋体" w:cs="宋体"/>
                <w:color w:val="auto"/>
                <w:kern w:val="0"/>
                <w:sz w:val="16"/>
                <w:szCs w:val="16"/>
              </w:rPr>
            </w:pPr>
            <w:r>
              <w:rPr>
                <w:rFonts w:hint="eastAsia" w:ascii="宋体" w:hAnsi="宋体" w:cs="宋体"/>
                <w:color w:val="auto"/>
                <w:kern w:val="0"/>
                <w:sz w:val="16"/>
                <w:szCs w:val="16"/>
              </w:rPr>
              <w:t>青菜</w:t>
            </w:r>
          </w:p>
        </w:tc>
        <w:tc>
          <w:tcPr>
            <w:tcW w:w="870" w:type="dxa"/>
            <w:noWrap w:val="0"/>
            <w:vAlign w:val="center"/>
          </w:tcPr>
          <w:p w14:paraId="6E701F97">
            <w:pPr>
              <w:widowControl/>
              <w:jc w:val="center"/>
              <w:rPr>
                <w:rFonts w:hint="default" w:ascii="宋体" w:eastAsia="宋体" w:cs="宋体"/>
                <w:color w:val="auto"/>
                <w:kern w:val="0"/>
                <w:sz w:val="16"/>
                <w:szCs w:val="16"/>
                <w:lang w:val="en-US" w:eastAsia="zh-CN"/>
              </w:rPr>
            </w:pPr>
            <w:r>
              <w:rPr>
                <w:rFonts w:hint="eastAsia" w:ascii="宋体" w:hAnsi="宋体" w:cs="宋体"/>
                <w:color w:val="auto"/>
                <w:kern w:val="0"/>
                <w:sz w:val="16"/>
                <w:szCs w:val="16"/>
                <w:lang w:val="en-US" w:eastAsia="zh-CN"/>
              </w:rPr>
              <w:t>2.98</w:t>
            </w:r>
          </w:p>
        </w:tc>
        <w:tc>
          <w:tcPr>
            <w:tcW w:w="970" w:type="dxa"/>
            <w:noWrap w:val="0"/>
            <w:vAlign w:val="center"/>
          </w:tcPr>
          <w:p w14:paraId="08DE71DB">
            <w:pPr>
              <w:widowControl/>
              <w:jc w:val="center"/>
              <w:rPr>
                <w:rFonts w:ascii="宋体" w:cs="宋体"/>
                <w:color w:val="auto"/>
                <w:kern w:val="0"/>
                <w:sz w:val="16"/>
                <w:szCs w:val="16"/>
              </w:rPr>
            </w:pPr>
            <w:r>
              <w:rPr>
                <w:rFonts w:ascii="宋体" w:hAnsi="宋体" w:cs="宋体"/>
                <w:color w:val="auto"/>
                <w:kern w:val="0"/>
                <w:sz w:val="16"/>
                <w:szCs w:val="16"/>
              </w:rPr>
              <w:t>32.8</w:t>
            </w:r>
          </w:p>
        </w:tc>
        <w:tc>
          <w:tcPr>
            <w:tcW w:w="2000" w:type="dxa"/>
            <w:vMerge w:val="restart"/>
            <w:noWrap w:val="0"/>
            <w:vAlign w:val="center"/>
          </w:tcPr>
          <w:p w14:paraId="18C58D16">
            <w:pPr>
              <w:widowControl/>
              <w:jc w:val="center"/>
              <w:rPr>
                <w:rFonts w:ascii="宋体" w:cs="宋体"/>
                <w:color w:val="auto"/>
                <w:kern w:val="0"/>
                <w:sz w:val="16"/>
                <w:szCs w:val="16"/>
              </w:rPr>
            </w:pPr>
            <w:r>
              <w:rPr>
                <w:rFonts w:hint="eastAsia" w:ascii="宋体" w:hAnsi="宋体" w:cs="宋体"/>
                <w:color w:val="auto"/>
                <w:kern w:val="0"/>
                <w:sz w:val="16"/>
                <w:szCs w:val="16"/>
              </w:rPr>
              <w:t>蔬菜</w:t>
            </w:r>
            <w:r>
              <w:rPr>
                <w:rFonts w:ascii="宋体" w:hAnsi="宋体" w:cs="宋体"/>
                <w:color w:val="auto"/>
                <w:kern w:val="0"/>
                <w:sz w:val="16"/>
                <w:szCs w:val="16"/>
              </w:rPr>
              <w:t>32-48</w:t>
            </w:r>
          </w:p>
        </w:tc>
        <w:tc>
          <w:tcPr>
            <w:tcW w:w="976" w:type="dxa"/>
            <w:noWrap w:val="0"/>
            <w:vAlign w:val="center"/>
          </w:tcPr>
          <w:p w14:paraId="082CCD6B">
            <w:pPr>
              <w:widowControl/>
              <w:jc w:val="center"/>
              <w:rPr>
                <w:rFonts w:hint="default" w:ascii="宋体" w:eastAsia="宋体" w:cs="宋体"/>
                <w:color w:val="auto"/>
                <w:kern w:val="0"/>
                <w:sz w:val="16"/>
                <w:szCs w:val="16"/>
                <w:lang w:val="en-US" w:eastAsia="zh-CN"/>
              </w:rPr>
            </w:pPr>
            <w:r>
              <w:rPr>
                <w:rFonts w:hint="eastAsia" w:ascii="宋体" w:hAnsi="宋体" w:cs="宋体"/>
                <w:color w:val="auto"/>
                <w:kern w:val="0"/>
                <w:sz w:val="16"/>
                <w:szCs w:val="16"/>
                <w:lang w:val="en-US" w:eastAsia="zh-CN"/>
              </w:rPr>
              <w:t>97.74</w:t>
            </w:r>
          </w:p>
        </w:tc>
        <w:tc>
          <w:tcPr>
            <w:tcW w:w="1377" w:type="dxa"/>
            <w:noWrap w:val="0"/>
            <w:vAlign w:val="center"/>
          </w:tcPr>
          <w:p w14:paraId="2323AE25">
            <w:pPr>
              <w:widowControl/>
              <w:jc w:val="center"/>
              <w:rPr>
                <w:rFonts w:hint="default" w:ascii="宋体" w:hAnsi="宋体" w:eastAsia="宋体" w:cs="宋体"/>
                <w:color w:val="auto"/>
                <w:kern w:val="0"/>
                <w:sz w:val="16"/>
                <w:szCs w:val="16"/>
                <w:lang w:val="en-US" w:eastAsia="zh-CN"/>
              </w:rPr>
            </w:pPr>
            <w:r>
              <w:rPr>
                <w:rFonts w:hint="eastAsia" w:ascii="宋体" w:hAnsi="宋体" w:cs="宋体"/>
                <w:color w:val="auto"/>
                <w:kern w:val="0"/>
                <w:sz w:val="16"/>
                <w:szCs w:val="16"/>
                <w:lang w:val="en-US" w:eastAsia="zh-CN"/>
              </w:rPr>
              <w:t>258.03</w:t>
            </w:r>
          </w:p>
        </w:tc>
        <w:tc>
          <w:tcPr>
            <w:tcW w:w="2304" w:type="dxa"/>
            <w:noWrap w:val="0"/>
            <w:vAlign w:val="center"/>
          </w:tcPr>
          <w:p w14:paraId="1637806F">
            <w:pPr>
              <w:widowControl/>
              <w:jc w:val="center"/>
              <w:rPr>
                <w:rFonts w:ascii="宋体" w:hAnsi="宋体" w:cs="宋体"/>
                <w:color w:val="auto"/>
                <w:kern w:val="0"/>
                <w:sz w:val="16"/>
                <w:szCs w:val="16"/>
              </w:rPr>
            </w:pPr>
            <w:r>
              <w:rPr>
                <w:rFonts w:hint="eastAsia" w:ascii="宋体" w:hAnsi="宋体" w:cs="宋体"/>
                <w:color w:val="auto"/>
                <w:kern w:val="0"/>
                <w:sz w:val="16"/>
                <w:szCs w:val="16"/>
              </w:rPr>
              <w:t>　</w:t>
            </w:r>
          </w:p>
        </w:tc>
      </w:tr>
      <w:tr w14:paraId="59181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19" w:type="dxa"/>
            <w:noWrap w:val="0"/>
            <w:vAlign w:val="center"/>
          </w:tcPr>
          <w:p w14:paraId="64775951">
            <w:pPr>
              <w:widowControl/>
              <w:jc w:val="center"/>
              <w:rPr>
                <w:rFonts w:hint="eastAsia" w:ascii="宋体" w:eastAsia="宋体" w:cs="宋体"/>
                <w:color w:val="auto"/>
                <w:kern w:val="0"/>
                <w:sz w:val="16"/>
                <w:szCs w:val="16"/>
                <w:lang w:eastAsia="zh-CN"/>
              </w:rPr>
            </w:pPr>
            <w:r>
              <w:rPr>
                <w:rFonts w:hint="eastAsia" w:ascii="宋体" w:hAnsi="宋体" w:cs="宋体"/>
                <w:color w:val="auto"/>
                <w:kern w:val="0"/>
                <w:sz w:val="16"/>
                <w:szCs w:val="16"/>
                <w:lang w:val="en-US" w:eastAsia="zh-CN"/>
              </w:rPr>
              <w:t>3</w:t>
            </w:r>
          </w:p>
        </w:tc>
        <w:tc>
          <w:tcPr>
            <w:tcW w:w="827" w:type="dxa"/>
            <w:noWrap w:val="0"/>
            <w:vAlign w:val="center"/>
          </w:tcPr>
          <w:p w14:paraId="6CE8CBE9">
            <w:pPr>
              <w:widowControl/>
              <w:jc w:val="center"/>
              <w:rPr>
                <w:rFonts w:ascii="宋体" w:cs="宋体"/>
                <w:color w:val="auto"/>
                <w:kern w:val="0"/>
                <w:sz w:val="16"/>
                <w:szCs w:val="16"/>
              </w:rPr>
            </w:pPr>
            <w:r>
              <w:rPr>
                <w:rFonts w:hint="eastAsia" w:ascii="宋体" w:hAnsi="宋体" w:cs="宋体"/>
                <w:color w:val="auto"/>
                <w:kern w:val="0"/>
                <w:sz w:val="16"/>
                <w:szCs w:val="16"/>
              </w:rPr>
              <w:t>水果</w:t>
            </w:r>
          </w:p>
        </w:tc>
        <w:tc>
          <w:tcPr>
            <w:tcW w:w="870" w:type="dxa"/>
            <w:noWrap w:val="0"/>
            <w:vAlign w:val="center"/>
          </w:tcPr>
          <w:p w14:paraId="336035F3">
            <w:pPr>
              <w:widowControl/>
              <w:jc w:val="center"/>
              <w:rPr>
                <w:rFonts w:hint="default" w:ascii="宋体" w:eastAsia="宋体" w:cs="宋体"/>
                <w:color w:val="auto"/>
                <w:kern w:val="0"/>
                <w:sz w:val="16"/>
                <w:szCs w:val="16"/>
                <w:lang w:val="en-US" w:eastAsia="zh-CN"/>
              </w:rPr>
            </w:pPr>
            <w:r>
              <w:rPr>
                <w:rFonts w:hint="eastAsia" w:ascii="宋体" w:hAnsi="宋体" w:cs="宋体"/>
                <w:color w:val="auto"/>
                <w:kern w:val="0"/>
                <w:sz w:val="16"/>
                <w:szCs w:val="16"/>
                <w:lang w:val="en-US" w:eastAsia="zh-CN"/>
              </w:rPr>
              <w:t>6.94</w:t>
            </w:r>
          </w:p>
        </w:tc>
        <w:tc>
          <w:tcPr>
            <w:tcW w:w="970" w:type="dxa"/>
            <w:noWrap w:val="0"/>
            <w:vAlign w:val="center"/>
          </w:tcPr>
          <w:p w14:paraId="7EAFA917">
            <w:pPr>
              <w:widowControl/>
              <w:jc w:val="center"/>
              <w:rPr>
                <w:rFonts w:ascii="宋体" w:cs="宋体"/>
                <w:color w:val="auto"/>
                <w:kern w:val="0"/>
                <w:sz w:val="16"/>
                <w:szCs w:val="16"/>
              </w:rPr>
            </w:pPr>
            <w:r>
              <w:rPr>
                <w:rFonts w:ascii="宋体" w:hAnsi="宋体" w:cs="宋体"/>
                <w:color w:val="auto"/>
                <w:kern w:val="0"/>
                <w:sz w:val="16"/>
                <w:szCs w:val="16"/>
              </w:rPr>
              <w:t>0.75</w:t>
            </w:r>
          </w:p>
        </w:tc>
        <w:tc>
          <w:tcPr>
            <w:tcW w:w="2000" w:type="dxa"/>
            <w:vMerge w:val="continue"/>
            <w:noWrap w:val="0"/>
            <w:vAlign w:val="center"/>
          </w:tcPr>
          <w:p w14:paraId="3E86EA60">
            <w:pPr>
              <w:widowControl/>
              <w:jc w:val="left"/>
              <w:rPr>
                <w:rFonts w:ascii="宋体" w:cs="宋体"/>
                <w:color w:val="auto"/>
                <w:kern w:val="0"/>
                <w:sz w:val="16"/>
                <w:szCs w:val="16"/>
              </w:rPr>
            </w:pPr>
          </w:p>
        </w:tc>
        <w:tc>
          <w:tcPr>
            <w:tcW w:w="976" w:type="dxa"/>
            <w:noWrap w:val="0"/>
            <w:vAlign w:val="center"/>
          </w:tcPr>
          <w:p w14:paraId="5475A094">
            <w:pPr>
              <w:widowControl/>
              <w:jc w:val="center"/>
              <w:rPr>
                <w:rFonts w:hint="default" w:ascii="宋体" w:eastAsia="宋体" w:cs="宋体"/>
                <w:color w:val="auto"/>
                <w:kern w:val="0"/>
                <w:sz w:val="16"/>
                <w:szCs w:val="16"/>
                <w:lang w:val="en-US" w:eastAsia="zh-CN"/>
              </w:rPr>
            </w:pPr>
            <w:r>
              <w:rPr>
                <w:rFonts w:hint="eastAsia" w:ascii="宋体" w:hAnsi="宋体" w:cs="宋体"/>
                <w:color w:val="auto"/>
                <w:kern w:val="0"/>
                <w:sz w:val="16"/>
                <w:szCs w:val="16"/>
                <w:lang w:val="en-US" w:eastAsia="zh-CN"/>
              </w:rPr>
              <w:t>5.21</w:t>
            </w:r>
          </w:p>
        </w:tc>
        <w:tc>
          <w:tcPr>
            <w:tcW w:w="1377" w:type="dxa"/>
            <w:noWrap w:val="0"/>
            <w:vAlign w:val="center"/>
          </w:tcPr>
          <w:p w14:paraId="53C9DCE0">
            <w:pPr>
              <w:widowControl/>
              <w:jc w:val="center"/>
              <w:rPr>
                <w:rFonts w:hint="default" w:ascii="宋体" w:eastAsia="宋体" w:cs="宋体"/>
                <w:color w:val="auto"/>
                <w:kern w:val="0"/>
                <w:sz w:val="16"/>
                <w:szCs w:val="16"/>
                <w:lang w:val="en-US" w:eastAsia="zh-CN"/>
              </w:rPr>
            </w:pPr>
            <w:r>
              <w:rPr>
                <w:rFonts w:hint="eastAsia" w:ascii="宋体" w:hAnsi="宋体" w:cs="宋体"/>
                <w:color w:val="auto"/>
                <w:kern w:val="0"/>
                <w:sz w:val="16"/>
                <w:szCs w:val="16"/>
                <w:lang w:val="en-US" w:eastAsia="zh-CN"/>
              </w:rPr>
              <w:t>13.75</w:t>
            </w:r>
          </w:p>
        </w:tc>
        <w:tc>
          <w:tcPr>
            <w:tcW w:w="2304" w:type="dxa"/>
            <w:noWrap w:val="0"/>
            <w:vAlign w:val="center"/>
          </w:tcPr>
          <w:p w14:paraId="62966577">
            <w:pPr>
              <w:widowControl/>
              <w:jc w:val="left"/>
              <w:rPr>
                <w:rFonts w:ascii="宋体" w:cs="宋体"/>
                <w:color w:val="auto"/>
                <w:kern w:val="0"/>
                <w:sz w:val="16"/>
                <w:szCs w:val="16"/>
              </w:rPr>
            </w:pPr>
            <w:r>
              <w:rPr>
                <w:rFonts w:hint="eastAsia" w:ascii="宋体" w:hAnsi="宋体" w:cs="宋体"/>
                <w:color w:val="auto"/>
                <w:kern w:val="0"/>
                <w:sz w:val="16"/>
                <w:szCs w:val="16"/>
              </w:rPr>
              <w:t>　</w:t>
            </w:r>
          </w:p>
        </w:tc>
      </w:tr>
      <w:tr w14:paraId="0596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19" w:type="dxa"/>
            <w:noWrap w:val="0"/>
            <w:vAlign w:val="center"/>
          </w:tcPr>
          <w:p w14:paraId="2C741F01">
            <w:pPr>
              <w:widowControl/>
              <w:jc w:val="center"/>
              <w:rPr>
                <w:rFonts w:hint="eastAsia" w:ascii="宋体" w:eastAsia="宋体" w:cs="宋体"/>
                <w:color w:val="auto"/>
                <w:kern w:val="0"/>
                <w:sz w:val="16"/>
                <w:szCs w:val="16"/>
                <w:lang w:eastAsia="zh-CN"/>
              </w:rPr>
            </w:pPr>
            <w:r>
              <w:rPr>
                <w:rFonts w:hint="eastAsia" w:ascii="宋体" w:hAnsi="宋体" w:cs="宋体"/>
                <w:color w:val="auto"/>
                <w:kern w:val="0"/>
                <w:sz w:val="16"/>
                <w:szCs w:val="16"/>
                <w:lang w:val="en-US" w:eastAsia="zh-CN"/>
              </w:rPr>
              <w:t>4</w:t>
            </w:r>
          </w:p>
        </w:tc>
        <w:tc>
          <w:tcPr>
            <w:tcW w:w="827" w:type="dxa"/>
            <w:noWrap w:val="0"/>
            <w:vAlign w:val="center"/>
          </w:tcPr>
          <w:p w14:paraId="52202937">
            <w:pPr>
              <w:widowControl/>
              <w:jc w:val="center"/>
              <w:rPr>
                <w:rFonts w:ascii="宋体" w:cs="宋体"/>
                <w:color w:val="auto"/>
                <w:kern w:val="0"/>
                <w:sz w:val="16"/>
                <w:szCs w:val="16"/>
              </w:rPr>
            </w:pPr>
            <w:r>
              <w:rPr>
                <w:rFonts w:hint="eastAsia" w:ascii="宋体" w:hAnsi="宋体" w:cs="宋体"/>
                <w:color w:val="auto"/>
                <w:kern w:val="0"/>
                <w:sz w:val="16"/>
                <w:szCs w:val="16"/>
              </w:rPr>
              <w:t>肉类</w:t>
            </w:r>
          </w:p>
        </w:tc>
        <w:tc>
          <w:tcPr>
            <w:tcW w:w="870" w:type="dxa"/>
            <w:noWrap w:val="0"/>
            <w:vAlign w:val="center"/>
          </w:tcPr>
          <w:p w14:paraId="45CFB6D0">
            <w:pPr>
              <w:widowControl/>
              <w:jc w:val="center"/>
              <w:rPr>
                <w:rFonts w:hint="default" w:ascii="宋体" w:eastAsia="宋体" w:cs="宋体"/>
                <w:color w:val="auto"/>
                <w:kern w:val="0"/>
                <w:sz w:val="16"/>
                <w:szCs w:val="16"/>
                <w:lang w:val="en-US" w:eastAsia="zh-CN"/>
              </w:rPr>
            </w:pPr>
            <w:r>
              <w:rPr>
                <w:rFonts w:hint="eastAsia" w:ascii="宋体" w:hAnsi="宋体" w:cs="宋体"/>
                <w:color w:val="auto"/>
                <w:kern w:val="0"/>
                <w:sz w:val="16"/>
                <w:szCs w:val="16"/>
                <w:lang w:val="en-US" w:eastAsia="zh-CN"/>
              </w:rPr>
              <w:t>15.02</w:t>
            </w:r>
          </w:p>
        </w:tc>
        <w:tc>
          <w:tcPr>
            <w:tcW w:w="970" w:type="dxa"/>
            <w:noWrap w:val="0"/>
            <w:vAlign w:val="center"/>
          </w:tcPr>
          <w:p w14:paraId="736EAB75">
            <w:pPr>
              <w:widowControl/>
              <w:jc w:val="center"/>
              <w:rPr>
                <w:rFonts w:ascii="宋体" w:cs="宋体"/>
                <w:color w:val="auto"/>
                <w:kern w:val="0"/>
                <w:sz w:val="16"/>
                <w:szCs w:val="16"/>
              </w:rPr>
            </w:pPr>
            <w:r>
              <w:rPr>
                <w:rFonts w:ascii="宋体" w:hAnsi="宋体" w:cs="宋体"/>
                <w:color w:val="auto"/>
                <w:kern w:val="0"/>
                <w:sz w:val="16"/>
                <w:szCs w:val="16"/>
              </w:rPr>
              <w:t>2.9</w:t>
            </w:r>
          </w:p>
        </w:tc>
        <w:tc>
          <w:tcPr>
            <w:tcW w:w="2000" w:type="dxa"/>
            <w:vMerge w:val="restart"/>
            <w:noWrap w:val="0"/>
            <w:vAlign w:val="center"/>
          </w:tcPr>
          <w:p w14:paraId="4FA9D1DC">
            <w:pPr>
              <w:widowControl/>
              <w:jc w:val="center"/>
              <w:rPr>
                <w:rFonts w:ascii="宋体" w:cs="宋体"/>
                <w:color w:val="auto"/>
                <w:kern w:val="0"/>
                <w:sz w:val="16"/>
                <w:szCs w:val="16"/>
              </w:rPr>
            </w:pPr>
            <w:r>
              <w:rPr>
                <w:rFonts w:hint="eastAsia" w:ascii="宋体" w:hAnsi="宋体" w:cs="宋体"/>
                <w:color w:val="auto"/>
                <w:kern w:val="0"/>
                <w:sz w:val="16"/>
                <w:szCs w:val="16"/>
              </w:rPr>
              <w:t>肉类</w:t>
            </w:r>
            <w:r>
              <w:rPr>
                <w:rFonts w:ascii="宋体" w:hAnsi="宋体" w:cs="宋体"/>
                <w:color w:val="auto"/>
                <w:kern w:val="0"/>
                <w:sz w:val="16"/>
                <w:szCs w:val="16"/>
              </w:rPr>
              <w:t>2.8-4.8</w:t>
            </w:r>
          </w:p>
        </w:tc>
        <w:tc>
          <w:tcPr>
            <w:tcW w:w="976" w:type="dxa"/>
            <w:noWrap w:val="0"/>
            <w:vAlign w:val="center"/>
          </w:tcPr>
          <w:p w14:paraId="4E5E346E">
            <w:pPr>
              <w:widowControl/>
              <w:jc w:val="center"/>
              <w:rPr>
                <w:rFonts w:hint="default" w:ascii="宋体" w:eastAsia="宋体" w:cs="宋体"/>
                <w:color w:val="auto"/>
                <w:kern w:val="0"/>
                <w:sz w:val="16"/>
                <w:szCs w:val="16"/>
                <w:lang w:val="en-US" w:eastAsia="zh-CN"/>
              </w:rPr>
            </w:pPr>
            <w:r>
              <w:rPr>
                <w:rFonts w:hint="eastAsia" w:ascii="宋体" w:hAnsi="宋体" w:cs="宋体"/>
                <w:color w:val="auto"/>
                <w:kern w:val="0"/>
                <w:sz w:val="16"/>
                <w:szCs w:val="16"/>
                <w:lang w:val="en-US" w:eastAsia="zh-CN"/>
              </w:rPr>
              <w:t>43.56</w:t>
            </w:r>
          </w:p>
        </w:tc>
        <w:tc>
          <w:tcPr>
            <w:tcW w:w="1377" w:type="dxa"/>
            <w:noWrap w:val="0"/>
            <w:vAlign w:val="center"/>
          </w:tcPr>
          <w:p w14:paraId="2D2D4F13">
            <w:pPr>
              <w:widowControl/>
              <w:jc w:val="center"/>
              <w:rPr>
                <w:rFonts w:hint="default" w:ascii="宋体" w:eastAsia="宋体" w:cs="宋体"/>
                <w:color w:val="auto"/>
                <w:kern w:val="0"/>
                <w:sz w:val="16"/>
                <w:szCs w:val="16"/>
                <w:lang w:val="en-US" w:eastAsia="zh-CN"/>
              </w:rPr>
            </w:pPr>
            <w:r>
              <w:rPr>
                <w:rFonts w:hint="eastAsia" w:ascii="宋体" w:hAnsi="宋体" w:cs="宋体"/>
                <w:color w:val="auto"/>
                <w:kern w:val="0"/>
                <w:sz w:val="16"/>
                <w:szCs w:val="16"/>
                <w:lang w:val="en-US" w:eastAsia="zh-CN"/>
              </w:rPr>
              <w:t>114.99</w:t>
            </w:r>
          </w:p>
        </w:tc>
        <w:tc>
          <w:tcPr>
            <w:tcW w:w="2304" w:type="dxa"/>
            <w:noWrap w:val="0"/>
            <w:vAlign w:val="center"/>
          </w:tcPr>
          <w:p w14:paraId="74CE7449">
            <w:pPr>
              <w:widowControl/>
              <w:jc w:val="left"/>
              <w:rPr>
                <w:rFonts w:ascii="宋体" w:cs="宋体"/>
                <w:color w:val="auto"/>
                <w:kern w:val="0"/>
                <w:sz w:val="16"/>
                <w:szCs w:val="16"/>
              </w:rPr>
            </w:pPr>
            <w:r>
              <w:rPr>
                <w:rFonts w:hint="eastAsia" w:ascii="宋体" w:hAnsi="宋体" w:cs="宋体"/>
                <w:color w:val="auto"/>
                <w:kern w:val="0"/>
                <w:sz w:val="16"/>
                <w:szCs w:val="16"/>
              </w:rPr>
              <w:t>　</w:t>
            </w:r>
          </w:p>
        </w:tc>
      </w:tr>
      <w:tr w14:paraId="4C037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519" w:type="dxa"/>
            <w:noWrap w:val="0"/>
            <w:vAlign w:val="center"/>
          </w:tcPr>
          <w:p w14:paraId="54E59E41">
            <w:pPr>
              <w:widowControl/>
              <w:jc w:val="center"/>
              <w:rPr>
                <w:rFonts w:hint="eastAsia" w:ascii="宋体" w:eastAsia="宋体" w:cs="宋体"/>
                <w:color w:val="auto"/>
                <w:kern w:val="0"/>
                <w:sz w:val="16"/>
                <w:szCs w:val="16"/>
                <w:lang w:eastAsia="zh-CN"/>
              </w:rPr>
            </w:pPr>
            <w:r>
              <w:rPr>
                <w:rFonts w:hint="eastAsia" w:ascii="宋体" w:hAnsi="宋体" w:cs="宋体"/>
                <w:color w:val="auto"/>
                <w:kern w:val="0"/>
                <w:sz w:val="16"/>
                <w:szCs w:val="16"/>
                <w:lang w:val="en-US" w:eastAsia="zh-CN"/>
              </w:rPr>
              <w:t>5</w:t>
            </w:r>
          </w:p>
        </w:tc>
        <w:tc>
          <w:tcPr>
            <w:tcW w:w="827" w:type="dxa"/>
            <w:noWrap w:val="0"/>
            <w:vAlign w:val="center"/>
          </w:tcPr>
          <w:p w14:paraId="0AC135A3">
            <w:pPr>
              <w:widowControl/>
              <w:jc w:val="center"/>
              <w:rPr>
                <w:rFonts w:ascii="宋体" w:cs="宋体"/>
                <w:color w:val="auto"/>
                <w:kern w:val="0"/>
                <w:sz w:val="16"/>
                <w:szCs w:val="16"/>
              </w:rPr>
            </w:pPr>
            <w:r>
              <w:rPr>
                <w:rFonts w:hint="eastAsia" w:ascii="宋体" w:hAnsi="宋体" w:cs="宋体"/>
                <w:color w:val="auto"/>
                <w:kern w:val="0"/>
                <w:sz w:val="16"/>
                <w:szCs w:val="16"/>
              </w:rPr>
              <w:t>冻肉</w:t>
            </w:r>
          </w:p>
        </w:tc>
        <w:tc>
          <w:tcPr>
            <w:tcW w:w="870" w:type="dxa"/>
            <w:noWrap w:val="0"/>
            <w:vAlign w:val="center"/>
          </w:tcPr>
          <w:p w14:paraId="453D523E">
            <w:pPr>
              <w:widowControl/>
              <w:jc w:val="center"/>
              <w:rPr>
                <w:rFonts w:hint="default" w:ascii="宋体" w:eastAsia="宋体" w:cs="宋体"/>
                <w:color w:val="auto"/>
                <w:kern w:val="0"/>
                <w:sz w:val="16"/>
                <w:szCs w:val="16"/>
                <w:lang w:val="en-US" w:eastAsia="zh-CN"/>
              </w:rPr>
            </w:pPr>
            <w:r>
              <w:rPr>
                <w:rFonts w:hint="eastAsia" w:ascii="宋体" w:hAnsi="宋体" w:cs="宋体"/>
                <w:color w:val="auto"/>
                <w:kern w:val="0"/>
                <w:sz w:val="16"/>
                <w:szCs w:val="16"/>
                <w:lang w:val="en-US" w:eastAsia="zh-CN"/>
              </w:rPr>
              <w:t>14.17</w:t>
            </w:r>
          </w:p>
        </w:tc>
        <w:tc>
          <w:tcPr>
            <w:tcW w:w="970" w:type="dxa"/>
            <w:noWrap w:val="0"/>
            <w:vAlign w:val="center"/>
          </w:tcPr>
          <w:p w14:paraId="7C2B013C">
            <w:pPr>
              <w:widowControl/>
              <w:jc w:val="center"/>
              <w:rPr>
                <w:rFonts w:ascii="宋体" w:cs="宋体"/>
                <w:color w:val="auto"/>
                <w:kern w:val="0"/>
                <w:sz w:val="16"/>
                <w:szCs w:val="16"/>
              </w:rPr>
            </w:pPr>
            <w:r>
              <w:rPr>
                <w:rFonts w:ascii="宋体" w:hAnsi="宋体" w:cs="宋体"/>
                <w:color w:val="auto"/>
                <w:kern w:val="0"/>
                <w:sz w:val="16"/>
                <w:szCs w:val="16"/>
              </w:rPr>
              <w:t>1.43</w:t>
            </w:r>
          </w:p>
        </w:tc>
        <w:tc>
          <w:tcPr>
            <w:tcW w:w="2000" w:type="dxa"/>
            <w:vMerge w:val="continue"/>
            <w:noWrap w:val="0"/>
            <w:vAlign w:val="center"/>
          </w:tcPr>
          <w:p w14:paraId="1F68C2F6">
            <w:pPr>
              <w:widowControl/>
              <w:jc w:val="left"/>
              <w:rPr>
                <w:rFonts w:ascii="宋体" w:cs="宋体"/>
                <w:color w:val="auto"/>
                <w:kern w:val="0"/>
                <w:sz w:val="16"/>
                <w:szCs w:val="16"/>
              </w:rPr>
            </w:pPr>
          </w:p>
        </w:tc>
        <w:tc>
          <w:tcPr>
            <w:tcW w:w="976" w:type="dxa"/>
            <w:noWrap w:val="0"/>
            <w:vAlign w:val="center"/>
          </w:tcPr>
          <w:p w14:paraId="074168A0">
            <w:pPr>
              <w:widowControl/>
              <w:jc w:val="center"/>
              <w:rPr>
                <w:rFonts w:hint="default" w:ascii="宋体" w:eastAsia="宋体" w:cs="宋体"/>
                <w:color w:val="auto"/>
                <w:kern w:val="0"/>
                <w:sz w:val="16"/>
                <w:szCs w:val="16"/>
                <w:lang w:val="en-US" w:eastAsia="zh-CN"/>
              </w:rPr>
            </w:pPr>
            <w:r>
              <w:rPr>
                <w:rFonts w:hint="eastAsia" w:ascii="宋体" w:hAnsi="宋体" w:cs="宋体"/>
                <w:color w:val="auto"/>
                <w:kern w:val="0"/>
                <w:sz w:val="16"/>
                <w:szCs w:val="16"/>
                <w:lang w:val="en-US" w:eastAsia="zh-CN"/>
              </w:rPr>
              <w:t>20.26</w:t>
            </w:r>
          </w:p>
        </w:tc>
        <w:tc>
          <w:tcPr>
            <w:tcW w:w="1377" w:type="dxa"/>
            <w:noWrap w:val="0"/>
            <w:vAlign w:val="center"/>
          </w:tcPr>
          <w:p w14:paraId="3014624C">
            <w:pPr>
              <w:widowControl/>
              <w:jc w:val="center"/>
              <w:rPr>
                <w:rFonts w:hint="default" w:ascii="宋体" w:eastAsia="宋体" w:cs="宋体"/>
                <w:color w:val="auto"/>
                <w:kern w:val="0"/>
                <w:sz w:val="16"/>
                <w:szCs w:val="16"/>
                <w:lang w:val="en-US" w:eastAsia="zh-CN"/>
              </w:rPr>
            </w:pPr>
            <w:r>
              <w:rPr>
                <w:rFonts w:hint="eastAsia" w:ascii="宋体" w:hAnsi="宋体" w:cs="宋体"/>
                <w:color w:val="auto"/>
                <w:kern w:val="0"/>
                <w:sz w:val="16"/>
                <w:szCs w:val="16"/>
                <w:lang w:val="en-US" w:eastAsia="zh-CN"/>
              </w:rPr>
              <w:t>53.48</w:t>
            </w:r>
          </w:p>
        </w:tc>
        <w:tc>
          <w:tcPr>
            <w:tcW w:w="2304" w:type="dxa"/>
            <w:noWrap w:val="0"/>
            <w:vAlign w:val="center"/>
          </w:tcPr>
          <w:p w14:paraId="022E1CE5">
            <w:pPr>
              <w:widowControl/>
              <w:jc w:val="left"/>
              <w:rPr>
                <w:rFonts w:ascii="宋体" w:cs="宋体"/>
                <w:color w:val="auto"/>
                <w:kern w:val="0"/>
                <w:sz w:val="16"/>
                <w:szCs w:val="16"/>
              </w:rPr>
            </w:pPr>
            <w:r>
              <w:rPr>
                <w:rFonts w:hint="eastAsia" w:ascii="宋体" w:hAnsi="宋体" w:cs="宋体"/>
                <w:color w:val="auto"/>
                <w:kern w:val="0"/>
                <w:sz w:val="16"/>
                <w:szCs w:val="16"/>
              </w:rPr>
              <w:t>　</w:t>
            </w:r>
          </w:p>
        </w:tc>
      </w:tr>
      <w:tr w14:paraId="4402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19" w:type="dxa"/>
            <w:noWrap w:val="0"/>
            <w:vAlign w:val="center"/>
          </w:tcPr>
          <w:p w14:paraId="02680E99">
            <w:pPr>
              <w:widowControl/>
              <w:jc w:val="center"/>
              <w:rPr>
                <w:rFonts w:hint="eastAsia" w:ascii="宋体" w:eastAsia="宋体" w:cs="宋体"/>
                <w:color w:val="auto"/>
                <w:kern w:val="0"/>
                <w:sz w:val="16"/>
                <w:szCs w:val="16"/>
                <w:lang w:eastAsia="zh-CN"/>
              </w:rPr>
            </w:pPr>
            <w:r>
              <w:rPr>
                <w:rFonts w:hint="eastAsia" w:ascii="宋体" w:hAnsi="宋体" w:cs="宋体"/>
                <w:color w:val="auto"/>
                <w:kern w:val="0"/>
                <w:sz w:val="16"/>
                <w:szCs w:val="16"/>
                <w:lang w:val="en-US" w:eastAsia="zh-CN"/>
              </w:rPr>
              <w:t>6</w:t>
            </w:r>
          </w:p>
        </w:tc>
        <w:tc>
          <w:tcPr>
            <w:tcW w:w="827" w:type="dxa"/>
            <w:noWrap w:val="0"/>
            <w:vAlign w:val="center"/>
          </w:tcPr>
          <w:p w14:paraId="0F9F098E">
            <w:pPr>
              <w:widowControl/>
              <w:jc w:val="center"/>
              <w:rPr>
                <w:rFonts w:ascii="宋体" w:cs="宋体"/>
                <w:color w:val="auto"/>
                <w:kern w:val="0"/>
                <w:sz w:val="16"/>
                <w:szCs w:val="16"/>
              </w:rPr>
            </w:pPr>
            <w:r>
              <w:rPr>
                <w:rFonts w:hint="eastAsia" w:ascii="宋体" w:hAnsi="宋体" w:cs="宋体"/>
                <w:color w:val="auto"/>
                <w:kern w:val="0"/>
                <w:sz w:val="16"/>
                <w:szCs w:val="16"/>
              </w:rPr>
              <w:t>蛋类</w:t>
            </w:r>
          </w:p>
        </w:tc>
        <w:tc>
          <w:tcPr>
            <w:tcW w:w="870" w:type="dxa"/>
            <w:noWrap w:val="0"/>
            <w:vAlign w:val="center"/>
          </w:tcPr>
          <w:p w14:paraId="024AEFFE">
            <w:pPr>
              <w:widowControl/>
              <w:jc w:val="center"/>
              <w:rPr>
                <w:rFonts w:hint="default" w:ascii="宋体" w:eastAsia="宋体" w:cs="宋体"/>
                <w:color w:val="auto"/>
                <w:kern w:val="0"/>
                <w:sz w:val="16"/>
                <w:szCs w:val="16"/>
                <w:lang w:val="en-US" w:eastAsia="zh-CN"/>
              </w:rPr>
            </w:pPr>
            <w:r>
              <w:rPr>
                <w:rFonts w:hint="eastAsia" w:ascii="宋体" w:hAnsi="宋体" w:cs="宋体"/>
                <w:color w:val="auto"/>
                <w:kern w:val="0"/>
                <w:sz w:val="16"/>
                <w:szCs w:val="16"/>
                <w:lang w:val="en-US" w:eastAsia="zh-CN"/>
              </w:rPr>
              <w:t>5.7</w:t>
            </w:r>
          </w:p>
        </w:tc>
        <w:tc>
          <w:tcPr>
            <w:tcW w:w="970" w:type="dxa"/>
            <w:noWrap w:val="0"/>
            <w:vAlign w:val="center"/>
          </w:tcPr>
          <w:p w14:paraId="58132A73">
            <w:pPr>
              <w:widowControl/>
              <w:jc w:val="center"/>
              <w:rPr>
                <w:rFonts w:ascii="宋体" w:cs="宋体"/>
                <w:color w:val="auto"/>
                <w:kern w:val="0"/>
                <w:sz w:val="16"/>
                <w:szCs w:val="16"/>
              </w:rPr>
            </w:pPr>
            <w:r>
              <w:rPr>
                <w:rFonts w:ascii="宋体" w:hAnsi="宋体" w:cs="宋体"/>
                <w:color w:val="auto"/>
                <w:kern w:val="0"/>
                <w:sz w:val="16"/>
                <w:szCs w:val="16"/>
              </w:rPr>
              <w:t>1.82</w:t>
            </w:r>
          </w:p>
        </w:tc>
        <w:tc>
          <w:tcPr>
            <w:tcW w:w="2000" w:type="dxa"/>
            <w:vMerge w:val="restart"/>
            <w:noWrap w:val="0"/>
            <w:vAlign w:val="center"/>
          </w:tcPr>
          <w:p w14:paraId="576BDE06">
            <w:pPr>
              <w:widowControl/>
              <w:jc w:val="center"/>
              <w:rPr>
                <w:rFonts w:ascii="宋体" w:cs="宋体"/>
                <w:color w:val="auto"/>
                <w:kern w:val="0"/>
                <w:sz w:val="16"/>
                <w:szCs w:val="16"/>
              </w:rPr>
            </w:pPr>
            <w:r>
              <w:rPr>
                <w:rFonts w:hint="eastAsia" w:ascii="宋体" w:hAnsi="宋体" w:cs="宋体"/>
                <w:color w:val="auto"/>
                <w:kern w:val="0"/>
                <w:sz w:val="16"/>
                <w:szCs w:val="16"/>
              </w:rPr>
              <w:t>蛋鱼虾</w:t>
            </w:r>
            <w:r>
              <w:rPr>
                <w:rFonts w:ascii="宋体" w:hAnsi="宋体" w:cs="宋体"/>
                <w:color w:val="auto"/>
                <w:kern w:val="0"/>
                <w:sz w:val="16"/>
                <w:szCs w:val="16"/>
              </w:rPr>
              <w:t>2-2.8</w:t>
            </w:r>
          </w:p>
        </w:tc>
        <w:tc>
          <w:tcPr>
            <w:tcW w:w="976" w:type="dxa"/>
            <w:noWrap w:val="0"/>
            <w:vAlign w:val="center"/>
          </w:tcPr>
          <w:p w14:paraId="6E3D3BA0">
            <w:pPr>
              <w:widowControl/>
              <w:jc w:val="center"/>
              <w:rPr>
                <w:rFonts w:hint="default" w:ascii="宋体" w:eastAsia="宋体" w:cs="宋体"/>
                <w:color w:val="auto"/>
                <w:kern w:val="0"/>
                <w:sz w:val="16"/>
                <w:szCs w:val="16"/>
                <w:lang w:val="en-US" w:eastAsia="zh-CN"/>
              </w:rPr>
            </w:pPr>
            <w:r>
              <w:rPr>
                <w:rFonts w:hint="eastAsia" w:ascii="宋体" w:hAnsi="宋体" w:cs="宋体"/>
                <w:color w:val="auto"/>
                <w:kern w:val="0"/>
                <w:sz w:val="16"/>
                <w:szCs w:val="16"/>
                <w:lang w:val="en-US" w:eastAsia="zh-CN"/>
              </w:rPr>
              <w:t>10.37</w:t>
            </w:r>
          </w:p>
        </w:tc>
        <w:tc>
          <w:tcPr>
            <w:tcW w:w="1377" w:type="dxa"/>
            <w:noWrap w:val="0"/>
            <w:vAlign w:val="center"/>
          </w:tcPr>
          <w:p w14:paraId="3C2BC629">
            <w:pPr>
              <w:widowControl/>
              <w:jc w:val="center"/>
              <w:rPr>
                <w:rFonts w:hint="default" w:ascii="宋体" w:eastAsia="宋体" w:cs="宋体"/>
                <w:color w:val="auto"/>
                <w:kern w:val="0"/>
                <w:sz w:val="16"/>
                <w:szCs w:val="16"/>
                <w:lang w:val="en-US" w:eastAsia="zh-CN"/>
              </w:rPr>
            </w:pPr>
            <w:r>
              <w:rPr>
                <w:rFonts w:hint="eastAsia" w:ascii="宋体" w:hAnsi="宋体" w:cs="宋体"/>
                <w:color w:val="auto"/>
                <w:kern w:val="0"/>
                <w:sz w:val="16"/>
                <w:szCs w:val="16"/>
                <w:lang w:val="en-US" w:eastAsia="zh-CN"/>
              </w:rPr>
              <w:t>27.37</w:t>
            </w:r>
          </w:p>
        </w:tc>
        <w:tc>
          <w:tcPr>
            <w:tcW w:w="2304" w:type="dxa"/>
            <w:noWrap w:val="0"/>
            <w:vAlign w:val="center"/>
          </w:tcPr>
          <w:p w14:paraId="014A0F36">
            <w:pPr>
              <w:widowControl/>
              <w:jc w:val="left"/>
              <w:rPr>
                <w:rFonts w:ascii="宋体" w:cs="宋体"/>
                <w:color w:val="auto"/>
                <w:kern w:val="0"/>
                <w:sz w:val="16"/>
                <w:szCs w:val="16"/>
              </w:rPr>
            </w:pPr>
            <w:r>
              <w:rPr>
                <w:rFonts w:hint="eastAsia" w:ascii="宋体" w:hAnsi="宋体" w:cs="宋体"/>
                <w:color w:val="auto"/>
                <w:kern w:val="0"/>
                <w:sz w:val="16"/>
                <w:szCs w:val="16"/>
              </w:rPr>
              <w:t>　</w:t>
            </w:r>
          </w:p>
        </w:tc>
      </w:tr>
      <w:tr w14:paraId="22BD6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519" w:type="dxa"/>
            <w:noWrap w:val="0"/>
            <w:vAlign w:val="center"/>
          </w:tcPr>
          <w:p w14:paraId="0F97A7D2">
            <w:pPr>
              <w:widowControl/>
              <w:jc w:val="center"/>
              <w:rPr>
                <w:rFonts w:hint="eastAsia" w:ascii="宋体" w:eastAsia="宋体" w:cs="宋体"/>
                <w:color w:val="auto"/>
                <w:kern w:val="0"/>
                <w:sz w:val="16"/>
                <w:szCs w:val="16"/>
                <w:lang w:eastAsia="zh-CN"/>
              </w:rPr>
            </w:pPr>
            <w:r>
              <w:rPr>
                <w:rFonts w:hint="eastAsia" w:ascii="宋体" w:hAnsi="宋体" w:cs="宋体"/>
                <w:color w:val="auto"/>
                <w:kern w:val="0"/>
                <w:sz w:val="16"/>
                <w:szCs w:val="16"/>
                <w:lang w:val="en-US" w:eastAsia="zh-CN"/>
              </w:rPr>
              <w:t>7</w:t>
            </w:r>
          </w:p>
        </w:tc>
        <w:tc>
          <w:tcPr>
            <w:tcW w:w="827" w:type="dxa"/>
            <w:noWrap w:val="0"/>
            <w:vAlign w:val="center"/>
          </w:tcPr>
          <w:p w14:paraId="706432A9">
            <w:pPr>
              <w:widowControl/>
              <w:jc w:val="center"/>
              <w:rPr>
                <w:rFonts w:ascii="宋体" w:cs="宋体"/>
                <w:color w:val="auto"/>
                <w:kern w:val="0"/>
                <w:sz w:val="16"/>
                <w:szCs w:val="16"/>
              </w:rPr>
            </w:pPr>
            <w:r>
              <w:rPr>
                <w:rFonts w:hint="eastAsia" w:ascii="宋体" w:hAnsi="宋体" w:cs="宋体"/>
                <w:color w:val="auto"/>
                <w:kern w:val="0"/>
                <w:sz w:val="16"/>
                <w:szCs w:val="16"/>
              </w:rPr>
              <w:t>鲜活水产类</w:t>
            </w:r>
          </w:p>
        </w:tc>
        <w:tc>
          <w:tcPr>
            <w:tcW w:w="870" w:type="dxa"/>
            <w:noWrap w:val="0"/>
            <w:vAlign w:val="center"/>
          </w:tcPr>
          <w:p w14:paraId="15F14034">
            <w:pPr>
              <w:widowControl/>
              <w:jc w:val="center"/>
              <w:rPr>
                <w:rFonts w:hint="default" w:ascii="宋体" w:eastAsia="宋体" w:cs="宋体"/>
                <w:color w:val="auto"/>
                <w:kern w:val="0"/>
                <w:sz w:val="16"/>
                <w:szCs w:val="16"/>
                <w:lang w:val="en-US" w:eastAsia="zh-CN"/>
              </w:rPr>
            </w:pPr>
            <w:r>
              <w:rPr>
                <w:rFonts w:hint="eastAsia" w:ascii="宋体" w:hAnsi="宋体" w:cs="宋体"/>
                <w:color w:val="auto"/>
                <w:kern w:val="0"/>
                <w:sz w:val="16"/>
                <w:szCs w:val="16"/>
                <w:lang w:val="en-US" w:eastAsia="zh-CN"/>
              </w:rPr>
              <w:t>17.85</w:t>
            </w:r>
          </w:p>
        </w:tc>
        <w:tc>
          <w:tcPr>
            <w:tcW w:w="970" w:type="dxa"/>
            <w:noWrap w:val="0"/>
            <w:vAlign w:val="center"/>
          </w:tcPr>
          <w:p w14:paraId="4D257641">
            <w:pPr>
              <w:widowControl/>
              <w:jc w:val="center"/>
              <w:rPr>
                <w:rFonts w:ascii="宋体" w:cs="宋体"/>
                <w:color w:val="auto"/>
                <w:kern w:val="0"/>
                <w:sz w:val="16"/>
                <w:szCs w:val="16"/>
              </w:rPr>
            </w:pPr>
            <w:r>
              <w:rPr>
                <w:rFonts w:ascii="宋体" w:hAnsi="宋体" w:cs="宋体"/>
                <w:color w:val="auto"/>
                <w:kern w:val="0"/>
                <w:sz w:val="16"/>
                <w:szCs w:val="16"/>
              </w:rPr>
              <w:t>0.8</w:t>
            </w:r>
          </w:p>
        </w:tc>
        <w:tc>
          <w:tcPr>
            <w:tcW w:w="2000" w:type="dxa"/>
            <w:vMerge w:val="continue"/>
            <w:noWrap w:val="0"/>
            <w:vAlign w:val="center"/>
          </w:tcPr>
          <w:p w14:paraId="3ECBF078">
            <w:pPr>
              <w:widowControl/>
              <w:jc w:val="left"/>
              <w:rPr>
                <w:rFonts w:ascii="宋体" w:cs="宋体"/>
                <w:color w:val="auto"/>
                <w:kern w:val="0"/>
                <w:sz w:val="16"/>
                <w:szCs w:val="16"/>
              </w:rPr>
            </w:pPr>
          </w:p>
        </w:tc>
        <w:tc>
          <w:tcPr>
            <w:tcW w:w="976" w:type="dxa"/>
            <w:noWrap w:val="0"/>
            <w:vAlign w:val="center"/>
          </w:tcPr>
          <w:p w14:paraId="1D976214">
            <w:pPr>
              <w:widowControl/>
              <w:jc w:val="center"/>
              <w:rPr>
                <w:rFonts w:hint="default" w:ascii="宋体" w:eastAsia="宋体" w:cs="宋体"/>
                <w:color w:val="auto"/>
                <w:kern w:val="0"/>
                <w:sz w:val="16"/>
                <w:szCs w:val="16"/>
                <w:lang w:val="en-US" w:eastAsia="zh-CN"/>
              </w:rPr>
            </w:pPr>
            <w:r>
              <w:rPr>
                <w:rFonts w:hint="eastAsia" w:ascii="宋体" w:hAnsi="宋体" w:cs="宋体"/>
                <w:color w:val="auto"/>
                <w:kern w:val="0"/>
                <w:sz w:val="16"/>
                <w:szCs w:val="16"/>
                <w:lang w:val="en-US" w:eastAsia="zh-CN"/>
              </w:rPr>
              <w:t>14.28</w:t>
            </w:r>
          </w:p>
        </w:tc>
        <w:tc>
          <w:tcPr>
            <w:tcW w:w="1377" w:type="dxa"/>
            <w:noWrap w:val="0"/>
            <w:vAlign w:val="center"/>
          </w:tcPr>
          <w:p w14:paraId="6810C88E">
            <w:pPr>
              <w:widowControl/>
              <w:jc w:val="center"/>
              <w:rPr>
                <w:rFonts w:hint="default" w:ascii="宋体" w:eastAsia="宋体" w:cs="宋体"/>
                <w:color w:val="auto"/>
                <w:kern w:val="0"/>
                <w:sz w:val="16"/>
                <w:szCs w:val="16"/>
                <w:lang w:val="en-US" w:eastAsia="zh-CN"/>
              </w:rPr>
            </w:pPr>
            <w:r>
              <w:rPr>
                <w:rFonts w:hint="eastAsia" w:ascii="宋体" w:hAnsi="宋体" w:cs="宋体"/>
                <w:color w:val="auto"/>
                <w:kern w:val="0"/>
                <w:sz w:val="16"/>
                <w:szCs w:val="16"/>
                <w:lang w:val="en-US" w:eastAsia="zh-CN"/>
              </w:rPr>
              <w:t>37.69</w:t>
            </w:r>
          </w:p>
        </w:tc>
        <w:tc>
          <w:tcPr>
            <w:tcW w:w="2304" w:type="dxa"/>
            <w:noWrap w:val="0"/>
            <w:vAlign w:val="center"/>
          </w:tcPr>
          <w:p w14:paraId="403253A5">
            <w:pPr>
              <w:widowControl/>
              <w:jc w:val="left"/>
              <w:rPr>
                <w:rFonts w:ascii="宋体" w:cs="宋体"/>
                <w:color w:val="auto"/>
                <w:kern w:val="0"/>
                <w:sz w:val="16"/>
                <w:szCs w:val="16"/>
              </w:rPr>
            </w:pPr>
            <w:r>
              <w:rPr>
                <w:rFonts w:hint="eastAsia" w:ascii="宋体" w:hAnsi="宋体" w:cs="宋体"/>
                <w:color w:val="auto"/>
                <w:kern w:val="0"/>
                <w:sz w:val="16"/>
                <w:szCs w:val="16"/>
              </w:rPr>
              <w:t>　</w:t>
            </w:r>
          </w:p>
        </w:tc>
      </w:tr>
      <w:tr w14:paraId="1974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19" w:type="dxa"/>
            <w:noWrap w:val="0"/>
            <w:vAlign w:val="center"/>
          </w:tcPr>
          <w:p w14:paraId="614AEBCD">
            <w:pPr>
              <w:widowControl/>
              <w:jc w:val="center"/>
              <w:rPr>
                <w:rFonts w:hint="eastAsia" w:ascii="宋体" w:eastAsia="宋体" w:cs="宋体"/>
                <w:color w:val="auto"/>
                <w:kern w:val="0"/>
                <w:sz w:val="16"/>
                <w:szCs w:val="16"/>
                <w:lang w:eastAsia="zh-CN"/>
              </w:rPr>
            </w:pPr>
            <w:r>
              <w:rPr>
                <w:rFonts w:hint="eastAsia" w:ascii="宋体" w:hAnsi="宋体" w:cs="宋体"/>
                <w:color w:val="auto"/>
                <w:kern w:val="0"/>
                <w:sz w:val="16"/>
                <w:szCs w:val="16"/>
                <w:lang w:val="en-US" w:eastAsia="zh-CN"/>
              </w:rPr>
              <w:t>8</w:t>
            </w:r>
          </w:p>
        </w:tc>
        <w:tc>
          <w:tcPr>
            <w:tcW w:w="827" w:type="dxa"/>
            <w:noWrap w:val="0"/>
            <w:vAlign w:val="center"/>
          </w:tcPr>
          <w:p w14:paraId="30676B9B">
            <w:pPr>
              <w:widowControl/>
              <w:jc w:val="center"/>
              <w:rPr>
                <w:rFonts w:ascii="宋体" w:cs="宋体"/>
                <w:color w:val="auto"/>
                <w:kern w:val="0"/>
                <w:sz w:val="16"/>
                <w:szCs w:val="16"/>
              </w:rPr>
            </w:pPr>
            <w:r>
              <w:rPr>
                <w:rFonts w:hint="eastAsia" w:ascii="宋体" w:hAnsi="宋体" w:cs="宋体"/>
                <w:color w:val="auto"/>
                <w:kern w:val="0"/>
                <w:sz w:val="16"/>
                <w:szCs w:val="16"/>
              </w:rPr>
              <w:t>豆制品</w:t>
            </w:r>
          </w:p>
        </w:tc>
        <w:tc>
          <w:tcPr>
            <w:tcW w:w="870" w:type="dxa"/>
            <w:noWrap w:val="0"/>
            <w:vAlign w:val="center"/>
          </w:tcPr>
          <w:p w14:paraId="51E2BCC7">
            <w:pPr>
              <w:widowControl/>
              <w:jc w:val="center"/>
              <w:rPr>
                <w:rFonts w:hint="default" w:ascii="宋体" w:eastAsia="宋体" w:cs="宋体"/>
                <w:color w:val="auto"/>
                <w:kern w:val="0"/>
                <w:sz w:val="16"/>
                <w:szCs w:val="16"/>
                <w:lang w:val="en-US" w:eastAsia="zh-CN"/>
              </w:rPr>
            </w:pPr>
            <w:r>
              <w:rPr>
                <w:rFonts w:hint="eastAsia" w:ascii="宋体" w:hAnsi="宋体" w:cs="宋体"/>
                <w:color w:val="auto"/>
                <w:kern w:val="0"/>
                <w:sz w:val="16"/>
                <w:szCs w:val="16"/>
                <w:lang w:val="en-US" w:eastAsia="zh-CN"/>
              </w:rPr>
              <w:t>6.74</w:t>
            </w:r>
          </w:p>
        </w:tc>
        <w:tc>
          <w:tcPr>
            <w:tcW w:w="970" w:type="dxa"/>
            <w:noWrap w:val="0"/>
            <w:vAlign w:val="center"/>
          </w:tcPr>
          <w:p w14:paraId="3251A111">
            <w:pPr>
              <w:widowControl/>
              <w:jc w:val="center"/>
              <w:rPr>
                <w:rFonts w:ascii="宋体" w:cs="宋体"/>
                <w:color w:val="auto"/>
                <w:kern w:val="0"/>
                <w:sz w:val="16"/>
                <w:szCs w:val="16"/>
              </w:rPr>
            </w:pPr>
            <w:r>
              <w:rPr>
                <w:rFonts w:ascii="宋体" w:hAnsi="宋体" w:cs="宋体"/>
                <w:color w:val="auto"/>
                <w:kern w:val="0"/>
                <w:sz w:val="16"/>
                <w:szCs w:val="16"/>
              </w:rPr>
              <w:t>2.49</w:t>
            </w:r>
          </w:p>
        </w:tc>
        <w:tc>
          <w:tcPr>
            <w:tcW w:w="2000" w:type="dxa"/>
            <w:noWrap w:val="0"/>
            <w:vAlign w:val="center"/>
          </w:tcPr>
          <w:p w14:paraId="1D635054">
            <w:pPr>
              <w:widowControl/>
              <w:jc w:val="center"/>
              <w:rPr>
                <w:rFonts w:ascii="宋体" w:cs="宋体"/>
                <w:color w:val="auto"/>
                <w:kern w:val="0"/>
                <w:sz w:val="16"/>
                <w:szCs w:val="16"/>
              </w:rPr>
            </w:pPr>
            <w:r>
              <w:rPr>
                <w:rFonts w:hint="eastAsia" w:ascii="宋体" w:hAnsi="宋体" w:cs="宋体"/>
                <w:color w:val="auto"/>
                <w:kern w:val="0"/>
                <w:sz w:val="16"/>
                <w:szCs w:val="16"/>
              </w:rPr>
              <w:t>豆制品</w:t>
            </w:r>
            <w:r>
              <w:rPr>
                <w:rFonts w:ascii="宋体" w:hAnsi="宋体" w:cs="宋体"/>
                <w:color w:val="auto"/>
                <w:kern w:val="0"/>
                <w:sz w:val="16"/>
                <w:szCs w:val="16"/>
              </w:rPr>
              <w:t>2-2.8</w:t>
            </w:r>
          </w:p>
        </w:tc>
        <w:tc>
          <w:tcPr>
            <w:tcW w:w="976" w:type="dxa"/>
            <w:noWrap w:val="0"/>
            <w:vAlign w:val="center"/>
          </w:tcPr>
          <w:p w14:paraId="33FD542C">
            <w:pPr>
              <w:widowControl/>
              <w:jc w:val="center"/>
              <w:rPr>
                <w:rFonts w:hint="default" w:ascii="宋体" w:eastAsia="宋体" w:cs="宋体"/>
                <w:color w:val="auto"/>
                <w:kern w:val="0"/>
                <w:sz w:val="16"/>
                <w:szCs w:val="16"/>
                <w:lang w:val="en-US" w:eastAsia="zh-CN"/>
              </w:rPr>
            </w:pPr>
            <w:r>
              <w:rPr>
                <w:rFonts w:hint="eastAsia" w:ascii="宋体" w:hAnsi="宋体" w:cs="宋体"/>
                <w:color w:val="auto"/>
                <w:kern w:val="0"/>
                <w:sz w:val="16"/>
                <w:szCs w:val="16"/>
                <w:lang w:val="en-US" w:eastAsia="zh-CN"/>
              </w:rPr>
              <w:t>16.78</w:t>
            </w:r>
          </w:p>
        </w:tc>
        <w:tc>
          <w:tcPr>
            <w:tcW w:w="1377" w:type="dxa"/>
            <w:noWrap w:val="0"/>
            <w:vAlign w:val="center"/>
          </w:tcPr>
          <w:p w14:paraId="41E091A0">
            <w:pPr>
              <w:widowControl/>
              <w:jc w:val="center"/>
              <w:rPr>
                <w:rFonts w:hint="default" w:ascii="宋体" w:eastAsia="宋体" w:cs="宋体"/>
                <w:color w:val="auto"/>
                <w:kern w:val="0"/>
                <w:sz w:val="16"/>
                <w:szCs w:val="16"/>
                <w:lang w:val="en-US" w:eastAsia="zh-CN"/>
              </w:rPr>
            </w:pPr>
            <w:r>
              <w:rPr>
                <w:rFonts w:hint="eastAsia" w:ascii="宋体" w:hAnsi="宋体" w:cs="宋体"/>
                <w:color w:val="auto"/>
                <w:kern w:val="0"/>
                <w:sz w:val="16"/>
                <w:szCs w:val="16"/>
                <w:lang w:val="en-US" w:eastAsia="zh-CN"/>
              </w:rPr>
              <w:t>44.29</w:t>
            </w:r>
          </w:p>
        </w:tc>
        <w:tc>
          <w:tcPr>
            <w:tcW w:w="2304" w:type="dxa"/>
            <w:noWrap w:val="0"/>
            <w:vAlign w:val="center"/>
          </w:tcPr>
          <w:p w14:paraId="44A9130C">
            <w:pPr>
              <w:widowControl/>
              <w:jc w:val="left"/>
              <w:rPr>
                <w:rFonts w:ascii="宋体" w:cs="宋体"/>
                <w:color w:val="auto"/>
                <w:kern w:val="0"/>
                <w:sz w:val="16"/>
                <w:szCs w:val="16"/>
              </w:rPr>
            </w:pPr>
            <w:r>
              <w:rPr>
                <w:rFonts w:hint="eastAsia" w:ascii="宋体" w:hAnsi="宋体" w:cs="宋体"/>
                <w:color w:val="auto"/>
                <w:kern w:val="0"/>
                <w:sz w:val="16"/>
                <w:szCs w:val="16"/>
              </w:rPr>
              <w:t>　</w:t>
            </w:r>
          </w:p>
        </w:tc>
      </w:tr>
      <w:tr w14:paraId="2A25A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19" w:type="dxa"/>
            <w:noWrap w:val="0"/>
            <w:vAlign w:val="center"/>
          </w:tcPr>
          <w:p w14:paraId="455FA7F6">
            <w:pPr>
              <w:widowControl/>
              <w:jc w:val="center"/>
              <w:rPr>
                <w:rFonts w:hint="eastAsia" w:ascii="宋体" w:eastAsia="宋体" w:cs="宋体"/>
                <w:color w:val="auto"/>
                <w:kern w:val="0"/>
                <w:sz w:val="16"/>
                <w:szCs w:val="16"/>
                <w:lang w:eastAsia="zh-CN"/>
              </w:rPr>
            </w:pPr>
            <w:r>
              <w:rPr>
                <w:rFonts w:hint="eastAsia" w:ascii="宋体" w:hAnsi="宋体" w:cs="宋体"/>
                <w:color w:val="auto"/>
                <w:kern w:val="0"/>
                <w:sz w:val="16"/>
                <w:szCs w:val="16"/>
                <w:lang w:val="en-US" w:eastAsia="zh-CN"/>
              </w:rPr>
              <w:t>9</w:t>
            </w:r>
          </w:p>
        </w:tc>
        <w:tc>
          <w:tcPr>
            <w:tcW w:w="827" w:type="dxa"/>
            <w:noWrap w:val="0"/>
            <w:vAlign w:val="center"/>
          </w:tcPr>
          <w:p w14:paraId="4144148E">
            <w:pPr>
              <w:widowControl/>
              <w:jc w:val="center"/>
              <w:rPr>
                <w:rFonts w:ascii="宋体" w:cs="宋体"/>
                <w:color w:val="auto"/>
                <w:kern w:val="0"/>
                <w:sz w:val="16"/>
                <w:szCs w:val="16"/>
              </w:rPr>
            </w:pPr>
            <w:r>
              <w:rPr>
                <w:rFonts w:hint="eastAsia" w:ascii="宋体" w:hAnsi="宋体" w:cs="宋体"/>
                <w:color w:val="auto"/>
                <w:kern w:val="0"/>
                <w:sz w:val="16"/>
                <w:szCs w:val="16"/>
              </w:rPr>
              <w:t>食用油</w:t>
            </w:r>
          </w:p>
        </w:tc>
        <w:tc>
          <w:tcPr>
            <w:tcW w:w="870" w:type="dxa"/>
            <w:noWrap w:val="0"/>
            <w:vAlign w:val="center"/>
          </w:tcPr>
          <w:p w14:paraId="2A3EA34C">
            <w:pPr>
              <w:widowControl/>
              <w:jc w:val="center"/>
              <w:rPr>
                <w:rFonts w:hint="default" w:ascii="宋体" w:eastAsia="宋体" w:cs="宋体"/>
                <w:color w:val="auto"/>
                <w:kern w:val="0"/>
                <w:sz w:val="16"/>
                <w:szCs w:val="16"/>
                <w:lang w:val="en-US" w:eastAsia="zh-CN"/>
              </w:rPr>
            </w:pPr>
            <w:r>
              <w:rPr>
                <w:rFonts w:hint="eastAsia" w:ascii="宋体" w:hAnsi="宋体" w:cs="宋体"/>
                <w:color w:val="auto"/>
                <w:kern w:val="0"/>
                <w:sz w:val="16"/>
                <w:szCs w:val="16"/>
                <w:lang w:val="en-US" w:eastAsia="zh-CN"/>
              </w:rPr>
              <w:t>5.5</w:t>
            </w:r>
          </w:p>
        </w:tc>
        <w:tc>
          <w:tcPr>
            <w:tcW w:w="970" w:type="dxa"/>
            <w:noWrap w:val="0"/>
            <w:vAlign w:val="center"/>
          </w:tcPr>
          <w:p w14:paraId="4A6F9648">
            <w:pPr>
              <w:widowControl/>
              <w:jc w:val="center"/>
              <w:rPr>
                <w:rFonts w:ascii="宋体" w:cs="宋体"/>
                <w:color w:val="auto"/>
                <w:kern w:val="0"/>
                <w:sz w:val="16"/>
                <w:szCs w:val="16"/>
              </w:rPr>
            </w:pPr>
            <w:r>
              <w:rPr>
                <w:rFonts w:ascii="宋体" w:hAnsi="宋体" w:cs="宋体"/>
                <w:color w:val="auto"/>
                <w:kern w:val="0"/>
                <w:sz w:val="16"/>
                <w:szCs w:val="16"/>
              </w:rPr>
              <w:t>2.45</w:t>
            </w:r>
          </w:p>
        </w:tc>
        <w:tc>
          <w:tcPr>
            <w:tcW w:w="2000" w:type="dxa"/>
            <w:noWrap w:val="0"/>
            <w:vAlign w:val="center"/>
          </w:tcPr>
          <w:p w14:paraId="4DD04F91">
            <w:pPr>
              <w:widowControl/>
              <w:jc w:val="center"/>
              <w:rPr>
                <w:rFonts w:ascii="宋体" w:cs="宋体"/>
                <w:color w:val="auto"/>
                <w:kern w:val="0"/>
                <w:sz w:val="16"/>
                <w:szCs w:val="16"/>
              </w:rPr>
            </w:pPr>
            <w:r>
              <w:rPr>
                <w:rFonts w:hint="eastAsia" w:ascii="宋体" w:hAnsi="宋体" w:cs="宋体"/>
                <w:color w:val="auto"/>
                <w:kern w:val="0"/>
                <w:sz w:val="16"/>
                <w:szCs w:val="16"/>
              </w:rPr>
              <w:t>食油</w:t>
            </w:r>
            <w:r>
              <w:rPr>
                <w:rFonts w:ascii="宋体" w:hAnsi="宋体" w:cs="宋体"/>
                <w:color w:val="auto"/>
                <w:kern w:val="0"/>
                <w:sz w:val="16"/>
                <w:szCs w:val="16"/>
              </w:rPr>
              <w:t>1.4-2</w:t>
            </w:r>
          </w:p>
        </w:tc>
        <w:tc>
          <w:tcPr>
            <w:tcW w:w="976" w:type="dxa"/>
            <w:noWrap w:val="0"/>
            <w:vAlign w:val="center"/>
          </w:tcPr>
          <w:p w14:paraId="5B4CFF22">
            <w:pPr>
              <w:widowControl/>
              <w:jc w:val="center"/>
              <w:rPr>
                <w:rFonts w:hint="default" w:ascii="宋体" w:eastAsia="宋体" w:cs="宋体"/>
                <w:color w:val="auto"/>
                <w:kern w:val="0"/>
                <w:sz w:val="16"/>
                <w:szCs w:val="16"/>
                <w:lang w:val="en-US" w:eastAsia="zh-CN"/>
              </w:rPr>
            </w:pPr>
            <w:r>
              <w:rPr>
                <w:rFonts w:hint="eastAsia" w:ascii="宋体" w:hAnsi="宋体" w:cs="宋体"/>
                <w:color w:val="auto"/>
                <w:kern w:val="0"/>
                <w:sz w:val="16"/>
                <w:szCs w:val="16"/>
                <w:lang w:val="en-US" w:eastAsia="zh-CN"/>
              </w:rPr>
              <w:t>13.48</w:t>
            </w:r>
          </w:p>
        </w:tc>
        <w:tc>
          <w:tcPr>
            <w:tcW w:w="1377" w:type="dxa"/>
            <w:noWrap w:val="0"/>
            <w:vAlign w:val="center"/>
          </w:tcPr>
          <w:p w14:paraId="10A545F4">
            <w:pPr>
              <w:widowControl/>
              <w:jc w:val="center"/>
              <w:rPr>
                <w:rFonts w:hint="default" w:ascii="宋体" w:eastAsia="宋体" w:cs="宋体"/>
                <w:color w:val="auto"/>
                <w:kern w:val="0"/>
                <w:sz w:val="16"/>
                <w:szCs w:val="16"/>
                <w:lang w:val="en-US" w:eastAsia="zh-CN"/>
              </w:rPr>
            </w:pPr>
            <w:r>
              <w:rPr>
                <w:rFonts w:hint="eastAsia" w:ascii="宋体" w:hAnsi="宋体" w:cs="宋体"/>
                <w:color w:val="auto"/>
                <w:kern w:val="0"/>
                <w:sz w:val="16"/>
                <w:szCs w:val="16"/>
                <w:lang w:val="en-US" w:eastAsia="zh-CN"/>
              </w:rPr>
              <w:t>35.58</w:t>
            </w:r>
          </w:p>
        </w:tc>
        <w:tc>
          <w:tcPr>
            <w:tcW w:w="2304" w:type="dxa"/>
            <w:noWrap w:val="0"/>
            <w:vAlign w:val="center"/>
          </w:tcPr>
          <w:p w14:paraId="11E21521">
            <w:pPr>
              <w:widowControl/>
              <w:jc w:val="left"/>
              <w:rPr>
                <w:rFonts w:ascii="宋体" w:cs="宋体"/>
                <w:color w:val="auto"/>
                <w:kern w:val="0"/>
                <w:sz w:val="16"/>
                <w:szCs w:val="16"/>
              </w:rPr>
            </w:pPr>
            <w:r>
              <w:rPr>
                <w:rFonts w:hint="eastAsia" w:ascii="宋体" w:hAnsi="宋体" w:cs="宋体"/>
                <w:color w:val="auto"/>
                <w:kern w:val="0"/>
                <w:sz w:val="16"/>
                <w:szCs w:val="16"/>
              </w:rPr>
              <w:t>　</w:t>
            </w:r>
          </w:p>
        </w:tc>
      </w:tr>
      <w:tr w14:paraId="41901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519" w:type="dxa"/>
            <w:noWrap w:val="0"/>
            <w:vAlign w:val="center"/>
          </w:tcPr>
          <w:p w14:paraId="5C13C586">
            <w:pPr>
              <w:widowControl/>
              <w:jc w:val="center"/>
              <w:rPr>
                <w:rFonts w:hint="default" w:ascii="宋体" w:eastAsia="宋体" w:cs="宋体"/>
                <w:color w:val="auto"/>
                <w:kern w:val="0"/>
                <w:sz w:val="16"/>
                <w:szCs w:val="16"/>
                <w:lang w:val="en-US" w:eastAsia="zh-CN"/>
              </w:rPr>
            </w:pPr>
            <w:r>
              <w:rPr>
                <w:rFonts w:hint="eastAsia" w:ascii="宋体" w:hAnsi="宋体" w:cs="宋体"/>
                <w:color w:val="auto"/>
                <w:kern w:val="0"/>
                <w:sz w:val="16"/>
                <w:szCs w:val="16"/>
                <w:lang w:val="en-US" w:eastAsia="zh-CN"/>
              </w:rPr>
              <w:t>10</w:t>
            </w:r>
          </w:p>
        </w:tc>
        <w:tc>
          <w:tcPr>
            <w:tcW w:w="827" w:type="dxa"/>
            <w:noWrap w:val="0"/>
            <w:vAlign w:val="center"/>
          </w:tcPr>
          <w:p w14:paraId="5C1B79B0">
            <w:pPr>
              <w:widowControl/>
              <w:jc w:val="center"/>
              <w:rPr>
                <w:rFonts w:ascii="宋体" w:cs="宋体"/>
                <w:color w:val="auto"/>
                <w:kern w:val="0"/>
                <w:sz w:val="16"/>
                <w:szCs w:val="16"/>
              </w:rPr>
            </w:pPr>
            <w:r>
              <w:rPr>
                <w:rFonts w:hint="eastAsia" w:ascii="宋体" w:hAnsi="宋体" w:cs="宋体"/>
                <w:color w:val="auto"/>
                <w:kern w:val="0"/>
                <w:sz w:val="16"/>
                <w:szCs w:val="16"/>
              </w:rPr>
              <w:t>日常调味品</w:t>
            </w:r>
          </w:p>
        </w:tc>
        <w:tc>
          <w:tcPr>
            <w:tcW w:w="870" w:type="dxa"/>
            <w:noWrap w:val="0"/>
            <w:vAlign w:val="center"/>
          </w:tcPr>
          <w:p w14:paraId="01822A3B">
            <w:pPr>
              <w:widowControl/>
              <w:jc w:val="center"/>
              <w:rPr>
                <w:rFonts w:ascii="宋体" w:cs="宋体"/>
                <w:color w:val="auto"/>
                <w:kern w:val="0"/>
                <w:sz w:val="16"/>
                <w:szCs w:val="16"/>
              </w:rPr>
            </w:pPr>
            <w:r>
              <w:rPr>
                <w:rFonts w:hint="eastAsia" w:ascii="宋体" w:hAnsi="宋体" w:cs="宋体"/>
                <w:color w:val="auto"/>
                <w:kern w:val="0"/>
                <w:sz w:val="16"/>
                <w:szCs w:val="16"/>
              </w:rPr>
              <w:t>　</w:t>
            </w:r>
          </w:p>
        </w:tc>
        <w:tc>
          <w:tcPr>
            <w:tcW w:w="970" w:type="dxa"/>
            <w:noWrap w:val="0"/>
            <w:vAlign w:val="center"/>
          </w:tcPr>
          <w:p w14:paraId="62931844">
            <w:pPr>
              <w:widowControl/>
              <w:jc w:val="center"/>
              <w:rPr>
                <w:rFonts w:ascii="宋体" w:cs="宋体"/>
                <w:color w:val="auto"/>
                <w:kern w:val="0"/>
                <w:sz w:val="16"/>
                <w:szCs w:val="16"/>
              </w:rPr>
            </w:pPr>
            <w:r>
              <w:rPr>
                <w:rFonts w:hint="eastAsia" w:ascii="宋体" w:hAnsi="宋体" w:cs="宋体"/>
                <w:color w:val="auto"/>
                <w:kern w:val="0"/>
                <w:sz w:val="16"/>
                <w:szCs w:val="16"/>
              </w:rPr>
              <w:t>　</w:t>
            </w:r>
          </w:p>
        </w:tc>
        <w:tc>
          <w:tcPr>
            <w:tcW w:w="2000" w:type="dxa"/>
            <w:noWrap w:val="0"/>
            <w:vAlign w:val="center"/>
          </w:tcPr>
          <w:p w14:paraId="19A9FEFE">
            <w:pPr>
              <w:widowControl/>
              <w:jc w:val="center"/>
              <w:rPr>
                <w:rFonts w:ascii="宋体" w:cs="宋体"/>
                <w:color w:val="auto"/>
                <w:kern w:val="0"/>
                <w:sz w:val="16"/>
                <w:szCs w:val="16"/>
              </w:rPr>
            </w:pPr>
            <w:r>
              <w:rPr>
                <w:rFonts w:hint="eastAsia" w:ascii="宋体" w:hAnsi="宋体" w:cs="宋体"/>
                <w:color w:val="auto"/>
                <w:kern w:val="0"/>
                <w:sz w:val="16"/>
                <w:szCs w:val="16"/>
              </w:rPr>
              <w:t>适量</w:t>
            </w:r>
          </w:p>
        </w:tc>
        <w:tc>
          <w:tcPr>
            <w:tcW w:w="976" w:type="dxa"/>
            <w:noWrap w:val="0"/>
            <w:vAlign w:val="center"/>
          </w:tcPr>
          <w:p w14:paraId="78CB9D8E">
            <w:pPr>
              <w:widowControl/>
              <w:jc w:val="center"/>
              <w:rPr>
                <w:rFonts w:hint="default" w:ascii="宋体" w:eastAsia="宋体" w:cs="宋体"/>
                <w:color w:val="auto"/>
                <w:kern w:val="0"/>
                <w:sz w:val="16"/>
                <w:szCs w:val="16"/>
                <w:lang w:val="en-US" w:eastAsia="zh-CN"/>
              </w:rPr>
            </w:pPr>
            <w:r>
              <w:rPr>
                <w:rFonts w:hint="eastAsia" w:ascii="宋体" w:hAnsi="宋体" w:cs="宋体"/>
                <w:color w:val="auto"/>
                <w:kern w:val="0"/>
                <w:sz w:val="16"/>
                <w:szCs w:val="16"/>
                <w:lang w:val="en-US" w:eastAsia="zh-CN"/>
              </w:rPr>
              <w:t>4.5</w:t>
            </w:r>
          </w:p>
        </w:tc>
        <w:tc>
          <w:tcPr>
            <w:tcW w:w="1377" w:type="dxa"/>
            <w:noWrap w:val="0"/>
            <w:vAlign w:val="center"/>
          </w:tcPr>
          <w:p w14:paraId="75E4FB65">
            <w:pPr>
              <w:widowControl/>
              <w:jc w:val="center"/>
              <w:rPr>
                <w:rFonts w:hint="default" w:ascii="宋体" w:eastAsia="宋体" w:cs="宋体"/>
                <w:color w:val="auto"/>
                <w:kern w:val="0"/>
                <w:sz w:val="16"/>
                <w:szCs w:val="16"/>
                <w:lang w:val="en-US" w:eastAsia="zh-CN"/>
              </w:rPr>
            </w:pPr>
            <w:r>
              <w:rPr>
                <w:rFonts w:hint="eastAsia" w:ascii="宋体" w:hAnsi="宋体" w:cs="宋体"/>
                <w:color w:val="auto"/>
                <w:kern w:val="0"/>
                <w:sz w:val="16"/>
                <w:szCs w:val="16"/>
                <w:lang w:val="en-US" w:eastAsia="zh-CN"/>
              </w:rPr>
              <w:t>11.9</w:t>
            </w:r>
          </w:p>
        </w:tc>
        <w:tc>
          <w:tcPr>
            <w:tcW w:w="2304" w:type="dxa"/>
            <w:noWrap w:val="0"/>
            <w:vAlign w:val="center"/>
          </w:tcPr>
          <w:p w14:paraId="2EE0764C">
            <w:pPr>
              <w:widowControl/>
              <w:jc w:val="left"/>
              <w:rPr>
                <w:rFonts w:ascii="宋体" w:cs="宋体"/>
                <w:color w:val="auto"/>
                <w:kern w:val="0"/>
                <w:sz w:val="16"/>
                <w:szCs w:val="16"/>
              </w:rPr>
            </w:pPr>
            <w:r>
              <w:rPr>
                <w:rFonts w:hint="eastAsia" w:ascii="宋体" w:hAnsi="宋体" w:cs="宋体"/>
                <w:color w:val="auto"/>
                <w:kern w:val="0"/>
                <w:sz w:val="16"/>
                <w:szCs w:val="16"/>
              </w:rPr>
              <w:t>生抽、老抽、蚝油、盐、白糖、白醋、鸡精、辣椒酱、豆瓣酱、生粉、腐乳、陈醋、麻辣酱、十三香、米酒等</w:t>
            </w:r>
          </w:p>
        </w:tc>
      </w:tr>
      <w:tr w14:paraId="1FCA9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519" w:type="dxa"/>
            <w:noWrap w:val="0"/>
            <w:vAlign w:val="center"/>
          </w:tcPr>
          <w:p w14:paraId="30095898">
            <w:pPr>
              <w:widowControl/>
              <w:jc w:val="center"/>
              <w:rPr>
                <w:rFonts w:hint="eastAsia" w:ascii="宋体" w:eastAsia="宋体" w:cs="宋体"/>
                <w:color w:val="auto"/>
                <w:kern w:val="0"/>
                <w:sz w:val="16"/>
                <w:szCs w:val="16"/>
                <w:lang w:val="en-US" w:eastAsia="zh-CN"/>
              </w:rPr>
            </w:pPr>
            <w:r>
              <w:rPr>
                <w:rFonts w:ascii="宋体" w:hAnsi="宋体" w:cs="宋体"/>
                <w:color w:val="auto"/>
                <w:kern w:val="0"/>
                <w:sz w:val="16"/>
                <w:szCs w:val="16"/>
              </w:rPr>
              <w:t>1</w:t>
            </w:r>
            <w:r>
              <w:rPr>
                <w:rFonts w:hint="eastAsia" w:ascii="宋体" w:hAnsi="宋体" w:cs="宋体"/>
                <w:color w:val="auto"/>
                <w:kern w:val="0"/>
                <w:sz w:val="16"/>
                <w:szCs w:val="16"/>
                <w:lang w:val="en-US" w:eastAsia="zh-CN"/>
              </w:rPr>
              <w:t>1</w:t>
            </w:r>
          </w:p>
        </w:tc>
        <w:tc>
          <w:tcPr>
            <w:tcW w:w="827" w:type="dxa"/>
            <w:noWrap w:val="0"/>
            <w:vAlign w:val="center"/>
          </w:tcPr>
          <w:p w14:paraId="3D16F05F">
            <w:pPr>
              <w:widowControl/>
              <w:jc w:val="center"/>
              <w:rPr>
                <w:rFonts w:ascii="宋体" w:cs="宋体"/>
                <w:color w:val="auto"/>
                <w:kern w:val="0"/>
                <w:sz w:val="16"/>
                <w:szCs w:val="16"/>
              </w:rPr>
            </w:pPr>
            <w:r>
              <w:rPr>
                <w:rFonts w:hint="eastAsia" w:ascii="宋体" w:hAnsi="宋体" w:cs="宋体"/>
                <w:color w:val="auto"/>
                <w:kern w:val="0"/>
                <w:sz w:val="16"/>
                <w:szCs w:val="16"/>
              </w:rPr>
              <w:t>其他食品</w:t>
            </w:r>
          </w:p>
        </w:tc>
        <w:tc>
          <w:tcPr>
            <w:tcW w:w="870" w:type="dxa"/>
            <w:noWrap w:val="0"/>
            <w:vAlign w:val="center"/>
          </w:tcPr>
          <w:p w14:paraId="60911E45">
            <w:pPr>
              <w:widowControl/>
              <w:jc w:val="center"/>
              <w:rPr>
                <w:rFonts w:ascii="宋体" w:cs="宋体"/>
                <w:color w:val="auto"/>
                <w:kern w:val="0"/>
                <w:sz w:val="16"/>
                <w:szCs w:val="16"/>
              </w:rPr>
            </w:pPr>
            <w:r>
              <w:rPr>
                <w:rFonts w:hint="eastAsia" w:ascii="宋体" w:hAnsi="宋体" w:cs="宋体"/>
                <w:color w:val="auto"/>
                <w:kern w:val="0"/>
                <w:sz w:val="16"/>
                <w:szCs w:val="16"/>
              </w:rPr>
              <w:t>　</w:t>
            </w:r>
          </w:p>
        </w:tc>
        <w:tc>
          <w:tcPr>
            <w:tcW w:w="970" w:type="dxa"/>
            <w:noWrap w:val="0"/>
            <w:vAlign w:val="center"/>
          </w:tcPr>
          <w:p w14:paraId="3CD56596">
            <w:pPr>
              <w:widowControl/>
              <w:jc w:val="center"/>
              <w:rPr>
                <w:rFonts w:ascii="宋体" w:cs="宋体"/>
                <w:color w:val="auto"/>
                <w:kern w:val="0"/>
                <w:sz w:val="16"/>
                <w:szCs w:val="16"/>
              </w:rPr>
            </w:pPr>
            <w:r>
              <w:rPr>
                <w:rFonts w:hint="eastAsia" w:ascii="宋体" w:hAnsi="宋体" w:cs="宋体"/>
                <w:color w:val="auto"/>
                <w:kern w:val="0"/>
                <w:sz w:val="16"/>
                <w:szCs w:val="16"/>
              </w:rPr>
              <w:t>　</w:t>
            </w:r>
          </w:p>
        </w:tc>
        <w:tc>
          <w:tcPr>
            <w:tcW w:w="2000" w:type="dxa"/>
            <w:noWrap w:val="0"/>
            <w:vAlign w:val="center"/>
          </w:tcPr>
          <w:p w14:paraId="2F7854FB">
            <w:pPr>
              <w:widowControl/>
              <w:jc w:val="center"/>
              <w:rPr>
                <w:rFonts w:ascii="宋体" w:cs="宋体"/>
                <w:color w:val="auto"/>
                <w:kern w:val="0"/>
                <w:sz w:val="16"/>
                <w:szCs w:val="16"/>
              </w:rPr>
            </w:pPr>
            <w:r>
              <w:rPr>
                <w:rFonts w:hint="eastAsia" w:ascii="宋体" w:hAnsi="宋体" w:cs="宋体"/>
                <w:color w:val="auto"/>
                <w:kern w:val="0"/>
                <w:sz w:val="16"/>
                <w:szCs w:val="16"/>
              </w:rPr>
              <w:t>　</w:t>
            </w:r>
          </w:p>
        </w:tc>
        <w:tc>
          <w:tcPr>
            <w:tcW w:w="976" w:type="dxa"/>
            <w:noWrap w:val="0"/>
            <w:vAlign w:val="center"/>
          </w:tcPr>
          <w:p w14:paraId="3FDB447C">
            <w:pPr>
              <w:widowControl/>
              <w:jc w:val="center"/>
              <w:rPr>
                <w:rFonts w:hint="default" w:ascii="宋体" w:eastAsia="宋体" w:cs="宋体"/>
                <w:color w:val="auto"/>
                <w:kern w:val="0"/>
                <w:sz w:val="16"/>
                <w:szCs w:val="16"/>
                <w:lang w:val="en-US" w:eastAsia="zh-CN"/>
              </w:rPr>
            </w:pPr>
            <w:r>
              <w:rPr>
                <w:rFonts w:hint="eastAsia" w:ascii="宋体" w:hAnsi="宋体" w:cs="宋体"/>
                <w:color w:val="auto"/>
                <w:kern w:val="0"/>
                <w:sz w:val="16"/>
                <w:szCs w:val="16"/>
                <w:lang w:val="en-US" w:eastAsia="zh-CN"/>
              </w:rPr>
              <w:t>3.03</w:t>
            </w:r>
          </w:p>
        </w:tc>
        <w:tc>
          <w:tcPr>
            <w:tcW w:w="1377" w:type="dxa"/>
            <w:noWrap w:val="0"/>
            <w:vAlign w:val="center"/>
          </w:tcPr>
          <w:p w14:paraId="0F2B1504">
            <w:pPr>
              <w:widowControl/>
              <w:jc w:val="center"/>
              <w:rPr>
                <w:rFonts w:hint="eastAsia" w:ascii="宋体" w:eastAsia="宋体" w:cs="宋体"/>
                <w:color w:val="auto"/>
                <w:kern w:val="0"/>
                <w:sz w:val="16"/>
                <w:szCs w:val="16"/>
                <w:lang w:eastAsia="zh-CN"/>
              </w:rPr>
            </w:pPr>
            <w:r>
              <w:rPr>
                <w:rFonts w:hint="eastAsia" w:ascii="宋体" w:hAnsi="宋体" w:cs="宋体"/>
                <w:color w:val="auto"/>
                <w:kern w:val="0"/>
                <w:sz w:val="16"/>
                <w:szCs w:val="16"/>
                <w:lang w:val="en-US" w:eastAsia="zh-CN"/>
              </w:rPr>
              <w:t>8</w:t>
            </w:r>
          </w:p>
        </w:tc>
        <w:tc>
          <w:tcPr>
            <w:tcW w:w="2304" w:type="dxa"/>
            <w:noWrap w:val="0"/>
            <w:vAlign w:val="center"/>
          </w:tcPr>
          <w:p w14:paraId="0D95689C">
            <w:pPr>
              <w:widowControl/>
              <w:jc w:val="left"/>
              <w:rPr>
                <w:rFonts w:ascii="宋体" w:cs="宋体"/>
                <w:color w:val="auto"/>
                <w:kern w:val="0"/>
                <w:sz w:val="16"/>
                <w:szCs w:val="16"/>
              </w:rPr>
            </w:pPr>
            <w:r>
              <w:rPr>
                <w:rFonts w:hint="eastAsia" w:ascii="宋体" w:hAnsi="宋体" w:cs="宋体"/>
                <w:color w:val="auto"/>
                <w:kern w:val="0"/>
                <w:sz w:val="16"/>
                <w:szCs w:val="16"/>
              </w:rPr>
              <w:t>面制品（面条、方便面等）、奶制品类、腌制品（萝卜干、酸菜、榨菜等）、糕点类、火腿肠等</w:t>
            </w:r>
          </w:p>
        </w:tc>
      </w:tr>
    </w:tbl>
    <w:p w14:paraId="7B919207">
      <w:pPr>
        <w:pageBreakBefore w:val="0"/>
        <w:kinsoku/>
        <w:wordWrap/>
        <w:overflowPunct/>
        <w:topLinePunct w:val="0"/>
        <w:bidi w:val="0"/>
        <w:spacing w:beforeAutospacing="0" w:line="360" w:lineRule="auto"/>
        <w:ind w:left="0" w:leftChars="0" w:right="0"/>
        <w:jc w:val="left"/>
        <w:rPr>
          <w:rFonts w:hint="eastAsia" w:ascii="宋体" w:hAnsi="宋体" w:eastAsia="宋体" w:cs="宋体"/>
          <w:b/>
          <w:color w:val="auto"/>
        </w:rPr>
      </w:pPr>
    </w:p>
    <w:p w14:paraId="03EC5577">
      <w:pPr>
        <w:pageBreakBefore w:val="0"/>
        <w:kinsoku/>
        <w:wordWrap/>
        <w:overflowPunct/>
        <w:topLinePunct w:val="0"/>
        <w:bidi w:val="0"/>
        <w:spacing w:beforeAutospacing="0" w:line="360" w:lineRule="auto"/>
        <w:ind w:left="0" w:leftChars="0" w:right="0"/>
        <w:jc w:val="left"/>
        <w:rPr>
          <w:rFonts w:hint="eastAsia" w:ascii="宋体" w:hAnsi="宋体" w:eastAsia="宋体" w:cs="宋体"/>
          <w:b/>
          <w:color w:val="auto"/>
        </w:rPr>
      </w:pPr>
    </w:p>
    <w:p w14:paraId="61E00218">
      <w:pPr>
        <w:pageBreakBefore w:val="0"/>
        <w:kinsoku/>
        <w:wordWrap/>
        <w:overflowPunct/>
        <w:topLinePunct w:val="0"/>
        <w:bidi w:val="0"/>
        <w:spacing w:beforeAutospacing="0" w:line="240" w:lineRule="auto"/>
        <w:ind w:left="0" w:leftChars="0" w:right="0"/>
        <w:jc w:val="left"/>
        <w:rPr>
          <w:rFonts w:hint="eastAsia" w:ascii="宋体" w:hAnsi="宋体" w:eastAsia="宋体" w:cs="宋体"/>
          <w:b/>
          <w:color w:val="auto"/>
        </w:rPr>
      </w:pPr>
      <w:r>
        <w:rPr>
          <w:rFonts w:hint="eastAsia" w:ascii="宋体" w:hAnsi="宋体" w:eastAsia="宋体" w:cs="宋体"/>
          <w:b/>
          <w:color w:val="auto"/>
        </w:rPr>
        <w:br w:type="page"/>
      </w:r>
    </w:p>
    <w:p w14:paraId="52572527">
      <w:pPr>
        <w:pageBreakBefore w:val="0"/>
        <w:kinsoku/>
        <w:wordWrap/>
        <w:overflowPunct/>
        <w:topLinePunct w:val="0"/>
        <w:bidi w:val="0"/>
        <w:spacing w:beforeAutospacing="0" w:line="360" w:lineRule="auto"/>
        <w:ind w:left="0" w:leftChars="0" w:right="0"/>
        <w:jc w:val="left"/>
        <w:rPr>
          <w:rFonts w:hint="eastAsia" w:ascii="宋体" w:hAnsi="宋体" w:eastAsia="宋体" w:cs="宋体"/>
          <w:b/>
          <w:color w:val="auto"/>
        </w:rPr>
      </w:pPr>
      <w:r>
        <w:rPr>
          <w:rFonts w:hint="eastAsia" w:ascii="宋体" w:hAnsi="宋体" w:eastAsia="宋体" w:cs="宋体"/>
          <w:b/>
          <w:color w:val="auto"/>
        </w:rPr>
        <w:t>附件2:</w:t>
      </w:r>
    </w:p>
    <w:p w14:paraId="7AAB72FF">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食材基准价确定规则</w:t>
      </w:r>
    </w:p>
    <w:bookmarkEnd w:id="38"/>
    <w:p w14:paraId="552906A7">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宋体" w:hAnsi="宋体" w:eastAsia="宋体" w:cs="宋体"/>
          <w:color w:val="auto"/>
          <w:sz w:val="24"/>
        </w:rPr>
      </w:pPr>
      <w:r>
        <w:rPr>
          <w:rFonts w:hint="eastAsia" w:ascii="宋体" w:hAnsi="宋体" w:eastAsia="宋体" w:cs="宋体"/>
          <w:color w:val="auto"/>
          <w:sz w:val="24"/>
        </w:rPr>
        <w:t>一、总则</w:t>
      </w:r>
    </w:p>
    <w:p w14:paraId="3B22E5A2">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宋体" w:hAnsi="宋体" w:eastAsia="宋体" w:cs="宋体"/>
          <w:color w:val="auto"/>
          <w:sz w:val="24"/>
        </w:rPr>
      </w:pPr>
      <w:r>
        <w:rPr>
          <w:rFonts w:hint="eastAsia" w:ascii="宋体" w:hAnsi="宋体" w:eastAsia="宋体" w:cs="宋体"/>
          <w:color w:val="auto"/>
          <w:sz w:val="24"/>
        </w:rPr>
        <w:t>为规范采购产品基准价的确定，切实保障在押人员合法权益，特制定此规则。</w:t>
      </w:r>
    </w:p>
    <w:p w14:paraId="6F751DC4">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宋体" w:hAnsi="宋体" w:eastAsia="宋体" w:cs="宋体"/>
          <w:color w:val="auto"/>
          <w:sz w:val="24"/>
        </w:rPr>
      </w:pPr>
      <w:r>
        <w:rPr>
          <w:rFonts w:hint="eastAsia" w:ascii="宋体" w:hAnsi="宋体" w:eastAsia="宋体" w:cs="宋体"/>
          <w:color w:val="auto"/>
          <w:sz w:val="24"/>
        </w:rPr>
        <w:t>（一）由</w:t>
      </w:r>
      <w:bookmarkStart w:id="42" w:name="_Hlk76507381"/>
      <w:r>
        <w:rPr>
          <w:rFonts w:hint="eastAsia" w:ascii="宋体" w:hAnsi="宋体" w:eastAsia="宋体" w:cs="宋体"/>
          <w:color w:val="auto"/>
          <w:sz w:val="24"/>
        </w:rPr>
        <w:t>采购人</w:t>
      </w:r>
      <w:bookmarkEnd w:id="42"/>
      <w:r>
        <w:rPr>
          <w:rFonts w:hint="eastAsia" w:ascii="宋体" w:hAnsi="宋体" w:eastAsia="宋体" w:cs="宋体"/>
          <w:color w:val="auto"/>
          <w:sz w:val="24"/>
        </w:rPr>
        <w:t>自行成立本单位的产品采购基准价询价小组（下文简称：询价小组）、确定较为固定的联络员，每季末最后一周召开询价小组会议，由询价小组根据单位所在地市场价格波动因素、前期采集的参考价（公允价格）等以书面形式综合确定下一季度意向采购的各产品基准价；</w:t>
      </w:r>
    </w:p>
    <w:p w14:paraId="6D475350">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宋体" w:hAnsi="宋体" w:eastAsia="宋体" w:cs="宋体"/>
          <w:color w:val="auto"/>
          <w:sz w:val="24"/>
        </w:rPr>
      </w:pPr>
      <w:r>
        <w:rPr>
          <w:rFonts w:hint="eastAsia" w:ascii="宋体" w:hAnsi="宋体" w:eastAsia="宋体" w:cs="宋体"/>
          <w:color w:val="auto"/>
          <w:sz w:val="24"/>
        </w:rPr>
        <w:t>（二）各产品的结算价格按上季度末询价小组确认的各产品基准价、中标供货商承诺的优惠率和各产品实际验收数量据实书面确定；</w:t>
      </w:r>
    </w:p>
    <w:p w14:paraId="3C3C68AC">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宋体" w:hAnsi="宋体" w:eastAsia="宋体" w:cs="宋体"/>
          <w:color w:val="auto"/>
          <w:sz w:val="24"/>
        </w:rPr>
      </w:pPr>
      <w:r>
        <w:rPr>
          <w:rFonts w:hint="eastAsia" w:ascii="宋体" w:hAnsi="宋体" w:eastAsia="宋体" w:cs="宋体"/>
          <w:color w:val="auto"/>
          <w:sz w:val="24"/>
        </w:rPr>
        <w:t>（三）各产品基准价原则上一个季度恒定不变，不受市场供需变化等情况的影响，遇涨不涨，遇降不降。</w:t>
      </w:r>
    </w:p>
    <w:p w14:paraId="1A15272F">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宋体" w:hAnsi="宋体" w:eastAsia="宋体" w:cs="宋体"/>
          <w:color w:val="auto"/>
          <w:sz w:val="24"/>
        </w:rPr>
      </w:pPr>
      <w:r>
        <w:rPr>
          <w:rFonts w:hint="eastAsia" w:ascii="宋体" w:hAnsi="宋体" w:eastAsia="宋体" w:cs="宋体"/>
          <w:color w:val="auto"/>
          <w:sz w:val="24"/>
        </w:rPr>
        <w:t>（四）如遇极端恶劣天气、国家有强制价格指导意见或不可控因素（如遇猪流感导致价格连续较大浮动等情况），且连续三个交易日特定产品市场价格平均涨跌幅超过基准价20%的，中标供货商应及时书面通知采购人，由采购人决定更换产品或临时召开询价小组会议重新书面确定相关产品的基准价。市场价格恢复至正常的市场价格后，由采购人召集询价小组重新书面确定相关产品的基准价。</w:t>
      </w:r>
    </w:p>
    <w:p w14:paraId="36229FB9">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宋体" w:hAnsi="宋体" w:eastAsia="宋体" w:cs="宋体"/>
          <w:color w:val="auto"/>
          <w:sz w:val="24"/>
        </w:rPr>
      </w:pPr>
      <w:r>
        <w:rPr>
          <w:rFonts w:hint="eastAsia" w:ascii="宋体" w:hAnsi="宋体" w:eastAsia="宋体" w:cs="宋体"/>
          <w:color w:val="auto"/>
          <w:sz w:val="24"/>
        </w:rPr>
        <w:t>二、产品基准价</w:t>
      </w:r>
      <w:bookmarkStart w:id="43" w:name="_Hlk76508085"/>
      <w:r>
        <w:rPr>
          <w:rFonts w:hint="eastAsia" w:ascii="宋体" w:hAnsi="宋体" w:eastAsia="宋体" w:cs="宋体"/>
          <w:color w:val="auto"/>
          <w:sz w:val="24"/>
        </w:rPr>
        <w:t>询价小组</w:t>
      </w:r>
      <w:bookmarkEnd w:id="43"/>
      <w:r>
        <w:rPr>
          <w:rFonts w:hint="eastAsia" w:ascii="宋体" w:hAnsi="宋体" w:eastAsia="宋体" w:cs="宋体"/>
          <w:color w:val="auto"/>
          <w:sz w:val="24"/>
        </w:rPr>
        <w:t>的构成</w:t>
      </w:r>
    </w:p>
    <w:p w14:paraId="1166BFEE">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宋体" w:hAnsi="宋体" w:eastAsia="宋体" w:cs="宋体"/>
          <w:color w:val="auto"/>
          <w:sz w:val="24"/>
        </w:rPr>
      </w:pPr>
      <w:r>
        <w:rPr>
          <w:rFonts w:hint="eastAsia" w:ascii="宋体" w:hAnsi="宋体" w:eastAsia="宋体" w:cs="宋体"/>
          <w:color w:val="auto"/>
          <w:sz w:val="24"/>
        </w:rPr>
        <w:t>（一）采购人：单位分管领导、联络员、后勤采购（或验收）人员、财务人员、管教大队民警代表等；</w:t>
      </w:r>
    </w:p>
    <w:p w14:paraId="0B29ECEB">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宋体" w:hAnsi="宋体" w:eastAsia="宋体" w:cs="宋体"/>
          <w:color w:val="auto"/>
          <w:sz w:val="24"/>
        </w:rPr>
      </w:pPr>
      <w:r>
        <w:rPr>
          <w:rFonts w:hint="eastAsia" w:ascii="宋体" w:hAnsi="宋体" w:eastAsia="宋体" w:cs="宋体"/>
          <w:color w:val="auto"/>
          <w:sz w:val="24"/>
        </w:rPr>
        <w:t>（二）供应商：中标供应商法人书面授权的代表；</w:t>
      </w:r>
    </w:p>
    <w:p w14:paraId="061B10AB">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宋体" w:hAnsi="宋体" w:eastAsia="宋体" w:cs="宋体"/>
          <w:color w:val="auto"/>
          <w:sz w:val="24"/>
        </w:rPr>
      </w:pPr>
      <w:r>
        <w:rPr>
          <w:rFonts w:hint="eastAsia" w:ascii="宋体" w:hAnsi="宋体" w:eastAsia="宋体" w:cs="宋体"/>
          <w:color w:val="auto"/>
          <w:sz w:val="24"/>
        </w:rPr>
        <w:t>（三）第三方：必要时可不定期邀请人大代表、政协委员、上级机关代表、在押人员家属代表参加。</w:t>
      </w:r>
    </w:p>
    <w:p w14:paraId="02973B60">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宋体" w:hAnsi="宋体" w:eastAsia="宋体" w:cs="宋体"/>
          <w:color w:val="auto"/>
          <w:sz w:val="24"/>
        </w:rPr>
      </w:pPr>
      <w:r>
        <w:rPr>
          <w:rFonts w:hint="eastAsia" w:ascii="宋体" w:hAnsi="宋体" w:eastAsia="宋体" w:cs="宋体"/>
          <w:color w:val="auto"/>
          <w:sz w:val="24"/>
        </w:rPr>
        <w:t>三、各产品基准价的参考价（公允价格）采集规则</w:t>
      </w:r>
    </w:p>
    <w:p w14:paraId="2E76D061">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宋体" w:hAnsi="宋体" w:eastAsia="宋体" w:cs="宋体"/>
          <w:color w:val="auto"/>
          <w:sz w:val="24"/>
        </w:rPr>
      </w:pPr>
      <w:r>
        <w:rPr>
          <w:rFonts w:hint="eastAsia" w:ascii="宋体" w:hAnsi="宋体" w:eastAsia="宋体" w:cs="宋体"/>
          <w:color w:val="auto"/>
          <w:sz w:val="24"/>
        </w:rPr>
        <w:t>（一）首选南宁市发改委</w:t>
      </w:r>
      <w:r>
        <w:rPr>
          <w:rFonts w:hint="eastAsia" w:ascii="宋体" w:hAnsi="宋体" w:cs="宋体"/>
          <w:color w:val="auto"/>
          <w:sz w:val="24"/>
          <w:lang w:val="en-US" w:eastAsia="zh-CN"/>
        </w:rPr>
        <w:t>网站</w:t>
      </w:r>
      <w:r>
        <w:rPr>
          <w:rFonts w:hint="eastAsia" w:ascii="宋体" w:hAnsi="宋体" w:eastAsia="宋体" w:cs="宋体"/>
          <w:color w:val="auto"/>
          <w:sz w:val="24"/>
        </w:rPr>
        <w:t>公布的询价当日平均价格确定；</w:t>
      </w:r>
    </w:p>
    <w:p w14:paraId="4A90D18B">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宋体" w:hAnsi="宋体" w:eastAsia="宋体" w:cs="宋体"/>
          <w:color w:val="auto"/>
          <w:sz w:val="24"/>
        </w:rPr>
      </w:pPr>
      <w:r>
        <w:rPr>
          <w:rFonts w:hint="eastAsia" w:ascii="宋体" w:hAnsi="宋体" w:eastAsia="宋体" w:cs="宋体"/>
          <w:color w:val="auto"/>
          <w:sz w:val="24"/>
        </w:rPr>
        <w:t>（二）南宁市发改委</w:t>
      </w:r>
      <w:r>
        <w:rPr>
          <w:rFonts w:hint="eastAsia" w:ascii="宋体" w:hAnsi="宋体" w:cs="宋体"/>
          <w:color w:val="auto"/>
          <w:sz w:val="24"/>
          <w:lang w:val="en-US" w:eastAsia="zh-CN"/>
        </w:rPr>
        <w:t>网站</w:t>
      </w:r>
      <w:r>
        <w:rPr>
          <w:rFonts w:hint="eastAsia" w:ascii="宋体" w:hAnsi="宋体" w:eastAsia="宋体" w:cs="宋体"/>
          <w:color w:val="auto"/>
          <w:sz w:val="24"/>
        </w:rPr>
        <w:t>未公布价格的产品，参考南宁市海吉星批发市场、南宁市淡村农贸市场、北京华联超市、</w:t>
      </w:r>
      <w:r>
        <w:rPr>
          <w:rFonts w:hint="eastAsia" w:ascii="宋体" w:hAnsi="宋体" w:cs="宋体"/>
          <w:color w:val="auto"/>
          <w:sz w:val="24"/>
          <w:lang w:val="en-US" w:eastAsia="zh-CN"/>
        </w:rPr>
        <w:t>沃尔玛</w:t>
      </w:r>
      <w:r>
        <w:rPr>
          <w:rFonts w:hint="eastAsia" w:ascii="宋体" w:hAnsi="宋体" w:eastAsia="宋体" w:cs="宋体"/>
          <w:color w:val="auto"/>
          <w:sz w:val="24"/>
        </w:rPr>
        <w:t>超市等南宁市内各大型批发市场和超市的价格。不包括特价、临期商品价格，包括公开网络报价。</w:t>
      </w:r>
    </w:p>
    <w:p w14:paraId="581EB1ED">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宋体" w:hAnsi="宋体" w:eastAsia="宋体" w:cs="宋体"/>
          <w:color w:val="auto"/>
          <w:sz w:val="24"/>
        </w:rPr>
      </w:pPr>
      <w:r>
        <w:rPr>
          <w:rFonts w:hint="eastAsia" w:ascii="宋体" w:hAnsi="宋体" w:eastAsia="宋体" w:cs="宋体"/>
          <w:color w:val="auto"/>
          <w:sz w:val="24"/>
        </w:rPr>
        <w:t>（三）以上两个渠道无法采集参考价（公允价格）的特定产品，由询价小组向三家以上的厂家或供货方进行书面询价。</w:t>
      </w:r>
    </w:p>
    <w:p w14:paraId="45A4472F">
      <w:pPr>
        <w:keepNext w:val="0"/>
        <w:keepLines w:val="0"/>
        <w:pageBreakBefore w:val="0"/>
        <w:widowControl w:val="0"/>
        <w:kinsoku/>
        <w:wordWrap/>
        <w:overflowPunct/>
        <w:topLinePunct w:val="0"/>
        <w:autoSpaceDE/>
        <w:autoSpaceDN/>
        <w:bidi w:val="0"/>
        <w:adjustRightInd/>
        <w:snapToGrid/>
        <w:spacing w:line="336" w:lineRule="auto"/>
        <w:jc w:val="left"/>
        <w:textAlignment w:val="auto"/>
        <w:rPr>
          <w:color w:val="auto"/>
        </w:rPr>
      </w:pPr>
      <w:r>
        <w:rPr>
          <w:rFonts w:hint="eastAsia"/>
          <w:color w:val="auto"/>
          <w:sz w:val="24"/>
        </w:rPr>
        <w:t>（四）书面的询价结果应当由询价小组成员签名确认。</w:t>
      </w:r>
    </w:p>
    <w:p w14:paraId="6790708D">
      <w:pPr>
        <w:pageBreakBefore w:val="0"/>
        <w:kinsoku/>
        <w:wordWrap/>
        <w:overflowPunct/>
        <w:topLinePunct w:val="0"/>
        <w:bidi w:val="0"/>
        <w:spacing w:beforeAutospacing="0" w:line="360" w:lineRule="auto"/>
        <w:ind w:left="0" w:leftChars="0" w:right="0"/>
        <w:jc w:val="left"/>
        <w:rPr>
          <w:rFonts w:hint="eastAsia" w:ascii="宋体" w:hAnsi="宋体" w:eastAsia="宋体" w:cs="宋体"/>
          <w:color w:val="auto"/>
          <w:sz w:val="32"/>
          <w:szCs w:val="32"/>
        </w:rPr>
        <w:sectPr>
          <w:pgSz w:w="11906" w:h="16838"/>
          <w:pgMar w:top="1134" w:right="1134" w:bottom="1134" w:left="1134" w:header="720" w:footer="720" w:gutter="0"/>
          <w:cols w:space="720" w:num="1"/>
          <w:docGrid w:type="lines" w:linePitch="331" w:charSpace="0"/>
        </w:sectPr>
      </w:pPr>
    </w:p>
    <w:p w14:paraId="3F6F6E41">
      <w:pPr>
        <w:pageBreakBefore w:val="0"/>
        <w:kinsoku/>
        <w:wordWrap/>
        <w:overflowPunct/>
        <w:topLinePunct w:val="0"/>
        <w:bidi w:val="0"/>
        <w:spacing w:beforeAutospacing="0" w:line="360" w:lineRule="auto"/>
        <w:ind w:left="0" w:leftChars="0" w:right="0"/>
        <w:jc w:val="left"/>
        <w:rPr>
          <w:rFonts w:hint="eastAsia" w:ascii="宋体" w:hAnsi="宋体" w:cs="宋体"/>
          <w:color w:val="auto"/>
          <w:sz w:val="32"/>
          <w:szCs w:val="32"/>
          <w:lang w:val="en-US" w:eastAsia="zh-CN"/>
        </w:rPr>
      </w:pPr>
      <w:r>
        <w:rPr>
          <w:rFonts w:hint="eastAsia" w:ascii="宋体" w:hAnsi="宋体" w:cs="宋体"/>
          <w:color w:val="auto"/>
          <w:sz w:val="32"/>
          <w:szCs w:val="32"/>
          <w:lang w:val="en-US" w:eastAsia="zh-CN"/>
        </w:rPr>
        <w:t>附件3：</w:t>
      </w:r>
    </w:p>
    <w:tbl>
      <w:tblPr>
        <w:tblStyle w:val="15"/>
        <w:tblW w:w="1366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62"/>
        <w:gridCol w:w="1378"/>
        <w:gridCol w:w="2516"/>
        <w:gridCol w:w="1164"/>
        <w:gridCol w:w="1297"/>
        <w:gridCol w:w="1222"/>
        <w:gridCol w:w="1192"/>
        <w:gridCol w:w="1010"/>
        <w:gridCol w:w="1131"/>
        <w:gridCol w:w="860"/>
        <w:gridCol w:w="1228"/>
      </w:tblGrid>
      <w:tr w14:paraId="3EE0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5" w:hRule="atLeast"/>
        </w:trPr>
        <w:tc>
          <w:tcPr>
            <w:tcW w:w="13660" w:type="dxa"/>
            <w:gridSpan w:val="11"/>
            <w:shd w:val="clear" w:color="auto" w:fill="auto"/>
            <w:noWrap/>
            <w:vAlign w:val="center"/>
          </w:tcPr>
          <w:p w14:paraId="2F874C49">
            <w:pPr>
              <w:jc w:val="center"/>
              <w:rPr>
                <w:rFonts w:hint="eastAsia" w:ascii="宋体" w:hAnsi="宋体" w:eastAsia="宋体" w:cs="宋体"/>
                <w:i w:val="0"/>
                <w:iCs w:val="0"/>
                <w:color w:val="auto"/>
                <w:sz w:val="18"/>
                <w:szCs w:val="18"/>
                <w:u w:val="none"/>
              </w:rPr>
            </w:pPr>
            <w:r>
              <w:rPr>
                <w:rFonts w:hint="eastAsia" w:ascii="宋体" w:hAnsi="宋体" w:eastAsia="宋体" w:cs="宋体"/>
                <w:b/>
                <w:bCs/>
                <w:i w:val="0"/>
                <w:iCs w:val="0"/>
                <w:color w:val="auto"/>
                <w:kern w:val="0"/>
                <w:sz w:val="24"/>
                <w:szCs w:val="24"/>
                <w:u w:val="none"/>
                <w:lang w:val="en-US" w:eastAsia="zh-CN" w:bidi="ar"/>
              </w:rPr>
              <w:t>南宁市会计师事务所服务收费标准表</w:t>
            </w:r>
          </w:p>
        </w:tc>
      </w:tr>
      <w:tr w14:paraId="4969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662" w:type="dxa"/>
            <w:shd w:val="clear" w:color="auto" w:fill="auto"/>
            <w:noWrap/>
            <w:vAlign w:val="center"/>
          </w:tcPr>
          <w:p w14:paraId="4765D2A1">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1378" w:type="dxa"/>
            <w:shd w:val="clear" w:color="auto" w:fill="auto"/>
            <w:noWrap/>
            <w:vAlign w:val="bottom"/>
          </w:tcPr>
          <w:p w14:paraId="4475564A">
            <w:pPr>
              <w:keepNext w:val="0"/>
              <w:keepLines w:val="0"/>
              <w:widowControl/>
              <w:suppressLineNumbers w:val="0"/>
              <w:jc w:val="left"/>
              <w:textAlignment w:val="bottom"/>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 xml:space="preserve">  项目</w:t>
            </w:r>
          </w:p>
        </w:tc>
        <w:tc>
          <w:tcPr>
            <w:tcW w:w="2516" w:type="dxa"/>
            <w:shd w:val="clear" w:color="auto" w:fill="auto"/>
            <w:vAlign w:val="center"/>
          </w:tcPr>
          <w:p w14:paraId="64AAB63B">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50万元以下</w:t>
            </w:r>
          </w:p>
        </w:tc>
        <w:tc>
          <w:tcPr>
            <w:tcW w:w="1164" w:type="dxa"/>
            <w:shd w:val="clear" w:color="auto" w:fill="auto"/>
            <w:noWrap/>
            <w:vAlign w:val="center"/>
          </w:tcPr>
          <w:p w14:paraId="1AD6D5FB">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51-100万元</w:t>
            </w:r>
          </w:p>
        </w:tc>
        <w:tc>
          <w:tcPr>
            <w:tcW w:w="1297" w:type="dxa"/>
            <w:shd w:val="clear" w:color="auto" w:fill="auto"/>
            <w:vAlign w:val="center"/>
          </w:tcPr>
          <w:p w14:paraId="4865D01B">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101-500万元</w:t>
            </w:r>
          </w:p>
        </w:tc>
        <w:tc>
          <w:tcPr>
            <w:tcW w:w="1222" w:type="dxa"/>
            <w:shd w:val="clear" w:color="auto" w:fill="auto"/>
            <w:vAlign w:val="center"/>
          </w:tcPr>
          <w:p w14:paraId="6AC4350D">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501-1000万元</w:t>
            </w:r>
          </w:p>
        </w:tc>
        <w:tc>
          <w:tcPr>
            <w:tcW w:w="1192" w:type="dxa"/>
            <w:shd w:val="clear" w:color="auto" w:fill="auto"/>
            <w:vAlign w:val="center"/>
          </w:tcPr>
          <w:p w14:paraId="773AF179">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1001-5000万元</w:t>
            </w:r>
          </w:p>
        </w:tc>
        <w:tc>
          <w:tcPr>
            <w:tcW w:w="1010" w:type="dxa"/>
            <w:shd w:val="clear" w:color="auto" w:fill="FFFFFF"/>
            <w:vAlign w:val="center"/>
          </w:tcPr>
          <w:p w14:paraId="40C3CE14">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5001-10000万元</w:t>
            </w:r>
          </w:p>
        </w:tc>
        <w:tc>
          <w:tcPr>
            <w:tcW w:w="1131" w:type="dxa"/>
            <w:shd w:val="clear" w:color="auto" w:fill="auto"/>
            <w:vAlign w:val="center"/>
          </w:tcPr>
          <w:p w14:paraId="5D2730D3">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1亿元以上2亿元以下</w:t>
            </w:r>
          </w:p>
        </w:tc>
        <w:tc>
          <w:tcPr>
            <w:tcW w:w="860" w:type="dxa"/>
            <w:shd w:val="clear" w:color="auto" w:fill="auto"/>
            <w:vAlign w:val="center"/>
          </w:tcPr>
          <w:p w14:paraId="73D66352">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2亿元以上</w:t>
            </w:r>
          </w:p>
        </w:tc>
        <w:tc>
          <w:tcPr>
            <w:tcW w:w="1228" w:type="dxa"/>
            <w:shd w:val="clear" w:color="auto" w:fill="auto"/>
            <w:noWrap/>
            <w:vAlign w:val="center"/>
          </w:tcPr>
          <w:p w14:paraId="4C15D79A">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备注</w:t>
            </w:r>
          </w:p>
        </w:tc>
      </w:tr>
      <w:tr w14:paraId="2F198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662" w:type="dxa"/>
            <w:shd w:val="clear" w:color="auto" w:fill="auto"/>
            <w:noWrap/>
            <w:vAlign w:val="center"/>
          </w:tcPr>
          <w:p w14:paraId="1982D6DC">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（一）</w:t>
            </w:r>
          </w:p>
        </w:tc>
        <w:tc>
          <w:tcPr>
            <w:tcW w:w="1378" w:type="dxa"/>
            <w:shd w:val="clear" w:color="auto" w:fill="auto"/>
            <w:noWrap/>
            <w:vAlign w:val="bottom"/>
          </w:tcPr>
          <w:p w14:paraId="55172049">
            <w:pPr>
              <w:keepNext w:val="0"/>
              <w:keepLines w:val="0"/>
              <w:widowControl/>
              <w:suppressLineNumbers w:val="0"/>
              <w:jc w:val="left"/>
              <w:textAlignment w:val="bottom"/>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验资（元/次）</w:t>
            </w:r>
          </w:p>
        </w:tc>
        <w:tc>
          <w:tcPr>
            <w:tcW w:w="2516" w:type="dxa"/>
            <w:shd w:val="clear" w:color="auto" w:fill="auto"/>
            <w:noWrap/>
            <w:vAlign w:val="bottom"/>
          </w:tcPr>
          <w:p w14:paraId="03818DCD">
            <w:pPr>
              <w:rPr>
                <w:rFonts w:hint="eastAsia" w:ascii="宋体" w:hAnsi="宋体" w:eastAsia="宋体" w:cs="宋体"/>
                <w:b/>
                <w:bCs/>
                <w:i w:val="0"/>
                <w:iCs w:val="0"/>
                <w:color w:val="auto"/>
                <w:sz w:val="18"/>
                <w:szCs w:val="18"/>
                <w:u w:val="none"/>
              </w:rPr>
            </w:pPr>
          </w:p>
        </w:tc>
        <w:tc>
          <w:tcPr>
            <w:tcW w:w="1164" w:type="dxa"/>
            <w:shd w:val="clear" w:color="auto" w:fill="auto"/>
            <w:noWrap/>
            <w:vAlign w:val="bottom"/>
          </w:tcPr>
          <w:p w14:paraId="1ADB70A2">
            <w:pPr>
              <w:rPr>
                <w:rFonts w:hint="eastAsia" w:ascii="宋体" w:hAnsi="宋体" w:eastAsia="宋体" w:cs="宋体"/>
                <w:b/>
                <w:bCs/>
                <w:i w:val="0"/>
                <w:iCs w:val="0"/>
                <w:color w:val="auto"/>
                <w:sz w:val="18"/>
                <w:szCs w:val="18"/>
                <w:u w:val="none"/>
              </w:rPr>
            </w:pPr>
          </w:p>
        </w:tc>
        <w:tc>
          <w:tcPr>
            <w:tcW w:w="1297" w:type="dxa"/>
            <w:shd w:val="clear" w:color="auto" w:fill="auto"/>
            <w:noWrap/>
            <w:vAlign w:val="bottom"/>
          </w:tcPr>
          <w:p w14:paraId="14229391">
            <w:pPr>
              <w:rPr>
                <w:rFonts w:hint="eastAsia" w:ascii="宋体" w:hAnsi="宋体" w:eastAsia="宋体" w:cs="宋体"/>
                <w:b/>
                <w:bCs/>
                <w:i w:val="0"/>
                <w:iCs w:val="0"/>
                <w:color w:val="auto"/>
                <w:sz w:val="18"/>
                <w:szCs w:val="18"/>
                <w:u w:val="none"/>
              </w:rPr>
            </w:pPr>
          </w:p>
        </w:tc>
        <w:tc>
          <w:tcPr>
            <w:tcW w:w="1222" w:type="dxa"/>
            <w:shd w:val="clear" w:color="auto" w:fill="auto"/>
            <w:noWrap/>
            <w:vAlign w:val="bottom"/>
          </w:tcPr>
          <w:p w14:paraId="16695253">
            <w:pPr>
              <w:rPr>
                <w:rFonts w:hint="eastAsia" w:ascii="宋体" w:hAnsi="宋体" w:eastAsia="宋体" w:cs="宋体"/>
                <w:b/>
                <w:bCs/>
                <w:i w:val="0"/>
                <w:iCs w:val="0"/>
                <w:color w:val="auto"/>
                <w:sz w:val="18"/>
                <w:szCs w:val="18"/>
                <w:u w:val="none"/>
              </w:rPr>
            </w:pPr>
          </w:p>
        </w:tc>
        <w:tc>
          <w:tcPr>
            <w:tcW w:w="1192" w:type="dxa"/>
            <w:shd w:val="clear" w:color="auto" w:fill="auto"/>
            <w:noWrap/>
            <w:vAlign w:val="bottom"/>
          </w:tcPr>
          <w:p w14:paraId="7BD76142">
            <w:pPr>
              <w:rPr>
                <w:rFonts w:hint="eastAsia" w:ascii="宋体" w:hAnsi="宋体" w:eastAsia="宋体" w:cs="宋体"/>
                <w:b/>
                <w:bCs/>
                <w:i w:val="0"/>
                <w:iCs w:val="0"/>
                <w:color w:val="auto"/>
                <w:sz w:val="18"/>
                <w:szCs w:val="18"/>
                <w:u w:val="none"/>
              </w:rPr>
            </w:pPr>
          </w:p>
        </w:tc>
        <w:tc>
          <w:tcPr>
            <w:tcW w:w="1010" w:type="dxa"/>
            <w:shd w:val="clear" w:color="auto" w:fill="FFFFFF"/>
            <w:noWrap/>
            <w:vAlign w:val="bottom"/>
          </w:tcPr>
          <w:p w14:paraId="667AF6FF">
            <w:pPr>
              <w:rPr>
                <w:rFonts w:hint="eastAsia" w:ascii="宋体" w:hAnsi="宋体" w:eastAsia="宋体" w:cs="宋体"/>
                <w:b/>
                <w:bCs/>
                <w:i w:val="0"/>
                <w:iCs w:val="0"/>
                <w:color w:val="auto"/>
                <w:sz w:val="18"/>
                <w:szCs w:val="18"/>
                <w:u w:val="none"/>
              </w:rPr>
            </w:pPr>
          </w:p>
        </w:tc>
        <w:tc>
          <w:tcPr>
            <w:tcW w:w="1131" w:type="dxa"/>
            <w:shd w:val="clear" w:color="auto" w:fill="auto"/>
            <w:noWrap/>
            <w:vAlign w:val="bottom"/>
          </w:tcPr>
          <w:p w14:paraId="111699A3">
            <w:pPr>
              <w:rPr>
                <w:rFonts w:hint="eastAsia" w:ascii="宋体" w:hAnsi="宋体" w:eastAsia="宋体" w:cs="宋体"/>
                <w:b/>
                <w:bCs/>
                <w:i w:val="0"/>
                <w:iCs w:val="0"/>
                <w:color w:val="auto"/>
                <w:sz w:val="18"/>
                <w:szCs w:val="18"/>
                <w:u w:val="none"/>
              </w:rPr>
            </w:pPr>
          </w:p>
        </w:tc>
        <w:tc>
          <w:tcPr>
            <w:tcW w:w="860" w:type="dxa"/>
            <w:shd w:val="clear" w:color="auto" w:fill="auto"/>
            <w:noWrap/>
            <w:vAlign w:val="bottom"/>
          </w:tcPr>
          <w:p w14:paraId="66A2DB27">
            <w:pPr>
              <w:rPr>
                <w:rFonts w:hint="eastAsia" w:ascii="宋体" w:hAnsi="宋体" w:eastAsia="宋体" w:cs="宋体"/>
                <w:b/>
                <w:bCs/>
                <w:i w:val="0"/>
                <w:iCs w:val="0"/>
                <w:color w:val="auto"/>
                <w:sz w:val="18"/>
                <w:szCs w:val="18"/>
                <w:u w:val="none"/>
              </w:rPr>
            </w:pPr>
          </w:p>
        </w:tc>
        <w:tc>
          <w:tcPr>
            <w:tcW w:w="1228" w:type="dxa"/>
            <w:shd w:val="clear" w:color="auto" w:fill="auto"/>
            <w:noWrap/>
            <w:vAlign w:val="bottom"/>
          </w:tcPr>
          <w:p w14:paraId="06A18F0F">
            <w:pPr>
              <w:rPr>
                <w:rFonts w:hint="eastAsia" w:ascii="宋体" w:hAnsi="宋体" w:eastAsia="宋体" w:cs="宋体"/>
                <w:b/>
                <w:bCs/>
                <w:i w:val="0"/>
                <w:iCs w:val="0"/>
                <w:color w:val="auto"/>
                <w:sz w:val="18"/>
                <w:szCs w:val="18"/>
                <w:u w:val="none"/>
              </w:rPr>
            </w:pPr>
          </w:p>
        </w:tc>
      </w:tr>
      <w:tr w14:paraId="37A15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2" w:hRule="atLeast"/>
        </w:trPr>
        <w:tc>
          <w:tcPr>
            <w:tcW w:w="662" w:type="dxa"/>
            <w:shd w:val="clear" w:color="auto" w:fill="auto"/>
            <w:noWrap/>
            <w:vAlign w:val="center"/>
          </w:tcPr>
          <w:p w14:paraId="437DC053">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w:t>
            </w:r>
          </w:p>
        </w:tc>
        <w:tc>
          <w:tcPr>
            <w:tcW w:w="1378" w:type="dxa"/>
            <w:shd w:val="clear" w:color="auto" w:fill="auto"/>
            <w:noWrap/>
            <w:vAlign w:val="bottom"/>
          </w:tcPr>
          <w:p w14:paraId="049C4AE8">
            <w:pPr>
              <w:keepNext w:val="0"/>
              <w:keepLines w:val="0"/>
              <w:widowControl/>
              <w:suppressLineNumbers w:val="0"/>
              <w:jc w:val="left"/>
              <w:textAlignment w:val="bottom"/>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验资</w:t>
            </w:r>
          </w:p>
        </w:tc>
        <w:tc>
          <w:tcPr>
            <w:tcW w:w="2516" w:type="dxa"/>
            <w:shd w:val="clear" w:color="auto" w:fill="auto"/>
            <w:noWrap/>
            <w:vAlign w:val="bottom"/>
          </w:tcPr>
          <w:p w14:paraId="233FB705">
            <w:pPr>
              <w:keepNext w:val="0"/>
              <w:keepLines w:val="0"/>
              <w:widowControl/>
              <w:suppressLineNumbers w:val="0"/>
              <w:jc w:val="center"/>
              <w:textAlignment w:val="bottom"/>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1200</w:t>
            </w:r>
          </w:p>
        </w:tc>
        <w:tc>
          <w:tcPr>
            <w:tcW w:w="1164" w:type="dxa"/>
            <w:shd w:val="clear" w:color="auto" w:fill="auto"/>
            <w:noWrap/>
            <w:vAlign w:val="bottom"/>
          </w:tcPr>
          <w:p w14:paraId="6CF9B92D">
            <w:pPr>
              <w:keepNext w:val="0"/>
              <w:keepLines w:val="0"/>
              <w:widowControl/>
              <w:suppressLineNumbers w:val="0"/>
              <w:jc w:val="center"/>
              <w:textAlignment w:val="bottom"/>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2000</w:t>
            </w:r>
          </w:p>
        </w:tc>
        <w:tc>
          <w:tcPr>
            <w:tcW w:w="1297" w:type="dxa"/>
            <w:shd w:val="clear" w:color="auto" w:fill="auto"/>
            <w:noWrap/>
            <w:vAlign w:val="bottom"/>
          </w:tcPr>
          <w:p w14:paraId="46C24742">
            <w:pPr>
              <w:keepNext w:val="0"/>
              <w:keepLines w:val="0"/>
              <w:widowControl/>
              <w:suppressLineNumbers w:val="0"/>
              <w:jc w:val="center"/>
              <w:textAlignment w:val="bottom"/>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3500</w:t>
            </w:r>
          </w:p>
        </w:tc>
        <w:tc>
          <w:tcPr>
            <w:tcW w:w="1222" w:type="dxa"/>
            <w:shd w:val="clear" w:color="auto" w:fill="auto"/>
            <w:noWrap/>
            <w:vAlign w:val="bottom"/>
          </w:tcPr>
          <w:p w14:paraId="0E76B714">
            <w:pPr>
              <w:keepNext w:val="0"/>
              <w:keepLines w:val="0"/>
              <w:widowControl/>
              <w:suppressLineNumbers w:val="0"/>
              <w:jc w:val="center"/>
              <w:textAlignment w:val="bottom"/>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5000</w:t>
            </w:r>
          </w:p>
        </w:tc>
        <w:tc>
          <w:tcPr>
            <w:tcW w:w="1192" w:type="dxa"/>
            <w:shd w:val="clear" w:color="auto" w:fill="auto"/>
            <w:noWrap/>
            <w:vAlign w:val="bottom"/>
          </w:tcPr>
          <w:p w14:paraId="5A7E1C26">
            <w:pPr>
              <w:keepNext w:val="0"/>
              <w:keepLines w:val="0"/>
              <w:widowControl/>
              <w:suppressLineNumbers w:val="0"/>
              <w:jc w:val="center"/>
              <w:textAlignment w:val="bottom"/>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8000</w:t>
            </w:r>
          </w:p>
        </w:tc>
        <w:tc>
          <w:tcPr>
            <w:tcW w:w="1010" w:type="dxa"/>
            <w:shd w:val="clear" w:color="auto" w:fill="FFFFFF"/>
            <w:noWrap/>
            <w:vAlign w:val="bottom"/>
          </w:tcPr>
          <w:p w14:paraId="339ACF0C">
            <w:pPr>
              <w:keepNext w:val="0"/>
              <w:keepLines w:val="0"/>
              <w:widowControl/>
              <w:suppressLineNumbers w:val="0"/>
              <w:jc w:val="center"/>
              <w:textAlignment w:val="bottom"/>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15000</w:t>
            </w:r>
          </w:p>
        </w:tc>
        <w:tc>
          <w:tcPr>
            <w:tcW w:w="1131" w:type="dxa"/>
            <w:shd w:val="clear" w:color="auto" w:fill="auto"/>
            <w:noWrap/>
            <w:vAlign w:val="bottom"/>
          </w:tcPr>
          <w:p w14:paraId="3D1A0BA4">
            <w:pPr>
              <w:keepNext w:val="0"/>
              <w:keepLines w:val="0"/>
              <w:widowControl/>
              <w:suppressLineNumbers w:val="0"/>
              <w:jc w:val="center"/>
              <w:textAlignment w:val="bottom"/>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20000</w:t>
            </w:r>
          </w:p>
        </w:tc>
        <w:tc>
          <w:tcPr>
            <w:tcW w:w="860" w:type="dxa"/>
            <w:shd w:val="clear" w:color="auto" w:fill="auto"/>
            <w:noWrap/>
            <w:vAlign w:val="bottom"/>
          </w:tcPr>
          <w:p w14:paraId="4BBB85FD">
            <w:pPr>
              <w:keepNext w:val="0"/>
              <w:keepLines w:val="0"/>
              <w:widowControl/>
              <w:suppressLineNumbers w:val="0"/>
              <w:jc w:val="center"/>
              <w:textAlignment w:val="bottom"/>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万分之1</w:t>
            </w:r>
          </w:p>
        </w:tc>
        <w:tc>
          <w:tcPr>
            <w:tcW w:w="1228" w:type="dxa"/>
            <w:shd w:val="clear" w:color="auto" w:fill="auto"/>
            <w:noWrap/>
            <w:vAlign w:val="bottom"/>
          </w:tcPr>
          <w:p w14:paraId="6F1C894B">
            <w:pPr>
              <w:keepNext w:val="0"/>
              <w:keepLines w:val="0"/>
              <w:widowControl/>
              <w:suppressLineNumbers w:val="0"/>
              <w:jc w:val="center"/>
              <w:textAlignment w:val="bottom"/>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按验证资本计算</w:t>
            </w:r>
          </w:p>
        </w:tc>
      </w:tr>
      <w:tr w14:paraId="1D190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662" w:type="dxa"/>
            <w:shd w:val="clear" w:color="auto" w:fill="auto"/>
            <w:noWrap/>
            <w:vAlign w:val="center"/>
          </w:tcPr>
          <w:p w14:paraId="48A1CB80">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2</w:t>
            </w:r>
          </w:p>
        </w:tc>
        <w:tc>
          <w:tcPr>
            <w:tcW w:w="1378" w:type="dxa"/>
            <w:shd w:val="clear" w:color="auto" w:fill="auto"/>
            <w:noWrap/>
            <w:vAlign w:val="bottom"/>
          </w:tcPr>
          <w:p w14:paraId="0265BE4B">
            <w:pPr>
              <w:keepNext w:val="0"/>
              <w:keepLines w:val="0"/>
              <w:widowControl/>
              <w:suppressLineNumbers w:val="0"/>
              <w:jc w:val="left"/>
              <w:textAlignment w:val="bottom"/>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非货币验资</w:t>
            </w:r>
          </w:p>
        </w:tc>
        <w:tc>
          <w:tcPr>
            <w:tcW w:w="2516" w:type="dxa"/>
            <w:shd w:val="clear" w:color="auto" w:fill="auto"/>
            <w:noWrap/>
            <w:vAlign w:val="bottom"/>
          </w:tcPr>
          <w:p w14:paraId="5C468C92">
            <w:pPr>
              <w:keepNext w:val="0"/>
              <w:keepLines w:val="0"/>
              <w:widowControl/>
              <w:suppressLineNumbers w:val="0"/>
              <w:jc w:val="left"/>
              <w:textAlignment w:val="bottom"/>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设立验资、变更验资中的非货币验资部分按设立验资、变更验资的120%执行。</w:t>
            </w:r>
          </w:p>
        </w:tc>
        <w:tc>
          <w:tcPr>
            <w:tcW w:w="1164" w:type="dxa"/>
            <w:shd w:val="clear" w:color="auto" w:fill="auto"/>
            <w:noWrap/>
            <w:vAlign w:val="bottom"/>
          </w:tcPr>
          <w:p w14:paraId="1CC023FC">
            <w:pPr>
              <w:jc w:val="left"/>
              <w:rPr>
                <w:rFonts w:hint="eastAsia" w:ascii="宋体" w:hAnsi="宋体" w:eastAsia="宋体" w:cs="宋体"/>
                <w:b/>
                <w:bCs/>
                <w:i w:val="0"/>
                <w:iCs w:val="0"/>
                <w:color w:val="auto"/>
                <w:sz w:val="18"/>
                <w:szCs w:val="18"/>
                <w:u w:val="none"/>
              </w:rPr>
            </w:pPr>
          </w:p>
        </w:tc>
        <w:tc>
          <w:tcPr>
            <w:tcW w:w="1297" w:type="dxa"/>
            <w:shd w:val="clear" w:color="auto" w:fill="auto"/>
            <w:noWrap/>
            <w:vAlign w:val="bottom"/>
          </w:tcPr>
          <w:p w14:paraId="13FE4A7C">
            <w:pPr>
              <w:jc w:val="left"/>
              <w:rPr>
                <w:rFonts w:hint="eastAsia" w:ascii="宋体" w:hAnsi="宋体" w:eastAsia="宋体" w:cs="宋体"/>
                <w:b/>
                <w:bCs/>
                <w:i w:val="0"/>
                <w:iCs w:val="0"/>
                <w:color w:val="auto"/>
                <w:sz w:val="18"/>
                <w:szCs w:val="18"/>
                <w:u w:val="none"/>
              </w:rPr>
            </w:pPr>
          </w:p>
        </w:tc>
        <w:tc>
          <w:tcPr>
            <w:tcW w:w="1222" w:type="dxa"/>
            <w:shd w:val="clear" w:color="auto" w:fill="auto"/>
            <w:noWrap/>
            <w:vAlign w:val="bottom"/>
          </w:tcPr>
          <w:p w14:paraId="561F4587">
            <w:pPr>
              <w:jc w:val="left"/>
              <w:rPr>
                <w:rFonts w:hint="eastAsia" w:ascii="宋体" w:hAnsi="宋体" w:eastAsia="宋体" w:cs="宋体"/>
                <w:b/>
                <w:bCs/>
                <w:i w:val="0"/>
                <w:iCs w:val="0"/>
                <w:color w:val="auto"/>
                <w:sz w:val="18"/>
                <w:szCs w:val="18"/>
                <w:u w:val="none"/>
              </w:rPr>
            </w:pPr>
          </w:p>
        </w:tc>
        <w:tc>
          <w:tcPr>
            <w:tcW w:w="1192" w:type="dxa"/>
            <w:shd w:val="clear" w:color="auto" w:fill="auto"/>
            <w:noWrap/>
            <w:vAlign w:val="bottom"/>
          </w:tcPr>
          <w:p w14:paraId="58338865">
            <w:pPr>
              <w:jc w:val="left"/>
              <w:rPr>
                <w:rFonts w:hint="eastAsia" w:ascii="宋体" w:hAnsi="宋体" w:eastAsia="宋体" w:cs="宋体"/>
                <w:b/>
                <w:bCs/>
                <w:i w:val="0"/>
                <w:iCs w:val="0"/>
                <w:color w:val="auto"/>
                <w:sz w:val="18"/>
                <w:szCs w:val="18"/>
                <w:u w:val="none"/>
              </w:rPr>
            </w:pPr>
          </w:p>
        </w:tc>
        <w:tc>
          <w:tcPr>
            <w:tcW w:w="1010" w:type="dxa"/>
            <w:shd w:val="clear" w:color="auto" w:fill="FFFFFF"/>
            <w:noWrap/>
            <w:vAlign w:val="bottom"/>
          </w:tcPr>
          <w:p w14:paraId="18139C72">
            <w:pPr>
              <w:jc w:val="left"/>
              <w:rPr>
                <w:rFonts w:hint="eastAsia" w:ascii="宋体" w:hAnsi="宋体" w:eastAsia="宋体" w:cs="宋体"/>
                <w:b/>
                <w:bCs/>
                <w:i w:val="0"/>
                <w:iCs w:val="0"/>
                <w:color w:val="auto"/>
                <w:sz w:val="18"/>
                <w:szCs w:val="18"/>
                <w:u w:val="none"/>
              </w:rPr>
            </w:pPr>
          </w:p>
        </w:tc>
        <w:tc>
          <w:tcPr>
            <w:tcW w:w="1131" w:type="dxa"/>
            <w:shd w:val="clear" w:color="auto" w:fill="auto"/>
            <w:noWrap/>
            <w:vAlign w:val="bottom"/>
          </w:tcPr>
          <w:p w14:paraId="63717E88">
            <w:pPr>
              <w:jc w:val="left"/>
              <w:rPr>
                <w:rFonts w:hint="eastAsia" w:ascii="宋体" w:hAnsi="宋体" w:eastAsia="宋体" w:cs="宋体"/>
                <w:b/>
                <w:bCs/>
                <w:i w:val="0"/>
                <w:iCs w:val="0"/>
                <w:color w:val="auto"/>
                <w:sz w:val="18"/>
                <w:szCs w:val="18"/>
                <w:u w:val="none"/>
              </w:rPr>
            </w:pPr>
          </w:p>
        </w:tc>
        <w:tc>
          <w:tcPr>
            <w:tcW w:w="860" w:type="dxa"/>
            <w:shd w:val="clear" w:color="auto" w:fill="auto"/>
            <w:noWrap/>
            <w:vAlign w:val="bottom"/>
          </w:tcPr>
          <w:p w14:paraId="2D7DC00A">
            <w:pPr>
              <w:jc w:val="left"/>
              <w:rPr>
                <w:rFonts w:hint="eastAsia" w:ascii="宋体" w:hAnsi="宋体" w:eastAsia="宋体" w:cs="宋体"/>
                <w:b/>
                <w:bCs/>
                <w:i w:val="0"/>
                <w:iCs w:val="0"/>
                <w:color w:val="auto"/>
                <w:sz w:val="18"/>
                <w:szCs w:val="18"/>
                <w:u w:val="none"/>
              </w:rPr>
            </w:pPr>
          </w:p>
        </w:tc>
        <w:tc>
          <w:tcPr>
            <w:tcW w:w="1228" w:type="dxa"/>
            <w:shd w:val="clear" w:color="auto" w:fill="auto"/>
            <w:noWrap/>
            <w:vAlign w:val="bottom"/>
          </w:tcPr>
          <w:p w14:paraId="3C672B95">
            <w:pPr>
              <w:rPr>
                <w:rFonts w:hint="eastAsia" w:ascii="宋体" w:hAnsi="宋体" w:eastAsia="宋体" w:cs="宋体"/>
                <w:b/>
                <w:bCs/>
                <w:i w:val="0"/>
                <w:iCs w:val="0"/>
                <w:color w:val="auto"/>
                <w:sz w:val="18"/>
                <w:szCs w:val="18"/>
                <w:u w:val="none"/>
              </w:rPr>
            </w:pPr>
          </w:p>
        </w:tc>
      </w:tr>
      <w:tr w14:paraId="4D6D5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2" w:hRule="atLeast"/>
        </w:trPr>
        <w:tc>
          <w:tcPr>
            <w:tcW w:w="662" w:type="dxa"/>
            <w:shd w:val="clear" w:color="auto" w:fill="auto"/>
            <w:noWrap/>
            <w:vAlign w:val="center"/>
          </w:tcPr>
          <w:p w14:paraId="4DC7885E">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（二）</w:t>
            </w:r>
          </w:p>
        </w:tc>
        <w:tc>
          <w:tcPr>
            <w:tcW w:w="1378" w:type="dxa"/>
            <w:shd w:val="clear" w:color="auto" w:fill="auto"/>
            <w:vAlign w:val="bottom"/>
          </w:tcPr>
          <w:p w14:paraId="7F7E8FD3">
            <w:pPr>
              <w:keepNext w:val="0"/>
              <w:keepLines w:val="0"/>
              <w:widowControl/>
              <w:suppressLineNumbers w:val="0"/>
              <w:jc w:val="left"/>
              <w:textAlignment w:val="bottom"/>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财务报表审计（元/年）</w:t>
            </w:r>
          </w:p>
        </w:tc>
        <w:tc>
          <w:tcPr>
            <w:tcW w:w="2516" w:type="dxa"/>
            <w:shd w:val="clear" w:color="auto" w:fill="auto"/>
            <w:noWrap/>
            <w:vAlign w:val="bottom"/>
          </w:tcPr>
          <w:p w14:paraId="3BCC53B5">
            <w:pPr>
              <w:rPr>
                <w:rFonts w:hint="eastAsia" w:ascii="宋体" w:hAnsi="宋体" w:eastAsia="宋体" w:cs="宋体"/>
                <w:b/>
                <w:bCs/>
                <w:i w:val="0"/>
                <w:iCs w:val="0"/>
                <w:color w:val="auto"/>
                <w:sz w:val="18"/>
                <w:szCs w:val="18"/>
                <w:u w:val="none"/>
              </w:rPr>
            </w:pPr>
          </w:p>
        </w:tc>
        <w:tc>
          <w:tcPr>
            <w:tcW w:w="1164" w:type="dxa"/>
            <w:shd w:val="clear" w:color="auto" w:fill="auto"/>
            <w:noWrap/>
            <w:vAlign w:val="bottom"/>
          </w:tcPr>
          <w:p w14:paraId="35CAAF0A">
            <w:pPr>
              <w:rPr>
                <w:rFonts w:hint="eastAsia" w:ascii="宋体" w:hAnsi="宋体" w:eastAsia="宋体" w:cs="宋体"/>
                <w:i w:val="0"/>
                <w:iCs w:val="0"/>
                <w:color w:val="auto"/>
                <w:sz w:val="18"/>
                <w:szCs w:val="18"/>
                <w:u w:val="none"/>
              </w:rPr>
            </w:pPr>
          </w:p>
        </w:tc>
        <w:tc>
          <w:tcPr>
            <w:tcW w:w="1297" w:type="dxa"/>
            <w:shd w:val="clear" w:color="auto" w:fill="auto"/>
            <w:noWrap/>
            <w:vAlign w:val="bottom"/>
          </w:tcPr>
          <w:p w14:paraId="41883C39">
            <w:pPr>
              <w:rPr>
                <w:rFonts w:hint="eastAsia" w:ascii="宋体" w:hAnsi="宋体" w:eastAsia="宋体" w:cs="宋体"/>
                <w:b/>
                <w:bCs/>
                <w:i w:val="0"/>
                <w:iCs w:val="0"/>
                <w:color w:val="auto"/>
                <w:sz w:val="18"/>
                <w:szCs w:val="18"/>
                <w:u w:val="none"/>
              </w:rPr>
            </w:pPr>
          </w:p>
        </w:tc>
        <w:tc>
          <w:tcPr>
            <w:tcW w:w="1222" w:type="dxa"/>
            <w:shd w:val="clear" w:color="auto" w:fill="auto"/>
            <w:noWrap/>
            <w:vAlign w:val="bottom"/>
          </w:tcPr>
          <w:p w14:paraId="7BD5BB96">
            <w:pPr>
              <w:rPr>
                <w:rFonts w:hint="eastAsia" w:ascii="宋体" w:hAnsi="宋体" w:eastAsia="宋体" w:cs="宋体"/>
                <w:b/>
                <w:bCs/>
                <w:i w:val="0"/>
                <w:iCs w:val="0"/>
                <w:color w:val="auto"/>
                <w:sz w:val="18"/>
                <w:szCs w:val="18"/>
                <w:u w:val="none"/>
              </w:rPr>
            </w:pPr>
          </w:p>
        </w:tc>
        <w:tc>
          <w:tcPr>
            <w:tcW w:w="1192" w:type="dxa"/>
            <w:shd w:val="clear" w:color="auto" w:fill="auto"/>
            <w:noWrap/>
            <w:vAlign w:val="bottom"/>
          </w:tcPr>
          <w:p w14:paraId="2837ADB9">
            <w:pPr>
              <w:rPr>
                <w:rFonts w:hint="eastAsia" w:ascii="宋体" w:hAnsi="宋体" w:eastAsia="宋体" w:cs="宋体"/>
                <w:b/>
                <w:bCs/>
                <w:i w:val="0"/>
                <w:iCs w:val="0"/>
                <w:color w:val="auto"/>
                <w:sz w:val="18"/>
                <w:szCs w:val="18"/>
                <w:u w:val="none"/>
              </w:rPr>
            </w:pPr>
          </w:p>
        </w:tc>
        <w:tc>
          <w:tcPr>
            <w:tcW w:w="1010" w:type="dxa"/>
            <w:shd w:val="clear" w:color="auto" w:fill="FFFFFF"/>
            <w:noWrap/>
            <w:vAlign w:val="bottom"/>
          </w:tcPr>
          <w:p w14:paraId="0785356F">
            <w:pPr>
              <w:rPr>
                <w:rFonts w:hint="eastAsia" w:ascii="宋体" w:hAnsi="宋体" w:eastAsia="宋体" w:cs="宋体"/>
                <w:b/>
                <w:bCs/>
                <w:i w:val="0"/>
                <w:iCs w:val="0"/>
                <w:color w:val="auto"/>
                <w:sz w:val="18"/>
                <w:szCs w:val="18"/>
                <w:u w:val="none"/>
              </w:rPr>
            </w:pPr>
          </w:p>
        </w:tc>
        <w:tc>
          <w:tcPr>
            <w:tcW w:w="1131" w:type="dxa"/>
            <w:shd w:val="clear" w:color="auto" w:fill="auto"/>
            <w:noWrap/>
            <w:vAlign w:val="bottom"/>
          </w:tcPr>
          <w:p w14:paraId="744DFDB9">
            <w:pPr>
              <w:rPr>
                <w:rFonts w:hint="eastAsia" w:ascii="宋体" w:hAnsi="宋体" w:eastAsia="宋体" w:cs="宋体"/>
                <w:b/>
                <w:bCs/>
                <w:i w:val="0"/>
                <w:iCs w:val="0"/>
                <w:color w:val="auto"/>
                <w:sz w:val="18"/>
                <w:szCs w:val="18"/>
                <w:u w:val="none"/>
              </w:rPr>
            </w:pPr>
          </w:p>
        </w:tc>
        <w:tc>
          <w:tcPr>
            <w:tcW w:w="860" w:type="dxa"/>
            <w:shd w:val="clear" w:color="auto" w:fill="auto"/>
            <w:noWrap/>
            <w:vAlign w:val="bottom"/>
          </w:tcPr>
          <w:p w14:paraId="29B618CF">
            <w:pPr>
              <w:rPr>
                <w:rFonts w:hint="eastAsia" w:ascii="宋体" w:hAnsi="宋体" w:eastAsia="宋体" w:cs="宋体"/>
                <w:b/>
                <w:bCs/>
                <w:i w:val="0"/>
                <w:iCs w:val="0"/>
                <w:color w:val="auto"/>
                <w:sz w:val="18"/>
                <w:szCs w:val="18"/>
                <w:u w:val="none"/>
              </w:rPr>
            </w:pPr>
          </w:p>
        </w:tc>
        <w:tc>
          <w:tcPr>
            <w:tcW w:w="1228" w:type="dxa"/>
            <w:shd w:val="clear" w:color="auto" w:fill="auto"/>
            <w:noWrap/>
            <w:vAlign w:val="bottom"/>
          </w:tcPr>
          <w:p w14:paraId="506A7B63">
            <w:pPr>
              <w:rPr>
                <w:rFonts w:hint="eastAsia" w:ascii="宋体" w:hAnsi="宋体" w:eastAsia="宋体" w:cs="宋体"/>
                <w:b/>
                <w:bCs/>
                <w:i w:val="0"/>
                <w:iCs w:val="0"/>
                <w:color w:val="auto"/>
                <w:sz w:val="18"/>
                <w:szCs w:val="18"/>
                <w:u w:val="none"/>
              </w:rPr>
            </w:pPr>
          </w:p>
        </w:tc>
      </w:tr>
      <w:tr w14:paraId="5B1AF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trPr>
        <w:tc>
          <w:tcPr>
            <w:tcW w:w="662" w:type="dxa"/>
            <w:shd w:val="clear" w:color="auto" w:fill="auto"/>
            <w:noWrap/>
            <w:vAlign w:val="center"/>
          </w:tcPr>
          <w:p w14:paraId="6F31F682">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w:t>
            </w:r>
          </w:p>
        </w:tc>
        <w:tc>
          <w:tcPr>
            <w:tcW w:w="1378" w:type="dxa"/>
            <w:shd w:val="clear" w:color="auto" w:fill="auto"/>
            <w:vAlign w:val="center"/>
          </w:tcPr>
          <w:p w14:paraId="53B15BD5">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年度报表审计与财务收支审计</w:t>
            </w:r>
          </w:p>
        </w:tc>
        <w:tc>
          <w:tcPr>
            <w:tcW w:w="2516" w:type="dxa"/>
            <w:shd w:val="clear" w:color="auto" w:fill="auto"/>
            <w:noWrap/>
            <w:vAlign w:val="center"/>
          </w:tcPr>
          <w:p w14:paraId="6FB6D92D">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1500</w:t>
            </w:r>
          </w:p>
        </w:tc>
        <w:tc>
          <w:tcPr>
            <w:tcW w:w="1164" w:type="dxa"/>
            <w:shd w:val="clear" w:color="auto" w:fill="auto"/>
            <w:noWrap/>
            <w:vAlign w:val="center"/>
          </w:tcPr>
          <w:p w14:paraId="72AB43A2">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3000</w:t>
            </w:r>
          </w:p>
        </w:tc>
        <w:tc>
          <w:tcPr>
            <w:tcW w:w="1297" w:type="dxa"/>
            <w:shd w:val="clear" w:color="auto" w:fill="auto"/>
            <w:noWrap/>
            <w:vAlign w:val="center"/>
          </w:tcPr>
          <w:p w14:paraId="23B53772">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6000</w:t>
            </w:r>
          </w:p>
        </w:tc>
        <w:tc>
          <w:tcPr>
            <w:tcW w:w="1222" w:type="dxa"/>
            <w:shd w:val="clear" w:color="auto" w:fill="auto"/>
            <w:noWrap/>
            <w:vAlign w:val="center"/>
          </w:tcPr>
          <w:p w14:paraId="181D8E16">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10000</w:t>
            </w:r>
          </w:p>
        </w:tc>
        <w:tc>
          <w:tcPr>
            <w:tcW w:w="1192" w:type="dxa"/>
            <w:shd w:val="clear" w:color="auto" w:fill="auto"/>
            <w:noWrap/>
            <w:vAlign w:val="center"/>
          </w:tcPr>
          <w:p w14:paraId="1C97D414">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15000</w:t>
            </w:r>
          </w:p>
        </w:tc>
        <w:tc>
          <w:tcPr>
            <w:tcW w:w="1010" w:type="dxa"/>
            <w:shd w:val="clear" w:color="auto" w:fill="FFFFFF"/>
            <w:noWrap/>
            <w:vAlign w:val="center"/>
          </w:tcPr>
          <w:p w14:paraId="2DC0E01F">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25000</w:t>
            </w:r>
          </w:p>
        </w:tc>
        <w:tc>
          <w:tcPr>
            <w:tcW w:w="1131" w:type="dxa"/>
            <w:shd w:val="clear" w:color="auto" w:fill="auto"/>
            <w:noWrap/>
            <w:vAlign w:val="center"/>
          </w:tcPr>
          <w:p w14:paraId="649DDD0A">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30000</w:t>
            </w:r>
          </w:p>
        </w:tc>
        <w:tc>
          <w:tcPr>
            <w:tcW w:w="860" w:type="dxa"/>
            <w:shd w:val="clear" w:color="auto" w:fill="auto"/>
            <w:noWrap/>
            <w:vAlign w:val="center"/>
          </w:tcPr>
          <w:p w14:paraId="2EA0C9FC">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万分之1.5</w:t>
            </w:r>
          </w:p>
        </w:tc>
        <w:tc>
          <w:tcPr>
            <w:tcW w:w="1228" w:type="dxa"/>
            <w:shd w:val="clear" w:color="auto" w:fill="auto"/>
            <w:vAlign w:val="center"/>
          </w:tcPr>
          <w:p w14:paraId="3D307C57">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对汇总或者合并会计报表单位的审计，其独立核算单位应分别计算收费</w:t>
            </w:r>
          </w:p>
        </w:tc>
      </w:tr>
      <w:tr w14:paraId="7947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1" w:hRule="atLeast"/>
        </w:trPr>
        <w:tc>
          <w:tcPr>
            <w:tcW w:w="662" w:type="dxa"/>
            <w:shd w:val="clear" w:color="auto" w:fill="auto"/>
            <w:noWrap/>
            <w:vAlign w:val="center"/>
          </w:tcPr>
          <w:p w14:paraId="50190754">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2</w:t>
            </w:r>
          </w:p>
        </w:tc>
        <w:tc>
          <w:tcPr>
            <w:tcW w:w="1378" w:type="dxa"/>
            <w:shd w:val="clear" w:color="auto" w:fill="auto"/>
            <w:noWrap/>
            <w:vAlign w:val="bottom"/>
          </w:tcPr>
          <w:p w14:paraId="38C94BE4">
            <w:pPr>
              <w:keepNext w:val="0"/>
              <w:keepLines w:val="0"/>
              <w:widowControl/>
              <w:suppressLineNumbers w:val="0"/>
              <w:jc w:val="left"/>
              <w:textAlignment w:val="bottom"/>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中期报表审计</w:t>
            </w:r>
          </w:p>
        </w:tc>
        <w:tc>
          <w:tcPr>
            <w:tcW w:w="10392" w:type="dxa"/>
            <w:gridSpan w:val="8"/>
            <w:shd w:val="clear" w:color="auto" w:fill="auto"/>
            <w:noWrap/>
            <w:vAlign w:val="bottom"/>
          </w:tcPr>
          <w:p w14:paraId="210ACE33">
            <w:pPr>
              <w:keepNext w:val="0"/>
              <w:keepLines w:val="0"/>
              <w:widowControl/>
              <w:suppressLineNumbers w:val="0"/>
              <w:jc w:val="left"/>
              <w:textAlignment w:val="bottom"/>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按年度报表审计收费标准的60%执行。</w:t>
            </w:r>
          </w:p>
        </w:tc>
        <w:tc>
          <w:tcPr>
            <w:tcW w:w="1228" w:type="dxa"/>
            <w:shd w:val="clear" w:color="auto" w:fill="auto"/>
            <w:noWrap/>
            <w:vAlign w:val="bottom"/>
          </w:tcPr>
          <w:p w14:paraId="0AF3A661">
            <w:pPr>
              <w:rPr>
                <w:rFonts w:hint="eastAsia" w:ascii="宋体" w:hAnsi="宋体" w:eastAsia="宋体" w:cs="宋体"/>
                <w:b/>
                <w:bCs/>
                <w:i w:val="0"/>
                <w:iCs w:val="0"/>
                <w:color w:val="auto"/>
                <w:sz w:val="18"/>
                <w:szCs w:val="18"/>
                <w:u w:val="none"/>
              </w:rPr>
            </w:pPr>
          </w:p>
        </w:tc>
      </w:tr>
      <w:tr w14:paraId="7821F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662" w:type="dxa"/>
            <w:shd w:val="clear" w:color="auto" w:fill="auto"/>
            <w:noWrap/>
            <w:vAlign w:val="center"/>
          </w:tcPr>
          <w:p w14:paraId="0464B5D4">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（三）</w:t>
            </w:r>
          </w:p>
        </w:tc>
        <w:tc>
          <w:tcPr>
            <w:tcW w:w="1378" w:type="dxa"/>
            <w:shd w:val="clear" w:color="auto" w:fill="auto"/>
            <w:vAlign w:val="bottom"/>
          </w:tcPr>
          <w:p w14:paraId="78776932">
            <w:pPr>
              <w:keepNext w:val="0"/>
              <w:keepLines w:val="0"/>
              <w:widowControl/>
              <w:suppressLineNumbers w:val="0"/>
              <w:jc w:val="left"/>
              <w:textAlignment w:val="bottom"/>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专项审计（元/次）</w:t>
            </w:r>
          </w:p>
        </w:tc>
        <w:tc>
          <w:tcPr>
            <w:tcW w:w="2516" w:type="dxa"/>
            <w:shd w:val="clear" w:color="auto" w:fill="auto"/>
            <w:noWrap/>
            <w:vAlign w:val="bottom"/>
          </w:tcPr>
          <w:p w14:paraId="66361F00">
            <w:pPr>
              <w:rPr>
                <w:rFonts w:hint="eastAsia" w:ascii="宋体" w:hAnsi="宋体" w:eastAsia="宋体" w:cs="宋体"/>
                <w:b/>
                <w:bCs/>
                <w:i w:val="0"/>
                <w:iCs w:val="0"/>
                <w:color w:val="auto"/>
                <w:sz w:val="18"/>
                <w:szCs w:val="18"/>
                <w:u w:val="none"/>
              </w:rPr>
            </w:pPr>
          </w:p>
        </w:tc>
        <w:tc>
          <w:tcPr>
            <w:tcW w:w="1164" w:type="dxa"/>
            <w:shd w:val="clear" w:color="auto" w:fill="auto"/>
            <w:noWrap/>
            <w:vAlign w:val="bottom"/>
          </w:tcPr>
          <w:p w14:paraId="5124346A">
            <w:pPr>
              <w:rPr>
                <w:rFonts w:hint="eastAsia" w:ascii="宋体" w:hAnsi="宋体" w:eastAsia="宋体" w:cs="宋体"/>
                <w:b/>
                <w:bCs/>
                <w:i w:val="0"/>
                <w:iCs w:val="0"/>
                <w:color w:val="auto"/>
                <w:sz w:val="18"/>
                <w:szCs w:val="18"/>
                <w:u w:val="none"/>
              </w:rPr>
            </w:pPr>
          </w:p>
        </w:tc>
        <w:tc>
          <w:tcPr>
            <w:tcW w:w="1297" w:type="dxa"/>
            <w:shd w:val="clear" w:color="auto" w:fill="auto"/>
            <w:noWrap/>
            <w:vAlign w:val="bottom"/>
          </w:tcPr>
          <w:p w14:paraId="47D5B921">
            <w:pPr>
              <w:rPr>
                <w:rFonts w:hint="eastAsia" w:ascii="宋体" w:hAnsi="宋体" w:eastAsia="宋体" w:cs="宋体"/>
                <w:b/>
                <w:bCs/>
                <w:i w:val="0"/>
                <w:iCs w:val="0"/>
                <w:color w:val="auto"/>
                <w:sz w:val="18"/>
                <w:szCs w:val="18"/>
                <w:u w:val="none"/>
              </w:rPr>
            </w:pPr>
          </w:p>
        </w:tc>
        <w:tc>
          <w:tcPr>
            <w:tcW w:w="1222" w:type="dxa"/>
            <w:shd w:val="clear" w:color="auto" w:fill="auto"/>
            <w:noWrap/>
            <w:vAlign w:val="bottom"/>
          </w:tcPr>
          <w:p w14:paraId="0E28F3B1">
            <w:pPr>
              <w:rPr>
                <w:rFonts w:hint="eastAsia" w:ascii="宋体" w:hAnsi="宋体" w:eastAsia="宋体" w:cs="宋体"/>
                <w:b/>
                <w:bCs/>
                <w:i w:val="0"/>
                <w:iCs w:val="0"/>
                <w:color w:val="auto"/>
                <w:sz w:val="18"/>
                <w:szCs w:val="18"/>
                <w:u w:val="none"/>
              </w:rPr>
            </w:pPr>
          </w:p>
        </w:tc>
        <w:tc>
          <w:tcPr>
            <w:tcW w:w="1192" w:type="dxa"/>
            <w:shd w:val="clear" w:color="auto" w:fill="auto"/>
            <w:noWrap/>
            <w:vAlign w:val="bottom"/>
          </w:tcPr>
          <w:p w14:paraId="1F047B12">
            <w:pPr>
              <w:rPr>
                <w:rFonts w:hint="eastAsia" w:ascii="宋体" w:hAnsi="宋体" w:eastAsia="宋体" w:cs="宋体"/>
                <w:b/>
                <w:bCs/>
                <w:i w:val="0"/>
                <w:iCs w:val="0"/>
                <w:color w:val="auto"/>
                <w:sz w:val="18"/>
                <w:szCs w:val="18"/>
                <w:u w:val="none"/>
              </w:rPr>
            </w:pPr>
          </w:p>
        </w:tc>
        <w:tc>
          <w:tcPr>
            <w:tcW w:w="1010" w:type="dxa"/>
            <w:shd w:val="clear" w:color="auto" w:fill="FFFFFF"/>
            <w:noWrap/>
            <w:vAlign w:val="bottom"/>
          </w:tcPr>
          <w:p w14:paraId="72432C89">
            <w:pPr>
              <w:rPr>
                <w:rFonts w:hint="eastAsia" w:ascii="宋体" w:hAnsi="宋体" w:eastAsia="宋体" w:cs="宋体"/>
                <w:b/>
                <w:bCs/>
                <w:i w:val="0"/>
                <w:iCs w:val="0"/>
                <w:color w:val="auto"/>
                <w:sz w:val="18"/>
                <w:szCs w:val="18"/>
                <w:u w:val="none"/>
              </w:rPr>
            </w:pPr>
          </w:p>
        </w:tc>
        <w:tc>
          <w:tcPr>
            <w:tcW w:w="1131" w:type="dxa"/>
            <w:shd w:val="clear" w:color="auto" w:fill="auto"/>
            <w:noWrap/>
            <w:vAlign w:val="bottom"/>
          </w:tcPr>
          <w:p w14:paraId="0BCE2F9D">
            <w:pPr>
              <w:rPr>
                <w:rFonts w:hint="eastAsia" w:ascii="宋体" w:hAnsi="宋体" w:eastAsia="宋体" w:cs="宋体"/>
                <w:b/>
                <w:bCs/>
                <w:i w:val="0"/>
                <w:iCs w:val="0"/>
                <w:color w:val="auto"/>
                <w:sz w:val="18"/>
                <w:szCs w:val="18"/>
                <w:u w:val="none"/>
              </w:rPr>
            </w:pPr>
          </w:p>
        </w:tc>
        <w:tc>
          <w:tcPr>
            <w:tcW w:w="860" w:type="dxa"/>
            <w:shd w:val="clear" w:color="auto" w:fill="auto"/>
            <w:noWrap/>
            <w:vAlign w:val="bottom"/>
          </w:tcPr>
          <w:p w14:paraId="35DFA836">
            <w:pPr>
              <w:rPr>
                <w:rFonts w:hint="eastAsia" w:ascii="宋体" w:hAnsi="宋体" w:eastAsia="宋体" w:cs="宋体"/>
                <w:b/>
                <w:bCs/>
                <w:i w:val="0"/>
                <w:iCs w:val="0"/>
                <w:color w:val="auto"/>
                <w:sz w:val="18"/>
                <w:szCs w:val="18"/>
                <w:u w:val="none"/>
              </w:rPr>
            </w:pPr>
          </w:p>
        </w:tc>
        <w:tc>
          <w:tcPr>
            <w:tcW w:w="1228" w:type="dxa"/>
            <w:shd w:val="clear" w:color="auto" w:fill="auto"/>
            <w:noWrap/>
            <w:vAlign w:val="bottom"/>
          </w:tcPr>
          <w:p w14:paraId="71C95C65">
            <w:pPr>
              <w:rPr>
                <w:rFonts w:hint="eastAsia" w:ascii="宋体" w:hAnsi="宋体" w:eastAsia="宋体" w:cs="宋体"/>
                <w:b/>
                <w:bCs/>
                <w:i w:val="0"/>
                <w:iCs w:val="0"/>
                <w:color w:val="auto"/>
                <w:sz w:val="18"/>
                <w:szCs w:val="18"/>
                <w:u w:val="none"/>
              </w:rPr>
            </w:pPr>
          </w:p>
        </w:tc>
      </w:tr>
      <w:tr w14:paraId="460D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662" w:type="dxa"/>
            <w:shd w:val="clear" w:color="auto" w:fill="auto"/>
            <w:noWrap/>
            <w:vAlign w:val="center"/>
          </w:tcPr>
          <w:p w14:paraId="3D016CA0">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w:t>
            </w:r>
          </w:p>
        </w:tc>
        <w:tc>
          <w:tcPr>
            <w:tcW w:w="1378" w:type="dxa"/>
            <w:shd w:val="clear" w:color="auto" w:fill="auto"/>
            <w:vAlign w:val="center"/>
          </w:tcPr>
          <w:p w14:paraId="55BF3C35">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基建竣工财务决算审计</w:t>
            </w:r>
          </w:p>
        </w:tc>
        <w:tc>
          <w:tcPr>
            <w:tcW w:w="10392" w:type="dxa"/>
            <w:gridSpan w:val="8"/>
            <w:shd w:val="clear" w:color="auto" w:fill="auto"/>
            <w:vAlign w:val="bottom"/>
          </w:tcPr>
          <w:p w14:paraId="3C147B4A">
            <w:pPr>
              <w:keepNext w:val="0"/>
              <w:keepLines w:val="0"/>
              <w:widowControl/>
              <w:suppressLineNumbers w:val="0"/>
              <w:jc w:val="left"/>
              <w:textAlignment w:val="bottom"/>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按决算金额的1‰-2‰计算基本收费，同时，按核减额（节约额）的4%-6%计算效益审计费一并计费，每个项目最低收费不低于3000元。</w:t>
            </w:r>
          </w:p>
        </w:tc>
        <w:tc>
          <w:tcPr>
            <w:tcW w:w="1228" w:type="dxa"/>
            <w:shd w:val="clear" w:color="auto" w:fill="auto"/>
            <w:noWrap/>
            <w:vAlign w:val="bottom"/>
          </w:tcPr>
          <w:p w14:paraId="3C63691D">
            <w:pPr>
              <w:rPr>
                <w:rFonts w:hint="eastAsia" w:ascii="宋体" w:hAnsi="宋体" w:eastAsia="宋体" w:cs="宋体"/>
                <w:b/>
                <w:bCs/>
                <w:i w:val="0"/>
                <w:iCs w:val="0"/>
                <w:color w:val="auto"/>
                <w:sz w:val="18"/>
                <w:szCs w:val="18"/>
                <w:u w:val="none"/>
              </w:rPr>
            </w:pPr>
          </w:p>
        </w:tc>
      </w:tr>
      <w:tr w14:paraId="0C21D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2" w:type="dxa"/>
            <w:shd w:val="clear" w:color="auto" w:fill="auto"/>
            <w:noWrap/>
            <w:vAlign w:val="center"/>
          </w:tcPr>
          <w:p w14:paraId="7979EF94">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2</w:t>
            </w:r>
          </w:p>
        </w:tc>
        <w:tc>
          <w:tcPr>
            <w:tcW w:w="1378" w:type="dxa"/>
            <w:shd w:val="clear" w:color="auto" w:fill="auto"/>
            <w:vAlign w:val="bottom"/>
          </w:tcPr>
          <w:p w14:paraId="22415F33">
            <w:pPr>
              <w:keepNext w:val="0"/>
              <w:keepLines w:val="0"/>
              <w:widowControl/>
              <w:suppressLineNumbers w:val="0"/>
              <w:jc w:val="left"/>
              <w:textAlignment w:val="bottom"/>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司法鉴定审计</w:t>
            </w:r>
          </w:p>
        </w:tc>
        <w:tc>
          <w:tcPr>
            <w:tcW w:w="10392" w:type="dxa"/>
            <w:gridSpan w:val="8"/>
            <w:shd w:val="clear" w:color="auto" w:fill="auto"/>
            <w:noWrap/>
            <w:vAlign w:val="bottom"/>
          </w:tcPr>
          <w:p w14:paraId="5D317688">
            <w:pPr>
              <w:keepNext w:val="0"/>
              <w:keepLines w:val="0"/>
              <w:widowControl/>
              <w:suppressLineNumbers w:val="0"/>
              <w:jc w:val="left"/>
              <w:textAlignment w:val="bottom"/>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按司法鉴定收费标准计。</w:t>
            </w:r>
          </w:p>
        </w:tc>
        <w:tc>
          <w:tcPr>
            <w:tcW w:w="1228" w:type="dxa"/>
            <w:shd w:val="clear" w:color="auto" w:fill="auto"/>
            <w:noWrap/>
            <w:vAlign w:val="bottom"/>
          </w:tcPr>
          <w:p w14:paraId="1C1DF825">
            <w:pPr>
              <w:rPr>
                <w:rFonts w:hint="eastAsia" w:ascii="宋体" w:hAnsi="宋体" w:eastAsia="宋体" w:cs="宋体"/>
                <w:b/>
                <w:bCs/>
                <w:i w:val="0"/>
                <w:iCs w:val="0"/>
                <w:color w:val="auto"/>
                <w:sz w:val="18"/>
                <w:szCs w:val="18"/>
                <w:u w:val="none"/>
              </w:rPr>
            </w:pPr>
          </w:p>
        </w:tc>
      </w:tr>
      <w:tr w14:paraId="26D5D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1" w:hRule="atLeast"/>
        </w:trPr>
        <w:tc>
          <w:tcPr>
            <w:tcW w:w="662" w:type="dxa"/>
            <w:shd w:val="clear" w:color="auto" w:fill="auto"/>
            <w:noWrap/>
            <w:vAlign w:val="center"/>
          </w:tcPr>
          <w:p w14:paraId="4255E2FC">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3</w:t>
            </w:r>
          </w:p>
        </w:tc>
        <w:tc>
          <w:tcPr>
            <w:tcW w:w="1378" w:type="dxa"/>
            <w:shd w:val="clear" w:color="auto" w:fill="auto"/>
            <w:vAlign w:val="bottom"/>
          </w:tcPr>
          <w:p w14:paraId="277E8D57">
            <w:pPr>
              <w:keepNext w:val="0"/>
              <w:keepLines w:val="0"/>
              <w:widowControl/>
              <w:suppressLineNumbers w:val="0"/>
              <w:jc w:val="left"/>
              <w:textAlignment w:val="bottom"/>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经济责任审计</w:t>
            </w:r>
          </w:p>
        </w:tc>
        <w:tc>
          <w:tcPr>
            <w:tcW w:w="10392" w:type="dxa"/>
            <w:gridSpan w:val="8"/>
            <w:shd w:val="clear" w:color="auto" w:fill="auto"/>
            <w:noWrap/>
            <w:vAlign w:val="bottom"/>
          </w:tcPr>
          <w:p w14:paraId="317AC82F">
            <w:pPr>
              <w:keepNext w:val="0"/>
              <w:keepLines w:val="0"/>
              <w:widowControl/>
              <w:suppressLineNumbers w:val="0"/>
              <w:jc w:val="left"/>
              <w:textAlignment w:val="bottom"/>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按审计期间分年度计算收费，各年度收费按财务报表审计收费标准计收。</w:t>
            </w:r>
          </w:p>
        </w:tc>
        <w:tc>
          <w:tcPr>
            <w:tcW w:w="1228" w:type="dxa"/>
            <w:shd w:val="clear" w:color="auto" w:fill="auto"/>
            <w:noWrap/>
            <w:vAlign w:val="bottom"/>
          </w:tcPr>
          <w:p w14:paraId="187BAE4F">
            <w:pPr>
              <w:rPr>
                <w:rFonts w:hint="eastAsia" w:ascii="宋体" w:hAnsi="宋体" w:eastAsia="宋体" w:cs="宋体"/>
                <w:b/>
                <w:bCs/>
                <w:i w:val="0"/>
                <w:iCs w:val="0"/>
                <w:color w:val="auto"/>
                <w:sz w:val="18"/>
                <w:szCs w:val="18"/>
                <w:u w:val="none"/>
              </w:rPr>
            </w:pPr>
          </w:p>
        </w:tc>
      </w:tr>
      <w:tr w14:paraId="45E9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662" w:type="dxa"/>
            <w:shd w:val="clear" w:color="auto" w:fill="auto"/>
            <w:noWrap/>
            <w:vAlign w:val="center"/>
          </w:tcPr>
          <w:p w14:paraId="4F356E91">
            <w:pPr>
              <w:keepNext w:val="0"/>
              <w:keepLines w:val="0"/>
              <w:widowControl/>
              <w:suppressLineNumbers w:val="0"/>
              <w:jc w:val="righ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4</w:t>
            </w:r>
          </w:p>
        </w:tc>
        <w:tc>
          <w:tcPr>
            <w:tcW w:w="1378" w:type="dxa"/>
            <w:shd w:val="clear" w:color="auto" w:fill="auto"/>
            <w:vAlign w:val="center"/>
          </w:tcPr>
          <w:p w14:paraId="4B9C5BD9">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改制、清算、合并、分立、清产核资等</w:t>
            </w:r>
          </w:p>
        </w:tc>
        <w:tc>
          <w:tcPr>
            <w:tcW w:w="2516" w:type="dxa"/>
            <w:shd w:val="clear" w:color="auto" w:fill="auto"/>
            <w:noWrap/>
            <w:vAlign w:val="center"/>
          </w:tcPr>
          <w:p w14:paraId="5E82FC82">
            <w:pPr>
              <w:rPr>
                <w:rFonts w:hint="eastAsia" w:ascii="宋体" w:hAnsi="宋体" w:eastAsia="宋体" w:cs="宋体"/>
                <w:b/>
                <w:bCs/>
                <w:i w:val="0"/>
                <w:iCs w:val="0"/>
                <w:color w:val="auto"/>
                <w:sz w:val="18"/>
                <w:szCs w:val="18"/>
                <w:u w:val="none"/>
              </w:rPr>
            </w:pPr>
          </w:p>
        </w:tc>
        <w:tc>
          <w:tcPr>
            <w:tcW w:w="1164" w:type="dxa"/>
            <w:shd w:val="clear" w:color="auto" w:fill="auto"/>
            <w:vAlign w:val="center"/>
          </w:tcPr>
          <w:p w14:paraId="7372D13C">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（100万元以下）1000元</w:t>
            </w:r>
          </w:p>
        </w:tc>
        <w:tc>
          <w:tcPr>
            <w:tcW w:w="1297" w:type="dxa"/>
            <w:shd w:val="clear" w:color="auto" w:fill="auto"/>
            <w:noWrap/>
            <w:vAlign w:val="center"/>
          </w:tcPr>
          <w:p w14:paraId="318F749D">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w:t>
            </w:r>
          </w:p>
        </w:tc>
        <w:tc>
          <w:tcPr>
            <w:tcW w:w="1222" w:type="dxa"/>
            <w:shd w:val="clear" w:color="auto" w:fill="auto"/>
            <w:noWrap/>
            <w:vAlign w:val="center"/>
          </w:tcPr>
          <w:p w14:paraId="506EC4E7">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0.7‰</w:t>
            </w:r>
          </w:p>
        </w:tc>
        <w:tc>
          <w:tcPr>
            <w:tcW w:w="1192" w:type="dxa"/>
            <w:shd w:val="clear" w:color="auto" w:fill="auto"/>
            <w:noWrap/>
            <w:vAlign w:val="center"/>
          </w:tcPr>
          <w:p w14:paraId="56CDCB2E">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0.5‰</w:t>
            </w:r>
          </w:p>
        </w:tc>
        <w:tc>
          <w:tcPr>
            <w:tcW w:w="1010" w:type="dxa"/>
            <w:shd w:val="clear" w:color="auto" w:fill="FFFFFF"/>
            <w:noWrap/>
            <w:vAlign w:val="center"/>
          </w:tcPr>
          <w:p w14:paraId="676840A7">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0.33‰</w:t>
            </w:r>
          </w:p>
        </w:tc>
        <w:tc>
          <w:tcPr>
            <w:tcW w:w="1131" w:type="dxa"/>
            <w:shd w:val="clear" w:color="auto" w:fill="auto"/>
            <w:noWrap/>
            <w:vAlign w:val="center"/>
          </w:tcPr>
          <w:p w14:paraId="08FC454E">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0.23‰</w:t>
            </w:r>
          </w:p>
        </w:tc>
        <w:tc>
          <w:tcPr>
            <w:tcW w:w="860" w:type="dxa"/>
            <w:shd w:val="clear" w:color="auto" w:fill="auto"/>
            <w:noWrap/>
            <w:vAlign w:val="center"/>
          </w:tcPr>
          <w:p w14:paraId="30B213A1">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0.1‰</w:t>
            </w:r>
          </w:p>
        </w:tc>
        <w:tc>
          <w:tcPr>
            <w:tcW w:w="1228" w:type="dxa"/>
            <w:shd w:val="clear" w:color="auto" w:fill="auto"/>
            <w:noWrap/>
            <w:vAlign w:val="center"/>
          </w:tcPr>
          <w:p w14:paraId="348CAB48">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分段累进计算</w:t>
            </w:r>
          </w:p>
        </w:tc>
      </w:tr>
      <w:tr w14:paraId="7E903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1" w:hRule="atLeast"/>
        </w:trPr>
        <w:tc>
          <w:tcPr>
            <w:tcW w:w="662" w:type="dxa"/>
            <w:shd w:val="clear" w:color="auto" w:fill="auto"/>
            <w:noWrap/>
            <w:vAlign w:val="center"/>
          </w:tcPr>
          <w:p w14:paraId="4D7CC06B">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5</w:t>
            </w:r>
          </w:p>
        </w:tc>
        <w:tc>
          <w:tcPr>
            <w:tcW w:w="1378" w:type="dxa"/>
            <w:shd w:val="clear" w:color="auto" w:fill="auto"/>
            <w:vAlign w:val="bottom"/>
          </w:tcPr>
          <w:p w14:paraId="7A1BFAF1">
            <w:pPr>
              <w:keepNext w:val="0"/>
              <w:keepLines w:val="0"/>
              <w:widowControl/>
              <w:suppressLineNumbers w:val="0"/>
              <w:jc w:val="left"/>
              <w:textAlignment w:val="bottom"/>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资产损失鉴证</w:t>
            </w:r>
          </w:p>
        </w:tc>
        <w:tc>
          <w:tcPr>
            <w:tcW w:w="10392" w:type="dxa"/>
            <w:gridSpan w:val="8"/>
            <w:shd w:val="clear" w:color="auto" w:fill="auto"/>
            <w:noWrap/>
            <w:vAlign w:val="bottom"/>
          </w:tcPr>
          <w:p w14:paraId="2A78C18D">
            <w:pPr>
              <w:keepNext w:val="0"/>
              <w:keepLines w:val="0"/>
              <w:widowControl/>
              <w:suppressLineNumbers w:val="0"/>
              <w:jc w:val="left"/>
              <w:textAlignment w:val="bottom"/>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按鉴证金额的1%-1.5%计，或按照税务师事务所的收费标准执行。</w:t>
            </w:r>
          </w:p>
        </w:tc>
        <w:tc>
          <w:tcPr>
            <w:tcW w:w="1228" w:type="dxa"/>
            <w:shd w:val="clear" w:color="auto" w:fill="auto"/>
            <w:noWrap/>
            <w:vAlign w:val="bottom"/>
          </w:tcPr>
          <w:p w14:paraId="474F6E82">
            <w:pPr>
              <w:rPr>
                <w:rFonts w:hint="eastAsia" w:ascii="宋体" w:hAnsi="宋体" w:eastAsia="宋体" w:cs="宋体"/>
                <w:b/>
                <w:bCs/>
                <w:i w:val="0"/>
                <w:iCs w:val="0"/>
                <w:color w:val="auto"/>
                <w:sz w:val="18"/>
                <w:szCs w:val="18"/>
                <w:u w:val="none"/>
              </w:rPr>
            </w:pPr>
          </w:p>
        </w:tc>
      </w:tr>
      <w:tr w14:paraId="5894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62" w:type="dxa"/>
            <w:shd w:val="clear" w:color="auto" w:fill="auto"/>
            <w:noWrap/>
            <w:vAlign w:val="center"/>
          </w:tcPr>
          <w:p w14:paraId="5EAAAD76">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6</w:t>
            </w:r>
          </w:p>
        </w:tc>
        <w:tc>
          <w:tcPr>
            <w:tcW w:w="1378" w:type="dxa"/>
            <w:shd w:val="clear" w:color="auto" w:fill="auto"/>
            <w:vAlign w:val="bottom"/>
          </w:tcPr>
          <w:p w14:paraId="50A537DE">
            <w:pPr>
              <w:keepNext w:val="0"/>
              <w:keepLines w:val="0"/>
              <w:widowControl/>
              <w:suppressLineNumbers w:val="0"/>
              <w:jc w:val="left"/>
              <w:textAlignment w:val="bottom"/>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财务报表审阅</w:t>
            </w:r>
          </w:p>
        </w:tc>
        <w:tc>
          <w:tcPr>
            <w:tcW w:w="10392" w:type="dxa"/>
            <w:gridSpan w:val="8"/>
            <w:shd w:val="clear" w:color="auto" w:fill="auto"/>
            <w:noWrap/>
            <w:vAlign w:val="bottom"/>
          </w:tcPr>
          <w:p w14:paraId="0471AB91">
            <w:pPr>
              <w:keepNext w:val="0"/>
              <w:keepLines w:val="0"/>
              <w:widowControl/>
              <w:suppressLineNumbers w:val="0"/>
              <w:jc w:val="left"/>
              <w:textAlignment w:val="bottom"/>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按年度报表审计收费标准的50%执行。</w:t>
            </w:r>
          </w:p>
        </w:tc>
        <w:tc>
          <w:tcPr>
            <w:tcW w:w="1228" w:type="dxa"/>
            <w:shd w:val="clear" w:color="auto" w:fill="auto"/>
            <w:noWrap/>
            <w:vAlign w:val="bottom"/>
          </w:tcPr>
          <w:p w14:paraId="369B486B">
            <w:pPr>
              <w:rPr>
                <w:rFonts w:hint="eastAsia" w:ascii="宋体" w:hAnsi="宋体" w:eastAsia="宋体" w:cs="宋体"/>
                <w:b/>
                <w:bCs/>
                <w:i w:val="0"/>
                <w:iCs w:val="0"/>
                <w:color w:val="auto"/>
                <w:sz w:val="18"/>
                <w:szCs w:val="18"/>
                <w:u w:val="none"/>
              </w:rPr>
            </w:pPr>
          </w:p>
        </w:tc>
      </w:tr>
      <w:tr w14:paraId="0FDEF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62" w:type="dxa"/>
            <w:shd w:val="clear" w:color="auto" w:fill="auto"/>
            <w:noWrap/>
            <w:vAlign w:val="center"/>
          </w:tcPr>
          <w:p w14:paraId="65E4ED63">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7</w:t>
            </w:r>
          </w:p>
        </w:tc>
        <w:tc>
          <w:tcPr>
            <w:tcW w:w="1378" w:type="dxa"/>
            <w:shd w:val="clear" w:color="auto" w:fill="auto"/>
            <w:vAlign w:val="bottom"/>
          </w:tcPr>
          <w:p w14:paraId="6A6B6454">
            <w:pPr>
              <w:keepNext w:val="0"/>
              <w:keepLines w:val="0"/>
              <w:widowControl/>
              <w:suppressLineNumbers w:val="0"/>
              <w:jc w:val="left"/>
              <w:textAlignment w:val="bottom"/>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其他专项审计</w:t>
            </w:r>
          </w:p>
        </w:tc>
        <w:tc>
          <w:tcPr>
            <w:tcW w:w="10392" w:type="dxa"/>
            <w:gridSpan w:val="8"/>
            <w:shd w:val="clear" w:color="auto" w:fill="auto"/>
            <w:noWrap/>
            <w:vAlign w:val="bottom"/>
          </w:tcPr>
          <w:p w14:paraId="51801999">
            <w:pPr>
              <w:keepNext w:val="0"/>
              <w:keepLines w:val="0"/>
              <w:widowControl/>
              <w:suppressLineNumbers w:val="0"/>
              <w:jc w:val="left"/>
              <w:textAlignment w:val="bottom"/>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根据相近或者相似原则参照前面的报表审计、专项审计，承办方与委托方根据审计的实际内容具体协商确定。</w:t>
            </w:r>
          </w:p>
        </w:tc>
        <w:tc>
          <w:tcPr>
            <w:tcW w:w="1228" w:type="dxa"/>
            <w:shd w:val="clear" w:color="auto" w:fill="auto"/>
            <w:noWrap/>
            <w:vAlign w:val="bottom"/>
          </w:tcPr>
          <w:p w14:paraId="2F88743D">
            <w:pPr>
              <w:rPr>
                <w:rFonts w:hint="eastAsia" w:ascii="宋体" w:hAnsi="宋体" w:eastAsia="宋体" w:cs="宋体"/>
                <w:b/>
                <w:bCs/>
                <w:i w:val="0"/>
                <w:iCs w:val="0"/>
                <w:color w:val="auto"/>
                <w:sz w:val="18"/>
                <w:szCs w:val="18"/>
                <w:u w:val="none"/>
              </w:rPr>
            </w:pPr>
          </w:p>
        </w:tc>
      </w:tr>
      <w:tr w14:paraId="0507B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1" w:hRule="atLeast"/>
        </w:trPr>
        <w:tc>
          <w:tcPr>
            <w:tcW w:w="662" w:type="dxa"/>
            <w:shd w:val="clear" w:color="auto" w:fill="auto"/>
            <w:noWrap/>
            <w:vAlign w:val="center"/>
          </w:tcPr>
          <w:p w14:paraId="28748AD9">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(四)</w:t>
            </w:r>
          </w:p>
        </w:tc>
        <w:tc>
          <w:tcPr>
            <w:tcW w:w="1378" w:type="dxa"/>
            <w:shd w:val="clear" w:color="auto" w:fill="auto"/>
            <w:vAlign w:val="bottom"/>
          </w:tcPr>
          <w:p w14:paraId="51F0F71D">
            <w:pPr>
              <w:keepNext w:val="0"/>
              <w:keepLines w:val="0"/>
              <w:widowControl/>
              <w:suppressLineNumbers w:val="0"/>
              <w:jc w:val="left"/>
              <w:textAlignment w:val="bottom"/>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咨询业务</w:t>
            </w:r>
          </w:p>
        </w:tc>
        <w:tc>
          <w:tcPr>
            <w:tcW w:w="10392" w:type="dxa"/>
            <w:gridSpan w:val="8"/>
            <w:shd w:val="clear" w:color="auto" w:fill="auto"/>
            <w:noWrap/>
            <w:vAlign w:val="bottom"/>
          </w:tcPr>
          <w:p w14:paraId="78EEAEFF">
            <w:pPr>
              <w:keepNext w:val="0"/>
              <w:keepLines w:val="0"/>
              <w:widowControl/>
              <w:suppressLineNumbers w:val="0"/>
              <w:jc w:val="left"/>
              <w:textAlignment w:val="bottom"/>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根据业务复杂程度由双方协商确定。</w:t>
            </w:r>
          </w:p>
        </w:tc>
        <w:tc>
          <w:tcPr>
            <w:tcW w:w="1228" w:type="dxa"/>
            <w:shd w:val="clear" w:color="auto" w:fill="auto"/>
            <w:noWrap/>
            <w:vAlign w:val="bottom"/>
          </w:tcPr>
          <w:p w14:paraId="1C8A7306">
            <w:pPr>
              <w:rPr>
                <w:rFonts w:hint="eastAsia" w:ascii="宋体" w:hAnsi="宋体" w:eastAsia="宋体" w:cs="宋体"/>
                <w:b/>
                <w:bCs/>
                <w:i w:val="0"/>
                <w:iCs w:val="0"/>
                <w:color w:val="auto"/>
                <w:sz w:val="18"/>
                <w:szCs w:val="18"/>
                <w:u w:val="none"/>
              </w:rPr>
            </w:pPr>
          </w:p>
        </w:tc>
      </w:tr>
      <w:tr w14:paraId="2570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9" w:hRule="atLeast"/>
        </w:trPr>
        <w:tc>
          <w:tcPr>
            <w:tcW w:w="662" w:type="dxa"/>
            <w:shd w:val="clear" w:color="auto" w:fill="auto"/>
            <w:noWrap/>
            <w:vAlign w:val="center"/>
          </w:tcPr>
          <w:p w14:paraId="1D35A5E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注：</w:t>
            </w:r>
          </w:p>
        </w:tc>
        <w:tc>
          <w:tcPr>
            <w:tcW w:w="12998" w:type="dxa"/>
            <w:gridSpan w:val="10"/>
            <w:shd w:val="clear" w:color="auto" w:fill="auto"/>
            <w:vAlign w:val="bottom"/>
          </w:tcPr>
          <w:p w14:paraId="279D7ED6">
            <w:pPr>
              <w:keepNext w:val="0"/>
              <w:keepLines w:val="0"/>
              <w:widowControl/>
              <w:suppressLineNumbers w:val="0"/>
              <w:jc w:val="left"/>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1、验资业务不适用计时收费方式。验资业务的计费基础为验证资本总额，审计业务以资产总额或总收入等反映审计对象规模的指标中最大者为计费依据；</w:t>
            </w:r>
          </w:p>
        </w:tc>
      </w:tr>
      <w:tr w14:paraId="21BB0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62" w:type="dxa"/>
            <w:shd w:val="clear" w:color="auto" w:fill="auto"/>
            <w:noWrap/>
            <w:vAlign w:val="center"/>
          </w:tcPr>
          <w:p w14:paraId="0D4E70D4">
            <w:pPr>
              <w:jc w:val="center"/>
              <w:rPr>
                <w:rFonts w:hint="eastAsia" w:ascii="宋体" w:hAnsi="宋体" w:eastAsia="宋体" w:cs="宋体"/>
                <w:i w:val="0"/>
                <w:iCs w:val="0"/>
                <w:color w:val="auto"/>
                <w:sz w:val="18"/>
                <w:szCs w:val="18"/>
                <w:u w:val="none"/>
              </w:rPr>
            </w:pPr>
          </w:p>
        </w:tc>
        <w:tc>
          <w:tcPr>
            <w:tcW w:w="12998" w:type="dxa"/>
            <w:gridSpan w:val="10"/>
            <w:shd w:val="clear" w:color="auto" w:fill="auto"/>
            <w:vAlign w:val="bottom"/>
          </w:tcPr>
          <w:p w14:paraId="1BF9D41B">
            <w:pPr>
              <w:keepNext w:val="0"/>
              <w:keepLines w:val="0"/>
              <w:widowControl/>
              <w:suppressLineNumbers w:val="0"/>
              <w:jc w:val="left"/>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2、本通知收费标准的计费方式，未注明按差额定率累进办法计算的均为分档一次计费方式；</w:t>
            </w:r>
          </w:p>
        </w:tc>
      </w:tr>
      <w:tr w14:paraId="3517B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3" w:hRule="atLeast"/>
        </w:trPr>
        <w:tc>
          <w:tcPr>
            <w:tcW w:w="662" w:type="dxa"/>
            <w:shd w:val="clear" w:color="auto" w:fill="auto"/>
            <w:noWrap/>
            <w:vAlign w:val="center"/>
          </w:tcPr>
          <w:p w14:paraId="56BC09B3">
            <w:pPr>
              <w:jc w:val="center"/>
              <w:rPr>
                <w:rFonts w:hint="eastAsia" w:ascii="宋体" w:hAnsi="宋体" w:eastAsia="宋体" w:cs="宋体"/>
                <w:i w:val="0"/>
                <w:iCs w:val="0"/>
                <w:color w:val="auto"/>
                <w:sz w:val="18"/>
                <w:szCs w:val="18"/>
                <w:u w:val="none"/>
              </w:rPr>
            </w:pPr>
          </w:p>
        </w:tc>
        <w:tc>
          <w:tcPr>
            <w:tcW w:w="12998" w:type="dxa"/>
            <w:gridSpan w:val="10"/>
            <w:shd w:val="clear" w:color="auto" w:fill="auto"/>
            <w:vAlign w:val="bottom"/>
          </w:tcPr>
          <w:p w14:paraId="6CDE4D69">
            <w:pPr>
              <w:keepNext w:val="0"/>
              <w:keepLines w:val="0"/>
              <w:widowControl/>
              <w:suppressLineNumbers w:val="0"/>
              <w:jc w:val="left"/>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3、本表收费标准上下浮动幅度不得超过20%。</w:t>
            </w:r>
          </w:p>
        </w:tc>
      </w:tr>
    </w:tbl>
    <w:p w14:paraId="23674808">
      <w:pPr>
        <w:rPr>
          <w:rFonts w:hint="default"/>
          <w:color w:val="auto"/>
          <w:lang w:val="en-US" w:eastAsia="zh-CN"/>
        </w:rPr>
        <w:sectPr>
          <w:pgSz w:w="16838" w:h="11906" w:orient="landscape"/>
          <w:pgMar w:top="1134" w:right="1134" w:bottom="1134" w:left="1134" w:header="720" w:footer="720" w:gutter="0"/>
          <w:cols w:space="720" w:num="1"/>
          <w:docGrid w:type="lines" w:linePitch="331" w:charSpace="0"/>
        </w:sectPr>
      </w:pPr>
    </w:p>
    <w:p w14:paraId="35CB0039">
      <w:pPr>
        <w:pageBreakBefore w:val="0"/>
        <w:kinsoku/>
        <w:wordWrap/>
        <w:overflowPunct/>
        <w:topLinePunct w:val="0"/>
        <w:bidi w:val="0"/>
        <w:spacing w:beforeAutospacing="0" w:line="360" w:lineRule="auto"/>
        <w:ind w:left="0" w:leftChars="0" w:right="0"/>
        <w:jc w:val="left"/>
        <w:rPr>
          <w:rFonts w:hint="eastAsia" w:ascii="宋体" w:hAnsi="宋体" w:eastAsia="宋体" w:cs="宋体"/>
          <w:color w:val="auto"/>
          <w:sz w:val="32"/>
          <w:szCs w:val="32"/>
        </w:rPr>
      </w:pPr>
      <w:r>
        <w:rPr>
          <w:rFonts w:hint="eastAsia" w:ascii="宋体" w:hAnsi="宋体" w:eastAsia="宋体" w:cs="宋体"/>
          <w:color w:val="auto"/>
          <w:sz w:val="32"/>
          <w:szCs w:val="32"/>
        </w:rPr>
        <w:t>附件</w:t>
      </w:r>
      <w:r>
        <w:rPr>
          <w:rFonts w:hint="eastAsia" w:ascii="宋体" w:hAnsi="宋体" w:cs="宋体"/>
          <w:color w:val="auto"/>
          <w:sz w:val="32"/>
          <w:szCs w:val="32"/>
          <w:lang w:val="en-US" w:eastAsia="zh-CN"/>
        </w:rPr>
        <w:t>4</w:t>
      </w:r>
      <w:r>
        <w:rPr>
          <w:rFonts w:hint="eastAsia" w:ascii="宋体" w:hAnsi="宋体" w:eastAsia="宋体" w:cs="宋体"/>
          <w:color w:val="auto"/>
          <w:sz w:val="32"/>
          <w:szCs w:val="32"/>
        </w:rPr>
        <w:t>：</w:t>
      </w:r>
    </w:p>
    <w:p w14:paraId="166125AE">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z w:val="40"/>
          <w:szCs w:val="40"/>
        </w:rPr>
      </w:pPr>
      <w:r>
        <w:rPr>
          <w:rFonts w:hint="eastAsia" w:ascii="宋体" w:hAnsi="宋体" w:eastAsia="宋体" w:cs="宋体"/>
          <w:color w:val="auto"/>
          <w:sz w:val="40"/>
          <w:szCs w:val="40"/>
        </w:rPr>
        <w:t>中小微企业划型标准</w:t>
      </w:r>
    </w:p>
    <w:tbl>
      <w:tblPr>
        <w:tblStyle w:val="15"/>
        <w:tblW w:w="7980" w:type="dxa"/>
        <w:tblInd w:w="250" w:type="dxa"/>
        <w:tblLayout w:type="fixed"/>
        <w:tblCellMar>
          <w:top w:w="0" w:type="dxa"/>
          <w:left w:w="108" w:type="dxa"/>
          <w:bottom w:w="0" w:type="dxa"/>
          <w:right w:w="108" w:type="dxa"/>
        </w:tblCellMar>
      </w:tblPr>
      <w:tblGrid>
        <w:gridCol w:w="1701"/>
        <w:gridCol w:w="1383"/>
        <w:gridCol w:w="913"/>
        <w:gridCol w:w="1619"/>
        <w:gridCol w:w="1439"/>
        <w:gridCol w:w="925"/>
      </w:tblGrid>
      <w:tr w14:paraId="29DA1293">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14:paraId="165C37F0">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b/>
                <w:color w:val="auto"/>
                <w:kern w:val="0"/>
                <w:sz w:val="24"/>
              </w:rPr>
            </w:pPr>
            <w:r>
              <w:rPr>
                <w:rFonts w:hint="eastAsia" w:ascii="宋体" w:hAnsi="宋体" w:eastAsia="宋体" w:cs="宋体"/>
                <w:b/>
                <w:color w:val="auto"/>
                <w:kern w:val="0"/>
                <w:sz w:val="24"/>
              </w:rPr>
              <w:t>行业名称</w:t>
            </w:r>
          </w:p>
        </w:tc>
        <w:tc>
          <w:tcPr>
            <w:tcW w:w="1384" w:type="dxa"/>
            <w:tcBorders>
              <w:top w:val="single" w:color="auto" w:sz="4" w:space="0"/>
              <w:left w:val="nil"/>
              <w:bottom w:val="single" w:color="auto" w:sz="4" w:space="0"/>
              <w:right w:val="single" w:color="auto" w:sz="4" w:space="0"/>
            </w:tcBorders>
            <w:noWrap w:val="0"/>
            <w:vAlign w:val="center"/>
          </w:tcPr>
          <w:p w14:paraId="444DA80E">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b/>
                <w:color w:val="auto"/>
                <w:kern w:val="0"/>
                <w:sz w:val="24"/>
              </w:rPr>
            </w:pPr>
            <w:r>
              <w:rPr>
                <w:rFonts w:hint="eastAsia" w:ascii="宋体" w:hAnsi="宋体" w:eastAsia="宋体" w:cs="宋体"/>
                <w:b/>
                <w:color w:val="auto"/>
                <w:kern w:val="0"/>
                <w:sz w:val="24"/>
              </w:rPr>
              <w:t>指标名称</w:t>
            </w:r>
          </w:p>
        </w:tc>
        <w:tc>
          <w:tcPr>
            <w:tcW w:w="913" w:type="dxa"/>
            <w:tcBorders>
              <w:top w:val="single" w:color="auto" w:sz="4" w:space="0"/>
              <w:left w:val="nil"/>
              <w:bottom w:val="single" w:color="auto" w:sz="4" w:space="0"/>
              <w:right w:val="single" w:color="auto" w:sz="4" w:space="0"/>
            </w:tcBorders>
            <w:noWrap w:val="0"/>
            <w:vAlign w:val="center"/>
          </w:tcPr>
          <w:p w14:paraId="7F7104CE">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b/>
                <w:color w:val="auto"/>
                <w:kern w:val="0"/>
                <w:sz w:val="24"/>
              </w:rPr>
            </w:pPr>
            <w:r>
              <w:rPr>
                <w:rFonts w:hint="eastAsia" w:ascii="宋体" w:hAnsi="宋体" w:eastAsia="宋体" w:cs="宋体"/>
                <w:b/>
                <w:color w:val="auto"/>
                <w:kern w:val="0"/>
                <w:sz w:val="24"/>
              </w:rPr>
              <w:t>计量单位</w:t>
            </w:r>
          </w:p>
        </w:tc>
        <w:tc>
          <w:tcPr>
            <w:tcW w:w="1620" w:type="dxa"/>
            <w:tcBorders>
              <w:top w:val="single" w:color="auto" w:sz="4" w:space="0"/>
              <w:left w:val="nil"/>
              <w:bottom w:val="single" w:color="auto" w:sz="4" w:space="0"/>
              <w:right w:val="single" w:color="auto" w:sz="4" w:space="0"/>
            </w:tcBorders>
            <w:noWrap w:val="0"/>
            <w:vAlign w:val="center"/>
          </w:tcPr>
          <w:p w14:paraId="123DB77B">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b/>
                <w:color w:val="auto"/>
                <w:kern w:val="0"/>
                <w:sz w:val="24"/>
              </w:rPr>
            </w:pPr>
            <w:r>
              <w:rPr>
                <w:rFonts w:hint="eastAsia" w:ascii="宋体" w:hAnsi="宋体" w:eastAsia="宋体" w:cs="宋体"/>
                <w:b/>
                <w:color w:val="auto"/>
                <w:kern w:val="0"/>
                <w:sz w:val="24"/>
              </w:rPr>
              <w:t>中型</w:t>
            </w:r>
          </w:p>
        </w:tc>
        <w:tc>
          <w:tcPr>
            <w:tcW w:w="1440" w:type="dxa"/>
            <w:tcBorders>
              <w:top w:val="single" w:color="auto" w:sz="4" w:space="0"/>
              <w:left w:val="nil"/>
              <w:bottom w:val="single" w:color="auto" w:sz="4" w:space="0"/>
              <w:right w:val="single" w:color="auto" w:sz="4" w:space="0"/>
            </w:tcBorders>
            <w:noWrap w:val="0"/>
            <w:vAlign w:val="center"/>
          </w:tcPr>
          <w:p w14:paraId="6CD7ED35">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b/>
                <w:color w:val="auto"/>
                <w:kern w:val="0"/>
                <w:sz w:val="24"/>
              </w:rPr>
            </w:pPr>
            <w:r>
              <w:rPr>
                <w:rFonts w:hint="eastAsia" w:ascii="宋体" w:hAnsi="宋体" w:eastAsia="宋体" w:cs="宋体"/>
                <w:b/>
                <w:color w:val="auto"/>
                <w:kern w:val="0"/>
                <w:sz w:val="24"/>
              </w:rPr>
              <w:t>小型</w:t>
            </w:r>
          </w:p>
        </w:tc>
        <w:tc>
          <w:tcPr>
            <w:tcW w:w="925" w:type="dxa"/>
            <w:tcBorders>
              <w:top w:val="single" w:color="auto" w:sz="4" w:space="0"/>
              <w:left w:val="nil"/>
              <w:bottom w:val="single" w:color="auto" w:sz="4" w:space="0"/>
              <w:right w:val="single" w:color="auto" w:sz="4" w:space="0"/>
            </w:tcBorders>
            <w:noWrap w:val="0"/>
            <w:vAlign w:val="center"/>
          </w:tcPr>
          <w:p w14:paraId="7BFCBD69">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b/>
                <w:color w:val="auto"/>
                <w:kern w:val="0"/>
                <w:sz w:val="24"/>
              </w:rPr>
            </w:pPr>
            <w:r>
              <w:rPr>
                <w:rFonts w:hint="eastAsia" w:ascii="宋体" w:hAnsi="宋体" w:eastAsia="宋体" w:cs="宋体"/>
                <w:b/>
                <w:color w:val="auto"/>
                <w:kern w:val="0"/>
                <w:sz w:val="24"/>
              </w:rPr>
              <w:t>微型</w:t>
            </w:r>
          </w:p>
        </w:tc>
      </w:tr>
      <w:tr w14:paraId="1A119B0D">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0F4BA3C8">
            <w:pPr>
              <w:pageBreakBefore w:val="0"/>
              <w:widowControl/>
              <w:kinsoku/>
              <w:wordWrap/>
              <w:overflowPunct/>
              <w:topLinePunct w:val="0"/>
              <w:bidi w:val="0"/>
              <w:spacing w:beforeAutospacing="0" w:line="360" w:lineRule="auto"/>
              <w:ind w:left="0" w:leftChars="0" w:right="0"/>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农、林、牧、渔</w:t>
            </w:r>
          </w:p>
        </w:tc>
        <w:tc>
          <w:tcPr>
            <w:tcW w:w="1384" w:type="dxa"/>
            <w:tcBorders>
              <w:top w:val="nil"/>
              <w:left w:val="nil"/>
              <w:bottom w:val="single" w:color="auto" w:sz="4" w:space="0"/>
              <w:right w:val="single" w:color="auto" w:sz="4" w:space="0"/>
            </w:tcBorders>
            <w:noWrap w:val="0"/>
            <w:vAlign w:val="center"/>
          </w:tcPr>
          <w:p w14:paraId="74E82CF3">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7C114E00">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41C388B1">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500≤Y＜20000</w:t>
            </w:r>
          </w:p>
        </w:tc>
        <w:tc>
          <w:tcPr>
            <w:tcW w:w="1440" w:type="dxa"/>
            <w:tcBorders>
              <w:top w:val="nil"/>
              <w:left w:val="nil"/>
              <w:bottom w:val="single" w:color="auto" w:sz="4" w:space="0"/>
              <w:right w:val="single" w:color="auto" w:sz="4" w:space="0"/>
            </w:tcBorders>
            <w:noWrap w:val="0"/>
            <w:vAlign w:val="center"/>
          </w:tcPr>
          <w:p w14:paraId="50EE06D0">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50≤Y＜500</w:t>
            </w:r>
          </w:p>
        </w:tc>
        <w:tc>
          <w:tcPr>
            <w:tcW w:w="925" w:type="dxa"/>
            <w:tcBorders>
              <w:top w:val="nil"/>
              <w:left w:val="nil"/>
              <w:bottom w:val="single" w:color="auto" w:sz="4" w:space="0"/>
              <w:right w:val="single" w:color="auto" w:sz="4" w:space="0"/>
            </w:tcBorders>
            <w:noWrap w:val="0"/>
            <w:vAlign w:val="center"/>
          </w:tcPr>
          <w:p w14:paraId="59B058EC">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Y＜50</w:t>
            </w:r>
          </w:p>
        </w:tc>
      </w:tr>
      <w:tr w14:paraId="0236B1F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61FE922">
            <w:pPr>
              <w:pageBreakBefore w:val="0"/>
              <w:widowControl/>
              <w:kinsoku/>
              <w:wordWrap/>
              <w:overflowPunct/>
              <w:topLinePunct w:val="0"/>
              <w:bidi w:val="0"/>
              <w:spacing w:beforeAutospacing="0" w:line="360" w:lineRule="auto"/>
              <w:ind w:left="0" w:leftChars="0" w:right="0"/>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工业</w:t>
            </w:r>
          </w:p>
        </w:tc>
        <w:tc>
          <w:tcPr>
            <w:tcW w:w="1384" w:type="dxa"/>
            <w:tcBorders>
              <w:top w:val="nil"/>
              <w:left w:val="nil"/>
              <w:bottom w:val="single" w:color="auto" w:sz="4" w:space="0"/>
              <w:right w:val="single" w:color="auto" w:sz="4" w:space="0"/>
            </w:tcBorders>
            <w:noWrap w:val="0"/>
            <w:vAlign w:val="center"/>
          </w:tcPr>
          <w:p w14:paraId="5BCC2D14">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60B81B62">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620" w:type="dxa"/>
            <w:tcBorders>
              <w:top w:val="nil"/>
              <w:left w:val="nil"/>
              <w:bottom w:val="single" w:color="auto" w:sz="4" w:space="0"/>
              <w:right w:val="single" w:color="auto" w:sz="4" w:space="0"/>
            </w:tcBorders>
            <w:noWrap w:val="0"/>
            <w:vAlign w:val="center"/>
          </w:tcPr>
          <w:p w14:paraId="7133CCF9">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40" w:type="dxa"/>
            <w:tcBorders>
              <w:top w:val="nil"/>
              <w:left w:val="nil"/>
              <w:bottom w:val="single" w:color="auto" w:sz="4" w:space="0"/>
              <w:right w:val="single" w:color="auto" w:sz="4" w:space="0"/>
            </w:tcBorders>
            <w:noWrap w:val="0"/>
            <w:vAlign w:val="center"/>
          </w:tcPr>
          <w:p w14:paraId="31CC62CD">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20≤X＜300</w:t>
            </w:r>
          </w:p>
        </w:tc>
        <w:tc>
          <w:tcPr>
            <w:tcW w:w="925" w:type="dxa"/>
            <w:tcBorders>
              <w:top w:val="nil"/>
              <w:left w:val="nil"/>
              <w:bottom w:val="single" w:color="auto" w:sz="4" w:space="0"/>
              <w:right w:val="single" w:color="auto" w:sz="4" w:space="0"/>
            </w:tcBorders>
            <w:noWrap w:val="0"/>
            <w:vAlign w:val="center"/>
          </w:tcPr>
          <w:p w14:paraId="1B2674D0">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44BFC73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C4BBCD5">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213083A5">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47E1331B">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55C7D25D">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2000≤Y＜40000</w:t>
            </w:r>
          </w:p>
        </w:tc>
        <w:tc>
          <w:tcPr>
            <w:tcW w:w="1440" w:type="dxa"/>
            <w:tcBorders>
              <w:top w:val="nil"/>
              <w:left w:val="nil"/>
              <w:bottom w:val="single" w:color="auto" w:sz="4" w:space="0"/>
              <w:right w:val="single" w:color="auto" w:sz="4" w:space="0"/>
            </w:tcBorders>
            <w:noWrap w:val="0"/>
            <w:vAlign w:val="center"/>
          </w:tcPr>
          <w:p w14:paraId="444A8B42">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300≤Y＜2000</w:t>
            </w:r>
          </w:p>
        </w:tc>
        <w:tc>
          <w:tcPr>
            <w:tcW w:w="925" w:type="dxa"/>
            <w:tcBorders>
              <w:top w:val="nil"/>
              <w:left w:val="nil"/>
              <w:bottom w:val="single" w:color="auto" w:sz="4" w:space="0"/>
              <w:right w:val="single" w:color="auto" w:sz="4" w:space="0"/>
            </w:tcBorders>
            <w:noWrap w:val="0"/>
            <w:vAlign w:val="center"/>
          </w:tcPr>
          <w:p w14:paraId="116067B7">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w:t>
            </w:r>
          </w:p>
        </w:tc>
      </w:tr>
      <w:tr w14:paraId="7DC05A1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0EE150D8">
            <w:pPr>
              <w:pageBreakBefore w:val="0"/>
              <w:widowControl/>
              <w:kinsoku/>
              <w:wordWrap/>
              <w:overflowPunct/>
              <w:topLinePunct w:val="0"/>
              <w:bidi w:val="0"/>
              <w:spacing w:beforeAutospacing="0" w:line="360" w:lineRule="auto"/>
              <w:ind w:left="0" w:leftChars="0" w:right="0"/>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建筑业</w:t>
            </w:r>
          </w:p>
        </w:tc>
        <w:tc>
          <w:tcPr>
            <w:tcW w:w="1384" w:type="dxa"/>
            <w:tcBorders>
              <w:top w:val="nil"/>
              <w:left w:val="nil"/>
              <w:bottom w:val="single" w:color="auto" w:sz="4" w:space="0"/>
              <w:right w:val="single" w:color="auto" w:sz="4" w:space="0"/>
            </w:tcBorders>
            <w:noWrap w:val="0"/>
            <w:vAlign w:val="center"/>
          </w:tcPr>
          <w:p w14:paraId="1966ADFD">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2426DB98">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73669328">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6000≤Y＜80000</w:t>
            </w:r>
          </w:p>
        </w:tc>
        <w:tc>
          <w:tcPr>
            <w:tcW w:w="1440" w:type="dxa"/>
            <w:tcBorders>
              <w:top w:val="nil"/>
              <w:left w:val="nil"/>
              <w:bottom w:val="single" w:color="auto" w:sz="4" w:space="0"/>
              <w:right w:val="single" w:color="auto" w:sz="4" w:space="0"/>
            </w:tcBorders>
            <w:noWrap w:val="0"/>
            <w:vAlign w:val="center"/>
          </w:tcPr>
          <w:p w14:paraId="496F1B2E">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300≤Y＜6000</w:t>
            </w:r>
          </w:p>
        </w:tc>
        <w:tc>
          <w:tcPr>
            <w:tcW w:w="925" w:type="dxa"/>
            <w:tcBorders>
              <w:top w:val="nil"/>
              <w:left w:val="nil"/>
              <w:bottom w:val="single" w:color="auto" w:sz="4" w:space="0"/>
              <w:right w:val="single" w:color="auto" w:sz="4" w:space="0"/>
            </w:tcBorders>
            <w:noWrap w:val="0"/>
            <w:vAlign w:val="center"/>
          </w:tcPr>
          <w:p w14:paraId="00E3EA06">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w:t>
            </w:r>
          </w:p>
        </w:tc>
      </w:tr>
      <w:tr w14:paraId="49DE3B09">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FA3C4A5">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5D686FB4">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913" w:type="dxa"/>
            <w:tcBorders>
              <w:top w:val="nil"/>
              <w:left w:val="nil"/>
              <w:bottom w:val="single" w:color="auto" w:sz="4" w:space="0"/>
              <w:right w:val="single" w:color="auto" w:sz="4" w:space="0"/>
            </w:tcBorders>
            <w:noWrap w:val="0"/>
            <w:vAlign w:val="center"/>
          </w:tcPr>
          <w:p w14:paraId="21FE0ADB">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3D1A472E">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5000≤Z＜80000</w:t>
            </w:r>
          </w:p>
        </w:tc>
        <w:tc>
          <w:tcPr>
            <w:tcW w:w="1440" w:type="dxa"/>
            <w:tcBorders>
              <w:top w:val="nil"/>
              <w:left w:val="nil"/>
              <w:bottom w:val="single" w:color="auto" w:sz="4" w:space="0"/>
              <w:right w:val="single" w:color="auto" w:sz="4" w:space="0"/>
            </w:tcBorders>
            <w:noWrap w:val="0"/>
            <w:vAlign w:val="center"/>
          </w:tcPr>
          <w:p w14:paraId="10AD4C74">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300≤Z＜5000</w:t>
            </w:r>
          </w:p>
        </w:tc>
        <w:tc>
          <w:tcPr>
            <w:tcW w:w="925" w:type="dxa"/>
            <w:tcBorders>
              <w:top w:val="nil"/>
              <w:left w:val="nil"/>
              <w:bottom w:val="single" w:color="auto" w:sz="4" w:space="0"/>
              <w:right w:val="single" w:color="auto" w:sz="4" w:space="0"/>
            </w:tcBorders>
            <w:noWrap w:val="0"/>
            <w:vAlign w:val="center"/>
          </w:tcPr>
          <w:p w14:paraId="45AABF7D">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Z＜300</w:t>
            </w:r>
          </w:p>
        </w:tc>
      </w:tr>
      <w:tr w14:paraId="193C388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0E1D16D1">
            <w:pPr>
              <w:pageBreakBefore w:val="0"/>
              <w:widowControl/>
              <w:kinsoku/>
              <w:wordWrap/>
              <w:overflowPunct/>
              <w:topLinePunct w:val="0"/>
              <w:bidi w:val="0"/>
              <w:spacing w:beforeAutospacing="0" w:line="360" w:lineRule="auto"/>
              <w:ind w:left="0" w:leftChars="0" w:right="0"/>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批发业</w:t>
            </w:r>
          </w:p>
        </w:tc>
        <w:tc>
          <w:tcPr>
            <w:tcW w:w="1384" w:type="dxa"/>
            <w:tcBorders>
              <w:top w:val="nil"/>
              <w:left w:val="nil"/>
              <w:bottom w:val="single" w:color="auto" w:sz="4" w:space="0"/>
              <w:right w:val="single" w:color="auto" w:sz="4" w:space="0"/>
            </w:tcBorders>
            <w:noWrap w:val="0"/>
            <w:vAlign w:val="center"/>
          </w:tcPr>
          <w:p w14:paraId="328A4C26">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51EDE2C5">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620" w:type="dxa"/>
            <w:tcBorders>
              <w:top w:val="nil"/>
              <w:left w:val="nil"/>
              <w:bottom w:val="single" w:color="auto" w:sz="4" w:space="0"/>
              <w:right w:val="single" w:color="auto" w:sz="4" w:space="0"/>
            </w:tcBorders>
            <w:noWrap w:val="0"/>
            <w:vAlign w:val="center"/>
          </w:tcPr>
          <w:p w14:paraId="3664228D">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20≤X＜200</w:t>
            </w:r>
          </w:p>
        </w:tc>
        <w:tc>
          <w:tcPr>
            <w:tcW w:w="1440" w:type="dxa"/>
            <w:tcBorders>
              <w:top w:val="nil"/>
              <w:left w:val="nil"/>
              <w:bottom w:val="single" w:color="auto" w:sz="4" w:space="0"/>
              <w:right w:val="single" w:color="auto" w:sz="4" w:space="0"/>
            </w:tcBorders>
            <w:noWrap w:val="0"/>
            <w:vAlign w:val="center"/>
          </w:tcPr>
          <w:p w14:paraId="518410E0">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5≤X＜20</w:t>
            </w:r>
          </w:p>
        </w:tc>
        <w:tc>
          <w:tcPr>
            <w:tcW w:w="925" w:type="dxa"/>
            <w:tcBorders>
              <w:top w:val="nil"/>
              <w:left w:val="nil"/>
              <w:bottom w:val="single" w:color="auto" w:sz="4" w:space="0"/>
              <w:right w:val="single" w:color="auto" w:sz="4" w:space="0"/>
            </w:tcBorders>
            <w:noWrap w:val="0"/>
            <w:vAlign w:val="center"/>
          </w:tcPr>
          <w:p w14:paraId="7B17D556">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X＜5</w:t>
            </w:r>
          </w:p>
        </w:tc>
      </w:tr>
      <w:tr w14:paraId="03F12CE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D026023">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698C8246">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4C6A55CB">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32DFAB8F">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5000≤Y＜40000</w:t>
            </w:r>
          </w:p>
        </w:tc>
        <w:tc>
          <w:tcPr>
            <w:tcW w:w="1440" w:type="dxa"/>
            <w:tcBorders>
              <w:top w:val="nil"/>
              <w:left w:val="nil"/>
              <w:bottom w:val="single" w:color="auto" w:sz="4" w:space="0"/>
              <w:right w:val="single" w:color="auto" w:sz="4" w:space="0"/>
            </w:tcBorders>
            <w:noWrap w:val="0"/>
            <w:vAlign w:val="center"/>
          </w:tcPr>
          <w:p w14:paraId="136953FF">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1000≤Y＜5000</w:t>
            </w:r>
          </w:p>
        </w:tc>
        <w:tc>
          <w:tcPr>
            <w:tcW w:w="925" w:type="dxa"/>
            <w:tcBorders>
              <w:top w:val="nil"/>
              <w:left w:val="nil"/>
              <w:bottom w:val="single" w:color="auto" w:sz="4" w:space="0"/>
              <w:right w:val="single" w:color="auto" w:sz="4" w:space="0"/>
            </w:tcBorders>
            <w:noWrap w:val="0"/>
            <w:vAlign w:val="center"/>
          </w:tcPr>
          <w:p w14:paraId="0A6C31F7">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w:t>
            </w:r>
          </w:p>
        </w:tc>
      </w:tr>
      <w:tr w14:paraId="7E768C2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29C609E">
            <w:pPr>
              <w:pageBreakBefore w:val="0"/>
              <w:widowControl/>
              <w:kinsoku/>
              <w:wordWrap/>
              <w:overflowPunct/>
              <w:topLinePunct w:val="0"/>
              <w:bidi w:val="0"/>
              <w:spacing w:beforeAutospacing="0" w:line="360" w:lineRule="auto"/>
              <w:ind w:left="0" w:leftChars="0" w:right="0"/>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零售业</w:t>
            </w:r>
          </w:p>
        </w:tc>
        <w:tc>
          <w:tcPr>
            <w:tcW w:w="1384" w:type="dxa"/>
            <w:tcBorders>
              <w:top w:val="nil"/>
              <w:left w:val="nil"/>
              <w:bottom w:val="single" w:color="auto" w:sz="4" w:space="0"/>
              <w:right w:val="single" w:color="auto" w:sz="4" w:space="0"/>
            </w:tcBorders>
            <w:noWrap w:val="0"/>
            <w:vAlign w:val="center"/>
          </w:tcPr>
          <w:p w14:paraId="11EC3F51">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619E4FE6">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620" w:type="dxa"/>
            <w:tcBorders>
              <w:top w:val="nil"/>
              <w:left w:val="nil"/>
              <w:bottom w:val="single" w:color="auto" w:sz="4" w:space="0"/>
              <w:right w:val="single" w:color="auto" w:sz="4" w:space="0"/>
            </w:tcBorders>
            <w:noWrap w:val="0"/>
            <w:vAlign w:val="center"/>
          </w:tcPr>
          <w:p w14:paraId="62D295F9">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50≤X＜300</w:t>
            </w:r>
          </w:p>
        </w:tc>
        <w:tc>
          <w:tcPr>
            <w:tcW w:w="1440" w:type="dxa"/>
            <w:tcBorders>
              <w:top w:val="nil"/>
              <w:left w:val="nil"/>
              <w:bottom w:val="single" w:color="auto" w:sz="4" w:space="0"/>
              <w:right w:val="single" w:color="auto" w:sz="4" w:space="0"/>
            </w:tcBorders>
            <w:noWrap w:val="0"/>
            <w:vAlign w:val="center"/>
          </w:tcPr>
          <w:p w14:paraId="64366F4A">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10≤X＜50</w:t>
            </w:r>
          </w:p>
        </w:tc>
        <w:tc>
          <w:tcPr>
            <w:tcW w:w="925" w:type="dxa"/>
            <w:tcBorders>
              <w:top w:val="nil"/>
              <w:left w:val="nil"/>
              <w:bottom w:val="single" w:color="auto" w:sz="4" w:space="0"/>
              <w:right w:val="single" w:color="auto" w:sz="4" w:space="0"/>
            </w:tcBorders>
            <w:noWrap w:val="0"/>
            <w:vAlign w:val="center"/>
          </w:tcPr>
          <w:p w14:paraId="585F0728">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6D6A88F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CC803DB">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0DB64340">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05DAB338">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3B194D3E">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500≤Y＜20000</w:t>
            </w:r>
          </w:p>
        </w:tc>
        <w:tc>
          <w:tcPr>
            <w:tcW w:w="1440" w:type="dxa"/>
            <w:tcBorders>
              <w:top w:val="nil"/>
              <w:left w:val="nil"/>
              <w:bottom w:val="single" w:color="auto" w:sz="4" w:space="0"/>
              <w:right w:val="single" w:color="auto" w:sz="4" w:space="0"/>
            </w:tcBorders>
            <w:noWrap w:val="0"/>
            <w:vAlign w:val="center"/>
          </w:tcPr>
          <w:p w14:paraId="773A05F4">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100≤Y＜500</w:t>
            </w:r>
          </w:p>
        </w:tc>
        <w:tc>
          <w:tcPr>
            <w:tcW w:w="925" w:type="dxa"/>
            <w:tcBorders>
              <w:top w:val="nil"/>
              <w:left w:val="nil"/>
              <w:bottom w:val="single" w:color="auto" w:sz="4" w:space="0"/>
              <w:right w:val="single" w:color="auto" w:sz="4" w:space="0"/>
            </w:tcBorders>
            <w:noWrap w:val="0"/>
            <w:vAlign w:val="center"/>
          </w:tcPr>
          <w:p w14:paraId="737B1F18">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7A72AF9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F1E5064">
            <w:pPr>
              <w:pageBreakBefore w:val="0"/>
              <w:widowControl/>
              <w:kinsoku/>
              <w:wordWrap/>
              <w:overflowPunct/>
              <w:topLinePunct w:val="0"/>
              <w:bidi w:val="0"/>
              <w:spacing w:beforeAutospacing="0" w:line="360" w:lineRule="auto"/>
              <w:ind w:left="0" w:leftChars="0" w:right="0"/>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交通运输业</w:t>
            </w:r>
          </w:p>
        </w:tc>
        <w:tc>
          <w:tcPr>
            <w:tcW w:w="1384" w:type="dxa"/>
            <w:tcBorders>
              <w:top w:val="nil"/>
              <w:left w:val="nil"/>
              <w:bottom w:val="single" w:color="auto" w:sz="4" w:space="0"/>
              <w:right w:val="single" w:color="auto" w:sz="4" w:space="0"/>
            </w:tcBorders>
            <w:noWrap w:val="0"/>
            <w:vAlign w:val="center"/>
          </w:tcPr>
          <w:p w14:paraId="55CC99B9">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2107515D">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620" w:type="dxa"/>
            <w:tcBorders>
              <w:top w:val="nil"/>
              <w:left w:val="nil"/>
              <w:bottom w:val="single" w:color="auto" w:sz="4" w:space="0"/>
              <w:right w:val="single" w:color="auto" w:sz="4" w:space="0"/>
            </w:tcBorders>
            <w:noWrap w:val="0"/>
            <w:vAlign w:val="center"/>
          </w:tcPr>
          <w:p w14:paraId="4F87DEE1">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40" w:type="dxa"/>
            <w:tcBorders>
              <w:top w:val="nil"/>
              <w:left w:val="nil"/>
              <w:bottom w:val="single" w:color="auto" w:sz="4" w:space="0"/>
              <w:right w:val="single" w:color="auto" w:sz="4" w:space="0"/>
            </w:tcBorders>
            <w:noWrap w:val="0"/>
            <w:vAlign w:val="center"/>
          </w:tcPr>
          <w:p w14:paraId="4175F54D">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20≤X＜300</w:t>
            </w:r>
          </w:p>
        </w:tc>
        <w:tc>
          <w:tcPr>
            <w:tcW w:w="925" w:type="dxa"/>
            <w:tcBorders>
              <w:top w:val="nil"/>
              <w:left w:val="nil"/>
              <w:bottom w:val="single" w:color="auto" w:sz="4" w:space="0"/>
              <w:right w:val="single" w:color="auto" w:sz="4" w:space="0"/>
            </w:tcBorders>
            <w:noWrap w:val="0"/>
            <w:vAlign w:val="center"/>
          </w:tcPr>
          <w:p w14:paraId="0311E218">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35146AD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B7C52C5">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78F37699">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0D2E36F7">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0DC2C899">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3000≤Y＜30000</w:t>
            </w:r>
          </w:p>
        </w:tc>
        <w:tc>
          <w:tcPr>
            <w:tcW w:w="1440" w:type="dxa"/>
            <w:tcBorders>
              <w:top w:val="nil"/>
              <w:left w:val="nil"/>
              <w:bottom w:val="single" w:color="auto" w:sz="4" w:space="0"/>
              <w:right w:val="single" w:color="auto" w:sz="4" w:space="0"/>
            </w:tcBorders>
            <w:noWrap w:val="0"/>
            <w:vAlign w:val="center"/>
          </w:tcPr>
          <w:p w14:paraId="77E80256">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200≤Y＜3000</w:t>
            </w:r>
          </w:p>
        </w:tc>
        <w:tc>
          <w:tcPr>
            <w:tcW w:w="925" w:type="dxa"/>
            <w:tcBorders>
              <w:top w:val="nil"/>
              <w:left w:val="nil"/>
              <w:bottom w:val="single" w:color="auto" w:sz="4" w:space="0"/>
              <w:right w:val="single" w:color="auto" w:sz="4" w:space="0"/>
            </w:tcBorders>
            <w:noWrap w:val="0"/>
            <w:vAlign w:val="center"/>
          </w:tcPr>
          <w:p w14:paraId="470FBC9F">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Y＜200</w:t>
            </w:r>
          </w:p>
        </w:tc>
      </w:tr>
      <w:tr w14:paraId="76FAD56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2D7894B4">
            <w:pPr>
              <w:pageBreakBefore w:val="0"/>
              <w:widowControl/>
              <w:kinsoku/>
              <w:wordWrap/>
              <w:overflowPunct/>
              <w:topLinePunct w:val="0"/>
              <w:bidi w:val="0"/>
              <w:spacing w:beforeAutospacing="0" w:line="360" w:lineRule="auto"/>
              <w:ind w:left="0" w:leftChars="0" w:right="0"/>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仓储业</w:t>
            </w:r>
          </w:p>
        </w:tc>
        <w:tc>
          <w:tcPr>
            <w:tcW w:w="1384" w:type="dxa"/>
            <w:tcBorders>
              <w:top w:val="nil"/>
              <w:left w:val="nil"/>
              <w:bottom w:val="single" w:color="auto" w:sz="4" w:space="0"/>
              <w:right w:val="single" w:color="auto" w:sz="4" w:space="0"/>
            </w:tcBorders>
            <w:noWrap w:val="0"/>
            <w:vAlign w:val="center"/>
          </w:tcPr>
          <w:p w14:paraId="6706DE45">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174F78AE">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620" w:type="dxa"/>
            <w:tcBorders>
              <w:top w:val="nil"/>
              <w:left w:val="nil"/>
              <w:bottom w:val="single" w:color="auto" w:sz="4" w:space="0"/>
              <w:right w:val="single" w:color="auto" w:sz="4" w:space="0"/>
            </w:tcBorders>
            <w:noWrap w:val="0"/>
            <w:vAlign w:val="center"/>
          </w:tcPr>
          <w:p w14:paraId="01C8637C">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100≤X＜200</w:t>
            </w:r>
          </w:p>
        </w:tc>
        <w:tc>
          <w:tcPr>
            <w:tcW w:w="1440" w:type="dxa"/>
            <w:tcBorders>
              <w:top w:val="nil"/>
              <w:left w:val="nil"/>
              <w:bottom w:val="single" w:color="auto" w:sz="4" w:space="0"/>
              <w:right w:val="single" w:color="auto" w:sz="4" w:space="0"/>
            </w:tcBorders>
            <w:noWrap w:val="0"/>
            <w:vAlign w:val="center"/>
          </w:tcPr>
          <w:p w14:paraId="37969CA8">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20≤X＜100</w:t>
            </w:r>
          </w:p>
        </w:tc>
        <w:tc>
          <w:tcPr>
            <w:tcW w:w="925" w:type="dxa"/>
            <w:tcBorders>
              <w:top w:val="nil"/>
              <w:left w:val="nil"/>
              <w:bottom w:val="single" w:color="auto" w:sz="4" w:space="0"/>
              <w:right w:val="single" w:color="auto" w:sz="4" w:space="0"/>
            </w:tcBorders>
            <w:noWrap w:val="0"/>
            <w:vAlign w:val="center"/>
          </w:tcPr>
          <w:p w14:paraId="38BF52A5">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1668ED24">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FF3A4C8">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103D6A49">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38D3E8AB">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7E7373AE">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1000≤Y＜30000</w:t>
            </w:r>
          </w:p>
        </w:tc>
        <w:tc>
          <w:tcPr>
            <w:tcW w:w="1440" w:type="dxa"/>
            <w:tcBorders>
              <w:top w:val="nil"/>
              <w:left w:val="nil"/>
              <w:bottom w:val="single" w:color="auto" w:sz="4" w:space="0"/>
              <w:right w:val="single" w:color="auto" w:sz="4" w:space="0"/>
            </w:tcBorders>
            <w:noWrap w:val="0"/>
            <w:vAlign w:val="center"/>
          </w:tcPr>
          <w:p w14:paraId="7B4D8AF8">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100≤Y＜1000</w:t>
            </w:r>
          </w:p>
        </w:tc>
        <w:tc>
          <w:tcPr>
            <w:tcW w:w="925" w:type="dxa"/>
            <w:tcBorders>
              <w:top w:val="nil"/>
              <w:left w:val="nil"/>
              <w:bottom w:val="single" w:color="auto" w:sz="4" w:space="0"/>
              <w:right w:val="single" w:color="auto" w:sz="4" w:space="0"/>
            </w:tcBorders>
            <w:noWrap w:val="0"/>
            <w:vAlign w:val="center"/>
          </w:tcPr>
          <w:p w14:paraId="01B55C01">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2CFD3AB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0406D6F0">
            <w:pPr>
              <w:pageBreakBefore w:val="0"/>
              <w:widowControl/>
              <w:kinsoku/>
              <w:wordWrap/>
              <w:overflowPunct/>
              <w:topLinePunct w:val="0"/>
              <w:bidi w:val="0"/>
              <w:spacing w:beforeAutospacing="0" w:line="360" w:lineRule="auto"/>
              <w:ind w:left="0" w:leftChars="0" w:right="0"/>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邮政业</w:t>
            </w:r>
          </w:p>
        </w:tc>
        <w:tc>
          <w:tcPr>
            <w:tcW w:w="1384" w:type="dxa"/>
            <w:tcBorders>
              <w:top w:val="nil"/>
              <w:left w:val="nil"/>
              <w:bottom w:val="single" w:color="auto" w:sz="4" w:space="0"/>
              <w:right w:val="single" w:color="auto" w:sz="4" w:space="0"/>
            </w:tcBorders>
            <w:noWrap w:val="0"/>
            <w:vAlign w:val="center"/>
          </w:tcPr>
          <w:p w14:paraId="4DBD52B2">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34709C19">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620" w:type="dxa"/>
            <w:tcBorders>
              <w:top w:val="nil"/>
              <w:left w:val="nil"/>
              <w:bottom w:val="single" w:color="auto" w:sz="4" w:space="0"/>
              <w:right w:val="single" w:color="auto" w:sz="4" w:space="0"/>
            </w:tcBorders>
            <w:noWrap w:val="0"/>
            <w:vAlign w:val="center"/>
          </w:tcPr>
          <w:p w14:paraId="04F3DFD0">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40" w:type="dxa"/>
            <w:tcBorders>
              <w:top w:val="nil"/>
              <w:left w:val="nil"/>
              <w:bottom w:val="single" w:color="auto" w:sz="4" w:space="0"/>
              <w:right w:val="single" w:color="auto" w:sz="4" w:space="0"/>
            </w:tcBorders>
            <w:noWrap w:val="0"/>
            <w:vAlign w:val="center"/>
          </w:tcPr>
          <w:p w14:paraId="191E67A9">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20≤X＜300</w:t>
            </w:r>
          </w:p>
        </w:tc>
        <w:tc>
          <w:tcPr>
            <w:tcW w:w="925" w:type="dxa"/>
            <w:tcBorders>
              <w:top w:val="nil"/>
              <w:left w:val="nil"/>
              <w:bottom w:val="single" w:color="auto" w:sz="4" w:space="0"/>
              <w:right w:val="single" w:color="auto" w:sz="4" w:space="0"/>
            </w:tcBorders>
            <w:noWrap w:val="0"/>
            <w:vAlign w:val="center"/>
          </w:tcPr>
          <w:p w14:paraId="2BE6E450">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0AC15C7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FCDC4DC">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387DF07B">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7582E3E6">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57DF165C">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2000≤Y＜30000</w:t>
            </w:r>
          </w:p>
        </w:tc>
        <w:tc>
          <w:tcPr>
            <w:tcW w:w="1440" w:type="dxa"/>
            <w:tcBorders>
              <w:top w:val="nil"/>
              <w:left w:val="nil"/>
              <w:bottom w:val="single" w:color="auto" w:sz="4" w:space="0"/>
              <w:right w:val="single" w:color="auto" w:sz="4" w:space="0"/>
            </w:tcBorders>
            <w:noWrap w:val="0"/>
            <w:vAlign w:val="center"/>
          </w:tcPr>
          <w:p w14:paraId="16C9BDCE">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100≤Y＜2000</w:t>
            </w:r>
          </w:p>
        </w:tc>
        <w:tc>
          <w:tcPr>
            <w:tcW w:w="925" w:type="dxa"/>
            <w:tcBorders>
              <w:top w:val="nil"/>
              <w:left w:val="nil"/>
              <w:bottom w:val="single" w:color="auto" w:sz="4" w:space="0"/>
              <w:right w:val="single" w:color="auto" w:sz="4" w:space="0"/>
            </w:tcBorders>
            <w:noWrap w:val="0"/>
            <w:vAlign w:val="center"/>
          </w:tcPr>
          <w:p w14:paraId="0213FD65">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76DD70C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05026413">
            <w:pPr>
              <w:pageBreakBefore w:val="0"/>
              <w:widowControl/>
              <w:kinsoku/>
              <w:wordWrap/>
              <w:overflowPunct/>
              <w:topLinePunct w:val="0"/>
              <w:bidi w:val="0"/>
              <w:spacing w:beforeAutospacing="0" w:line="360" w:lineRule="auto"/>
              <w:ind w:left="0" w:leftChars="0" w:right="0"/>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住宿业</w:t>
            </w:r>
          </w:p>
        </w:tc>
        <w:tc>
          <w:tcPr>
            <w:tcW w:w="1384" w:type="dxa"/>
            <w:tcBorders>
              <w:top w:val="nil"/>
              <w:left w:val="nil"/>
              <w:bottom w:val="single" w:color="auto" w:sz="4" w:space="0"/>
              <w:right w:val="single" w:color="auto" w:sz="4" w:space="0"/>
            </w:tcBorders>
            <w:noWrap w:val="0"/>
            <w:vAlign w:val="center"/>
          </w:tcPr>
          <w:p w14:paraId="330AEA12">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23A77502">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620" w:type="dxa"/>
            <w:tcBorders>
              <w:top w:val="nil"/>
              <w:left w:val="nil"/>
              <w:bottom w:val="single" w:color="auto" w:sz="4" w:space="0"/>
              <w:right w:val="single" w:color="auto" w:sz="4" w:space="0"/>
            </w:tcBorders>
            <w:noWrap w:val="0"/>
            <w:vAlign w:val="center"/>
          </w:tcPr>
          <w:p w14:paraId="5166174F">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3ABDA40D">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925" w:type="dxa"/>
            <w:tcBorders>
              <w:top w:val="nil"/>
              <w:left w:val="nil"/>
              <w:bottom w:val="single" w:color="auto" w:sz="4" w:space="0"/>
              <w:right w:val="single" w:color="auto" w:sz="4" w:space="0"/>
            </w:tcBorders>
            <w:noWrap w:val="0"/>
            <w:vAlign w:val="center"/>
          </w:tcPr>
          <w:p w14:paraId="2F80F243">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2A83830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1C7D9E3">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4948C68E">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21F91FCA">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4B045E79">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2000≤Y＜10000</w:t>
            </w:r>
          </w:p>
        </w:tc>
        <w:tc>
          <w:tcPr>
            <w:tcW w:w="1440" w:type="dxa"/>
            <w:tcBorders>
              <w:top w:val="nil"/>
              <w:left w:val="nil"/>
              <w:bottom w:val="single" w:color="auto" w:sz="4" w:space="0"/>
              <w:right w:val="single" w:color="auto" w:sz="4" w:space="0"/>
            </w:tcBorders>
            <w:noWrap w:val="0"/>
            <w:vAlign w:val="center"/>
          </w:tcPr>
          <w:p w14:paraId="16A63377">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100≤Y＜2000</w:t>
            </w:r>
          </w:p>
        </w:tc>
        <w:tc>
          <w:tcPr>
            <w:tcW w:w="925" w:type="dxa"/>
            <w:tcBorders>
              <w:top w:val="nil"/>
              <w:left w:val="nil"/>
              <w:bottom w:val="single" w:color="auto" w:sz="4" w:space="0"/>
              <w:right w:val="single" w:color="auto" w:sz="4" w:space="0"/>
            </w:tcBorders>
            <w:noWrap w:val="0"/>
            <w:vAlign w:val="center"/>
          </w:tcPr>
          <w:p w14:paraId="24CB28EF">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0BF677E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21E509CA">
            <w:pPr>
              <w:pageBreakBefore w:val="0"/>
              <w:widowControl/>
              <w:kinsoku/>
              <w:wordWrap/>
              <w:overflowPunct/>
              <w:topLinePunct w:val="0"/>
              <w:bidi w:val="0"/>
              <w:spacing w:beforeAutospacing="0" w:line="360" w:lineRule="auto"/>
              <w:ind w:left="0" w:leftChars="0" w:right="0"/>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餐饮业</w:t>
            </w:r>
          </w:p>
        </w:tc>
        <w:tc>
          <w:tcPr>
            <w:tcW w:w="1384" w:type="dxa"/>
            <w:tcBorders>
              <w:top w:val="nil"/>
              <w:left w:val="nil"/>
              <w:bottom w:val="single" w:color="auto" w:sz="4" w:space="0"/>
              <w:right w:val="single" w:color="auto" w:sz="4" w:space="0"/>
            </w:tcBorders>
            <w:noWrap w:val="0"/>
            <w:vAlign w:val="center"/>
          </w:tcPr>
          <w:p w14:paraId="3A754FEE">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20C8A0BA">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620" w:type="dxa"/>
            <w:tcBorders>
              <w:top w:val="nil"/>
              <w:left w:val="nil"/>
              <w:bottom w:val="single" w:color="auto" w:sz="4" w:space="0"/>
              <w:right w:val="single" w:color="auto" w:sz="4" w:space="0"/>
            </w:tcBorders>
            <w:noWrap w:val="0"/>
            <w:vAlign w:val="center"/>
          </w:tcPr>
          <w:p w14:paraId="45B576ED">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4A26550D">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925" w:type="dxa"/>
            <w:tcBorders>
              <w:top w:val="nil"/>
              <w:left w:val="nil"/>
              <w:bottom w:val="single" w:color="auto" w:sz="4" w:space="0"/>
              <w:right w:val="single" w:color="auto" w:sz="4" w:space="0"/>
            </w:tcBorders>
            <w:noWrap w:val="0"/>
            <w:vAlign w:val="center"/>
          </w:tcPr>
          <w:p w14:paraId="4DEEBB4A">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2AC26804">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DDDF48E">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7469A554">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71B79FC4">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09F7255D">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2000≤Y＜10000</w:t>
            </w:r>
          </w:p>
        </w:tc>
        <w:tc>
          <w:tcPr>
            <w:tcW w:w="1440" w:type="dxa"/>
            <w:tcBorders>
              <w:top w:val="nil"/>
              <w:left w:val="nil"/>
              <w:bottom w:val="single" w:color="auto" w:sz="4" w:space="0"/>
              <w:right w:val="single" w:color="auto" w:sz="4" w:space="0"/>
            </w:tcBorders>
            <w:noWrap w:val="0"/>
            <w:vAlign w:val="center"/>
          </w:tcPr>
          <w:p w14:paraId="017C2BB8">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100≤Y＜2000</w:t>
            </w:r>
          </w:p>
        </w:tc>
        <w:tc>
          <w:tcPr>
            <w:tcW w:w="925" w:type="dxa"/>
            <w:tcBorders>
              <w:top w:val="nil"/>
              <w:left w:val="nil"/>
              <w:bottom w:val="single" w:color="auto" w:sz="4" w:space="0"/>
              <w:right w:val="single" w:color="auto" w:sz="4" w:space="0"/>
            </w:tcBorders>
            <w:noWrap w:val="0"/>
            <w:vAlign w:val="center"/>
          </w:tcPr>
          <w:p w14:paraId="713FCF79">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03068BE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72D83969">
            <w:pPr>
              <w:pageBreakBefore w:val="0"/>
              <w:widowControl/>
              <w:kinsoku/>
              <w:wordWrap/>
              <w:overflowPunct/>
              <w:topLinePunct w:val="0"/>
              <w:bidi w:val="0"/>
              <w:spacing w:beforeAutospacing="0" w:line="360" w:lineRule="auto"/>
              <w:ind w:left="0" w:leftChars="0" w:right="0"/>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信息传输业</w:t>
            </w:r>
          </w:p>
        </w:tc>
        <w:tc>
          <w:tcPr>
            <w:tcW w:w="1384" w:type="dxa"/>
            <w:tcBorders>
              <w:top w:val="nil"/>
              <w:left w:val="nil"/>
              <w:bottom w:val="single" w:color="auto" w:sz="4" w:space="0"/>
              <w:right w:val="single" w:color="auto" w:sz="4" w:space="0"/>
            </w:tcBorders>
            <w:noWrap w:val="0"/>
            <w:vAlign w:val="center"/>
          </w:tcPr>
          <w:p w14:paraId="2B5EC45B">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3ED68471">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620" w:type="dxa"/>
            <w:tcBorders>
              <w:top w:val="nil"/>
              <w:left w:val="nil"/>
              <w:bottom w:val="single" w:color="auto" w:sz="4" w:space="0"/>
              <w:right w:val="single" w:color="auto" w:sz="4" w:space="0"/>
            </w:tcBorders>
            <w:noWrap w:val="0"/>
            <w:vAlign w:val="center"/>
          </w:tcPr>
          <w:p w14:paraId="5827FDF3">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100≤X＜2000</w:t>
            </w:r>
          </w:p>
        </w:tc>
        <w:tc>
          <w:tcPr>
            <w:tcW w:w="1440" w:type="dxa"/>
            <w:tcBorders>
              <w:top w:val="nil"/>
              <w:left w:val="nil"/>
              <w:bottom w:val="single" w:color="auto" w:sz="4" w:space="0"/>
              <w:right w:val="single" w:color="auto" w:sz="4" w:space="0"/>
            </w:tcBorders>
            <w:noWrap w:val="0"/>
            <w:vAlign w:val="center"/>
          </w:tcPr>
          <w:p w14:paraId="52B8831F">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925" w:type="dxa"/>
            <w:tcBorders>
              <w:top w:val="nil"/>
              <w:left w:val="nil"/>
              <w:bottom w:val="single" w:color="auto" w:sz="4" w:space="0"/>
              <w:right w:val="single" w:color="auto" w:sz="4" w:space="0"/>
            </w:tcBorders>
            <w:noWrap w:val="0"/>
            <w:vAlign w:val="center"/>
          </w:tcPr>
          <w:p w14:paraId="1B68ECD3">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14CDF43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F7CE786">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06367BFA">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28265EE2">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551144AB">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1000≤Y＜100000</w:t>
            </w:r>
          </w:p>
        </w:tc>
        <w:tc>
          <w:tcPr>
            <w:tcW w:w="1440" w:type="dxa"/>
            <w:tcBorders>
              <w:top w:val="nil"/>
              <w:left w:val="nil"/>
              <w:bottom w:val="single" w:color="auto" w:sz="4" w:space="0"/>
              <w:right w:val="single" w:color="auto" w:sz="4" w:space="0"/>
            </w:tcBorders>
            <w:noWrap w:val="0"/>
            <w:vAlign w:val="center"/>
          </w:tcPr>
          <w:p w14:paraId="6762D521">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100≤Y＜1000</w:t>
            </w:r>
          </w:p>
        </w:tc>
        <w:tc>
          <w:tcPr>
            <w:tcW w:w="925" w:type="dxa"/>
            <w:tcBorders>
              <w:top w:val="nil"/>
              <w:left w:val="nil"/>
              <w:bottom w:val="single" w:color="auto" w:sz="4" w:space="0"/>
              <w:right w:val="single" w:color="auto" w:sz="4" w:space="0"/>
            </w:tcBorders>
            <w:noWrap w:val="0"/>
            <w:vAlign w:val="center"/>
          </w:tcPr>
          <w:p w14:paraId="0888DF96">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640F23B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7681B288">
            <w:pPr>
              <w:pageBreakBefore w:val="0"/>
              <w:widowControl/>
              <w:kinsoku/>
              <w:wordWrap/>
              <w:overflowPunct/>
              <w:topLinePunct w:val="0"/>
              <w:bidi w:val="0"/>
              <w:spacing w:beforeAutospacing="0" w:line="360" w:lineRule="auto"/>
              <w:ind w:left="0" w:leftChars="0" w:right="0"/>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软件和信息技术服务业</w:t>
            </w:r>
          </w:p>
        </w:tc>
        <w:tc>
          <w:tcPr>
            <w:tcW w:w="1384" w:type="dxa"/>
            <w:tcBorders>
              <w:top w:val="nil"/>
              <w:left w:val="nil"/>
              <w:bottom w:val="single" w:color="auto" w:sz="4" w:space="0"/>
              <w:right w:val="single" w:color="auto" w:sz="4" w:space="0"/>
            </w:tcBorders>
            <w:noWrap w:val="0"/>
            <w:vAlign w:val="center"/>
          </w:tcPr>
          <w:p w14:paraId="4D3763D2">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77001595">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620" w:type="dxa"/>
            <w:tcBorders>
              <w:top w:val="nil"/>
              <w:left w:val="nil"/>
              <w:bottom w:val="single" w:color="auto" w:sz="4" w:space="0"/>
              <w:right w:val="single" w:color="auto" w:sz="4" w:space="0"/>
            </w:tcBorders>
            <w:noWrap w:val="0"/>
            <w:vAlign w:val="center"/>
          </w:tcPr>
          <w:p w14:paraId="346C2EAA">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1C855990">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925" w:type="dxa"/>
            <w:tcBorders>
              <w:top w:val="nil"/>
              <w:left w:val="nil"/>
              <w:bottom w:val="single" w:color="auto" w:sz="4" w:space="0"/>
              <w:right w:val="single" w:color="auto" w:sz="4" w:space="0"/>
            </w:tcBorders>
            <w:noWrap w:val="0"/>
            <w:vAlign w:val="center"/>
          </w:tcPr>
          <w:p w14:paraId="440B9FCA">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5834F26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8869F60">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61E1F37F">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31E00551">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79DAF163">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1000≤Y＜10000</w:t>
            </w:r>
          </w:p>
        </w:tc>
        <w:tc>
          <w:tcPr>
            <w:tcW w:w="1440" w:type="dxa"/>
            <w:tcBorders>
              <w:top w:val="nil"/>
              <w:left w:val="nil"/>
              <w:bottom w:val="single" w:color="auto" w:sz="4" w:space="0"/>
              <w:right w:val="single" w:color="auto" w:sz="4" w:space="0"/>
            </w:tcBorders>
            <w:noWrap w:val="0"/>
            <w:vAlign w:val="center"/>
          </w:tcPr>
          <w:p w14:paraId="4506DB0E">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50≤Y＜1000</w:t>
            </w:r>
          </w:p>
        </w:tc>
        <w:tc>
          <w:tcPr>
            <w:tcW w:w="925" w:type="dxa"/>
            <w:tcBorders>
              <w:top w:val="nil"/>
              <w:left w:val="nil"/>
              <w:bottom w:val="single" w:color="auto" w:sz="4" w:space="0"/>
              <w:right w:val="single" w:color="auto" w:sz="4" w:space="0"/>
            </w:tcBorders>
            <w:noWrap w:val="0"/>
            <w:vAlign w:val="center"/>
          </w:tcPr>
          <w:p w14:paraId="585B1929">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Y＜50</w:t>
            </w:r>
          </w:p>
        </w:tc>
      </w:tr>
      <w:tr w14:paraId="76BCAE3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012734E">
            <w:pPr>
              <w:pageBreakBefore w:val="0"/>
              <w:widowControl/>
              <w:kinsoku/>
              <w:wordWrap/>
              <w:overflowPunct/>
              <w:topLinePunct w:val="0"/>
              <w:bidi w:val="0"/>
              <w:spacing w:beforeAutospacing="0" w:line="360" w:lineRule="auto"/>
              <w:ind w:left="0" w:leftChars="0" w:right="0"/>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房地产开发经营</w:t>
            </w:r>
          </w:p>
        </w:tc>
        <w:tc>
          <w:tcPr>
            <w:tcW w:w="1384" w:type="dxa"/>
            <w:tcBorders>
              <w:top w:val="nil"/>
              <w:left w:val="nil"/>
              <w:bottom w:val="single" w:color="auto" w:sz="4" w:space="0"/>
              <w:right w:val="single" w:color="auto" w:sz="4" w:space="0"/>
            </w:tcBorders>
            <w:noWrap w:val="0"/>
            <w:vAlign w:val="center"/>
          </w:tcPr>
          <w:p w14:paraId="63763D8E">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40851CD6">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7808B0EA">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1000≤Y＜200000</w:t>
            </w:r>
          </w:p>
        </w:tc>
        <w:tc>
          <w:tcPr>
            <w:tcW w:w="1440" w:type="dxa"/>
            <w:tcBorders>
              <w:top w:val="nil"/>
              <w:left w:val="nil"/>
              <w:bottom w:val="single" w:color="auto" w:sz="4" w:space="0"/>
              <w:right w:val="single" w:color="auto" w:sz="4" w:space="0"/>
            </w:tcBorders>
            <w:noWrap w:val="0"/>
            <w:vAlign w:val="center"/>
          </w:tcPr>
          <w:p w14:paraId="112042D3">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100≤X＜1000</w:t>
            </w:r>
          </w:p>
        </w:tc>
        <w:tc>
          <w:tcPr>
            <w:tcW w:w="925" w:type="dxa"/>
            <w:tcBorders>
              <w:top w:val="nil"/>
              <w:left w:val="nil"/>
              <w:bottom w:val="single" w:color="auto" w:sz="4" w:space="0"/>
              <w:right w:val="single" w:color="auto" w:sz="4" w:space="0"/>
            </w:tcBorders>
            <w:noWrap w:val="0"/>
            <w:vAlign w:val="center"/>
          </w:tcPr>
          <w:p w14:paraId="0EADDADD">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w:t>
            </w:r>
          </w:p>
        </w:tc>
      </w:tr>
      <w:tr w14:paraId="40B7EBD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D17D19C">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26AD5B99">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913" w:type="dxa"/>
            <w:tcBorders>
              <w:top w:val="nil"/>
              <w:left w:val="nil"/>
              <w:bottom w:val="single" w:color="auto" w:sz="4" w:space="0"/>
              <w:right w:val="single" w:color="auto" w:sz="4" w:space="0"/>
            </w:tcBorders>
            <w:noWrap w:val="0"/>
            <w:vAlign w:val="center"/>
          </w:tcPr>
          <w:p w14:paraId="17C9A58E">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3D837904">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5000≤Z＜10000</w:t>
            </w:r>
          </w:p>
        </w:tc>
        <w:tc>
          <w:tcPr>
            <w:tcW w:w="1440" w:type="dxa"/>
            <w:tcBorders>
              <w:top w:val="nil"/>
              <w:left w:val="nil"/>
              <w:bottom w:val="single" w:color="auto" w:sz="4" w:space="0"/>
              <w:right w:val="single" w:color="auto" w:sz="4" w:space="0"/>
            </w:tcBorders>
            <w:noWrap w:val="0"/>
            <w:vAlign w:val="center"/>
          </w:tcPr>
          <w:p w14:paraId="0D94E99D">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2000≤Y＜5000</w:t>
            </w:r>
          </w:p>
        </w:tc>
        <w:tc>
          <w:tcPr>
            <w:tcW w:w="925" w:type="dxa"/>
            <w:tcBorders>
              <w:top w:val="nil"/>
              <w:left w:val="nil"/>
              <w:bottom w:val="single" w:color="auto" w:sz="4" w:space="0"/>
              <w:right w:val="single" w:color="auto" w:sz="4" w:space="0"/>
            </w:tcBorders>
            <w:noWrap w:val="0"/>
            <w:vAlign w:val="center"/>
          </w:tcPr>
          <w:p w14:paraId="3D0B4E5D">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Y＜2000</w:t>
            </w:r>
          </w:p>
        </w:tc>
      </w:tr>
      <w:tr w14:paraId="786CB5B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14C65E9D">
            <w:pPr>
              <w:pageBreakBefore w:val="0"/>
              <w:widowControl/>
              <w:kinsoku/>
              <w:wordWrap/>
              <w:overflowPunct/>
              <w:topLinePunct w:val="0"/>
              <w:bidi w:val="0"/>
              <w:spacing w:beforeAutospacing="0" w:line="360" w:lineRule="auto"/>
              <w:ind w:left="0" w:leftChars="0" w:right="0"/>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物业管理</w:t>
            </w:r>
          </w:p>
        </w:tc>
        <w:tc>
          <w:tcPr>
            <w:tcW w:w="1384" w:type="dxa"/>
            <w:tcBorders>
              <w:top w:val="nil"/>
              <w:left w:val="nil"/>
              <w:bottom w:val="single" w:color="auto" w:sz="4" w:space="0"/>
              <w:right w:val="single" w:color="auto" w:sz="4" w:space="0"/>
            </w:tcBorders>
            <w:noWrap w:val="0"/>
            <w:vAlign w:val="center"/>
          </w:tcPr>
          <w:p w14:paraId="28673808">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65B7469E">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620" w:type="dxa"/>
            <w:tcBorders>
              <w:top w:val="nil"/>
              <w:left w:val="nil"/>
              <w:bottom w:val="single" w:color="auto" w:sz="4" w:space="0"/>
              <w:right w:val="single" w:color="auto" w:sz="4" w:space="0"/>
            </w:tcBorders>
            <w:noWrap w:val="0"/>
            <w:vAlign w:val="center"/>
          </w:tcPr>
          <w:p w14:paraId="793639E0">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40" w:type="dxa"/>
            <w:tcBorders>
              <w:top w:val="nil"/>
              <w:left w:val="nil"/>
              <w:bottom w:val="single" w:color="auto" w:sz="4" w:space="0"/>
              <w:right w:val="single" w:color="auto" w:sz="4" w:space="0"/>
            </w:tcBorders>
            <w:noWrap w:val="0"/>
            <w:vAlign w:val="center"/>
          </w:tcPr>
          <w:p w14:paraId="0D64C226">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925" w:type="dxa"/>
            <w:tcBorders>
              <w:top w:val="nil"/>
              <w:left w:val="nil"/>
              <w:bottom w:val="single" w:color="auto" w:sz="4" w:space="0"/>
              <w:right w:val="single" w:color="auto" w:sz="4" w:space="0"/>
            </w:tcBorders>
            <w:noWrap w:val="0"/>
            <w:vAlign w:val="center"/>
          </w:tcPr>
          <w:p w14:paraId="5DF1D690">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w:t>
            </w:r>
          </w:p>
        </w:tc>
      </w:tr>
      <w:tr w14:paraId="58272A0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F194C58">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06030223">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17B9D2F7">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417F7AC8">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1000≤Y＜5000</w:t>
            </w:r>
          </w:p>
        </w:tc>
        <w:tc>
          <w:tcPr>
            <w:tcW w:w="1440" w:type="dxa"/>
            <w:tcBorders>
              <w:top w:val="nil"/>
              <w:left w:val="nil"/>
              <w:bottom w:val="single" w:color="auto" w:sz="4" w:space="0"/>
              <w:right w:val="single" w:color="auto" w:sz="4" w:space="0"/>
            </w:tcBorders>
            <w:noWrap w:val="0"/>
            <w:vAlign w:val="center"/>
          </w:tcPr>
          <w:p w14:paraId="3137FB2F">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500≤Y＜1000</w:t>
            </w:r>
          </w:p>
        </w:tc>
        <w:tc>
          <w:tcPr>
            <w:tcW w:w="925" w:type="dxa"/>
            <w:tcBorders>
              <w:top w:val="nil"/>
              <w:left w:val="nil"/>
              <w:bottom w:val="single" w:color="auto" w:sz="4" w:space="0"/>
              <w:right w:val="single" w:color="auto" w:sz="4" w:space="0"/>
            </w:tcBorders>
            <w:noWrap w:val="0"/>
            <w:vAlign w:val="center"/>
          </w:tcPr>
          <w:p w14:paraId="1E9A9517">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Y＜500</w:t>
            </w:r>
          </w:p>
        </w:tc>
      </w:tr>
      <w:tr w14:paraId="6A68512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0E0EA9AB">
            <w:pPr>
              <w:pageBreakBefore w:val="0"/>
              <w:widowControl/>
              <w:kinsoku/>
              <w:wordWrap/>
              <w:overflowPunct/>
              <w:topLinePunct w:val="0"/>
              <w:bidi w:val="0"/>
              <w:spacing w:beforeAutospacing="0" w:line="360" w:lineRule="auto"/>
              <w:ind w:left="0" w:leftChars="0" w:right="0"/>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租赁和商务服务业</w:t>
            </w:r>
          </w:p>
        </w:tc>
        <w:tc>
          <w:tcPr>
            <w:tcW w:w="1384" w:type="dxa"/>
            <w:tcBorders>
              <w:top w:val="nil"/>
              <w:left w:val="nil"/>
              <w:bottom w:val="single" w:color="auto" w:sz="4" w:space="0"/>
              <w:right w:val="single" w:color="auto" w:sz="4" w:space="0"/>
            </w:tcBorders>
            <w:noWrap w:val="0"/>
            <w:vAlign w:val="center"/>
          </w:tcPr>
          <w:p w14:paraId="2B8835E1">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745385ED">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620" w:type="dxa"/>
            <w:tcBorders>
              <w:top w:val="nil"/>
              <w:left w:val="nil"/>
              <w:bottom w:val="single" w:color="auto" w:sz="4" w:space="0"/>
              <w:right w:val="single" w:color="auto" w:sz="4" w:space="0"/>
            </w:tcBorders>
            <w:noWrap w:val="0"/>
            <w:vAlign w:val="center"/>
          </w:tcPr>
          <w:p w14:paraId="4B05F201">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330DA85F">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925" w:type="dxa"/>
            <w:tcBorders>
              <w:top w:val="nil"/>
              <w:left w:val="nil"/>
              <w:bottom w:val="single" w:color="auto" w:sz="4" w:space="0"/>
              <w:right w:val="single" w:color="auto" w:sz="4" w:space="0"/>
            </w:tcBorders>
            <w:noWrap w:val="0"/>
            <w:vAlign w:val="center"/>
          </w:tcPr>
          <w:p w14:paraId="3E5D62F4">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18E0783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25F7B4D">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61F55241">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913" w:type="dxa"/>
            <w:tcBorders>
              <w:top w:val="nil"/>
              <w:left w:val="nil"/>
              <w:bottom w:val="single" w:color="auto" w:sz="4" w:space="0"/>
              <w:right w:val="single" w:color="auto" w:sz="4" w:space="0"/>
            </w:tcBorders>
            <w:noWrap w:val="0"/>
            <w:vAlign w:val="center"/>
          </w:tcPr>
          <w:p w14:paraId="53BF2E3B">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428B720C">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8000≤Z＜120000</w:t>
            </w:r>
          </w:p>
        </w:tc>
        <w:tc>
          <w:tcPr>
            <w:tcW w:w="1440" w:type="dxa"/>
            <w:tcBorders>
              <w:top w:val="nil"/>
              <w:left w:val="nil"/>
              <w:bottom w:val="single" w:color="auto" w:sz="4" w:space="0"/>
              <w:right w:val="single" w:color="auto" w:sz="4" w:space="0"/>
            </w:tcBorders>
            <w:noWrap w:val="0"/>
            <w:vAlign w:val="center"/>
          </w:tcPr>
          <w:p w14:paraId="172BC776">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100≤Z＜8000</w:t>
            </w:r>
          </w:p>
        </w:tc>
        <w:tc>
          <w:tcPr>
            <w:tcW w:w="925" w:type="dxa"/>
            <w:tcBorders>
              <w:top w:val="nil"/>
              <w:left w:val="nil"/>
              <w:bottom w:val="single" w:color="auto" w:sz="4" w:space="0"/>
              <w:right w:val="single" w:color="auto" w:sz="4" w:space="0"/>
            </w:tcBorders>
            <w:noWrap w:val="0"/>
            <w:vAlign w:val="center"/>
          </w:tcPr>
          <w:p w14:paraId="64B46397">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78DBAF4F">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16B3081E">
            <w:pPr>
              <w:pageBreakBefore w:val="0"/>
              <w:widowControl/>
              <w:kinsoku/>
              <w:wordWrap/>
              <w:overflowPunct/>
              <w:topLinePunct w:val="0"/>
              <w:bidi w:val="0"/>
              <w:spacing w:beforeAutospacing="0" w:line="360" w:lineRule="auto"/>
              <w:ind w:left="0" w:leftChars="0" w:right="0"/>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其他未列明行业</w:t>
            </w:r>
          </w:p>
        </w:tc>
        <w:tc>
          <w:tcPr>
            <w:tcW w:w="1384" w:type="dxa"/>
            <w:tcBorders>
              <w:top w:val="nil"/>
              <w:left w:val="nil"/>
              <w:bottom w:val="single" w:color="auto" w:sz="4" w:space="0"/>
              <w:right w:val="single" w:color="auto" w:sz="4" w:space="0"/>
            </w:tcBorders>
            <w:noWrap w:val="0"/>
            <w:vAlign w:val="center"/>
          </w:tcPr>
          <w:p w14:paraId="55508D8C">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0F7F37A4">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620" w:type="dxa"/>
            <w:tcBorders>
              <w:top w:val="nil"/>
              <w:left w:val="nil"/>
              <w:bottom w:val="single" w:color="auto" w:sz="4" w:space="0"/>
              <w:right w:val="single" w:color="auto" w:sz="4" w:space="0"/>
            </w:tcBorders>
            <w:noWrap w:val="0"/>
            <w:vAlign w:val="center"/>
          </w:tcPr>
          <w:p w14:paraId="151C30D2">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4765454B">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925" w:type="dxa"/>
            <w:tcBorders>
              <w:top w:val="nil"/>
              <w:left w:val="nil"/>
              <w:bottom w:val="single" w:color="auto" w:sz="4" w:space="0"/>
              <w:right w:val="single" w:color="auto" w:sz="4" w:space="0"/>
            </w:tcBorders>
            <w:noWrap w:val="0"/>
            <w:vAlign w:val="center"/>
          </w:tcPr>
          <w:p w14:paraId="21D084D0">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bl>
    <w:p w14:paraId="455FB166">
      <w:pPr>
        <w:pageBreakBefore w:val="0"/>
        <w:kinsoku/>
        <w:wordWrap/>
        <w:overflowPunct/>
        <w:topLinePunct w:val="0"/>
        <w:bidi w:val="0"/>
        <w:spacing w:beforeAutospacing="0" w:line="360" w:lineRule="auto"/>
        <w:ind w:left="0" w:leftChars="0" w:right="0" w:firstLine="525" w:firstLineChars="250"/>
        <w:rPr>
          <w:rFonts w:hint="eastAsia" w:ascii="宋体" w:hAnsi="宋体" w:eastAsia="宋体" w:cs="宋体"/>
          <w:color w:val="auto"/>
          <w:szCs w:val="21"/>
        </w:rPr>
      </w:pPr>
      <w:r>
        <w:rPr>
          <w:rFonts w:hint="eastAsia" w:ascii="宋体" w:hAnsi="宋体" w:eastAsia="宋体" w:cs="宋体"/>
          <w:color w:val="auto"/>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4840F5CD">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Cs w:val="20"/>
        </w:rPr>
        <w:sectPr>
          <w:pgSz w:w="11906" w:h="16838"/>
          <w:pgMar w:top="1134" w:right="1134" w:bottom="1134" w:left="1134" w:header="720" w:footer="720" w:gutter="0"/>
          <w:cols w:space="720" w:num="1"/>
          <w:docGrid w:type="lines" w:linePitch="331" w:charSpace="0"/>
        </w:sectPr>
      </w:pPr>
    </w:p>
    <w:p w14:paraId="0DC6D774">
      <w:pPr>
        <w:pageBreakBefore w:val="0"/>
        <w:kinsoku/>
        <w:wordWrap/>
        <w:overflowPunct/>
        <w:topLinePunct w:val="0"/>
        <w:bidi w:val="0"/>
        <w:spacing w:beforeAutospacing="0" w:line="360" w:lineRule="auto"/>
        <w:ind w:left="0" w:leftChars="0" w:right="0"/>
        <w:jc w:val="center"/>
        <w:outlineLvl w:val="0"/>
        <w:rPr>
          <w:rFonts w:hint="eastAsia" w:ascii="宋体" w:hAnsi="宋体" w:eastAsia="宋体" w:cs="宋体"/>
          <w:b/>
          <w:color w:val="auto"/>
          <w:sz w:val="36"/>
          <w:szCs w:val="36"/>
        </w:rPr>
      </w:pPr>
      <w:bookmarkStart w:id="44" w:name="_Toc19633"/>
      <w:bookmarkStart w:id="45" w:name="_Toc532545044"/>
      <w:r>
        <w:rPr>
          <w:rFonts w:hint="eastAsia" w:ascii="宋体" w:hAnsi="宋体" w:eastAsia="宋体" w:cs="宋体"/>
          <w:b/>
          <w:color w:val="auto"/>
          <w:sz w:val="36"/>
          <w:szCs w:val="20"/>
        </w:rPr>
        <w:t>第三章  投标人须知</w:t>
      </w:r>
      <w:bookmarkEnd w:id="44"/>
      <w:bookmarkEnd w:id="45"/>
    </w:p>
    <w:p w14:paraId="75CD5DBE">
      <w:pPr>
        <w:pageBreakBefore w:val="0"/>
        <w:kinsoku/>
        <w:wordWrap/>
        <w:overflowPunct/>
        <w:topLinePunct w:val="0"/>
        <w:bidi w:val="0"/>
        <w:spacing w:beforeAutospacing="0" w:line="360" w:lineRule="auto"/>
        <w:ind w:left="0" w:leftChars="0" w:right="0"/>
        <w:jc w:val="center"/>
        <w:outlineLvl w:val="1"/>
        <w:rPr>
          <w:rFonts w:hint="eastAsia" w:ascii="宋体" w:hAnsi="宋体" w:eastAsia="宋体" w:cs="宋体"/>
          <w:b/>
          <w:color w:val="auto"/>
          <w:sz w:val="30"/>
          <w:szCs w:val="30"/>
        </w:rPr>
      </w:pPr>
      <w:bookmarkStart w:id="46" w:name="_Toc20276"/>
      <w:r>
        <w:rPr>
          <w:rFonts w:hint="eastAsia" w:ascii="宋体" w:hAnsi="宋体" w:eastAsia="宋体" w:cs="宋体"/>
          <w:b/>
          <w:color w:val="auto"/>
          <w:sz w:val="30"/>
          <w:szCs w:val="30"/>
        </w:rPr>
        <w:t>第一节 投标人须知前附表</w:t>
      </w:r>
      <w:bookmarkEnd w:id="46"/>
    </w:p>
    <w:tbl>
      <w:tblPr>
        <w:tblStyle w:val="15"/>
        <w:tblW w:w="10240"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68"/>
        <w:gridCol w:w="7297"/>
      </w:tblGrid>
      <w:tr w14:paraId="1B03A7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2D641E99">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rPr>
            </w:pPr>
            <w:r>
              <w:rPr>
                <w:rFonts w:hint="eastAsia" w:ascii="宋体" w:hAnsi="宋体" w:eastAsia="宋体" w:cs="宋体"/>
                <w:color w:val="auto"/>
                <w:szCs w:val="21"/>
              </w:rPr>
              <w:t>条款号</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5C93C03">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rPr>
            </w:pPr>
            <w:r>
              <w:rPr>
                <w:rFonts w:hint="eastAsia" w:ascii="宋体" w:hAnsi="宋体" w:eastAsia="宋体" w:cs="宋体"/>
                <w:color w:val="auto"/>
                <w:szCs w:val="21"/>
              </w:rPr>
              <w:t>项目内容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9DD2BC5">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color w:val="auto"/>
                <w:szCs w:val="21"/>
              </w:rPr>
            </w:pPr>
            <w:r>
              <w:rPr>
                <w:rFonts w:hint="eastAsia" w:ascii="宋体" w:hAnsi="宋体" w:eastAsia="宋体" w:cs="宋体"/>
                <w:color w:val="auto"/>
                <w:szCs w:val="21"/>
              </w:rPr>
              <w:t>编列内容</w:t>
            </w:r>
          </w:p>
        </w:tc>
      </w:tr>
      <w:tr w14:paraId="345F3F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3C910E9A">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6.1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3BCCBDC">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bookmarkStart w:id="47" w:name="_9.2"/>
            <w:bookmarkEnd w:id="47"/>
            <w:bookmarkStart w:id="48" w:name="_5"/>
            <w:bookmarkEnd w:id="48"/>
            <w:bookmarkStart w:id="49" w:name="_8.1"/>
            <w:bookmarkEnd w:id="49"/>
            <w:r>
              <w:rPr>
                <w:rFonts w:hint="eastAsia" w:ascii="宋体" w:hAnsi="宋体" w:eastAsia="宋体" w:cs="宋体"/>
                <w:color w:val="auto"/>
                <w:szCs w:val="21"/>
              </w:rPr>
              <w:t>是否接受联合体投标</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33A39AB">
            <w:pPr>
              <w:pageBreakBefore w:val="0"/>
              <w:kinsoku/>
              <w:wordWrap/>
              <w:overflowPunct/>
              <w:topLinePunct w:val="0"/>
              <w:bidi w:val="0"/>
              <w:spacing w:beforeAutospacing="0" w:line="360" w:lineRule="auto"/>
              <w:ind w:left="0" w:leftChars="0" w:right="0"/>
              <w:jc w:val="left"/>
              <w:rPr>
                <w:rFonts w:hint="eastAsia" w:ascii="宋体" w:hAnsi="宋体" w:eastAsia="宋体" w:cs="宋体"/>
                <w:color w:val="auto"/>
                <w:szCs w:val="21"/>
              </w:rPr>
            </w:pPr>
            <w:bookmarkStart w:id="50" w:name="PO_3000001866_PM007"/>
            <w:r>
              <w:rPr>
                <w:rFonts w:hint="eastAsia" w:ascii="宋体" w:hAnsi="宋体" w:eastAsia="宋体" w:cs="宋体"/>
                <w:color w:val="auto"/>
                <w:szCs w:val="21"/>
              </w:rPr>
              <w:t>不允许联合体投标</w:t>
            </w:r>
            <w:bookmarkEnd w:id="50"/>
            <w:r>
              <w:rPr>
                <w:rFonts w:hint="eastAsia" w:ascii="宋体" w:hAnsi="宋体" w:eastAsia="宋体" w:cs="宋体"/>
                <w:color w:val="auto"/>
                <w:szCs w:val="21"/>
              </w:rPr>
              <w:t>。</w:t>
            </w:r>
          </w:p>
        </w:tc>
      </w:tr>
      <w:tr w14:paraId="622249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230DCC24">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6.2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E24889B">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联合体投标要求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D8F052C">
            <w:pPr>
              <w:pageBreakBefore w:val="0"/>
              <w:kinsoku/>
              <w:wordWrap/>
              <w:overflowPunct/>
              <w:topLinePunct w:val="0"/>
              <w:bidi w:val="0"/>
              <w:spacing w:beforeAutospacing="0" w:line="360" w:lineRule="auto"/>
              <w:ind w:left="0" w:leftChars="0" w:right="0"/>
              <w:jc w:val="left"/>
              <w:rPr>
                <w:rFonts w:hint="eastAsia" w:ascii="宋体" w:hAnsi="宋体" w:eastAsia="宋体" w:cs="宋体"/>
                <w:color w:val="auto"/>
                <w:szCs w:val="21"/>
              </w:rPr>
            </w:pPr>
            <w:r>
              <w:rPr>
                <w:rFonts w:hint="eastAsia" w:ascii="宋体" w:hAnsi="宋体" w:eastAsia="宋体" w:cs="宋体"/>
                <w:color w:val="auto"/>
                <w:szCs w:val="21"/>
              </w:rPr>
              <w:t>无</w:t>
            </w:r>
          </w:p>
        </w:tc>
      </w:tr>
      <w:tr w14:paraId="35CBD9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669AC37A">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7.2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716A1F0">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是否允许转包/分包</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49A5366">
            <w:pPr>
              <w:pageBreakBefore w:val="0"/>
              <w:kinsoku/>
              <w:wordWrap/>
              <w:overflowPunct/>
              <w:topLinePunct w:val="0"/>
              <w:bidi w:val="0"/>
              <w:spacing w:beforeAutospacing="0" w:line="360" w:lineRule="auto"/>
              <w:ind w:left="0" w:leftChars="0" w:right="0"/>
              <w:jc w:val="left"/>
              <w:rPr>
                <w:rFonts w:hint="eastAsia" w:ascii="宋体" w:hAnsi="宋体" w:eastAsia="宋体" w:cs="宋体"/>
                <w:color w:val="auto"/>
                <w:szCs w:val="21"/>
              </w:rPr>
            </w:pPr>
            <w:bookmarkStart w:id="51" w:name="PO_3000001866_PM044"/>
            <w:r>
              <w:rPr>
                <w:rFonts w:hint="eastAsia" w:ascii="宋体" w:hAnsi="宋体" w:cs="宋体"/>
                <w:color w:val="auto"/>
                <w:szCs w:val="21"/>
                <w:lang w:eastAsia="zh-CN"/>
              </w:rPr>
              <w:t>☑</w:t>
            </w:r>
            <w:r>
              <w:rPr>
                <w:rFonts w:hint="eastAsia" w:ascii="宋体" w:hAnsi="宋体" w:cs="宋体"/>
                <w:color w:val="auto"/>
                <w:szCs w:val="21"/>
                <w:lang w:val="en-US" w:eastAsia="zh-CN"/>
              </w:rPr>
              <w:t>不</w:t>
            </w:r>
            <w:r>
              <w:rPr>
                <w:rFonts w:hint="eastAsia" w:ascii="宋体" w:hAnsi="宋体" w:eastAsia="宋体" w:cs="宋体"/>
                <w:color w:val="auto"/>
                <w:szCs w:val="21"/>
              </w:rPr>
              <w:t>允许分包</w:t>
            </w:r>
          </w:p>
          <w:p w14:paraId="5C2B939F">
            <w:pPr>
              <w:pageBreakBefore w:val="0"/>
              <w:kinsoku/>
              <w:wordWrap/>
              <w:overflowPunct/>
              <w:topLinePunct w:val="0"/>
              <w:bidi w:val="0"/>
              <w:spacing w:beforeAutospacing="0" w:line="360" w:lineRule="auto"/>
              <w:ind w:left="0" w:leftChars="0" w:right="0"/>
              <w:jc w:val="left"/>
              <w:rPr>
                <w:rFonts w:hint="eastAsia" w:ascii="宋体" w:hAnsi="宋体" w:eastAsia="宋体" w:cs="宋体"/>
                <w:color w:val="auto"/>
                <w:szCs w:val="21"/>
              </w:rPr>
            </w:pPr>
            <w:r>
              <w:rPr>
                <w:rFonts w:hint="eastAsia" w:ascii="宋体" w:hAnsi="宋体" w:cs="宋体"/>
                <w:color w:val="auto"/>
                <w:szCs w:val="21"/>
                <w:lang w:eastAsia="zh-CN"/>
              </w:rPr>
              <w:t>□</w:t>
            </w:r>
            <w:r>
              <w:rPr>
                <w:rFonts w:hint="eastAsia" w:ascii="宋体" w:hAnsi="宋体" w:eastAsia="宋体" w:cs="宋体"/>
                <w:color w:val="auto"/>
                <w:szCs w:val="21"/>
              </w:rPr>
              <w:t>允许分包</w:t>
            </w:r>
            <w:bookmarkEnd w:id="51"/>
          </w:p>
          <w:p w14:paraId="2DF84A9F">
            <w:pPr>
              <w:pageBreakBefore w:val="0"/>
              <w:kinsoku/>
              <w:wordWrap/>
              <w:overflowPunct/>
              <w:topLinePunct w:val="0"/>
              <w:bidi w:val="0"/>
              <w:spacing w:beforeAutospacing="0" w:line="360" w:lineRule="auto"/>
              <w:ind w:left="0" w:leftChars="0" w:right="0"/>
              <w:jc w:val="left"/>
              <w:rPr>
                <w:rFonts w:hint="eastAsia" w:ascii="宋体" w:hAnsi="宋体" w:eastAsia="宋体" w:cs="宋体"/>
                <w:color w:val="auto"/>
                <w:szCs w:val="21"/>
              </w:rPr>
            </w:pPr>
            <w:r>
              <w:rPr>
                <w:rFonts w:hint="eastAsia" w:ascii="宋体" w:hAnsi="宋体" w:eastAsia="宋体" w:cs="宋体"/>
                <w:color w:val="auto"/>
                <w:szCs w:val="21"/>
              </w:rPr>
              <w:t>分包内容：</w:t>
            </w:r>
            <w:r>
              <w:rPr>
                <w:rFonts w:hint="eastAsia" w:ascii="宋体" w:hAnsi="宋体" w:cs="宋体"/>
                <w:color w:val="auto"/>
                <w:szCs w:val="21"/>
                <w:u w:val="single"/>
                <w:lang w:val="en-US" w:eastAsia="zh-CN"/>
              </w:rPr>
              <w:t>/</w:t>
            </w:r>
            <w:r>
              <w:rPr>
                <w:rFonts w:hint="eastAsia" w:ascii="宋体" w:hAnsi="宋体" w:eastAsia="宋体" w:cs="宋体"/>
                <w:color w:val="auto"/>
                <w:szCs w:val="21"/>
                <w:u w:val="single"/>
              </w:rPr>
              <w:t xml:space="preserve"> 。</w:t>
            </w:r>
          </w:p>
          <w:p w14:paraId="20C27701">
            <w:pPr>
              <w:pageBreakBefore w:val="0"/>
              <w:kinsoku/>
              <w:wordWrap/>
              <w:overflowPunct/>
              <w:topLinePunct w:val="0"/>
              <w:bidi w:val="0"/>
              <w:spacing w:beforeAutospacing="0" w:line="360" w:lineRule="auto"/>
              <w:ind w:left="0" w:leftChars="0" w:right="0"/>
              <w:jc w:val="left"/>
              <w:rPr>
                <w:rFonts w:hint="eastAsia" w:ascii="宋体" w:hAnsi="宋体" w:eastAsia="宋体" w:cs="宋体"/>
                <w:color w:val="auto"/>
                <w:szCs w:val="21"/>
                <w:lang w:eastAsia="zh-CN"/>
              </w:rPr>
            </w:pPr>
            <w:r>
              <w:rPr>
                <w:rFonts w:hint="eastAsia" w:ascii="宋体" w:hAnsi="宋体" w:eastAsia="宋体" w:cs="宋体"/>
                <w:color w:val="auto"/>
                <w:szCs w:val="21"/>
              </w:rPr>
              <w:t>分包金额或者比例：</w:t>
            </w:r>
            <w:r>
              <w:rPr>
                <w:rFonts w:hint="eastAsia" w:ascii="宋体" w:hAnsi="宋体" w:cs="宋体"/>
                <w:color w:val="auto"/>
                <w:szCs w:val="21"/>
                <w:u w:val="single"/>
                <w:lang w:val="en-US" w:eastAsia="zh-CN"/>
              </w:rPr>
              <w:t>/</w:t>
            </w:r>
          </w:p>
        </w:tc>
      </w:tr>
      <w:tr w14:paraId="20166D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169AA8D2">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11.4</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ADF9895">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媒体发布渠道</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EB9A230">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8"/>
                <w:szCs w:val="18"/>
              </w:rPr>
            </w:pPr>
            <w:r>
              <w:rPr>
                <w:rFonts w:hint="eastAsia" w:ascii="宋体" w:hAnsi="宋体" w:eastAsia="宋体" w:cs="宋体"/>
                <w:color w:val="auto"/>
                <w:szCs w:val="21"/>
              </w:rPr>
              <w:t>与本项目相关的政府采购业务澄清、更正及与之相关的事项将在采购公告中“六、其他补充事宜”中网上查询地址上发布</w:t>
            </w:r>
            <w:r>
              <w:rPr>
                <w:rFonts w:hint="eastAsia" w:ascii="宋体" w:hAnsi="宋体" w:eastAsia="宋体" w:cs="宋体"/>
                <w:color w:val="auto"/>
                <w:kern w:val="0"/>
                <w:szCs w:val="21"/>
              </w:rPr>
              <w:t>。</w:t>
            </w:r>
          </w:p>
        </w:tc>
      </w:tr>
      <w:tr w14:paraId="244576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2D1DBD75">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11.6</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2E7FA18">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是否组织标前答疑会</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8A71A01">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☑不组织召开开标前答疑会</w:t>
            </w:r>
          </w:p>
          <w:p w14:paraId="06754A93">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□组织召开开标前答疑会</w:t>
            </w:r>
          </w:p>
          <w:p w14:paraId="1582F382">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会议开始时间：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日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时</w:t>
            </w:r>
            <w:r>
              <w:rPr>
                <w:rFonts w:hint="eastAsia" w:ascii="宋体" w:hAnsi="宋体" w:eastAsia="宋体" w:cs="宋体"/>
                <w:color w:val="auto"/>
                <w:szCs w:val="21"/>
                <w:u w:val="single"/>
              </w:rPr>
              <w:t xml:space="preserve">  分</w:t>
            </w:r>
            <w:r>
              <w:rPr>
                <w:rFonts w:hint="eastAsia" w:ascii="宋体" w:hAnsi="宋体" w:eastAsia="宋体" w:cs="宋体"/>
                <w:color w:val="auto"/>
                <w:szCs w:val="21"/>
              </w:rPr>
              <w:t>，逾期后果自负。</w:t>
            </w:r>
          </w:p>
          <w:p w14:paraId="5BBA32FC">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u w:val="single"/>
              </w:rPr>
            </w:pPr>
            <w:r>
              <w:rPr>
                <w:rFonts w:hint="eastAsia" w:ascii="宋体" w:hAnsi="宋体" w:eastAsia="宋体" w:cs="宋体"/>
                <w:color w:val="auto"/>
                <w:szCs w:val="21"/>
              </w:rPr>
              <w:t>会议地点：</w:t>
            </w:r>
            <w:r>
              <w:rPr>
                <w:rFonts w:hint="eastAsia" w:ascii="宋体" w:hAnsi="宋体" w:eastAsia="宋体" w:cs="宋体"/>
                <w:color w:val="auto"/>
                <w:szCs w:val="21"/>
                <w:u w:val="single"/>
              </w:rPr>
              <w:t xml:space="preserve">              </w:t>
            </w:r>
          </w:p>
        </w:tc>
      </w:tr>
      <w:tr w14:paraId="2440B5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noWrap w:val="0"/>
            <w:vAlign w:val="center"/>
          </w:tcPr>
          <w:p w14:paraId="76EAD69A">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13.1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D06426C">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rPr>
            </w:pPr>
            <w:bookmarkStart w:id="52" w:name="_13.2"/>
            <w:bookmarkEnd w:id="52"/>
            <w:r>
              <w:rPr>
                <w:rFonts w:hint="eastAsia" w:ascii="宋体" w:hAnsi="宋体" w:eastAsia="宋体" w:cs="宋体"/>
                <w:color w:val="auto"/>
                <w:szCs w:val="21"/>
              </w:rPr>
              <w:t>资格证明文件组成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DFB2B85">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rPr>
            </w:pPr>
            <w:r>
              <w:rPr>
                <w:rFonts w:hint="eastAsia" w:ascii="宋体" w:hAnsi="宋体" w:eastAsia="宋体" w:cs="宋体"/>
                <w:color w:val="auto"/>
                <w:szCs w:val="21"/>
              </w:rPr>
              <w:t>1、投标人为法人或者其他组织的，提供营业执照等证明文件（如营业执照或者事业单位法人证书或者</w:t>
            </w:r>
            <w:r>
              <w:rPr>
                <w:rFonts w:hint="eastAsia" w:ascii="宋体" w:hAnsi="宋体" w:eastAsia="宋体" w:cs="宋体"/>
                <w:color w:val="auto"/>
                <w:sz w:val="22"/>
                <w:szCs w:val="22"/>
                <w:lang w:val="zh-CN" w:bidi="zh-CN"/>
              </w:rPr>
              <w:t>执业许可证</w:t>
            </w:r>
            <w:r>
              <w:rPr>
                <w:rFonts w:hint="eastAsia" w:ascii="宋体" w:hAnsi="宋体" w:eastAsia="宋体" w:cs="宋体"/>
                <w:color w:val="auto"/>
                <w:szCs w:val="21"/>
              </w:rPr>
              <w:t>等），投标人为自然人的，提供身份证原件扫描件。（</w:t>
            </w:r>
            <w:r>
              <w:rPr>
                <w:rFonts w:hint="eastAsia" w:ascii="宋体" w:hAnsi="宋体" w:eastAsia="宋体" w:cs="宋体"/>
                <w:b/>
                <w:color w:val="auto"/>
                <w:szCs w:val="21"/>
              </w:rPr>
              <w:t>必须提供，否则作无效投标处理</w:t>
            </w:r>
            <w:r>
              <w:rPr>
                <w:rFonts w:hint="eastAsia" w:ascii="宋体" w:hAnsi="宋体" w:eastAsia="宋体" w:cs="宋体"/>
                <w:color w:val="auto"/>
                <w:szCs w:val="21"/>
              </w:rPr>
              <w:t>）</w:t>
            </w:r>
          </w:p>
          <w:p w14:paraId="59F26B0C">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rPr>
            </w:pPr>
            <w:r>
              <w:rPr>
                <w:rFonts w:hint="eastAsia" w:ascii="宋体" w:hAnsi="宋体" w:eastAsia="宋体" w:cs="宋体"/>
                <w:color w:val="auto"/>
                <w:szCs w:val="21"/>
              </w:rPr>
              <w:t>2、投标人依法缴纳税收的相关材料</w:t>
            </w:r>
            <w:r>
              <w:rPr>
                <w:rFonts w:hint="eastAsia" w:ascii="宋体" w:hAnsi="宋体" w:cs="宋体"/>
                <w:color w:val="auto"/>
                <w:szCs w:val="21"/>
                <w:lang w:val="en-US" w:eastAsia="zh-CN"/>
              </w:rPr>
              <w:t>[</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01</w:t>
            </w:r>
            <w:r>
              <w:rPr>
                <w:rFonts w:hint="eastAsia" w:ascii="宋体" w:hAnsi="宋体" w:eastAsia="宋体" w:cs="宋体"/>
                <w:color w:val="auto"/>
                <w:sz w:val="21"/>
                <w:szCs w:val="21"/>
                <w:highlight w:val="none"/>
              </w:rPr>
              <w:t>月至</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06</w:t>
            </w:r>
            <w:r>
              <w:rPr>
                <w:rFonts w:hint="eastAsia" w:ascii="宋体" w:hAnsi="宋体" w:eastAsia="宋体" w:cs="宋体"/>
                <w:color w:val="auto"/>
                <w:sz w:val="21"/>
                <w:szCs w:val="21"/>
                <w:highlight w:val="none"/>
              </w:rPr>
              <w:t>月</w:t>
            </w:r>
            <w:r>
              <w:rPr>
                <w:rFonts w:hint="eastAsia" w:ascii="宋体" w:hAnsi="宋体" w:cs="宋体"/>
                <w:b/>
                <w:color w:val="auto"/>
                <w:szCs w:val="21"/>
                <w:u w:val="single"/>
                <w:lang w:val="en-US" w:eastAsia="zh-CN"/>
              </w:rPr>
              <w:t>]</w:t>
            </w:r>
            <w:r>
              <w:rPr>
                <w:rFonts w:hint="eastAsia" w:ascii="宋体" w:hAnsi="宋体" w:eastAsia="宋体" w:cs="宋体"/>
                <w:b/>
                <w:color w:val="auto"/>
                <w:szCs w:val="21"/>
                <w:u w:val="single"/>
              </w:rPr>
              <w:t>任意</w:t>
            </w:r>
            <w:r>
              <w:rPr>
                <w:rFonts w:hint="eastAsia" w:ascii="宋体" w:hAnsi="宋体" w:eastAsia="宋体" w:cs="宋体"/>
                <w:b/>
                <w:color w:val="auto"/>
                <w:szCs w:val="21"/>
              </w:rPr>
              <w:t>连续</w:t>
            </w:r>
            <w:r>
              <w:rPr>
                <w:rFonts w:hint="eastAsia" w:ascii="宋体" w:hAnsi="宋体" w:eastAsia="宋体" w:cs="宋体"/>
                <w:b/>
                <w:color w:val="auto"/>
                <w:szCs w:val="21"/>
                <w:u w:val="single"/>
              </w:rPr>
              <w:t>三</w:t>
            </w:r>
            <w:r>
              <w:rPr>
                <w:rFonts w:hint="eastAsia" w:ascii="宋体" w:hAnsi="宋体" w:eastAsia="宋体" w:cs="宋体"/>
                <w:b/>
                <w:color w:val="auto"/>
                <w:szCs w:val="21"/>
              </w:rPr>
              <w:t>个月</w:t>
            </w:r>
            <w:r>
              <w:rPr>
                <w:rFonts w:hint="eastAsia" w:ascii="宋体" w:hAnsi="宋体" w:eastAsia="宋体" w:cs="宋体"/>
                <w:color w:val="auto"/>
                <w:szCs w:val="21"/>
              </w:rPr>
              <w:t>的依法缴纳税收的凭据原件扫描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cs="宋体"/>
                <w:b/>
                <w:color w:val="auto"/>
                <w:szCs w:val="21"/>
              </w:rPr>
              <w:t>必须提供，否则作无效投标处理</w:t>
            </w:r>
            <w:r>
              <w:rPr>
                <w:rFonts w:hint="eastAsia" w:ascii="宋体" w:hAnsi="宋体" w:eastAsia="宋体" w:cs="宋体"/>
                <w:color w:val="auto"/>
                <w:szCs w:val="21"/>
              </w:rPr>
              <w:t>）</w:t>
            </w:r>
          </w:p>
          <w:p w14:paraId="6418AE54">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rPr>
            </w:pPr>
            <w:r>
              <w:rPr>
                <w:rFonts w:hint="eastAsia" w:ascii="宋体" w:hAnsi="宋体" w:eastAsia="宋体" w:cs="宋体"/>
                <w:color w:val="auto"/>
                <w:szCs w:val="21"/>
              </w:rPr>
              <w:t>3、投标人依法缴纳社会保障资金的相关材料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01</w:t>
            </w:r>
            <w:r>
              <w:rPr>
                <w:rFonts w:hint="eastAsia" w:ascii="宋体" w:hAnsi="宋体" w:eastAsia="宋体" w:cs="宋体"/>
                <w:color w:val="auto"/>
                <w:sz w:val="21"/>
                <w:szCs w:val="21"/>
                <w:highlight w:val="none"/>
              </w:rPr>
              <w:t>月至</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06</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w:t>
            </w:r>
            <w:r>
              <w:rPr>
                <w:rFonts w:hint="eastAsia" w:ascii="宋体" w:hAnsi="宋体" w:eastAsia="宋体" w:cs="宋体"/>
                <w:b/>
                <w:color w:val="auto"/>
                <w:szCs w:val="21"/>
                <w:u w:val="single"/>
              </w:rPr>
              <w:t>任意</w:t>
            </w:r>
            <w:r>
              <w:rPr>
                <w:rFonts w:hint="eastAsia" w:ascii="宋体" w:hAnsi="宋体" w:eastAsia="宋体" w:cs="宋体"/>
                <w:b/>
                <w:color w:val="auto"/>
                <w:szCs w:val="21"/>
              </w:rPr>
              <w:t>连续</w:t>
            </w:r>
            <w:r>
              <w:rPr>
                <w:rFonts w:hint="eastAsia" w:ascii="宋体" w:hAnsi="宋体" w:eastAsia="宋体" w:cs="宋体"/>
                <w:b/>
                <w:color w:val="auto"/>
                <w:szCs w:val="21"/>
                <w:u w:val="single"/>
              </w:rPr>
              <w:t>三</w:t>
            </w:r>
            <w:r>
              <w:rPr>
                <w:rFonts w:hint="eastAsia" w:ascii="宋体" w:hAnsi="宋体" w:eastAsia="宋体" w:cs="宋体"/>
                <w:b/>
                <w:color w:val="auto"/>
                <w:szCs w:val="21"/>
              </w:rPr>
              <w:t>个月</w:t>
            </w:r>
            <w:r>
              <w:rPr>
                <w:rFonts w:hint="eastAsia" w:ascii="宋体" w:hAnsi="宋体" w:eastAsia="宋体" w:cs="宋体"/>
                <w:color w:val="auto"/>
                <w:szCs w:val="21"/>
              </w:rPr>
              <w:t>个月的依法缴纳社会保障资金的缴费凭证（专用收据或者社会保险缴纳清单）原件扫描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eastAsia="宋体" w:cs="宋体"/>
                <w:b/>
                <w:color w:val="auto"/>
                <w:szCs w:val="21"/>
              </w:rPr>
              <w:t>必须提供，否则作无效投标处理</w:t>
            </w:r>
            <w:r>
              <w:rPr>
                <w:rFonts w:hint="eastAsia" w:ascii="宋体" w:hAnsi="宋体" w:eastAsia="宋体" w:cs="宋体"/>
                <w:color w:val="auto"/>
                <w:szCs w:val="21"/>
              </w:rPr>
              <w:t>）</w:t>
            </w:r>
          </w:p>
          <w:p w14:paraId="7C0935BE">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rPr>
            </w:pPr>
            <w:r>
              <w:rPr>
                <w:rFonts w:hint="eastAsia" w:ascii="宋体" w:hAnsi="宋体" w:eastAsia="宋体" w:cs="宋体"/>
                <w:color w:val="auto"/>
                <w:szCs w:val="21"/>
              </w:rPr>
              <w:t>4、投标人财务状况报告：[</w:t>
            </w:r>
            <w:r>
              <w:rPr>
                <w:rFonts w:hint="eastAsia" w:ascii="宋体" w:hAnsi="宋体" w:cs="宋体"/>
                <w:color w:val="auto"/>
                <w:szCs w:val="21"/>
                <w:u w:val="single"/>
                <w:lang w:val="en-US" w:eastAsia="zh-CN"/>
              </w:rPr>
              <w:t>2023年</w:t>
            </w:r>
            <w:r>
              <w:rPr>
                <w:rFonts w:hint="eastAsia" w:ascii="宋体" w:hAnsi="宋体" w:eastAsia="宋体" w:cs="宋体"/>
                <w:color w:val="auto"/>
                <w:szCs w:val="21"/>
              </w:rPr>
              <w:t>]财务状况报告原件扫描件；供应商成立不满一年的应按提供截标之日上一个月的财务状况报告原件扫描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cs="宋体"/>
                <w:b/>
                <w:color w:val="auto"/>
                <w:szCs w:val="21"/>
              </w:rPr>
              <w:t>必须提供，否则作无效投标处理</w:t>
            </w:r>
            <w:r>
              <w:rPr>
                <w:rFonts w:hint="eastAsia" w:ascii="宋体" w:hAnsi="宋体" w:eastAsia="宋体" w:cs="宋体"/>
                <w:color w:val="auto"/>
                <w:szCs w:val="21"/>
              </w:rPr>
              <w:t>）</w:t>
            </w:r>
          </w:p>
          <w:p w14:paraId="00EDBC10">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rPr>
            </w:pPr>
            <w:r>
              <w:rPr>
                <w:rFonts w:hint="eastAsia" w:ascii="宋体" w:hAnsi="宋体" w:eastAsia="宋体" w:cs="宋体"/>
                <w:color w:val="auto"/>
                <w:szCs w:val="21"/>
              </w:rPr>
              <w:t>5、投标人直接控股、管理关系信息表。（</w:t>
            </w:r>
            <w:r>
              <w:rPr>
                <w:rFonts w:hint="eastAsia" w:ascii="宋体" w:hAnsi="宋体" w:eastAsia="宋体" w:cs="宋体"/>
                <w:b/>
                <w:color w:val="auto"/>
                <w:szCs w:val="21"/>
              </w:rPr>
              <w:t>必须提供，否则作无效投标处理</w:t>
            </w:r>
            <w:r>
              <w:rPr>
                <w:rFonts w:hint="eastAsia" w:ascii="宋体" w:hAnsi="宋体" w:eastAsia="宋体" w:cs="宋体"/>
                <w:color w:val="auto"/>
                <w:szCs w:val="21"/>
              </w:rPr>
              <w:t>）</w:t>
            </w:r>
          </w:p>
          <w:p w14:paraId="43E5DEB9">
            <w:pPr>
              <w:pageBreakBefore w:val="0"/>
              <w:numPr>
                <w:ilvl w:val="0"/>
                <w:numId w:val="2"/>
              </w:numPr>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rPr>
            </w:pPr>
            <w:r>
              <w:rPr>
                <w:rFonts w:hint="eastAsia" w:ascii="宋体" w:hAnsi="宋体" w:eastAsia="宋体" w:cs="宋体"/>
                <w:color w:val="auto"/>
                <w:szCs w:val="21"/>
              </w:rPr>
              <w:t>投标资格声明。（</w:t>
            </w:r>
            <w:r>
              <w:rPr>
                <w:rFonts w:hint="eastAsia" w:ascii="宋体" w:hAnsi="宋体" w:eastAsia="宋体" w:cs="宋体"/>
                <w:b/>
                <w:color w:val="auto"/>
                <w:szCs w:val="21"/>
              </w:rPr>
              <w:t>必须提供，否则作无效投标处理</w:t>
            </w:r>
            <w:r>
              <w:rPr>
                <w:rFonts w:hint="eastAsia" w:ascii="宋体" w:hAnsi="宋体" w:eastAsia="宋体" w:cs="宋体"/>
                <w:color w:val="auto"/>
                <w:szCs w:val="21"/>
              </w:rPr>
              <w:t>）</w:t>
            </w:r>
          </w:p>
          <w:p w14:paraId="3D94268E">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rPr>
            </w:pPr>
            <w:r>
              <w:rPr>
                <w:rFonts w:hint="eastAsia" w:ascii="宋体" w:hAnsi="宋体" w:eastAsia="宋体" w:cs="宋体"/>
                <w:color w:val="auto"/>
                <w:szCs w:val="21"/>
              </w:rPr>
              <w:t>7、联合体协议书。（</w:t>
            </w:r>
            <w:r>
              <w:rPr>
                <w:rFonts w:hint="eastAsia" w:ascii="宋体" w:hAnsi="宋体" w:eastAsia="宋体" w:cs="宋体"/>
                <w:b/>
                <w:color w:val="auto"/>
                <w:szCs w:val="21"/>
              </w:rPr>
              <w:t>联合体投标时必须提供，否则作无效投标处理</w:t>
            </w:r>
            <w:r>
              <w:rPr>
                <w:rFonts w:hint="eastAsia" w:ascii="宋体" w:hAnsi="宋体" w:eastAsia="宋体" w:cs="宋体"/>
                <w:color w:val="auto"/>
                <w:szCs w:val="21"/>
              </w:rPr>
              <w:t>）</w:t>
            </w:r>
          </w:p>
          <w:p w14:paraId="69629FBC">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rPr>
            </w:pPr>
            <w:r>
              <w:rPr>
                <w:rFonts w:hint="eastAsia" w:ascii="宋体" w:hAnsi="宋体" w:eastAsia="宋体" w:cs="宋体"/>
                <w:color w:val="auto"/>
                <w:szCs w:val="21"/>
              </w:rPr>
              <w:t>8、采购人或采购代理机构根据招标公告对应的特定资格要求及特定条件设置投标人提供的资格证明材料； （</w:t>
            </w:r>
            <w:r>
              <w:rPr>
                <w:rFonts w:hint="eastAsia" w:ascii="宋体" w:hAnsi="宋体" w:eastAsia="宋体" w:cs="宋体"/>
                <w:b/>
                <w:color w:val="auto"/>
                <w:szCs w:val="21"/>
              </w:rPr>
              <w:t>必须提供，否则作无效投标处理</w:t>
            </w:r>
            <w:r>
              <w:rPr>
                <w:rFonts w:hint="eastAsia" w:ascii="宋体" w:hAnsi="宋体" w:eastAsia="宋体" w:cs="宋体"/>
                <w:color w:val="auto"/>
                <w:szCs w:val="21"/>
              </w:rPr>
              <w:t>）</w:t>
            </w:r>
          </w:p>
          <w:p w14:paraId="536B1C24">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rPr>
            </w:pPr>
            <w:r>
              <w:rPr>
                <w:rFonts w:hint="eastAsia" w:ascii="宋体" w:hAnsi="宋体" w:eastAsia="宋体" w:cs="宋体"/>
                <w:color w:val="auto"/>
                <w:szCs w:val="21"/>
              </w:rPr>
              <w:t>9、除招标文件规定必须提供以外，投标人认为需要提供的其他证明材料。（</w:t>
            </w:r>
            <w:r>
              <w:rPr>
                <w:rFonts w:hint="eastAsia" w:ascii="宋体" w:hAnsi="宋体" w:eastAsia="宋体" w:cs="宋体"/>
                <w:b/>
                <w:color w:val="auto"/>
                <w:szCs w:val="21"/>
              </w:rPr>
              <w:t>如有请提供</w:t>
            </w:r>
            <w:r>
              <w:rPr>
                <w:rFonts w:hint="eastAsia" w:ascii="宋体" w:hAnsi="宋体" w:eastAsia="宋体" w:cs="宋体"/>
                <w:color w:val="auto"/>
                <w:szCs w:val="21"/>
              </w:rPr>
              <w:t>）</w:t>
            </w:r>
          </w:p>
          <w:p w14:paraId="5A323561">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b/>
                <w:color w:val="auto"/>
                <w:szCs w:val="21"/>
              </w:rPr>
            </w:pPr>
            <w:r>
              <w:rPr>
                <w:rFonts w:hint="eastAsia" w:ascii="宋体" w:hAnsi="宋体" w:eastAsia="宋体" w:cs="宋体"/>
                <w:b/>
                <w:bCs/>
                <w:color w:val="auto"/>
                <w:szCs w:val="21"/>
              </w:rPr>
              <w:t>注：1.</w:t>
            </w:r>
            <w:r>
              <w:rPr>
                <w:rFonts w:hint="eastAsia" w:ascii="宋体" w:hAnsi="宋体" w:eastAsia="宋体" w:cs="宋体"/>
                <w:color w:val="auto"/>
                <w:szCs w:val="21"/>
              </w:rPr>
              <w:t xml:space="preserve"> </w:t>
            </w:r>
            <w:r>
              <w:rPr>
                <w:rFonts w:hint="eastAsia" w:ascii="宋体" w:hAnsi="宋体" w:eastAsia="宋体" w:cs="宋体"/>
                <w:b/>
                <w:bCs/>
                <w:color w:val="auto"/>
                <w:szCs w:val="21"/>
              </w:rPr>
              <w:t>以上标明“必须提供”的材料</w:t>
            </w:r>
            <w:r>
              <w:rPr>
                <w:rFonts w:hint="eastAsia" w:ascii="宋体" w:hAnsi="宋体" w:eastAsia="宋体" w:cs="宋体"/>
                <w:b/>
                <w:color w:val="auto"/>
                <w:szCs w:val="21"/>
              </w:rPr>
              <w:t>属于原件扫描件的</w:t>
            </w:r>
            <w:r>
              <w:rPr>
                <w:rFonts w:hint="eastAsia" w:ascii="宋体" w:hAnsi="宋体" w:eastAsia="宋体" w:cs="宋体"/>
                <w:b/>
                <w:bCs/>
                <w:color w:val="auto"/>
                <w:szCs w:val="21"/>
              </w:rPr>
              <w:t>，必须加盖投标人电子公章，否则</w:t>
            </w:r>
            <w:r>
              <w:rPr>
                <w:rFonts w:hint="eastAsia" w:ascii="宋体" w:hAnsi="宋体" w:eastAsia="宋体" w:cs="宋体"/>
                <w:b/>
                <w:color w:val="auto"/>
                <w:szCs w:val="21"/>
              </w:rPr>
              <w:t>作无效投标处理。</w:t>
            </w:r>
          </w:p>
          <w:p w14:paraId="62E31622">
            <w:pPr>
              <w:pageBreakBefore w:val="0"/>
              <w:kinsoku/>
              <w:wordWrap/>
              <w:overflowPunct/>
              <w:topLinePunct w:val="0"/>
              <w:bidi w:val="0"/>
              <w:snapToGrid w:val="0"/>
              <w:spacing w:beforeAutospacing="0" w:line="360" w:lineRule="auto"/>
              <w:ind w:left="0" w:leftChars="0" w:right="0" w:firstLine="422" w:firstLineChars="200"/>
              <w:jc w:val="left"/>
              <w:rPr>
                <w:rFonts w:hint="eastAsia" w:ascii="宋体" w:hAnsi="宋体" w:eastAsia="宋体" w:cs="宋体"/>
                <w:b/>
                <w:bCs/>
                <w:color w:val="auto"/>
                <w:szCs w:val="21"/>
              </w:rPr>
            </w:pPr>
            <w:r>
              <w:rPr>
                <w:rFonts w:hint="eastAsia" w:ascii="宋体" w:hAnsi="宋体" w:eastAsia="宋体" w:cs="宋体"/>
                <w:b/>
                <w:color w:val="auto"/>
                <w:szCs w:val="21"/>
              </w:rPr>
              <w:t>2</w:t>
            </w:r>
            <w:r>
              <w:rPr>
                <w:rFonts w:hint="eastAsia" w:ascii="宋体" w:hAnsi="宋体" w:eastAsia="宋体" w:cs="宋体"/>
                <w:b/>
                <w:bCs/>
                <w:color w:val="auto"/>
                <w:szCs w:val="21"/>
              </w:rPr>
              <w:t>.联合体投标时，第1-5项资格证明文件联合体各方均必须分别提供，联合体各方分别盖章和签字，否则投标文件按无效响应处理。</w:t>
            </w:r>
          </w:p>
        </w:tc>
      </w:tr>
      <w:tr w14:paraId="5E360D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noWrap w:val="0"/>
            <w:vAlign w:val="center"/>
          </w:tcPr>
          <w:p w14:paraId="4D04808E">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662C5A8">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rPr>
            </w:pPr>
            <w:bookmarkStart w:id="53" w:name="_13.3"/>
            <w:bookmarkEnd w:id="53"/>
            <w:r>
              <w:rPr>
                <w:rFonts w:hint="eastAsia" w:ascii="宋体" w:hAnsi="宋体" w:eastAsia="宋体" w:cs="宋体"/>
                <w:color w:val="auto"/>
                <w:szCs w:val="21"/>
              </w:rPr>
              <w:t>商务文件组成</w:t>
            </w:r>
          </w:p>
          <w:p w14:paraId="1D6453D4">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6C6620D">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rPr>
            </w:pPr>
            <w:r>
              <w:rPr>
                <w:rFonts w:hint="eastAsia" w:ascii="宋体" w:hAnsi="宋体" w:eastAsia="宋体" w:cs="宋体"/>
                <w:color w:val="auto"/>
                <w:szCs w:val="21"/>
              </w:rPr>
              <w:t>1、无串通投标行为的承诺函；（</w:t>
            </w:r>
            <w:r>
              <w:rPr>
                <w:rFonts w:hint="eastAsia" w:ascii="宋体" w:hAnsi="宋体" w:eastAsia="宋体" w:cs="宋体"/>
                <w:b/>
                <w:color w:val="auto"/>
                <w:szCs w:val="21"/>
              </w:rPr>
              <w:t>必须提供，否则作无效投标处理</w:t>
            </w:r>
            <w:r>
              <w:rPr>
                <w:rFonts w:hint="eastAsia" w:ascii="宋体" w:hAnsi="宋体" w:eastAsia="宋体" w:cs="宋体"/>
                <w:color w:val="auto"/>
                <w:szCs w:val="21"/>
              </w:rPr>
              <w:t>）</w:t>
            </w:r>
          </w:p>
          <w:p w14:paraId="2E857ABB">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rPr>
            </w:pPr>
            <w:r>
              <w:rPr>
                <w:rFonts w:hint="eastAsia" w:ascii="宋体" w:hAnsi="宋体" w:eastAsia="宋体" w:cs="宋体"/>
                <w:color w:val="auto"/>
                <w:szCs w:val="21"/>
              </w:rPr>
              <w:t>2、法定代表人身份证明及法定代表人有效身份证正反面原件扫描件；（</w:t>
            </w:r>
            <w:r>
              <w:rPr>
                <w:rFonts w:hint="eastAsia" w:ascii="宋体" w:hAnsi="宋体" w:eastAsia="宋体" w:cs="宋体"/>
                <w:b/>
                <w:bCs/>
                <w:color w:val="auto"/>
                <w:szCs w:val="21"/>
              </w:rPr>
              <w:t>除自然人投标外</w:t>
            </w:r>
            <w:r>
              <w:rPr>
                <w:rFonts w:hint="eastAsia" w:ascii="宋体" w:hAnsi="宋体" w:eastAsia="宋体" w:cs="宋体"/>
                <w:b/>
                <w:color w:val="auto"/>
                <w:szCs w:val="21"/>
              </w:rPr>
              <w:t>必须提供，否则作无效投标处理</w:t>
            </w:r>
            <w:r>
              <w:rPr>
                <w:rFonts w:hint="eastAsia" w:ascii="宋体" w:hAnsi="宋体" w:eastAsia="宋体" w:cs="宋体"/>
                <w:color w:val="auto"/>
                <w:szCs w:val="21"/>
              </w:rPr>
              <w:t>）</w:t>
            </w:r>
          </w:p>
          <w:p w14:paraId="002F1CAD">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rPr>
            </w:pPr>
            <w:r>
              <w:rPr>
                <w:rFonts w:hint="eastAsia" w:ascii="宋体" w:hAnsi="宋体" w:eastAsia="宋体" w:cs="宋体"/>
                <w:color w:val="auto"/>
                <w:szCs w:val="21"/>
              </w:rPr>
              <w:t>3、法定代表人授权委托书及委托代理人有效身份证正反面原件扫描件；（</w:t>
            </w:r>
            <w:r>
              <w:rPr>
                <w:rFonts w:hint="eastAsia" w:ascii="宋体" w:hAnsi="宋体" w:eastAsia="宋体" w:cs="宋体"/>
                <w:b/>
                <w:color w:val="auto"/>
                <w:szCs w:val="21"/>
              </w:rPr>
              <w:t>委托时必须提供，否则作无效投标处理</w:t>
            </w:r>
            <w:r>
              <w:rPr>
                <w:rFonts w:hint="eastAsia" w:ascii="宋体" w:hAnsi="宋体" w:eastAsia="宋体" w:cs="宋体"/>
                <w:color w:val="auto"/>
                <w:szCs w:val="21"/>
              </w:rPr>
              <w:t>）</w:t>
            </w:r>
          </w:p>
          <w:p w14:paraId="5EDDBEE8">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rPr>
            </w:pPr>
            <w:r>
              <w:rPr>
                <w:rFonts w:hint="eastAsia" w:ascii="宋体" w:hAnsi="宋体" w:eastAsia="宋体" w:cs="宋体"/>
                <w:color w:val="auto"/>
                <w:szCs w:val="21"/>
              </w:rPr>
              <w:t>4、商务条款偏离表；（</w:t>
            </w:r>
            <w:r>
              <w:rPr>
                <w:rFonts w:hint="eastAsia" w:ascii="宋体" w:hAnsi="宋体" w:eastAsia="宋体" w:cs="宋体"/>
                <w:b/>
                <w:color w:val="auto"/>
                <w:szCs w:val="21"/>
              </w:rPr>
              <w:t>必须提供，否则作无效投标处理</w:t>
            </w:r>
            <w:r>
              <w:rPr>
                <w:rFonts w:hint="eastAsia" w:ascii="宋体" w:hAnsi="宋体" w:eastAsia="宋体" w:cs="宋体"/>
                <w:color w:val="auto"/>
                <w:szCs w:val="21"/>
              </w:rPr>
              <w:t>）</w:t>
            </w:r>
          </w:p>
          <w:p w14:paraId="3B1A029A">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rPr>
            </w:pPr>
            <w:r>
              <w:rPr>
                <w:rFonts w:hint="eastAsia" w:ascii="宋体" w:hAnsi="宋体" w:eastAsia="宋体" w:cs="宋体"/>
                <w:color w:val="auto"/>
                <w:szCs w:val="21"/>
              </w:rPr>
              <w:t>5、投标人情况介绍；（</w:t>
            </w:r>
            <w:r>
              <w:rPr>
                <w:rFonts w:hint="eastAsia" w:ascii="宋体" w:hAnsi="宋体" w:eastAsia="宋体" w:cs="宋体"/>
                <w:b/>
                <w:color w:val="auto"/>
                <w:szCs w:val="21"/>
              </w:rPr>
              <w:t>如有请提供</w:t>
            </w:r>
            <w:r>
              <w:rPr>
                <w:rFonts w:hint="eastAsia" w:ascii="宋体" w:hAnsi="宋体" w:eastAsia="宋体" w:cs="宋体"/>
                <w:color w:val="auto"/>
                <w:szCs w:val="21"/>
              </w:rPr>
              <w:t>）</w:t>
            </w:r>
          </w:p>
          <w:p w14:paraId="72524DA1">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rPr>
            </w:pPr>
            <w:r>
              <w:rPr>
                <w:rFonts w:hint="eastAsia" w:ascii="宋体" w:hAnsi="宋体" w:eastAsia="宋体" w:cs="宋体"/>
                <w:color w:val="auto"/>
                <w:szCs w:val="21"/>
              </w:rPr>
              <w:t>6、除招标文件规定必须提供以外，投标人认为需要提供的其他证明材料。（投标人根据“第二章 采购需求”及“第四章 评标方法及评标标准”提供有关证明材料）。</w:t>
            </w:r>
          </w:p>
          <w:p w14:paraId="1B839356">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b/>
                <w:bCs/>
                <w:color w:val="auto"/>
                <w:szCs w:val="21"/>
              </w:rPr>
            </w:pPr>
            <w:r>
              <w:rPr>
                <w:rFonts w:hint="eastAsia" w:ascii="宋体" w:hAnsi="宋体" w:eastAsia="宋体" w:cs="宋体"/>
                <w:b/>
                <w:bCs/>
                <w:color w:val="auto"/>
                <w:szCs w:val="21"/>
              </w:rPr>
              <w:t>注： 1.法定代表人授权委托书必须由法定代表人及委托代理人签字，并加盖投标人公章，否则作无效投标处理。</w:t>
            </w:r>
          </w:p>
          <w:p w14:paraId="78180E67">
            <w:pPr>
              <w:pageBreakBefore w:val="0"/>
              <w:kinsoku/>
              <w:wordWrap/>
              <w:overflowPunct/>
              <w:topLinePunct w:val="0"/>
              <w:bidi w:val="0"/>
              <w:snapToGrid w:val="0"/>
              <w:spacing w:beforeAutospacing="0" w:line="360" w:lineRule="auto"/>
              <w:ind w:left="0" w:leftChars="0" w:right="0" w:firstLine="422" w:firstLineChars="200"/>
              <w:jc w:val="left"/>
              <w:rPr>
                <w:rFonts w:hint="eastAsia" w:ascii="宋体" w:hAnsi="宋体" w:eastAsia="宋体" w:cs="宋体"/>
                <w:b/>
                <w:color w:val="auto"/>
                <w:szCs w:val="21"/>
              </w:rPr>
            </w:pPr>
            <w:r>
              <w:rPr>
                <w:rFonts w:hint="eastAsia" w:ascii="宋体" w:hAnsi="宋体" w:eastAsia="宋体" w:cs="宋体"/>
                <w:b/>
                <w:bCs/>
                <w:color w:val="auto"/>
                <w:szCs w:val="21"/>
              </w:rPr>
              <w:t>2.</w:t>
            </w:r>
            <w:r>
              <w:rPr>
                <w:rFonts w:hint="eastAsia" w:ascii="宋体" w:hAnsi="宋体" w:eastAsia="宋体" w:cs="宋体"/>
                <w:color w:val="auto"/>
                <w:szCs w:val="21"/>
              </w:rPr>
              <w:t xml:space="preserve"> </w:t>
            </w:r>
            <w:r>
              <w:rPr>
                <w:rFonts w:hint="eastAsia" w:ascii="宋体" w:hAnsi="宋体" w:eastAsia="宋体" w:cs="宋体"/>
                <w:b/>
                <w:bCs/>
                <w:color w:val="auto"/>
                <w:szCs w:val="21"/>
              </w:rPr>
              <w:t>以上标明“必须提供”的材料</w:t>
            </w:r>
            <w:r>
              <w:rPr>
                <w:rFonts w:hint="eastAsia" w:ascii="宋体" w:hAnsi="宋体" w:eastAsia="宋体" w:cs="宋体"/>
                <w:b/>
                <w:color w:val="auto"/>
                <w:szCs w:val="21"/>
              </w:rPr>
              <w:t>属于原件扫描件的</w:t>
            </w:r>
            <w:r>
              <w:rPr>
                <w:rFonts w:hint="eastAsia" w:ascii="宋体" w:hAnsi="宋体" w:eastAsia="宋体" w:cs="宋体"/>
                <w:b/>
                <w:bCs/>
                <w:color w:val="auto"/>
                <w:szCs w:val="21"/>
              </w:rPr>
              <w:t>，必须加盖投标人电子公章，否则</w:t>
            </w:r>
            <w:r>
              <w:rPr>
                <w:rFonts w:hint="eastAsia" w:ascii="宋体" w:hAnsi="宋体" w:eastAsia="宋体" w:cs="宋体"/>
                <w:b/>
                <w:color w:val="auto"/>
                <w:szCs w:val="21"/>
              </w:rPr>
              <w:t>作无效投标处理</w:t>
            </w:r>
            <w:r>
              <w:rPr>
                <w:rFonts w:hint="eastAsia" w:ascii="宋体" w:hAnsi="宋体" w:eastAsia="宋体" w:cs="宋体"/>
                <w:b/>
                <w:bCs/>
                <w:color w:val="auto"/>
                <w:szCs w:val="21"/>
              </w:rPr>
              <w:t>。</w:t>
            </w:r>
          </w:p>
        </w:tc>
      </w:tr>
      <w:tr w14:paraId="738A19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top w:val="nil"/>
              <w:left w:val="single" w:color="auto" w:sz="4" w:space="0"/>
              <w:bottom w:val="single" w:color="auto" w:sz="4" w:space="0"/>
              <w:right w:val="single" w:color="auto" w:sz="4" w:space="0"/>
            </w:tcBorders>
            <w:noWrap w:val="0"/>
            <w:vAlign w:val="center"/>
          </w:tcPr>
          <w:p w14:paraId="2CA766E3">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D0990FA">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rPr>
            </w:pPr>
            <w:bookmarkStart w:id="54" w:name="_13.4"/>
            <w:bookmarkEnd w:id="54"/>
            <w:r>
              <w:rPr>
                <w:rFonts w:hint="eastAsia" w:ascii="宋体" w:hAnsi="宋体" w:eastAsia="宋体" w:cs="宋体"/>
                <w:color w:val="auto"/>
                <w:szCs w:val="21"/>
              </w:rPr>
              <w:t>技术文件组成</w:t>
            </w:r>
          </w:p>
          <w:p w14:paraId="484B0F4F">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B1E6158">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rPr>
            </w:pPr>
            <w:r>
              <w:rPr>
                <w:rFonts w:hint="eastAsia" w:ascii="宋体" w:hAnsi="宋体" w:eastAsia="宋体" w:cs="宋体"/>
                <w:color w:val="auto"/>
                <w:szCs w:val="21"/>
              </w:rPr>
              <w:t>1、服务需求、技术需求偏离表；（</w:t>
            </w:r>
            <w:r>
              <w:rPr>
                <w:rFonts w:hint="eastAsia" w:ascii="宋体" w:hAnsi="宋体" w:eastAsia="宋体" w:cs="宋体"/>
                <w:b/>
                <w:color w:val="auto"/>
                <w:szCs w:val="21"/>
              </w:rPr>
              <w:t>必须提供，否则作无效投标处理</w:t>
            </w:r>
            <w:r>
              <w:rPr>
                <w:rFonts w:hint="eastAsia" w:ascii="宋体" w:hAnsi="宋体" w:eastAsia="宋体" w:cs="宋体"/>
                <w:color w:val="auto"/>
                <w:szCs w:val="21"/>
              </w:rPr>
              <w:t>）</w:t>
            </w:r>
          </w:p>
          <w:p w14:paraId="4CE62F15">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cs="宋体"/>
                <w:color w:val="auto"/>
                <w:szCs w:val="21"/>
                <w:lang w:bidi="ar"/>
              </w:rPr>
              <w:t>技术方案；（</w:t>
            </w:r>
            <w:r>
              <w:rPr>
                <w:rFonts w:hint="eastAsia" w:ascii="宋体" w:hAnsi="宋体" w:cs="宋体"/>
                <w:b/>
                <w:color w:val="auto"/>
                <w:szCs w:val="21"/>
                <w:lang w:bidi="ar"/>
              </w:rPr>
              <w:t>投标人根据采购项目要求及评分办法自行编制</w:t>
            </w:r>
            <w:r>
              <w:rPr>
                <w:rFonts w:hint="eastAsia" w:ascii="宋体" w:hAnsi="宋体" w:cs="宋体"/>
                <w:color w:val="auto"/>
                <w:szCs w:val="21"/>
                <w:lang w:bidi="ar"/>
              </w:rPr>
              <w:t>）</w:t>
            </w:r>
            <w:r>
              <w:rPr>
                <w:rFonts w:hint="eastAsia" w:ascii="宋体" w:hAnsi="宋体" w:eastAsia="宋体" w:cs="宋体"/>
                <w:color w:val="auto"/>
                <w:szCs w:val="21"/>
              </w:rPr>
              <w:t>；（</w:t>
            </w:r>
            <w:r>
              <w:rPr>
                <w:rFonts w:hint="eastAsia" w:ascii="宋体" w:hAnsi="宋体" w:eastAsia="宋体" w:cs="宋体"/>
                <w:b/>
                <w:color w:val="auto"/>
                <w:szCs w:val="21"/>
              </w:rPr>
              <w:t>如有请提供</w:t>
            </w:r>
            <w:r>
              <w:rPr>
                <w:rFonts w:hint="eastAsia" w:ascii="宋体" w:hAnsi="宋体" w:eastAsia="宋体" w:cs="宋体"/>
                <w:color w:val="auto"/>
                <w:szCs w:val="21"/>
              </w:rPr>
              <w:t>）</w:t>
            </w:r>
          </w:p>
          <w:p w14:paraId="471F69F6">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rPr>
            </w:pPr>
            <w:r>
              <w:rPr>
                <w:rFonts w:hint="eastAsia" w:ascii="宋体" w:hAnsi="宋体" w:eastAsia="宋体" w:cs="宋体"/>
                <w:color w:val="auto"/>
                <w:szCs w:val="21"/>
              </w:rPr>
              <w:t>3、售后服务方案；（</w:t>
            </w:r>
            <w:r>
              <w:rPr>
                <w:rFonts w:hint="eastAsia" w:ascii="宋体" w:hAnsi="宋体" w:eastAsia="宋体" w:cs="宋体"/>
                <w:b/>
                <w:color w:val="auto"/>
                <w:szCs w:val="21"/>
              </w:rPr>
              <w:t>必须提供，否则作无效投标处理</w:t>
            </w:r>
            <w:r>
              <w:rPr>
                <w:rFonts w:hint="eastAsia" w:ascii="宋体" w:hAnsi="宋体" w:eastAsia="宋体" w:cs="宋体"/>
                <w:color w:val="auto"/>
                <w:szCs w:val="21"/>
              </w:rPr>
              <w:t>）</w:t>
            </w:r>
          </w:p>
          <w:p w14:paraId="29461384">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rPr>
            </w:pPr>
            <w:r>
              <w:rPr>
                <w:rFonts w:hint="eastAsia" w:ascii="宋体" w:hAnsi="宋体" w:eastAsia="宋体" w:cs="宋体"/>
                <w:color w:val="auto"/>
                <w:szCs w:val="21"/>
              </w:rPr>
              <w:t>4、项目实施人员一览表；（</w:t>
            </w:r>
            <w:r>
              <w:rPr>
                <w:rFonts w:hint="eastAsia" w:ascii="宋体" w:hAnsi="宋体" w:eastAsia="宋体" w:cs="宋体"/>
                <w:b/>
                <w:color w:val="auto"/>
                <w:szCs w:val="21"/>
              </w:rPr>
              <w:t>如有请提供</w:t>
            </w:r>
            <w:r>
              <w:rPr>
                <w:rFonts w:hint="eastAsia" w:ascii="宋体" w:hAnsi="宋体" w:eastAsia="宋体" w:cs="宋体"/>
                <w:color w:val="auto"/>
                <w:szCs w:val="21"/>
              </w:rPr>
              <w:t>）</w:t>
            </w:r>
          </w:p>
          <w:p w14:paraId="70B120A1">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rPr>
            </w:pPr>
            <w:r>
              <w:rPr>
                <w:rFonts w:hint="eastAsia" w:ascii="宋体" w:hAnsi="宋体" w:eastAsia="宋体" w:cs="宋体"/>
                <w:color w:val="auto"/>
                <w:szCs w:val="21"/>
              </w:rPr>
              <w:t>5、投标人对本项目的合理化建议和改进措施；（</w:t>
            </w:r>
            <w:r>
              <w:rPr>
                <w:rFonts w:hint="eastAsia" w:ascii="宋体" w:hAnsi="宋体" w:eastAsia="宋体" w:cs="宋体"/>
                <w:b/>
                <w:color w:val="auto"/>
                <w:szCs w:val="21"/>
              </w:rPr>
              <w:t>如有请提供</w:t>
            </w:r>
            <w:r>
              <w:rPr>
                <w:rFonts w:hint="eastAsia" w:ascii="宋体" w:hAnsi="宋体" w:eastAsia="宋体" w:cs="宋体"/>
                <w:color w:val="auto"/>
                <w:szCs w:val="21"/>
              </w:rPr>
              <w:t>）</w:t>
            </w:r>
          </w:p>
          <w:p w14:paraId="5AFA35C5">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bCs/>
                <w:color w:val="auto"/>
                <w:szCs w:val="21"/>
              </w:rPr>
            </w:pPr>
            <w:r>
              <w:rPr>
                <w:rFonts w:hint="eastAsia" w:ascii="宋体" w:hAnsi="宋体" w:eastAsia="宋体" w:cs="宋体"/>
                <w:color w:val="auto"/>
                <w:szCs w:val="21"/>
              </w:rPr>
              <w:t>6、除招标文件规定必须提供以外，投标人需要说明的其他文件和说明。（</w:t>
            </w:r>
            <w:r>
              <w:rPr>
                <w:rFonts w:hint="eastAsia" w:ascii="宋体" w:hAnsi="宋体" w:eastAsia="宋体" w:cs="宋体"/>
                <w:b/>
                <w:color w:val="auto"/>
                <w:szCs w:val="21"/>
              </w:rPr>
              <w:t>如有请提供</w:t>
            </w:r>
            <w:r>
              <w:rPr>
                <w:rFonts w:hint="eastAsia" w:ascii="宋体" w:hAnsi="宋体" w:eastAsia="宋体" w:cs="宋体"/>
                <w:color w:val="auto"/>
                <w:szCs w:val="21"/>
              </w:rPr>
              <w:t>）</w:t>
            </w:r>
          </w:p>
          <w:p w14:paraId="797FE883">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b/>
                <w:bCs/>
                <w:color w:val="auto"/>
                <w:szCs w:val="21"/>
              </w:rPr>
            </w:pPr>
            <w:r>
              <w:rPr>
                <w:rFonts w:hint="eastAsia" w:ascii="宋体" w:hAnsi="宋体" w:eastAsia="宋体" w:cs="宋体"/>
                <w:b/>
                <w:bCs/>
                <w:color w:val="auto"/>
                <w:szCs w:val="21"/>
              </w:rPr>
              <w:t>注：以上标明“必须提供”的材料</w:t>
            </w:r>
            <w:r>
              <w:rPr>
                <w:rFonts w:hint="eastAsia" w:ascii="宋体" w:hAnsi="宋体" w:eastAsia="宋体" w:cs="宋体"/>
                <w:b/>
                <w:color w:val="auto"/>
                <w:szCs w:val="21"/>
              </w:rPr>
              <w:t>属于原件扫描件的</w:t>
            </w:r>
            <w:r>
              <w:rPr>
                <w:rFonts w:hint="eastAsia" w:ascii="宋体" w:hAnsi="宋体" w:eastAsia="宋体" w:cs="宋体"/>
                <w:b/>
                <w:bCs/>
                <w:color w:val="auto"/>
                <w:szCs w:val="21"/>
              </w:rPr>
              <w:t>，必须加盖投标人电子公章，否则</w:t>
            </w:r>
            <w:r>
              <w:rPr>
                <w:rFonts w:hint="eastAsia" w:ascii="宋体" w:hAnsi="宋体" w:eastAsia="宋体" w:cs="宋体"/>
                <w:b/>
                <w:color w:val="auto"/>
                <w:szCs w:val="21"/>
              </w:rPr>
              <w:t>作无效投标处理</w:t>
            </w:r>
            <w:r>
              <w:rPr>
                <w:rFonts w:hint="eastAsia" w:ascii="宋体" w:hAnsi="宋体" w:eastAsia="宋体" w:cs="宋体"/>
                <w:b/>
                <w:bCs/>
                <w:color w:val="auto"/>
                <w:szCs w:val="21"/>
              </w:rPr>
              <w:t>。</w:t>
            </w:r>
          </w:p>
        </w:tc>
      </w:tr>
      <w:tr w14:paraId="4D0A09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top w:val="nil"/>
              <w:left w:val="single" w:color="auto" w:sz="4" w:space="0"/>
              <w:bottom w:val="single" w:color="auto" w:sz="4" w:space="0"/>
              <w:right w:val="single" w:color="auto" w:sz="4" w:space="0"/>
            </w:tcBorders>
            <w:noWrap w:val="0"/>
            <w:vAlign w:val="center"/>
          </w:tcPr>
          <w:p w14:paraId="5C1DF04B">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04627C3">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rPr>
            </w:pPr>
            <w:r>
              <w:rPr>
                <w:rFonts w:hint="eastAsia" w:ascii="宋体" w:hAnsi="宋体" w:eastAsia="宋体" w:cs="宋体"/>
                <w:color w:val="auto"/>
                <w:szCs w:val="21"/>
              </w:rPr>
              <w:t>报价文件组成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EDA0500">
            <w:pPr>
              <w:pageBreakBefore w:val="0"/>
              <w:tabs>
                <w:tab w:val="left" w:pos="459"/>
              </w:tabs>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rPr>
            </w:pPr>
            <w:r>
              <w:rPr>
                <w:rFonts w:hint="eastAsia" w:ascii="宋体" w:hAnsi="宋体" w:eastAsia="宋体" w:cs="宋体"/>
                <w:color w:val="auto"/>
                <w:szCs w:val="21"/>
              </w:rPr>
              <w:t>1、投标函；</w:t>
            </w:r>
            <w:r>
              <w:rPr>
                <w:rFonts w:hint="eastAsia" w:ascii="宋体" w:hAnsi="宋体" w:eastAsia="宋体" w:cs="宋体"/>
                <w:b/>
                <w:color w:val="auto"/>
                <w:szCs w:val="21"/>
              </w:rPr>
              <w:t>（必须提供，否则作无效投标处理）</w:t>
            </w:r>
          </w:p>
          <w:p w14:paraId="19F27A26">
            <w:pPr>
              <w:pageBreakBefore w:val="0"/>
              <w:tabs>
                <w:tab w:val="left" w:pos="459"/>
              </w:tabs>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rPr>
            </w:pPr>
            <w:r>
              <w:rPr>
                <w:rFonts w:hint="eastAsia" w:ascii="宋体" w:hAnsi="宋体" w:eastAsia="宋体" w:cs="宋体"/>
                <w:color w:val="auto"/>
                <w:szCs w:val="21"/>
              </w:rPr>
              <w:t>2、开标一览表；（</w:t>
            </w:r>
            <w:r>
              <w:rPr>
                <w:rFonts w:hint="eastAsia" w:ascii="宋体" w:hAnsi="宋体" w:eastAsia="宋体" w:cs="宋体"/>
                <w:b/>
                <w:color w:val="auto"/>
                <w:szCs w:val="21"/>
              </w:rPr>
              <w:t>必须提供，否则作无效投标处理</w:t>
            </w:r>
            <w:r>
              <w:rPr>
                <w:rFonts w:hint="eastAsia" w:ascii="宋体" w:hAnsi="宋体" w:eastAsia="宋体" w:cs="宋体"/>
                <w:color w:val="auto"/>
                <w:szCs w:val="21"/>
              </w:rPr>
              <w:t>）</w:t>
            </w:r>
          </w:p>
          <w:p w14:paraId="2BEE2C7C">
            <w:pPr>
              <w:pageBreakBefore w:val="0"/>
              <w:tabs>
                <w:tab w:val="left" w:pos="459"/>
              </w:tabs>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rPr>
            </w:pPr>
            <w:r>
              <w:rPr>
                <w:rFonts w:hint="eastAsia" w:ascii="宋体" w:hAnsi="宋体" w:eastAsia="宋体" w:cs="宋体"/>
                <w:color w:val="auto"/>
                <w:szCs w:val="21"/>
              </w:rPr>
              <w:t>3、投标人针对报价需要说明的其他文件和说明。（</w:t>
            </w:r>
            <w:r>
              <w:rPr>
                <w:rFonts w:hint="eastAsia" w:ascii="宋体" w:hAnsi="宋体" w:eastAsia="宋体" w:cs="宋体"/>
                <w:b/>
                <w:color w:val="auto"/>
                <w:szCs w:val="21"/>
              </w:rPr>
              <w:t>如有请提供</w:t>
            </w:r>
            <w:r>
              <w:rPr>
                <w:rFonts w:hint="eastAsia" w:ascii="宋体" w:hAnsi="宋体" w:eastAsia="宋体" w:cs="宋体"/>
                <w:color w:val="auto"/>
                <w:szCs w:val="21"/>
              </w:rPr>
              <w:t>）</w:t>
            </w:r>
          </w:p>
        </w:tc>
      </w:tr>
      <w:tr w14:paraId="6E14BE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47BFEED2">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16.2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62FE7C6">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bookmarkStart w:id="55" w:name="_16.2"/>
            <w:bookmarkEnd w:id="55"/>
            <w:r>
              <w:rPr>
                <w:rFonts w:hint="eastAsia" w:ascii="宋体" w:hAnsi="宋体" w:eastAsia="宋体" w:cs="宋体"/>
                <w:color w:val="auto"/>
                <w:szCs w:val="21"/>
              </w:rPr>
              <w:t>投标报价要求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57159B9">
            <w:pPr>
              <w:pageBreakBefore w:val="0"/>
              <w:kinsoku/>
              <w:wordWrap/>
              <w:overflowPunct/>
              <w:topLinePunct w:val="0"/>
              <w:bidi w:val="0"/>
              <w:snapToGrid w:val="0"/>
              <w:spacing w:beforeAutospacing="0" w:line="360" w:lineRule="auto"/>
              <w:ind w:left="0" w:leftChars="0" w:right="0"/>
              <w:rPr>
                <w:rFonts w:hint="eastAsia" w:ascii="宋体" w:hAnsi="宋体" w:eastAsia="宋体" w:cs="宋体"/>
                <w:b/>
                <w:color w:val="auto"/>
                <w:szCs w:val="21"/>
              </w:rPr>
            </w:pPr>
            <w:r>
              <w:rPr>
                <w:rFonts w:hint="eastAsia" w:ascii="宋体" w:hAnsi="宋体" w:eastAsia="宋体" w:cs="宋体"/>
                <w:color w:val="auto"/>
                <w:szCs w:val="21"/>
              </w:rPr>
              <w:t>投标报价是履行合同的最终价格，必须包含满足本次投标全部采购需求所应提供的服务，以及伴随的货物和工程（如有）的价格；包含投标服务、货物、工程的成本、运输（含保险）、安装（如有）、调试、检验、技术服务、培训、税费等所有费用。（采购需求另有约定的，从其约定）</w:t>
            </w:r>
          </w:p>
        </w:tc>
      </w:tr>
      <w:tr w14:paraId="6436CC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75A40048">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17.2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49D5280">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bookmarkStart w:id="56" w:name="_17.1"/>
            <w:bookmarkEnd w:id="56"/>
            <w:r>
              <w:rPr>
                <w:rFonts w:hint="eastAsia" w:ascii="宋体" w:hAnsi="宋体" w:eastAsia="宋体" w:cs="宋体"/>
                <w:color w:val="auto"/>
                <w:szCs w:val="21"/>
              </w:rPr>
              <w:t>投标有效期</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F14DD32">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自投标截止之</w:t>
            </w:r>
            <w:r>
              <w:rPr>
                <w:rFonts w:hint="eastAsia" w:ascii="宋体" w:hAnsi="宋体" w:cs="宋体"/>
                <w:color w:val="auto"/>
                <w:szCs w:val="21"/>
              </w:rPr>
              <w:t>日起</w:t>
            </w:r>
            <w:r>
              <w:rPr>
                <w:rFonts w:hint="eastAsia" w:ascii="宋体" w:hAnsi="宋体" w:cs="宋体"/>
                <w:color w:val="auto"/>
                <w:szCs w:val="21"/>
                <w:u w:val="single"/>
              </w:rPr>
              <w:t xml:space="preserve"> </w:t>
            </w:r>
            <w:bookmarkStart w:id="57" w:name="PO_3000001866_PM046"/>
            <w:r>
              <w:rPr>
                <w:rFonts w:hint="eastAsia" w:ascii="宋体" w:hAnsi="宋体" w:cs="宋体"/>
                <w:color w:val="auto"/>
                <w:szCs w:val="21"/>
                <w:u w:val="single"/>
              </w:rPr>
              <w:t>60日历天</w:t>
            </w:r>
            <w:bookmarkEnd w:id="57"/>
            <w:r>
              <w:rPr>
                <w:rFonts w:hint="eastAsia" w:ascii="宋体" w:hAnsi="宋体" w:cs="宋体"/>
                <w:color w:val="auto"/>
                <w:szCs w:val="21"/>
              </w:rPr>
              <w:t>。</w:t>
            </w:r>
          </w:p>
        </w:tc>
      </w:tr>
      <w:tr w14:paraId="4EA0C9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76720A72">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18</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B6946F4">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bookmarkStart w:id="58" w:name="_18"/>
            <w:bookmarkEnd w:id="58"/>
            <w:r>
              <w:rPr>
                <w:rFonts w:hint="eastAsia" w:ascii="宋体" w:hAnsi="宋体" w:eastAsia="宋体" w:cs="宋体"/>
                <w:color w:val="auto"/>
                <w:szCs w:val="21"/>
              </w:rPr>
              <w:t>投标保证金金额</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2B63170">
            <w:pPr>
              <w:pageBreakBefore w:val="0"/>
              <w:kinsoku/>
              <w:wordWrap/>
              <w:overflowPunct/>
              <w:topLinePunct w:val="0"/>
              <w:autoSpaceDE w:val="0"/>
              <w:autoSpaceDN w:val="0"/>
              <w:bidi w:val="0"/>
              <w:snapToGrid w:val="0"/>
              <w:spacing w:beforeAutospacing="0" w:line="360" w:lineRule="auto"/>
              <w:ind w:left="0" w:leftChars="0" w:right="0"/>
              <w:textAlignment w:val="bottom"/>
              <w:rPr>
                <w:rFonts w:hint="eastAsia" w:ascii="宋体" w:hAnsi="宋体" w:eastAsia="宋体" w:cs="宋体"/>
                <w:color w:val="auto"/>
                <w:szCs w:val="21"/>
              </w:rPr>
            </w:pPr>
            <w:r>
              <w:rPr>
                <w:rFonts w:hint="eastAsia" w:ascii="宋体" w:hAnsi="宋体" w:eastAsia="宋体" w:cs="宋体"/>
                <w:color w:val="auto"/>
                <w:szCs w:val="21"/>
              </w:rPr>
              <w:t>本项目不收取投标保证金。</w:t>
            </w:r>
          </w:p>
        </w:tc>
      </w:tr>
      <w:tr w14:paraId="123494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6E56686C">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19.1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5DFA24B">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投标文件编制要求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7806251">
            <w:pPr>
              <w:pageBreakBefore w:val="0"/>
              <w:kinsoku/>
              <w:wordWrap/>
              <w:overflowPunct/>
              <w:topLinePunct w:val="0"/>
              <w:bidi w:val="0"/>
              <w:spacing w:beforeAutospacing="0" w:line="360" w:lineRule="auto"/>
              <w:ind w:left="0" w:leftChars="0" w:right="0"/>
              <w:rPr>
                <w:rFonts w:hint="eastAsia" w:ascii="宋体" w:hAnsi="宋体" w:eastAsia="宋体" w:cs="宋体"/>
                <w:b/>
                <w:color w:val="auto"/>
                <w:szCs w:val="21"/>
                <w:u w:val="single"/>
              </w:rPr>
            </w:pPr>
            <w:r>
              <w:rPr>
                <w:rFonts w:hint="eastAsia" w:ascii="宋体" w:hAnsi="宋体" w:eastAsia="宋体" w:cs="宋体"/>
                <w:color w:val="auto"/>
                <w:szCs w:val="21"/>
              </w:rPr>
              <w:t>投标文件应按报价文件、资格证明文件、商务文件、技术文件分别编制，报价文件、资格证明文件分别生产电子文件，商务文件和技术文件按顺序合并生成电子文件。</w:t>
            </w:r>
            <w:r>
              <w:rPr>
                <w:rFonts w:hint="eastAsia" w:ascii="宋体" w:hAnsi="宋体" w:eastAsia="宋体" w:cs="宋体"/>
                <w:b/>
                <w:color w:val="auto"/>
                <w:szCs w:val="21"/>
                <w:u w:val="single"/>
              </w:rPr>
              <w:t>电子版投标文件制作方式见招标公告附件。</w:t>
            </w:r>
          </w:p>
        </w:tc>
      </w:tr>
      <w:tr w14:paraId="7300A2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432840F6">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20</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DB7403B">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备份投标文件</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8019D55">
            <w:pPr>
              <w:pageBreakBefore w:val="0"/>
              <w:kinsoku/>
              <w:wordWrap/>
              <w:overflowPunct/>
              <w:topLinePunct w:val="0"/>
              <w:autoSpaceDE w:val="0"/>
              <w:autoSpaceDN w:val="0"/>
              <w:bidi w:val="0"/>
              <w:snapToGrid w:val="0"/>
              <w:spacing w:beforeAutospacing="0" w:line="360" w:lineRule="auto"/>
              <w:ind w:left="0" w:leftChars="0" w:right="0"/>
              <w:textAlignment w:val="bottom"/>
              <w:rPr>
                <w:rFonts w:hint="eastAsia" w:ascii="宋体" w:hAnsi="宋体" w:eastAsia="宋体" w:cs="宋体"/>
                <w:color w:val="auto"/>
                <w:szCs w:val="21"/>
              </w:rPr>
            </w:pPr>
            <w:r>
              <w:rPr>
                <w:rFonts w:hint="eastAsia" w:ascii="宋体" w:hAnsi="宋体" w:eastAsia="宋体" w:cs="宋体"/>
                <w:color w:val="auto"/>
                <w:szCs w:val="21"/>
              </w:rPr>
              <w:t>本项目不接受备份投标文件。</w:t>
            </w:r>
          </w:p>
        </w:tc>
      </w:tr>
      <w:tr w14:paraId="5DBFC6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75" w:type="dxa"/>
            <w:vMerge w:val="restart"/>
            <w:tcBorders>
              <w:top w:val="single" w:color="auto" w:sz="4" w:space="0"/>
              <w:left w:val="single" w:color="auto" w:sz="4" w:space="0"/>
              <w:bottom w:val="nil"/>
              <w:right w:val="single" w:color="auto" w:sz="4" w:space="0"/>
            </w:tcBorders>
            <w:noWrap w:val="0"/>
            <w:vAlign w:val="center"/>
          </w:tcPr>
          <w:p w14:paraId="4B8790A4">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21.1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A432FD8">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bookmarkStart w:id="59" w:name="_21.1"/>
            <w:bookmarkEnd w:id="59"/>
            <w:r>
              <w:rPr>
                <w:rFonts w:hint="eastAsia" w:ascii="宋体" w:hAnsi="宋体" w:eastAsia="宋体" w:cs="宋体"/>
                <w:color w:val="auto"/>
                <w:szCs w:val="21"/>
              </w:rPr>
              <w:t>投标截止时间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51BBC41">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u w:val="single"/>
              </w:rPr>
            </w:pPr>
            <w:r>
              <w:rPr>
                <w:rFonts w:hint="eastAsia" w:ascii="宋体" w:hAnsi="宋体" w:eastAsia="宋体" w:cs="宋体"/>
                <w:color w:val="auto"/>
                <w:szCs w:val="21"/>
              </w:rPr>
              <w:t>详见招标公告</w:t>
            </w:r>
          </w:p>
        </w:tc>
      </w:tr>
      <w:tr w14:paraId="1F1F89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noWrap w:val="0"/>
            <w:vAlign w:val="center"/>
          </w:tcPr>
          <w:p w14:paraId="62E7B445">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867D835">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投标文件提交起止时间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D588BF6">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详见招标公告</w:t>
            </w:r>
          </w:p>
        </w:tc>
      </w:tr>
      <w:tr w14:paraId="3AAFCD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noWrap w:val="0"/>
            <w:vAlign w:val="center"/>
          </w:tcPr>
          <w:p w14:paraId="044215EF">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C73D721">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投标地点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C747150">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详见招标公告</w:t>
            </w:r>
          </w:p>
        </w:tc>
      </w:tr>
      <w:tr w14:paraId="7CCA6C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noWrap w:val="0"/>
            <w:vAlign w:val="center"/>
          </w:tcPr>
          <w:p w14:paraId="78BB3286">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00E36FF">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2F3150C">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bCs/>
                <w:color w:val="auto"/>
                <w:szCs w:val="21"/>
              </w:rPr>
              <w:t>无</w:t>
            </w:r>
          </w:p>
        </w:tc>
      </w:tr>
      <w:tr w14:paraId="55E55D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6F3DBF72">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23</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365E7B1">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bookmarkStart w:id="60" w:name="_23"/>
            <w:bookmarkEnd w:id="60"/>
            <w:r>
              <w:rPr>
                <w:rFonts w:hint="eastAsia" w:ascii="宋体" w:hAnsi="宋体" w:eastAsia="宋体" w:cs="宋体"/>
                <w:color w:val="auto"/>
                <w:szCs w:val="21"/>
              </w:rPr>
              <w:t>开标时间、地点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238C06B">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 xml:space="preserve">详见招标公告 </w:t>
            </w:r>
          </w:p>
        </w:tc>
      </w:tr>
      <w:tr w14:paraId="1A53E3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625EE742">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25.3（2）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E0C57B7">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bookmarkStart w:id="61" w:name="_25.3"/>
            <w:bookmarkEnd w:id="61"/>
            <w:r>
              <w:rPr>
                <w:rFonts w:hint="eastAsia" w:ascii="宋体" w:hAnsi="宋体" w:eastAsia="宋体" w:cs="宋体"/>
                <w:color w:val="auto"/>
                <w:szCs w:val="21"/>
              </w:rPr>
              <w:t>投标人信用查询渠道</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FF4645F">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采购人或者采购代理机构在资格审查结束前，对投标人进行信用查询。</w:t>
            </w:r>
          </w:p>
          <w:p w14:paraId="6F1F394B">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查询渠道：“信用中国”网站(www.creditchina.gov.cn) 、中国政府采购网(www.ccgp.gov.cn)。</w:t>
            </w:r>
          </w:p>
        </w:tc>
      </w:tr>
      <w:tr w14:paraId="77AB0C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76B8A2F0">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0714F8D">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信用查询截止时点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97532AF">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资格审查结束前</w:t>
            </w:r>
          </w:p>
        </w:tc>
      </w:tr>
      <w:tr w14:paraId="670DC9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288591CD">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3877CC1">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查询记录和证据留存方式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135F734">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在查询网站中直接截图查询记录，截图作为在“</w:t>
            </w:r>
            <w:r>
              <w:rPr>
                <w:rFonts w:hint="eastAsia" w:ascii="宋体" w:hAnsi="宋体" w:cs="宋体"/>
                <w:color w:val="auto"/>
                <w:szCs w:val="21"/>
                <w:lang w:eastAsia="zh-CN"/>
              </w:rPr>
              <w:t>广西政府采购云</w:t>
            </w:r>
            <w:r>
              <w:rPr>
                <w:rFonts w:hint="eastAsia" w:ascii="宋体" w:hAnsi="宋体" w:eastAsia="宋体" w:cs="宋体"/>
                <w:color w:val="auto"/>
                <w:szCs w:val="21"/>
              </w:rPr>
              <w:t>”平台作为附件上传保存。</w:t>
            </w:r>
          </w:p>
        </w:tc>
      </w:tr>
      <w:tr w14:paraId="0C526D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2DA2C24C">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0031469">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信用信息使用规则</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6D94E09">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w:t>
            </w:r>
            <w:r>
              <w:rPr>
                <w:rFonts w:hint="eastAsia" w:ascii="宋体" w:hAnsi="宋体" w:eastAsia="宋体" w:cs="宋体"/>
                <w:color w:val="auto"/>
                <w:sz w:val="22"/>
                <w:szCs w:val="22"/>
              </w:rPr>
              <w:t>应当拒绝其参与政府采购活动</w:t>
            </w:r>
            <w:r>
              <w:rPr>
                <w:rFonts w:hint="eastAsia" w:ascii="宋体" w:hAnsi="宋体" w:eastAsia="宋体" w:cs="宋体"/>
                <w:color w:val="auto"/>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25D50C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3368514E">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29.1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6EEEA30">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bookmarkStart w:id="62" w:name="_26"/>
            <w:bookmarkEnd w:id="62"/>
            <w:bookmarkStart w:id="63" w:name="_28.3"/>
            <w:bookmarkEnd w:id="63"/>
            <w:r>
              <w:rPr>
                <w:rFonts w:hint="eastAsia" w:ascii="宋体" w:hAnsi="宋体" w:eastAsia="宋体" w:cs="宋体"/>
                <w:color w:val="auto"/>
                <w:szCs w:val="21"/>
              </w:rPr>
              <w:t>评标方法</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B9CE8AC">
            <w:pPr>
              <w:pageBreakBefore w:val="0"/>
              <w:kinsoku/>
              <w:wordWrap/>
              <w:overflowPunct/>
              <w:topLinePunct w:val="0"/>
              <w:autoSpaceDE w:val="0"/>
              <w:autoSpaceDN w:val="0"/>
              <w:bidi w:val="0"/>
              <w:snapToGrid w:val="0"/>
              <w:spacing w:beforeAutospacing="0" w:line="360" w:lineRule="auto"/>
              <w:ind w:left="0" w:leftChars="0" w:right="0"/>
              <w:textAlignment w:val="bottom"/>
              <w:rPr>
                <w:rFonts w:hint="eastAsia" w:ascii="宋体" w:hAnsi="宋体" w:eastAsia="宋体" w:cs="宋体"/>
                <w:color w:val="auto"/>
                <w:szCs w:val="21"/>
              </w:rPr>
            </w:pPr>
            <w:r>
              <w:rPr>
                <w:rFonts w:hint="eastAsia" w:ascii="宋体" w:hAnsi="宋体" w:eastAsia="宋体" w:cs="宋体"/>
                <w:bCs/>
                <w:color w:val="auto"/>
                <w:szCs w:val="21"/>
              </w:rPr>
              <w:t>☑</w:t>
            </w:r>
            <w:r>
              <w:rPr>
                <w:rFonts w:hint="eastAsia" w:ascii="宋体" w:hAnsi="宋体" w:eastAsia="宋体" w:cs="宋体"/>
                <w:color w:val="auto"/>
                <w:szCs w:val="21"/>
              </w:rPr>
              <w:t>综合评分法</w:t>
            </w:r>
          </w:p>
          <w:p w14:paraId="57477192">
            <w:pPr>
              <w:pageBreakBefore w:val="0"/>
              <w:kinsoku/>
              <w:wordWrap/>
              <w:overflowPunct/>
              <w:topLinePunct w:val="0"/>
              <w:autoSpaceDE w:val="0"/>
              <w:autoSpaceDN w:val="0"/>
              <w:bidi w:val="0"/>
              <w:snapToGrid w:val="0"/>
              <w:spacing w:beforeAutospacing="0" w:line="360" w:lineRule="auto"/>
              <w:ind w:left="0" w:leftChars="0" w:right="0"/>
              <w:textAlignment w:val="bottom"/>
              <w:rPr>
                <w:rFonts w:hint="eastAsia" w:ascii="宋体" w:hAnsi="宋体" w:eastAsia="宋体" w:cs="宋体"/>
                <w:color w:val="auto"/>
                <w:szCs w:val="21"/>
              </w:rPr>
            </w:pPr>
            <w:r>
              <w:rPr>
                <w:rFonts w:hint="eastAsia" w:ascii="宋体" w:hAnsi="宋体" w:eastAsia="宋体" w:cs="宋体"/>
                <w:color w:val="auto"/>
                <w:szCs w:val="21"/>
              </w:rPr>
              <w:t>□最低评标价法</w:t>
            </w:r>
          </w:p>
        </w:tc>
      </w:tr>
      <w:tr w14:paraId="41683B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305010FD">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30.1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438BFB6">
            <w:pPr>
              <w:pageBreakBefore w:val="0"/>
              <w:kinsoku/>
              <w:wordWrap/>
              <w:overflowPunct/>
              <w:topLinePunct w:val="0"/>
              <w:autoSpaceDE w:val="0"/>
              <w:autoSpaceDN w:val="0"/>
              <w:bidi w:val="0"/>
              <w:snapToGrid w:val="0"/>
              <w:spacing w:beforeAutospacing="0" w:line="360" w:lineRule="auto"/>
              <w:ind w:left="0" w:leftChars="0" w:right="0"/>
              <w:textAlignment w:val="bottom"/>
              <w:rPr>
                <w:rFonts w:hint="eastAsia" w:ascii="宋体" w:hAnsi="宋体" w:eastAsia="宋体" w:cs="宋体"/>
                <w:color w:val="auto"/>
                <w:szCs w:val="21"/>
              </w:rPr>
            </w:pPr>
            <w:r>
              <w:rPr>
                <w:rFonts w:hint="eastAsia" w:ascii="宋体" w:hAnsi="宋体" w:eastAsia="宋体" w:cs="宋体"/>
                <w:color w:val="auto"/>
                <w:szCs w:val="21"/>
              </w:rPr>
              <w:t xml:space="preserve">确定中标人时，出现中标候选人分数并列的情形，确定中标人方式 </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88E4E81">
            <w:pPr>
              <w:pageBreakBefore w:val="0"/>
              <w:kinsoku/>
              <w:wordWrap/>
              <w:overflowPunct/>
              <w:topLinePunct w:val="0"/>
              <w:autoSpaceDE w:val="0"/>
              <w:autoSpaceDN w:val="0"/>
              <w:bidi w:val="0"/>
              <w:snapToGrid w:val="0"/>
              <w:spacing w:beforeAutospacing="0" w:line="360" w:lineRule="auto"/>
              <w:ind w:left="0" w:leftChars="0" w:right="0"/>
              <w:textAlignment w:val="bottom"/>
              <w:rPr>
                <w:rFonts w:hint="eastAsia" w:ascii="宋体" w:hAnsi="宋体" w:eastAsia="宋体" w:cs="宋体"/>
                <w:color w:val="auto"/>
                <w:szCs w:val="21"/>
              </w:rPr>
            </w:pPr>
            <w:r>
              <w:rPr>
                <w:rFonts w:hint="eastAsia" w:ascii="宋体" w:hAnsi="宋体" w:eastAsia="宋体" w:cs="宋体"/>
                <w:color w:val="auto"/>
                <w:szCs w:val="21"/>
              </w:rPr>
              <w:t xml:space="preserve">□采用最低评标价法的，投标文件满足招标文件全部实质性要求且投标报价最低的投标人为排名第一的中标候选人； </w:t>
            </w:r>
          </w:p>
          <w:p w14:paraId="66BFD9FF">
            <w:pPr>
              <w:pageBreakBefore w:val="0"/>
              <w:kinsoku/>
              <w:wordWrap/>
              <w:overflowPunct/>
              <w:topLinePunct w:val="0"/>
              <w:autoSpaceDE w:val="0"/>
              <w:autoSpaceDN w:val="0"/>
              <w:bidi w:val="0"/>
              <w:snapToGrid w:val="0"/>
              <w:spacing w:beforeAutospacing="0" w:line="360" w:lineRule="auto"/>
              <w:ind w:left="0" w:leftChars="0" w:right="0"/>
              <w:textAlignment w:val="bottom"/>
              <w:rPr>
                <w:rFonts w:hint="eastAsia" w:ascii="宋体" w:hAnsi="宋体" w:eastAsia="宋体" w:cs="宋体"/>
                <w:b/>
                <w:color w:val="auto"/>
                <w:szCs w:val="21"/>
              </w:rPr>
            </w:pPr>
            <w:r>
              <w:rPr>
                <w:rFonts w:hint="eastAsia" w:ascii="宋体" w:hAnsi="宋体" w:eastAsia="宋体" w:cs="宋体"/>
                <w:bCs/>
                <w:color w:val="auto"/>
                <w:szCs w:val="21"/>
              </w:rPr>
              <w:t>☑</w:t>
            </w:r>
            <w:r>
              <w:rPr>
                <w:rFonts w:hint="eastAsia" w:ascii="宋体" w:hAnsi="宋体" w:eastAsia="宋体" w:cs="宋体"/>
                <w:color w:val="auto"/>
                <w:szCs w:val="21"/>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6346A7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1EA9A6B3">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35</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EE4014E">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bookmarkStart w:id="64" w:name="_39.1"/>
            <w:bookmarkEnd w:id="64"/>
            <w:r>
              <w:rPr>
                <w:rFonts w:hint="eastAsia" w:ascii="宋体" w:hAnsi="宋体" w:eastAsia="宋体" w:cs="宋体"/>
                <w:color w:val="auto"/>
                <w:szCs w:val="21"/>
              </w:rPr>
              <w:t>履约保证金金额</w:t>
            </w:r>
          </w:p>
        </w:tc>
        <w:tc>
          <w:tcPr>
            <w:tcW w:w="7297" w:type="dxa"/>
            <w:tcBorders>
              <w:top w:val="single" w:color="auto" w:sz="4" w:space="0"/>
              <w:left w:val="single" w:color="auto" w:sz="4" w:space="0"/>
              <w:bottom w:val="single" w:color="auto" w:sz="4" w:space="0"/>
              <w:right w:val="single" w:color="auto" w:sz="4" w:space="0"/>
            </w:tcBorders>
            <w:noWrap w:val="0"/>
            <w:vAlign w:val="bottom"/>
          </w:tcPr>
          <w:p w14:paraId="37E6D987">
            <w:pPr>
              <w:pageBreakBefore w:val="0"/>
              <w:kinsoku/>
              <w:wordWrap/>
              <w:overflowPunct/>
              <w:topLinePunct w:val="0"/>
              <w:autoSpaceDE w:val="0"/>
              <w:autoSpaceDN w:val="0"/>
              <w:bidi w:val="0"/>
              <w:snapToGrid w:val="0"/>
              <w:spacing w:beforeAutospacing="0" w:line="360" w:lineRule="auto"/>
              <w:ind w:left="0" w:leftChars="0" w:right="0"/>
              <w:jc w:val="left"/>
              <w:textAlignment w:val="bottom"/>
              <w:rPr>
                <w:rFonts w:hint="eastAsia" w:ascii="宋体" w:hAnsi="宋体" w:eastAsia="宋体" w:cs="宋体"/>
                <w:color w:val="auto"/>
                <w:szCs w:val="21"/>
              </w:rPr>
            </w:pPr>
            <w:r>
              <w:rPr>
                <w:rFonts w:hint="eastAsia" w:ascii="宋体" w:hAnsi="宋体" w:eastAsia="宋体" w:cs="宋体"/>
                <w:color w:val="auto"/>
                <w:szCs w:val="21"/>
              </w:rPr>
              <w:t>本项目不收取履约保证金。</w:t>
            </w:r>
          </w:p>
        </w:tc>
      </w:tr>
      <w:tr w14:paraId="08E72A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2F2FFCE3">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36.1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C4CBA4F">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bookmarkStart w:id="65" w:name="_40.1"/>
            <w:bookmarkEnd w:id="65"/>
            <w:r>
              <w:rPr>
                <w:rFonts w:hint="eastAsia" w:ascii="宋体" w:hAnsi="宋体" w:eastAsia="宋体" w:cs="宋体"/>
                <w:color w:val="auto"/>
                <w:szCs w:val="21"/>
              </w:rPr>
              <w:t>签订电子合同携带的材料</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3434024">
            <w:pPr>
              <w:pageBreakBefore w:val="0"/>
              <w:kinsoku/>
              <w:wordWrap/>
              <w:overflowPunct/>
              <w:topLinePunct w:val="0"/>
              <w:autoSpaceDE w:val="0"/>
              <w:autoSpaceDN w:val="0"/>
              <w:bidi w:val="0"/>
              <w:snapToGrid w:val="0"/>
              <w:spacing w:beforeAutospacing="0" w:line="360" w:lineRule="auto"/>
              <w:ind w:left="0" w:leftChars="0" w:right="0"/>
              <w:textAlignment w:val="bottom"/>
              <w:rPr>
                <w:rFonts w:hint="eastAsia" w:ascii="宋体" w:hAnsi="宋体" w:eastAsia="宋体" w:cs="宋体"/>
                <w:color w:val="auto"/>
                <w:szCs w:val="21"/>
              </w:rPr>
            </w:pPr>
            <w:r>
              <w:rPr>
                <w:rFonts w:hint="eastAsia" w:ascii="宋体" w:hAnsi="宋体" w:eastAsia="宋体" w:cs="宋体"/>
                <w:color w:val="auto"/>
                <w:szCs w:val="21"/>
              </w:rPr>
              <w:t>电子采购合同需要供应商通过有效CA证书进行电子签署</w:t>
            </w:r>
          </w:p>
        </w:tc>
      </w:tr>
      <w:tr w14:paraId="263BA3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43FA3E6C">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38.2.1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59C375D">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接收质疑函方式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BE7169C">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以书面形式</w:t>
            </w:r>
          </w:p>
        </w:tc>
      </w:tr>
      <w:tr w14:paraId="211D46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263B72C4">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50C3258">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质疑联系部门及联系方式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CE4AE34">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u w:val="single"/>
              </w:rPr>
              <w:t>（1）</w:t>
            </w:r>
            <w:r>
              <w:rPr>
                <w:rFonts w:hint="eastAsia" w:ascii="宋体" w:hAnsi="宋体" w:cs="宋体"/>
                <w:color w:val="auto"/>
                <w:szCs w:val="21"/>
                <w:u w:val="single"/>
                <w:lang w:eastAsia="zh-CN"/>
              </w:rPr>
              <w:t>广西景钲工程咨询有限公司</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部门；</w:t>
            </w:r>
          </w:p>
          <w:p w14:paraId="4CEA289D">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联系电话：</w:t>
            </w:r>
            <w:r>
              <w:rPr>
                <w:rFonts w:hint="eastAsia" w:ascii="宋体" w:hAnsi="宋体" w:cs="宋体"/>
                <w:color w:val="auto"/>
                <w:szCs w:val="21"/>
                <w:u w:val="single"/>
                <w:lang w:eastAsia="zh-CN"/>
              </w:rPr>
              <w:t>0771-28</w:t>
            </w:r>
            <w:r>
              <w:rPr>
                <w:rFonts w:hint="eastAsia" w:ascii="宋体" w:hAnsi="宋体" w:cs="宋体"/>
                <w:color w:val="auto"/>
                <w:szCs w:val="21"/>
                <w:u w:val="single"/>
                <w:lang w:val="en-US" w:eastAsia="zh-CN"/>
              </w:rPr>
              <w:t>22223</w:t>
            </w:r>
            <w:r>
              <w:rPr>
                <w:rFonts w:hint="eastAsia" w:ascii="宋体" w:hAnsi="宋体" w:eastAsia="宋体" w:cs="宋体"/>
                <w:color w:val="auto"/>
                <w:szCs w:val="21"/>
              </w:rPr>
              <w:t>，</w:t>
            </w:r>
          </w:p>
          <w:p w14:paraId="215E6D39">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通讯地址：</w:t>
            </w:r>
            <w:r>
              <w:rPr>
                <w:rFonts w:hint="eastAsia" w:ascii="宋体" w:hAnsi="宋体" w:cs="宋体"/>
                <w:color w:val="auto"/>
                <w:szCs w:val="21"/>
                <w:u w:val="single"/>
                <w:lang w:eastAsia="zh-CN"/>
              </w:rPr>
              <w:t>南宁市良庆区盘歌路6号富雅·国际生活广场A座五层509号房。</w:t>
            </w:r>
            <w:r>
              <w:rPr>
                <w:rFonts w:hint="eastAsia" w:ascii="宋体" w:hAnsi="宋体" w:eastAsia="宋体" w:cs="宋体"/>
                <w:color w:val="auto"/>
                <w:szCs w:val="21"/>
              </w:rPr>
              <w:t xml:space="preserve"> </w:t>
            </w:r>
          </w:p>
          <w:p w14:paraId="798FBB34">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u w:val="single"/>
              </w:rPr>
              <w:t>（2）</w:t>
            </w:r>
            <w:r>
              <w:rPr>
                <w:rFonts w:hint="eastAsia" w:ascii="宋体" w:hAnsi="宋体" w:cs="宋体"/>
                <w:color w:val="auto"/>
                <w:szCs w:val="21"/>
                <w:u w:val="single"/>
                <w:lang w:eastAsia="zh-CN"/>
              </w:rPr>
              <w:t>南宁市第二看守所</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部门；</w:t>
            </w:r>
          </w:p>
          <w:p w14:paraId="4A63D68F">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联系电话：</w:t>
            </w:r>
            <w:r>
              <w:rPr>
                <w:rFonts w:hint="eastAsia" w:ascii="宋体" w:hAnsi="宋体" w:cs="宋体"/>
                <w:color w:val="auto"/>
                <w:szCs w:val="21"/>
                <w:u w:val="single"/>
                <w:lang w:eastAsia="zh-CN"/>
              </w:rPr>
              <w:t>0771－2200631</w:t>
            </w:r>
            <w:r>
              <w:rPr>
                <w:rFonts w:hint="eastAsia" w:ascii="宋体" w:hAnsi="宋体" w:eastAsia="宋体" w:cs="宋体"/>
                <w:color w:val="auto"/>
                <w:szCs w:val="21"/>
                <w:u w:val="none"/>
              </w:rPr>
              <w:t>，</w:t>
            </w:r>
          </w:p>
          <w:p w14:paraId="72C68D7E">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通讯地址：</w:t>
            </w:r>
            <w:r>
              <w:rPr>
                <w:rFonts w:hint="eastAsia" w:ascii="宋体" w:hAnsi="宋体" w:cs="宋体"/>
                <w:color w:val="auto"/>
                <w:szCs w:val="21"/>
                <w:u w:val="single"/>
                <w:lang w:eastAsia="zh-CN"/>
              </w:rPr>
              <w:t>南宁市昆仑大道五塘段1221号</w:t>
            </w:r>
            <w:r>
              <w:rPr>
                <w:rFonts w:hint="eastAsia" w:ascii="宋体" w:hAnsi="宋体" w:eastAsia="宋体" w:cs="宋体"/>
                <w:color w:val="auto"/>
                <w:szCs w:val="21"/>
              </w:rPr>
              <w:t xml:space="preserve"> </w:t>
            </w:r>
          </w:p>
        </w:tc>
      </w:tr>
      <w:tr w14:paraId="55D636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5CD19D77">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EFEA8AA">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rPr>
              <w:t>现场提交质疑办理业务时间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3A02410">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rPr>
            </w:pPr>
            <w:r>
              <w:rPr>
                <w:rFonts w:hint="eastAsia" w:ascii="宋体" w:hAnsi="宋体"/>
                <w:color w:val="auto"/>
              </w:rPr>
              <w:t xml:space="preserve">质疑期内每个工作日 </w:t>
            </w:r>
            <w:r>
              <w:rPr>
                <w:rFonts w:hint="eastAsia" w:ascii="宋体" w:hAnsi="宋体"/>
                <w:color w:val="auto"/>
                <w:u w:val="single"/>
              </w:rPr>
              <w:t>08 时30分到12 时00 分，15 时00分到 18 时00 分</w:t>
            </w:r>
            <w:r>
              <w:rPr>
                <w:rFonts w:hint="eastAsia" w:ascii="宋体" w:hAnsi="宋体"/>
                <w:color w:val="auto"/>
              </w:rPr>
              <w:t>。</w:t>
            </w:r>
          </w:p>
        </w:tc>
      </w:tr>
      <w:tr w14:paraId="2CF1B7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tcBorders>
              <w:top w:val="nil"/>
              <w:left w:val="single" w:color="auto" w:sz="4" w:space="0"/>
              <w:bottom w:val="single" w:color="auto" w:sz="4" w:space="0"/>
              <w:right w:val="single" w:color="auto" w:sz="4" w:space="0"/>
            </w:tcBorders>
            <w:noWrap w:val="0"/>
            <w:vAlign w:val="center"/>
          </w:tcPr>
          <w:p w14:paraId="1CC29984">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38.3.1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D681D2C">
            <w:pPr>
              <w:pageBreakBefore w:val="0"/>
              <w:kinsoku/>
              <w:wordWrap/>
              <w:overflowPunct/>
              <w:topLinePunct w:val="0"/>
              <w:bidi w:val="0"/>
              <w:spacing w:beforeAutospacing="0" w:line="360" w:lineRule="auto"/>
              <w:ind w:left="0" w:leftChars="0" w:right="0"/>
              <w:rPr>
                <w:rFonts w:hint="eastAsia" w:ascii="宋体" w:hAnsi="宋体" w:eastAsia="宋体" w:cs="宋体"/>
                <w:color w:val="auto"/>
              </w:rPr>
            </w:pPr>
            <w:r>
              <w:rPr>
                <w:rFonts w:hint="eastAsia" w:ascii="宋体" w:hAnsi="宋体" w:eastAsia="宋体" w:cs="宋体"/>
                <w:color w:val="auto"/>
              </w:rPr>
              <w:t>投诉受理方式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BB9B496">
            <w:pPr>
              <w:snapToGrid w:val="0"/>
              <w:spacing w:line="360" w:lineRule="auto"/>
              <w:jc w:val="left"/>
              <w:rPr>
                <w:rFonts w:ascii="宋体" w:hAnsi="宋体"/>
                <w:color w:val="auto"/>
                <w:szCs w:val="21"/>
              </w:rPr>
            </w:pPr>
            <w:r>
              <w:rPr>
                <w:rFonts w:hint="eastAsia" w:ascii="宋体" w:hAnsi="宋体"/>
                <w:color w:val="auto"/>
              </w:rPr>
              <w:t>1、受理方式：纸质方式受理，投诉书正、副本（经过质疑的事项才可投诉）。</w:t>
            </w:r>
          </w:p>
          <w:p w14:paraId="58D4F398">
            <w:pPr>
              <w:snapToGrid w:val="0"/>
              <w:spacing w:line="360" w:lineRule="auto"/>
              <w:jc w:val="left"/>
              <w:rPr>
                <w:rFonts w:hint="eastAsia" w:ascii="宋体" w:hAnsi="宋体"/>
                <w:color w:val="auto"/>
              </w:rPr>
            </w:pPr>
            <w:r>
              <w:rPr>
                <w:rFonts w:hint="eastAsia" w:ascii="宋体" w:hAnsi="宋体"/>
                <w:color w:val="auto"/>
              </w:rPr>
              <w:t>2、邮寄地址：南宁市青秀区东葛路129号</w:t>
            </w:r>
          </w:p>
          <w:p w14:paraId="2313060B">
            <w:pPr>
              <w:snapToGrid w:val="0"/>
              <w:spacing w:line="360" w:lineRule="auto"/>
              <w:jc w:val="left"/>
              <w:rPr>
                <w:rFonts w:hint="eastAsia" w:ascii="宋体" w:hAnsi="宋体"/>
                <w:color w:val="auto"/>
              </w:rPr>
            </w:pPr>
            <w:r>
              <w:rPr>
                <w:rFonts w:hint="eastAsia" w:ascii="宋体" w:hAnsi="宋体"/>
                <w:color w:val="auto"/>
              </w:rPr>
              <w:t>名称：</w:t>
            </w:r>
            <w:bookmarkStart w:id="66" w:name="PO_3000001867_PM036"/>
            <w:r>
              <w:rPr>
                <w:rFonts w:hint="eastAsia" w:ascii="宋体" w:hAnsi="宋体"/>
                <w:color w:val="auto"/>
              </w:rPr>
              <w:t>南宁市财政局政府采购监督管理科</w:t>
            </w:r>
            <w:bookmarkEnd w:id="66"/>
          </w:p>
          <w:p w14:paraId="78A63384">
            <w:pPr>
              <w:snapToGrid w:val="0"/>
              <w:spacing w:line="360" w:lineRule="auto"/>
              <w:jc w:val="left"/>
              <w:rPr>
                <w:rFonts w:hint="eastAsia" w:ascii="宋体" w:hAnsi="宋体"/>
                <w:color w:val="auto"/>
              </w:rPr>
            </w:pPr>
            <w:r>
              <w:rPr>
                <w:rFonts w:hint="eastAsia" w:ascii="宋体" w:hAnsi="宋体"/>
                <w:color w:val="auto"/>
              </w:rPr>
              <w:t>地址：</w:t>
            </w:r>
            <w:bookmarkStart w:id="67" w:name="PO_3000001867_PM039"/>
            <w:bookmarkEnd w:id="67"/>
            <w:r>
              <w:rPr>
                <w:rFonts w:hint="eastAsia" w:ascii="宋体" w:hAnsi="宋体"/>
                <w:color w:val="auto"/>
              </w:rPr>
              <w:t>南宁市青秀区东葛路129号</w:t>
            </w:r>
          </w:p>
          <w:p w14:paraId="3855ED76">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rPr>
            </w:pPr>
            <w:r>
              <w:rPr>
                <w:rFonts w:hint="eastAsia" w:ascii="宋体" w:hAnsi="宋体"/>
                <w:color w:val="auto"/>
              </w:rPr>
              <w:t>联系电话：</w:t>
            </w:r>
            <w:bookmarkStart w:id="68" w:name="PO_3000001867_PM038"/>
            <w:r>
              <w:rPr>
                <w:rFonts w:hint="eastAsia" w:ascii="宋体" w:hAnsi="宋体"/>
                <w:color w:val="auto"/>
              </w:rPr>
              <w:t>0771-2189091</w:t>
            </w:r>
            <w:bookmarkEnd w:id="68"/>
          </w:p>
        </w:tc>
      </w:tr>
      <w:tr w14:paraId="754B32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4C251B92">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40</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98A20DA">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bookmarkStart w:id="69" w:name="_42"/>
            <w:bookmarkEnd w:id="69"/>
            <w:bookmarkStart w:id="70" w:name="_41"/>
            <w:bookmarkEnd w:id="70"/>
            <w:r>
              <w:rPr>
                <w:rFonts w:hint="eastAsia" w:ascii="宋体" w:hAnsi="宋体" w:eastAsia="宋体" w:cs="宋体"/>
                <w:color w:val="auto"/>
              </w:rPr>
              <w:t>采购代理费支付方式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1E5D841">
            <w:pPr>
              <w:pStyle w:val="9"/>
              <w:snapToGrid w:val="0"/>
              <w:spacing w:line="360" w:lineRule="auto"/>
              <w:jc w:val="left"/>
              <w:rPr>
                <w:rFonts w:hAnsi="宋体"/>
                <w:color w:val="auto"/>
                <w:szCs w:val="21"/>
              </w:rPr>
            </w:pPr>
            <w:r>
              <w:rPr>
                <w:rFonts w:hint="eastAsia" w:hAnsi="宋体"/>
                <w:color w:val="auto"/>
              </w:rPr>
              <w:t>本项目代理服务费由</w:t>
            </w:r>
            <w:r>
              <w:rPr>
                <w:rFonts w:hint="eastAsia" w:hAnsi="宋体"/>
                <w:color w:val="auto"/>
                <w:u w:val="single"/>
              </w:rPr>
              <w:t>中标人</w:t>
            </w:r>
            <w:r>
              <w:rPr>
                <w:rFonts w:hint="eastAsia" w:hAnsi="宋体"/>
                <w:color w:val="auto"/>
              </w:rPr>
              <w:t>在领取中标通知书前，一次性向采购代理机构支付。</w:t>
            </w:r>
          </w:p>
          <w:p w14:paraId="47B0482A">
            <w:pPr>
              <w:pStyle w:val="9"/>
              <w:snapToGrid w:val="0"/>
              <w:spacing w:line="360" w:lineRule="auto"/>
              <w:jc w:val="left"/>
              <w:rPr>
                <w:rFonts w:hint="eastAsia" w:hAnsi="宋体"/>
                <w:color w:val="auto"/>
              </w:rPr>
            </w:pPr>
            <w:r>
              <w:rPr>
                <w:rFonts w:hint="eastAsia" w:hAnsi="宋体"/>
                <w:color w:val="auto"/>
              </w:rPr>
              <w:t>□采购人支付。</w:t>
            </w:r>
          </w:p>
          <w:p w14:paraId="5689DB23">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0"/>
              </w:rPr>
            </w:pPr>
            <w:r>
              <w:rPr>
                <w:rFonts w:hint="eastAsia" w:hAnsi="宋体"/>
                <w:color w:val="auto"/>
              </w:rPr>
              <w:t>□本项目不收取代理服务费。</w:t>
            </w:r>
          </w:p>
        </w:tc>
      </w:tr>
      <w:tr w14:paraId="51704A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1"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5091C15F">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333AD19">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rPr>
              <w:t>采购代理费收取标准</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840B008">
            <w:pPr>
              <w:pStyle w:val="9"/>
              <w:snapToGrid w:val="0"/>
              <w:spacing w:line="360" w:lineRule="auto"/>
              <w:rPr>
                <w:rFonts w:hint="eastAsia" w:ascii="宋体" w:hAnsi="宋体" w:eastAsia="宋体" w:cs="宋体"/>
                <w:color w:val="auto"/>
                <w:szCs w:val="20"/>
                <w:u w:val="single"/>
              </w:rPr>
            </w:pPr>
            <w:r>
              <w:rPr>
                <w:rFonts w:hint="eastAsia" w:ascii="宋体" w:hAnsi="宋体" w:eastAsia="宋体" w:cs="宋体"/>
                <w:color w:val="auto"/>
                <w:sz w:val="21"/>
                <w:highlight w:val="none"/>
                <w:lang w:val="en-US" w:eastAsia="zh-CN"/>
              </w:rPr>
              <w:t>委托代理服务费参照《国家发展改革委关于降低部分建设项目收费标准规范收费行为等有关问题的通知》（发改价格〔2011〕534号）及《广西壮族自治区物价局转发国家发展改革委关于降低部分建设项目收费标准规范收费行为等有关问题的通知》（桂价费〔2011〕55号）货物类收费标准</w:t>
            </w:r>
            <w:r>
              <w:rPr>
                <w:rFonts w:hint="eastAsia" w:hAnsi="宋体" w:eastAsia="宋体" w:cs="宋体"/>
                <w:color w:val="auto"/>
                <w:sz w:val="21"/>
                <w:highlight w:val="none"/>
                <w:lang w:val="en-US" w:eastAsia="zh-CN"/>
              </w:rPr>
              <w:t>下浮20%,不足4500元的按4500元</w:t>
            </w:r>
            <w:r>
              <w:rPr>
                <w:rFonts w:hint="eastAsia" w:ascii="宋体" w:hAnsi="宋体" w:eastAsia="宋体" w:cs="宋体"/>
                <w:color w:val="auto"/>
                <w:sz w:val="21"/>
                <w:highlight w:val="none"/>
                <w:lang w:val="en-US" w:eastAsia="zh-CN"/>
              </w:rPr>
              <w:t>收取。由成交供应商在领取通知书前，向代理机构一次性支付。</w:t>
            </w:r>
          </w:p>
        </w:tc>
      </w:tr>
      <w:tr w14:paraId="4B4E95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00AE4B6D">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083242D">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rPr>
              <w:t>代理服务费收款账户信息</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93928B6">
            <w:pPr>
              <w:pStyle w:val="9"/>
              <w:snapToGrid w:val="0"/>
              <w:spacing w:line="360" w:lineRule="auto"/>
              <w:rPr>
                <w:rFonts w:hAnsi="宋体"/>
                <w:color w:val="auto"/>
                <w:szCs w:val="21"/>
              </w:rPr>
            </w:pPr>
            <w:r>
              <w:rPr>
                <w:rFonts w:hint="eastAsia" w:hAnsi="宋体"/>
                <w:color w:val="auto"/>
              </w:rPr>
              <w:t>开户名称：广西景钲工程咨询有限公司</w:t>
            </w:r>
          </w:p>
          <w:p w14:paraId="1377E1C6">
            <w:pPr>
              <w:pStyle w:val="9"/>
              <w:snapToGrid w:val="0"/>
              <w:spacing w:line="360" w:lineRule="auto"/>
              <w:rPr>
                <w:rFonts w:hint="eastAsia" w:hAnsi="宋体"/>
                <w:color w:val="auto"/>
              </w:rPr>
            </w:pPr>
            <w:r>
              <w:rPr>
                <w:rFonts w:hint="eastAsia" w:hAnsi="宋体"/>
                <w:color w:val="auto"/>
              </w:rPr>
              <w:t>开户银行：广西北部湾银行股份有限公司南宁市南湖支行</w:t>
            </w:r>
          </w:p>
          <w:p w14:paraId="5381BDF2">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0"/>
              </w:rPr>
            </w:pPr>
            <w:r>
              <w:rPr>
                <w:rFonts w:hint="eastAsia" w:hAnsi="宋体"/>
                <w:color w:val="auto"/>
              </w:rPr>
              <w:t>银行账号：8051 1380 6600 004</w:t>
            </w:r>
          </w:p>
        </w:tc>
      </w:tr>
      <w:tr w14:paraId="2327EC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1D81D343">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color w:val="auto"/>
                <w:szCs w:val="21"/>
              </w:rPr>
            </w:pPr>
            <w:r>
              <w:rPr>
                <w:rFonts w:hint="eastAsia" w:ascii="宋体" w:hAnsi="宋体" w:eastAsia="宋体" w:cs="宋体"/>
                <w:color w:val="auto"/>
                <w:szCs w:val="21"/>
              </w:rPr>
              <w:t>41.1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D3540E9">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解释</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CB55EB9">
            <w:pPr>
              <w:spacing w:line="360" w:lineRule="auto"/>
              <w:jc w:val="left"/>
              <w:rPr>
                <w:rFonts w:ascii="宋体" w:hAnsi="宋体"/>
                <w:b/>
                <w:bCs/>
                <w:color w:val="auto"/>
                <w:szCs w:val="21"/>
              </w:rPr>
            </w:pPr>
            <w:r>
              <w:rPr>
                <w:rFonts w:hint="eastAsia" w:ascii="宋体" w:hAnsi="宋体"/>
                <w:b/>
                <w:bCs/>
                <w:color w:val="auto"/>
              </w:rPr>
              <w:t>解释权：</w:t>
            </w:r>
            <w:r>
              <w:rPr>
                <w:rFonts w:hint="eastAsia" w:ascii="宋体" w:hAnsi="宋体"/>
                <w:color w:val="auto"/>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b/>
                <w:bCs/>
                <w:color w:val="auto"/>
              </w:rPr>
              <w:t>由采购人或者采购代理机构负责解释。</w:t>
            </w:r>
          </w:p>
          <w:p w14:paraId="72087643">
            <w:pPr>
              <w:spacing w:line="360" w:lineRule="auto"/>
              <w:jc w:val="left"/>
              <w:rPr>
                <w:rFonts w:hint="eastAsia" w:ascii="宋体" w:hAnsi="宋体"/>
                <w:b/>
                <w:bCs/>
                <w:color w:val="auto"/>
              </w:rPr>
            </w:pPr>
            <w:r>
              <w:rPr>
                <w:rFonts w:hint="eastAsia" w:ascii="宋体" w:hAnsi="宋体"/>
                <w:b/>
                <w:bCs/>
                <w:color w:val="auto"/>
              </w:rPr>
              <w:t>法律责任：</w:t>
            </w:r>
          </w:p>
          <w:p w14:paraId="5FDADD05">
            <w:pPr>
              <w:spacing w:line="360" w:lineRule="auto"/>
              <w:jc w:val="left"/>
              <w:rPr>
                <w:rFonts w:hint="eastAsia" w:ascii="宋体" w:hAnsi="宋体"/>
                <w:color w:val="auto"/>
              </w:rPr>
            </w:pPr>
            <w:r>
              <w:rPr>
                <w:rFonts w:hint="eastAsia" w:ascii="宋体" w:hAnsi="宋体"/>
                <w:color w:val="auto"/>
              </w:rPr>
              <w:t>1.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p w14:paraId="25FAE198">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rPr>
            </w:pPr>
            <w:r>
              <w:rPr>
                <w:rFonts w:hint="eastAsia" w:ascii="宋体" w:hAnsi="宋体"/>
                <w:b/>
                <w:bCs/>
                <w:color w:val="auto"/>
              </w:rPr>
              <w:t>2.</w:t>
            </w:r>
            <w:r>
              <w:rPr>
                <w:rFonts w:hint="eastAsia" w:ascii="宋体" w:hAnsi="宋体"/>
                <w:b/>
                <w:bCs/>
                <w:color w:val="auto"/>
                <w:szCs w:val="21"/>
              </w:rPr>
              <w:t>本项目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后果</w:t>
            </w:r>
            <w:r>
              <w:rPr>
                <w:rFonts w:hint="eastAsia" w:ascii="宋体" w:hAnsi="宋体"/>
                <w:b/>
                <w:bCs/>
                <w:color w:val="auto"/>
              </w:rPr>
              <w:t>。</w:t>
            </w:r>
          </w:p>
        </w:tc>
      </w:tr>
      <w:tr w14:paraId="5D61DE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7857EF74">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color w:val="auto"/>
                <w:szCs w:val="21"/>
              </w:rPr>
            </w:pPr>
            <w:r>
              <w:rPr>
                <w:rFonts w:hint="eastAsia" w:ascii="宋体" w:hAnsi="宋体" w:eastAsia="宋体" w:cs="宋体"/>
                <w:color w:val="auto"/>
                <w:szCs w:val="21"/>
              </w:rPr>
              <w:t>41.2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C4FD944">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其他释义</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15CDA2B">
            <w:pPr>
              <w:spacing w:line="360" w:lineRule="auto"/>
              <w:jc w:val="left"/>
              <w:rPr>
                <w:rFonts w:ascii="宋体" w:hAnsi="宋体"/>
                <w:b/>
                <w:bCs/>
                <w:color w:val="auto"/>
                <w:szCs w:val="21"/>
              </w:rPr>
            </w:pPr>
            <w:r>
              <w:rPr>
                <w:rFonts w:hint="eastAsia" w:ascii="宋体" w:hAnsi="宋体"/>
                <w:b/>
                <w:bCs/>
                <w:color w:val="auto"/>
              </w:rPr>
              <w:t>1.本招标文件中描述投标人的“公章”是指根据我国对公章的管理规定，用投标人法定主体行为名称制作的印章（含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1BE41134">
            <w:pPr>
              <w:spacing w:line="360" w:lineRule="auto"/>
              <w:jc w:val="left"/>
              <w:rPr>
                <w:rFonts w:hint="eastAsia" w:ascii="宋体" w:hAnsi="宋体"/>
                <w:b/>
                <w:bCs/>
                <w:color w:val="auto"/>
              </w:rPr>
            </w:pPr>
            <w:r>
              <w:rPr>
                <w:rFonts w:hint="eastAsia" w:ascii="宋体" w:hAnsi="宋体"/>
                <w:b/>
                <w:bCs/>
                <w:color w:val="auto"/>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038E2FB9">
            <w:pPr>
              <w:spacing w:line="360" w:lineRule="auto"/>
              <w:jc w:val="left"/>
              <w:rPr>
                <w:rFonts w:hint="eastAsia" w:ascii="宋体" w:hAnsi="宋体"/>
                <w:b/>
                <w:bCs/>
                <w:color w:val="auto"/>
              </w:rPr>
            </w:pPr>
            <w:r>
              <w:rPr>
                <w:rFonts w:hint="eastAsia" w:ascii="宋体" w:hAnsi="宋体"/>
                <w:b/>
                <w:bCs/>
                <w:color w:val="auto"/>
              </w:rPr>
              <w:t>3.本招标文件中描述投标人的“签字”是指投标人的法定代表人或者委托代理人亲自在文件规定签署处亲笔写上个人的名字的行为（含投标人通过指定电子化政府采购平台办理数字证书（CA认证）获得的以投标人法定代表人或者委托代理人姓名制作的电子印章或手写签字），私章、签字章、印鉴、影印等其他形式均不能代替亲笔签字。</w:t>
            </w:r>
          </w:p>
          <w:p w14:paraId="48983CE2">
            <w:pPr>
              <w:spacing w:line="360" w:lineRule="auto"/>
              <w:jc w:val="left"/>
              <w:rPr>
                <w:rFonts w:hint="eastAsia" w:ascii="宋体" w:hAnsi="宋体"/>
                <w:b/>
                <w:bCs/>
                <w:color w:val="auto"/>
              </w:rPr>
            </w:pPr>
            <w:r>
              <w:rPr>
                <w:rFonts w:hint="eastAsia" w:ascii="宋体" w:hAnsi="宋体"/>
                <w:b/>
                <w:bCs/>
                <w:color w:val="auto"/>
              </w:rPr>
              <w:t>4.自然人投标的，招标文件规定盖公章处由自然人摁手指指印。</w:t>
            </w:r>
          </w:p>
          <w:p w14:paraId="1F7DCEED">
            <w:pPr>
              <w:pageBreakBefore w:val="0"/>
              <w:kinsoku/>
              <w:wordWrap/>
              <w:overflowPunct/>
              <w:topLinePunct w:val="0"/>
              <w:bidi w:val="0"/>
              <w:spacing w:beforeAutospacing="0" w:line="360" w:lineRule="auto"/>
              <w:ind w:left="0" w:leftChars="0" w:right="0"/>
              <w:jc w:val="left"/>
              <w:rPr>
                <w:rFonts w:hint="eastAsia" w:ascii="宋体" w:hAnsi="宋体" w:eastAsia="宋体" w:cs="宋体"/>
                <w:color w:val="auto"/>
                <w:szCs w:val="21"/>
              </w:rPr>
            </w:pPr>
            <w:r>
              <w:rPr>
                <w:rFonts w:hint="eastAsia" w:ascii="宋体" w:hAnsi="宋体"/>
                <w:b/>
                <w:bCs/>
                <w:color w:val="auto"/>
              </w:rPr>
              <w:t>5.本招标文件所称的“以上”“以下”“以内”“届满”，包括本数；所称的“不满”“超过”“以外”，不包括本数。</w:t>
            </w:r>
          </w:p>
        </w:tc>
      </w:tr>
    </w:tbl>
    <w:p w14:paraId="45671C82">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b/>
          <w:bCs/>
          <w:color w:val="auto"/>
          <w:sz w:val="32"/>
          <w:szCs w:val="32"/>
        </w:rPr>
        <w:sectPr>
          <w:pgSz w:w="11906" w:h="16838"/>
          <w:pgMar w:top="1134" w:right="1134" w:bottom="1134" w:left="1134" w:header="720" w:footer="720" w:gutter="0"/>
          <w:cols w:space="720" w:num="1"/>
          <w:docGrid w:type="lines" w:linePitch="331" w:charSpace="0"/>
        </w:sectPr>
      </w:pPr>
    </w:p>
    <w:p w14:paraId="6D713F29">
      <w:pPr>
        <w:keepNext/>
        <w:keepLines/>
        <w:pageBreakBefore w:val="0"/>
        <w:kinsoku/>
        <w:wordWrap/>
        <w:overflowPunct/>
        <w:topLinePunct w:val="0"/>
        <w:bidi w:val="0"/>
        <w:spacing w:beforeAutospacing="0" w:line="360" w:lineRule="auto"/>
        <w:ind w:left="0" w:leftChars="0" w:right="0"/>
        <w:jc w:val="center"/>
        <w:outlineLvl w:val="1"/>
        <w:rPr>
          <w:rFonts w:hint="eastAsia" w:ascii="宋体" w:hAnsi="宋体" w:eastAsia="宋体" w:cs="宋体"/>
          <w:b/>
          <w:bCs/>
          <w:color w:val="auto"/>
          <w:sz w:val="32"/>
          <w:szCs w:val="32"/>
        </w:rPr>
      </w:pPr>
      <w:bookmarkStart w:id="71" w:name="_Toc18585"/>
      <w:r>
        <w:rPr>
          <w:rFonts w:hint="eastAsia" w:ascii="宋体" w:hAnsi="宋体" w:eastAsia="宋体" w:cs="宋体"/>
          <w:b/>
          <w:bCs/>
          <w:color w:val="auto"/>
          <w:sz w:val="32"/>
          <w:szCs w:val="32"/>
        </w:rPr>
        <w:t>第二节 投标人须知正文</w:t>
      </w:r>
      <w:bookmarkEnd w:id="71"/>
    </w:p>
    <w:p w14:paraId="04D65B93">
      <w:pPr>
        <w:pageBreakBefore w:val="0"/>
        <w:kinsoku/>
        <w:wordWrap/>
        <w:overflowPunct/>
        <w:topLinePunct w:val="0"/>
        <w:bidi w:val="0"/>
        <w:spacing w:beforeAutospacing="0" w:line="360" w:lineRule="auto"/>
        <w:ind w:left="0" w:leftChars="0" w:right="0" w:firstLine="643" w:firstLineChars="200"/>
        <w:jc w:val="center"/>
        <w:outlineLvl w:val="2"/>
        <w:rPr>
          <w:rFonts w:hint="eastAsia" w:ascii="宋体" w:hAnsi="宋体" w:eastAsia="宋体" w:cs="宋体"/>
          <w:b/>
          <w:bCs/>
          <w:color w:val="auto"/>
          <w:sz w:val="32"/>
          <w:szCs w:val="32"/>
        </w:rPr>
      </w:pPr>
      <w:bookmarkStart w:id="72" w:name="_Toc26576"/>
      <w:r>
        <w:rPr>
          <w:rFonts w:hint="eastAsia" w:ascii="宋体" w:hAnsi="宋体" w:eastAsia="宋体" w:cs="宋体"/>
          <w:b/>
          <w:bCs/>
          <w:color w:val="auto"/>
          <w:sz w:val="32"/>
          <w:szCs w:val="32"/>
        </w:rPr>
        <w:t>一、总  则</w:t>
      </w:r>
      <w:bookmarkEnd w:id="72"/>
    </w:p>
    <w:p w14:paraId="2A340A84">
      <w:pPr>
        <w:spacing w:line="360" w:lineRule="auto"/>
        <w:ind w:firstLine="480" w:firstLineChars="200"/>
        <w:rPr>
          <w:rFonts w:ascii="黑体" w:hAnsi="黑体" w:eastAsia="黑体"/>
          <w:color w:val="auto"/>
          <w:sz w:val="24"/>
        </w:rPr>
      </w:pPr>
      <w:bookmarkStart w:id="73" w:name="_Toc254970668"/>
      <w:r>
        <w:rPr>
          <w:rFonts w:hint="eastAsia" w:ascii="黑体" w:hAnsi="黑体" w:eastAsia="黑体"/>
          <w:color w:val="auto"/>
          <w:sz w:val="24"/>
        </w:rPr>
        <w:t>1.适用范围</w:t>
      </w:r>
      <w:bookmarkEnd w:id="73"/>
    </w:p>
    <w:p w14:paraId="1E94535B">
      <w:pPr>
        <w:spacing w:line="360" w:lineRule="auto"/>
        <w:ind w:firstLine="420" w:firstLineChars="200"/>
        <w:rPr>
          <w:rFonts w:hint="eastAsia" w:ascii="宋体" w:hAnsi="宋体"/>
          <w:color w:val="auto"/>
          <w:szCs w:val="21"/>
        </w:rPr>
      </w:pPr>
      <w:r>
        <w:rPr>
          <w:rFonts w:hint="eastAsia" w:ascii="宋体" w:hAnsi="宋体"/>
          <w:color w:val="auto"/>
        </w:rPr>
        <w:t>1.1适用法律：本项目采购人、采购代理机构、投标人、评标委员会的相关行为均受《中华人民共和国政府采购法》、《中华人民共和国政府采购法实施条例》、《政府采购货物和货物招标投标管理办法》及本项目本级和上级财政部门政府采购有关规定的约束和保护。</w:t>
      </w:r>
    </w:p>
    <w:p w14:paraId="469213C7">
      <w:pPr>
        <w:spacing w:line="360" w:lineRule="auto"/>
        <w:ind w:firstLine="420" w:firstLineChars="200"/>
        <w:rPr>
          <w:rFonts w:hint="eastAsia" w:ascii="宋体" w:hAnsi="宋体"/>
          <w:color w:val="auto"/>
        </w:rPr>
      </w:pPr>
      <w:r>
        <w:rPr>
          <w:rFonts w:hint="eastAsia" w:ascii="宋体" w:hAnsi="宋体"/>
          <w:color w:val="auto"/>
        </w:rPr>
        <w:t>1.2本招标文件</w:t>
      </w:r>
      <w:r>
        <w:rPr>
          <w:rFonts w:hint="eastAsia" w:ascii="宋体" w:hAnsi="宋体"/>
          <w:color w:val="auto"/>
          <w:spacing w:val="-6"/>
        </w:rPr>
        <w:t>适用于本项目的所有采购程序和环节（法律、法规另有规定的，从其规定）。</w:t>
      </w:r>
    </w:p>
    <w:p w14:paraId="4B269A85">
      <w:pPr>
        <w:spacing w:line="360" w:lineRule="auto"/>
        <w:ind w:firstLine="480" w:firstLineChars="200"/>
        <w:rPr>
          <w:rFonts w:hint="eastAsia" w:ascii="黑体" w:hAnsi="黑体" w:eastAsia="黑体"/>
          <w:color w:val="auto"/>
          <w:sz w:val="24"/>
        </w:rPr>
      </w:pPr>
      <w:bookmarkStart w:id="74" w:name="_Toc254970669"/>
      <w:bookmarkEnd w:id="74"/>
      <w:bookmarkStart w:id="75" w:name="_Toc254970528"/>
      <w:r>
        <w:rPr>
          <w:rFonts w:hint="eastAsia" w:ascii="黑体" w:hAnsi="黑体" w:eastAsia="黑体"/>
          <w:color w:val="auto"/>
          <w:sz w:val="24"/>
        </w:rPr>
        <w:t>2.定义</w:t>
      </w:r>
      <w:bookmarkEnd w:id="75"/>
    </w:p>
    <w:p w14:paraId="3D4EBA50">
      <w:pPr>
        <w:spacing w:line="360" w:lineRule="auto"/>
        <w:ind w:firstLine="422" w:firstLineChars="200"/>
        <w:rPr>
          <w:rFonts w:hint="eastAsia" w:ascii="宋体" w:hAnsi="宋体"/>
          <w:b/>
          <w:color w:val="auto"/>
          <w:szCs w:val="21"/>
        </w:rPr>
      </w:pPr>
      <w:r>
        <w:rPr>
          <w:rFonts w:hint="eastAsia" w:ascii="宋体" w:hAnsi="宋体"/>
          <w:b/>
          <w:color w:val="auto"/>
        </w:rPr>
        <w:t>2.1“采购人”是指依法进行政府采购的国家机关、事业单位、团体组织。</w:t>
      </w:r>
    </w:p>
    <w:p w14:paraId="540EC0C6">
      <w:pPr>
        <w:spacing w:line="360" w:lineRule="auto"/>
        <w:ind w:firstLine="422" w:firstLineChars="200"/>
        <w:rPr>
          <w:rFonts w:hint="eastAsia" w:ascii="宋体" w:hAnsi="宋体"/>
          <w:b/>
          <w:color w:val="auto"/>
        </w:rPr>
      </w:pPr>
      <w:r>
        <w:rPr>
          <w:rFonts w:hint="eastAsia" w:ascii="宋体" w:hAnsi="宋体"/>
          <w:b/>
          <w:color w:val="auto"/>
        </w:rPr>
        <w:t>2.2“采购代理机构” 指政府采购集中采购机构和集中采购机构以外的采购代理机构。</w:t>
      </w:r>
    </w:p>
    <w:p w14:paraId="1A23F472">
      <w:pPr>
        <w:spacing w:line="360" w:lineRule="auto"/>
        <w:ind w:firstLine="422" w:firstLineChars="200"/>
        <w:rPr>
          <w:rFonts w:hint="eastAsia" w:ascii="宋体" w:hAnsi="宋体"/>
          <w:b/>
          <w:color w:val="auto"/>
        </w:rPr>
      </w:pPr>
      <w:r>
        <w:rPr>
          <w:rFonts w:hint="eastAsia" w:ascii="宋体" w:hAnsi="宋体"/>
          <w:b/>
          <w:color w:val="auto"/>
        </w:rPr>
        <w:t>2.3“供应商”是指向采购人提供货物、工程或者服务的法人、其他组织或者自然人。</w:t>
      </w:r>
    </w:p>
    <w:p w14:paraId="4D750D02">
      <w:pPr>
        <w:spacing w:line="360" w:lineRule="auto"/>
        <w:ind w:firstLine="420" w:firstLineChars="200"/>
        <w:rPr>
          <w:rFonts w:hint="eastAsia" w:ascii="宋体" w:hAnsi="宋体"/>
          <w:color w:val="auto"/>
        </w:rPr>
      </w:pPr>
      <w:r>
        <w:rPr>
          <w:rFonts w:hint="eastAsia" w:ascii="宋体" w:hAnsi="宋体"/>
          <w:color w:val="auto"/>
        </w:rPr>
        <w:t>2.4“投标人”是指响应招标、参加投标竞争的法人、非法人组织或者自然人。</w:t>
      </w:r>
    </w:p>
    <w:p w14:paraId="3CA04DAA">
      <w:pPr>
        <w:spacing w:line="360" w:lineRule="auto"/>
        <w:ind w:firstLine="422" w:firstLineChars="200"/>
        <w:rPr>
          <w:rFonts w:hint="eastAsia" w:ascii="宋体" w:hAnsi="宋体"/>
          <w:b/>
          <w:color w:val="auto"/>
        </w:rPr>
      </w:pPr>
      <w:r>
        <w:rPr>
          <w:rFonts w:hint="eastAsia" w:ascii="宋体" w:hAnsi="宋体"/>
          <w:b/>
          <w:color w:val="auto"/>
        </w:rPr>
        <w:t>2.5“货物”是指各种形态和种类的物品，包括原材料、燃料、设备、产品等。</w:t>
      </w:r>
    </w:p>
    <w:p w14:paraId="7FE6C460">
      <w:pPr>
        <w:pStyle w:val="4"/>
        <w:keepLines w:val="0"/>
        <w:spacing w:before="0" w:after="0" w:line="360" w:lineRule="auto"/>
        <w:ind w:firstLine="420" w:firstLineChars="200"/>
        <w:rPr>
          <w:rFonts w:hint="eastAsia" w:ascii="宋体" w:hAnsi="宋体"/>
          <w:b w:val="0"/>
          <w:color w:val="auto"/>
          <w:sz w:val="21"/>
          <w:szCs w:val="21"/>
        </w:rPr>
      </w:pPr>
      <w:r>
        <w:rPr>
          <w:rFonts w:hint="eastAsia" w:ascii="宋体" w:hAnsi="宋体"/>
          <w:b w:val="0"/>
          <w:color w:val="auto"/>
          <w:sz w:val="21"/>
          <w:szCs w:val="21"/>
        </w:rPr>
        <w:t>2.6“售后服务” 是指商品出售以后所提供的各种服务，包含但不限于投标人须承担的备品备件、包装、运输、装卸、保险、货到就位以及安装、调试、培训、保修以及其他各种服务。</w:t>
      </w:r>
    </w:p>
    <w:p w14:paraId="54314237">
      <w:pPr>
        <w:pStyle w:val="4"/>
        <w:keepLines w:val="0"/>
        <w:spacing w:before="0" w:after="0" w:line="360" w:lineRule="auto"/>
        <w:rPr>
          <w:rFonts w:hint="eastAsia" w:ascii="宋体" w:hAnsi="宋体"/>
          <w:b w:val="0"/>
          <w:color w:val="auto"/>
          <w:sz w:val="21"/>
          <w:szCs w:val="21"/>
        </w:rPr>
      </w:pPr>
      <w:r>
        <w:rPr>
          <w:rFonts w:hint="eastAsia" w:ascii="宋体" w:hAnsi="宋体"/>
          <w:b w:val="0"/>
          <w:color w:val="auto"/>
          <w:sz w:val="21"/>
          <w:szCs w:val="21"/>
        </w:rPr>
        <w:t xml:space="preserve">    2.7“书面形式”是指合同书、信件和数据电文（包括电报、电传、传真、电子数据交换和电子邮件）等可以有形地表现所载内容的形式。</w:t>
      </w:r>
    </w:p>
    <w:p w14:paraId="011B07C7">
      <w:pPr>
        <w:pStyle w:val="4"/>
        <w:keepLines w:val="0"/>
        <w:spacing w:before="0" w:after="0" w:line="360" w:lineRule="auto"/>
        <w:ind w:firstLine="420" w:firstLineChars="200"/>
        <w:rPr>
          <w:rFonts w:hint="eastAsia" w:ascii="宋体" w:hAnsi="宋体"/>
          <w:b w:val="0"/>
          <w:color w:val="auto"/>
          <w:sz w:val="21"/>
          <w:szCs w:val="21"/>
        </w:rPr>
      </w:pPr>
      <w:r>
        <w:rPr>
          <w:rFonts w:hint="eastAsia" w:ascii="宋体" w:hAnsi="宋体"/>
          <w:b w:val="0"/>
          <w:color w:val="auto"/>
          <w:sz w:val="21"/>
          <w:szCs w:val="21"/>
        </w:rPr>
        <w:t>2.8“实质性要求”是指招标文件中已经指明不满足则投标无效的条款，或者不能负偏离的条款，或者采购需求中带“▲”的条款。</w:t>
      </w:r>
    </w:p>
    <w:p w14:paraId="48F7ADA8">
      <w:pPr>
        <w:snapToGrid w:val="0"/>
        <w:spacing w:line="360" w:lineRule="auto"/>
        <w:ind w:firstLine="420" w:firstLineChars="200"/>
        <w:jc w:val="left"/>
        <w:rPr>
          <w:rFonts w:hint="eastAsia" w:ascii="宋体" w:hAnsi="宋体"/>
          <w:color w:val="auto"/>
          <w:szCs w:val="21"/>
        </w:rPr>
      </w:pPr>
      <w:r>
        <w:rPr>
          <w:rFonts w:hint="eastAsia" w:ascii="宋体" w:hAnsi="宋体"/>
          <w:color w:val="auto"/>
        </w:rPr>
        <w:t>2.9 “正偏离”，是指投标文件对招标文件“采购需求”中有关条款作出的响应优于条款要求并有利于采购人的情形。</w:t>
      </w:r>
    </w:p>
    <w:p w14:paraId="290F917D">
      <w:pPr>
        <w:snapToGrid w:val="0"/>
        <w:spacing w:line="360" w:lineRule="auto"/>
        <w:ind w:firstLine="420" w:firstLineChars="200"/>
        <w:jc w:val="left"/>
        <w:rPr>
          <w:rFonts w:hint="eastAsia" w:ascii="宋体" w:hAnsi="宋体"/>
          <w:color w:val="auto"/>
        </w:rPr>
      </w:pPr>
      <w:r>
        <w:rPr>
          <w:rFonts w:hint="eastAsia" w:ascii="宋体" w:hAnsi="宋体"/>
          <w:color w:val="auto"/>
        </w:rPr>
        <w:t>2.10“负偏离”，是指投标文件对招标文件“采购需求”中有关条款作出的响应不满足条款要求，导致采购人要求不能得到满足的情形。</w:t>
      </w:r>
    </w:p>
    <w:p w14:paraId="560A97EB">
      <w:pPr>
        <w:snapToGrid w:val="0"/>
        <w:spacing w:line="360" w:lineRule="auto"/>
        <w:ind w:firstLine="420" w:firstLineChars="200"/>
        <w:jc w:val="left"/>
        <w:rPr>
          <w:rFonts w:hint="eastAsia" w:ascii="宋体" w:hAnsi="宋体"/>
          <w:color w:val="auto"/>
        </w:rPr>
      </w:pPr>
      <w:r>
        <w:rPr>
          <w:rFonts w:hint="eastAsia" w:ascii="宋体" w:hAnsi="宋体"/>
          <w:color w:val="auto"/>
        </w:rPr>
        <w:t>2.11“允许负偏离的条款”是指采购需求中的不属于“实质性要求”的条款。</w:t>
      </w:r>
    </w:p>
    <w:p w14:paraId="5545403B">
      <w:pPr>
        <w:spacing w:line="360" w:lineRule="auto"/>
        <w:ind w:firstLine="480" w:firstLineChars="200"/>
        <w:rPr>
          <w:rFonts w:hint="eastAsia" w:ascii="黑体" w:hAnsi="黑体" w:eastAsia="黑体"/>
          <w:color w:val="auto"/>
          <w:sz w:val="24"/>
        </w:rPr>
      </w:pPr>
      <w:bookmarkStart w:id="76" w:name="_Toc254970529"/>
      <w:bookmarkEnd w:id="76"/>
      <w:bookmarkStart w:id="77" w:name="_Toc254970670"/>
      <w:r>
        <w:rPr>
          <w:rFonts w:hint="eastAsia" w:ascii="黑体" w:hAnsi="黑体" w:eastAsia="黑体"/>
          <w:color w:val="auto"/>
          <w:sz w:val="24"/>
        </w:rPr>
        <w:t>3.</w:t>
      </w:r>
      <w:bookmarkEnd w:id="77"/>
      <w:r>
        <w:rPr>
          <w:rFonts w:hint="eastAsia" w:ascii="黑体" w:hAnsi="黑体" w:eastAsia="黑体"/>
          <w:color w:val="auto"/>
          <w:sz w:val="24"/>
        </w:rPr>
        <w:t>投标人的资格要求</w:t>
      </w:r>
    </w:p>
    <w:p w14:paraId="058BA287">
      <w:pPr>
        <w:spacing w:line="360" w:lineRule="auto"/>
        <w:ind w:firstLine="420" w:firstLineChars="200"/>
        <w:rPr>
          <w:rFonts w:hint="eastAsia" w:ascii="宋体" w:hAnsi="宋体"/>
          <w:color w:val="auto"/>
          <w:szCs w:val="21"/>
        </w:rPr>
      </w:pPr>
      <w:r>
        <w:rPr>
          <w:rFonts w:hint="eastAsia" w:ascii="宋体" w:hAnsi="宋体"/>
          <w:color w:val="auto"/>
        </w:rPr>
        <w:t>投标人的资格要求详见“招标公告”。</w:t>
      </w:r>
    </w:p>
    <w:p w14:paraId="0E859698">
      <w:pPr>
        <w:spacing w:line="360" w:lineRule="auto"/>
        <w:ind w:firstLine="480" w:firstLineChars="200"/>
        <w:rPr>
          <w:rFonts w:hint="eastAsia" w:ascii="黑体" w:hAnsi="黑体" w:eastAsia="黑体"/>
          <w:color w:val="auto"/>
          <w:sz w:val="24"/>
        </w:rPr>
      </w:pPr>
      <w:bookmarkStart w:id="78" w:name="_Toc254970530"/>
      <w:bookmarkEnd w:id="78"/>
      <w:bookmarkStart w:id="79" w:name="_Toc254970671"/>
      <w:r>
        <w:rPr>
          <w:rFonts w:hint="eastAsia" w:ascii="黑体" w:hAnsi="黑体" w:eastAsia="黑体"/>
          <w:color w:val="auto"/>
          <w:sz w:val="24"/>
        </w:rPr>
        <w:t>4.投标委托</w:t>
      </w:r>
      <w:bookmarkEnd w:id="79"/>
    </w:p>
    <w:p w14:paraId="6C2ED39B">
      <w:pPr>
        <w:spacing w:line="360" w:lineRule="auto"/>
        <w:ind w:firstLine="420" w:firstLineChars="200"/>
        <w:rPr>
          <w:rFonts w:hint="eastAsia" w:ascii="宋体" w:hAnsi="宋体"/>
          <w:color w:val="auto"/>
          <w:szCs w:val="21"/>
        </w:rPr>
      </w:pPr>
      <w:r>
        <w:rPr>
          <w:rFonts w:hint="eastAsia" w:ascii="宋体" w:hAnsi="宋体"/>
          <w:color w:val="auto"/>
        </w:rPr>
        <w:t>投标人代表参加投标活动过程中必须携带个人有效身份证件。如投标人代表不是法定代表人，须持有法定代表人授权委托书（正本用原件，副本用复印件，按第六章要求格式填写）。</w:t>
      </w:r>
    </w:p>
    <w:p w14:paraId="1C13A51A">
      <w:pPr>
        <w:spacing w:line="360" w:lineRule="auto"/>
        <w:ind w:firstLine="480" w:firstLineChars="200"/>
        <w:rPr>
          <w:rFonts w:hint="eastAsia" w:ascii="黑体" w:hAnsi="黑体" w:eastAsia="黑体"/>
          <w:color w:val="auto"/>
          <w:sz w:val="24"/>
        </w:rPr>
      </w:pPr>
      <w:bookmarkStart w:id="80" w:name="_5.投标费用"/>
      <w:bookmarkEnd w:id="80"/>
      <w:bookmarkStart w:id="81" w:name="_Toc254970672"/>
      <w:bookmarkEnd w:id="81"/>
      <w:bookmarkStart w:id="82" w:name="_Toc254970531"/>
      <w:r>
        <w:rPr>
          <w:rFonts w:hint="eastAsia" w:ascii="黑体" w:hAnsi="黑体" w:eastAsia="黑体"/>
          <w:color w:val="auto"/>
          <w:sz w:val="24"/>
        </w:rPr>
        <w:t>5.投标费用</w:t>
      </w:r>
      <w:bookmarkEnd w:id="82"/>
    </w:p>
    <w:p w14:paraId="475193E5">
      <w:pPr>
        <w:spacing w:line="360" w:lineRule="auto"/>
        <w:ind w:firstLine="420" w:firstLineChars="200"/>
        <w:rPr>
          <w:rFonts w:hint="eastAsia" w:ascii="宋体" w:hAnsi="宋体"/>
          <w:color w:val="auto"/>
          <w:szCs w:val="21"/>
        </w:rPr>
      </w:pPr>
      <w:r>
        <w:rPr>
          <w:rFonts w:hint="eastAsia" w:ascii="宋体" w:hAnsi="宋体"/>
          <w:color w:val="auto"/>
        </w:rPr>
        <w:t>投标费用：投标人应承担参与本次采购活动有关的所有费用，包括但不限于勘查现场、编制投标文件、参加澄清说明、签订合同等，不论投标结果如何，均应自行承担。</w:t>
      </w:r>
    </w:p>
    <w:p w14:paraId="29A51AFC">
      <w:pP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6.联合体投标</w:t>
      </w:r>
    </w:p>
    <w:p w14:paraId="4A680899">
      <w:pPr>
        <w:spacing w:line="360" w:lineRule="auto"/>
        <w:ind w:firstLine="420" w:firstLineChars="200"/>
        <w:rPr>
          <w:rFonts w:hint="eastAsia" w:ascii="宋体" w:hAnsi="宋体"/>
          <w:bCs/>
          <w:color w:val="auto"/>
          <w:szCs w:val="21"/>
        </w:rPr>
      </w:pPr>
      <w:r>
        <w:rPr>
          <w:rFonts w:hint="eastAsia" w:ascii="宋体" w:hAnsi="宋体"/>
          <w:bCs/>
          <w:color w:val="auto"/>
        </w:rPr>
        <w:t>6.1本项目是否接受联合体投标，详见“投标人须知前附表”。</w:t>
      </w:r>
    </w:p>
    <w:p w14:paraId="171CDCF1">
      <w:pPr>
        <w:spacing w:line="360" w:lineRule="auto"/>
        <w:ind w:firstLine="420" w:firstLineChars="200"/>
        <w:rPr>
          <w:rFonts w:hint="eastAsia" w:ascii="宋体" w:hAnsi="宋体"/>
          <w:bCs/>
          <w:color w:val="auto"/>
        </w:rPr>
      </w:pPr>
      <w:r>
        <w:rPr>
          <w:rFonts w:hint="eastAsia" w:ascii="宋体" w:hAnsi="宋体"/>
          <w:bCs/>
          <w:color w:val="auto"/>
        </w:rPr>
        <w:t>6.2如接受联合体投标，联合体投标要求详见“投标人须知前附表”。</w:t>
      </w:r>
    </w:p>
    <w:p w14:paraId="7675831F">
      <w:pPr>
        <w:spacing w:line="360" w:lineRule="auto"/>
        <w:ind w:firstLine="420" w:firstLineChars="200"/>
        <w:rPr>
          <w:rFonts w:hint="eastAsia" w:ascii="宋体" w:hAnsi="宋体"/>
          <w:bCs/>
          <w:color w:val="auto"/>
          <w:sz w:val="24"/>
          <w:shd w:val="clear" w:color="auto" w:fill="FFFFFF"/>
        </w:rPr>
      </w:pPr>
      <w:r>
        <w:rPr>
          <w:rFonts w:hint="eastAsia" w:ascii="宋体" w:hAnsi="宋体"/>
          <w:bCs/>
          <w:color w:val="auto"/>
        </w:rPr>
        <w:t>6.3根据《政府采购促进中小企业发展管理办法》（财库[2020]46号）第九条、《广西壮族自治区财政厅关于进一步发挥政府采购政策功能促进企业发展的通知》（桂财采〔2022〕30号）、及《广西壮族自治区财政厅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30%以上的，采购人、采购代理机构应当对联合体的报价给予4%-6%（工程项目为 1%—2%）的扣除，用扣除后的价格参加评审。组成联合体的小微企业与联合体内其他企业、分包企业之间存在直接控股、管理关系的，不享受价格扣除优惠政策。</w:t>
      </w:r>
    </w:p>
    <w:p w14:paraId="6DA37C82">
      <w:pP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 xml:space="preserve">7.转包与分包             </w:t>
      </w:r>
    </w:p>
    <w:p w14:paraId="3EEE44AB">
      <w:pPr>
        <w:spacing w:line="360" w:lineRule="auto"/>
        <w:ind w:firstLine="422" w:firstLineChars="200"/>
        <w:rPr>
          <w:rFonts w:hint="eastAsia" w:ascii="宋体" w:hAnsi="宋体"/>
          <w:b/>
          <w:color w:val="auto"/>
          <w:szCs w:val="21"/>
        </w:rPr>
      </w:pPr>
      <w:r>
        <w:rPr>
          <w:rFonts w:hint="eastAsia" w:ascii="宋体" w:hAnsi="宋体"/>
          <w:b/>
          <w:color w:val="auto"/>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724B44B5">
      <w:pPr>
        <w:spacing w:line="360" w:lineRule="auto"/>
        <w:ind w:firstLine="420" w:firstLineChars="200"/>
        <w:rPr>
          <w:rFonts w:hint="eastAsia" w:ascii="宋体" w:hAnsi="宋体"/>
          <w:bCs/>
          <w:color w:val="auto"/>
        </w:rPr>
      </w:pPr>
      <w:r>
        <w:rPr>
          <w:rFonts w:hint="eastAsia" w:ascii="宋体" w:hAnsi="宋体"/>
          <w:bCs/>
          <w:color w:val="auto"/>
        </w:rPr>
        <w:t>7.2根据《政府采购促进中小企业发展管理办法》（财库[2020]46号）第九条及《广西壮族自治区财政厅关于进一步发挥政府采购政策功能促进企业发展的通知》（桂财采〔2022〕30号）、</w:t>
      </w:r>
      <w:r>
        <w:rPr>
          <w:rFonts w:hint="eastAsia" w:ascii="宋体" w:hAnsi="宋体"/>
          <w:color w:val="auto"/>
        </w:rPr>
        <w:t>《广西壮族自治区财政厅关于贯彻落实政府采购支持中小企业发展政策的通知》（桂财采〔</w:t>
      </w:r>
      <w:r>
        <w:rPr>
          <w:rFonts w:hint="eastAsia"/>
          <w:color w:val="auto"/>
        </w:rPr>
        <w:t>2022</w:t>
      </w:r>
      <w:r>
        <w:rPr>
          <w:rFonts w:hint="eastAsia" w:ascii="宋体" w:hAnsi="宋体"/>
          <w:color w:val="auto"/>
        </w:rPr>
        <w:t>〕</w:t>
      </w:r>
      <w:r>
        <w:rPr>
          <w:rFonts w:hint="eastAsia"/>
          <w:color w:val="auto"/>
        </w:rPr>
        <w:t>31</w:t>
      </w:r>
      <w:r>
        <w:rPr>
          <w:rFonts w:hint="eastAsia" w:ascii="宋体" w:hAnsi="宋体"/>
          <w:color w:val="auto"/>
        </w:rPr>
        <w:t>号）</w:t>
      </w:r>
      <w:r>
        <w:rPr>
          <w:rFonts w:hint="eastAsia" w:ascii="宋体" w:hAnsi="宋体"/>
          <w:bCs/>
          <w:color w:val="auto"/>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3429F8A6">
      <w:pPr>
        <w:spacing w:line="360" w:lineRule="auto"/>
        <w:ind w:firstLine="480" w:firstLineChars="200"/>
        <w:rPr>
          <w:rFonts w:hint="eastAsia" w:ascii="黑体" w:hAnsi="黑体" w:eastAsia="黑体"/>
          <w:color w:val="auto"/>
          <w:sz w:val="24"/>
        </w:rPr>
      </w:pPr>
      <w:bookmarkStart w:id="83" w:name="_Toc254970532"/>
      <w:bookmarkEnd w:id="83"/>
      <w:bookmarkStart w:id="84" w:name="_Toc254970673"/>
      <w:r>
        <w:rPr>
          <w:rFonts w:hint="eastAsia" w:ascii="黑体" w:hAnsi="黑体" w:eastAsia="黑体"/>
          <w:color w:val="auto"/>
          <w:sz w:val="24"/>
        </w:rPr>
        <w:t>8.特别说明：</w:t>
      </w:r>
      <w:bookmarkEnd w:id="84"/>
      <w:bookmarkStart w:id="85" w:name="_8.1提供相同品牌产品且通过资格审查、符合性审查的不同投标人参加同一合"/>
      <w:bookmarkEnd w:id="85"/>
    </w:p>
    <w:p w14:paraId="10BC0FD1">
      <w:pPr>
        <w:spacing w:line="360" w:lineRule="auto"/>
        <w:ind w:firstLine="422" w:firstLineChars="200"/>
        <w:rPr>
          <w:rFonts w:hint="eastAsia" w:ascii="宋体" w:hAnsi="宋体"/>
          <w:b/>
          <w:color w:val="auto"/>
          <w:szCs w:val="21"/>
        </w:rPr>
      </w:pPr>
      <w:r>
        <w:rPr>
          <w:rFonts w:hint="eastAsia" w:ascii="宋体" w:hAnsi="宋体"/>
          <w:b/>
          <w:color w:val="auto"/>
        </w:rPr>
        <w:t>8.1如果本招标文件要求投标人提供资格、信誉、荣誉、业绩与企业认证等材料的，则投标人所提供的以上材料必须为投标人所拥有。</w:t>
      </w:r>
    </w:p>
    <w:p w14:paraId="69AD9700">
      <w:pPr>
        <w:spacing w:line="360" w:lineRule="auto"/>
        <w:ind w:firstLine="422" w:firstLineChars="200"/>
        <w:rPr>
          <w:rFonts w:hint="eastAsia" w:ascii="宋体" w:hAnsi="宋体"/>
          <w:b/>
          <w:color w:val="auto"/>
        </w:rPr>
      </w:pPr>
      <w:r>
        <w:rPr>
          <w:rFonts w:hint="eastAsia" w:ascii="宋体" w:hAnsi="宋体"/>
          <w:b/>
          <w:color w:val="auto"/>
        </w:rPr>
        <w:t>8.2投标人应仔细阅读招标文件的所有内容，按照招标文件的要求提交投标文件，并对所提供的全部资料的真实性承担法律责任。</w:t>
      </w:r>
    </w:p>
    <w:p w14:paraId="292EA160">
      <w:pPr>
        <w:spacing w:line="360" w:lineRule="auto"/>
        <w:ind w:firstLine="422" w:firstLineChars="200"/>
        <w:rPr>
          <w:rFonts w:hint="eastAsia" w:ascii="宋体" w:hAnsi="宋体"/>
          <w:b/>
          <w:color w:val="auto"/>
        </w:rPr>
      </w:pPr>
      <w:r>
        <w:rPr>
          <w:rFonts w:hint="eastAsia" w:ascii="宋体" w:hAnsi="宋体"/>
          <w:b/>
          <w:color w:val="auto"/>
        </w:rPr>
        <w:t>8.3投标人在投标活动中提供任何虚假材料，将报监管部门查处；中标后发现的，中标人须依照《中华人民共和国消费者权益保护法》规定赔偿采购人，且民事赔偿并不免除违法投标人的行政与刑事责任。</w:t>
      </w:r>
    </w:p>
    <w:p w14:paraId="1E0B4832">
      <w:pP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9.回避与串通投标</w:t>
      </w:r>
    </w:p>
    <w:p w14:paraId="2263B4AA">
      <w:pPr>
        <w:autoSpaceDE w:val="0"/>
        <w:spacing w:line="360" w:lineRule="auto"/>
        <w:ind w:firstLine="422" w:firstLineChars="200"/>
        <w:jc w:val="left"/>
        <w:rPr>
          <w:rFonts w:hint="eastAsia" w:ascii="宋体" w:hAnsi="宋体"/>
          <w:b/>
          <w:color w:val="auto"/>
          <w:szCs w:val="21"/>
        </w:rPr>
      </w:pPr>
      <w:r>
        <w:rPr>
          <w:rFonts w:hint="eastAsia" w:ascii="宋体" w:hAnsi="宋体"/>
          <w:b/>
          <w:color w:val="auto"/>
        </w:rPr>
        <w:t>9.1在政府采购活动中，采购人员及相关人员与供应商有下列利害关系之一的，应当回避：</w:t>
      </w:r>
    </w:p>
    <w:p w14:paraId="7CF2E246">
      <w:pPr>
        <w:autoSpaceDE w:val="0"/>
        <w:spacing w:line="360" w:lineRule="auto"/>
        <w:ind w:firstLine="420" w:firstLineChars="200"/>
        <w:jc w:val="left"/>
        <w:rPr>
          <w:rFonts w:hint="eastAsia" w:ascii="宋体" w:hAnsi="宋体"/>
          <w:color w:val="auto"/>
        </w:rPr>
      </w:pPr>
      <w:r>
        <w:rPr>
          <w:rFonts w:hint="eastAsia" w:ascii="宋体" w:hAnsi="宋体"/>
          <w:color w:val="auto"/>
        </w:rPr>
        <w:t>（1）参加采购活动前3年内与供应商存在劳动关系；</w:t>
      </w:r>
    </w:p>
    <w:p w14:paraId="1816C279">
      <w:pPr>
        <w:autoSpaceDE w:val="0"/>
        <w:spacing w:line="360" w:lineRule="auto"/>
        <w:ind w:firstLine="420" w:firstLineChars="200"/>
        <w:jc w:val="left"/>
        <w:rPr>
          <w:rFonts w:hint="eastAsia" w:ascii="宋体" w:hAnsi="宋体"/>
          <w:color w:val="auto"/>
        </w:rPr>
      </w:pPr>
      <w:r>
        <w:rPr>
          <w:rFonts w:hint="eastAsia" w:ascii="宋体" w:hAnsi="宋体"/>
          <w:color w:val="auto"/>
        </w:rPr>
        <w:t>（2）参加采购活动前3年内担任供应商的董事、监事；</w:t>
      </w:r>
    </w:p>
    <w:p w14:paraId="11B828DE">
      <w:pPr>
        <w:autoSpaceDE w:val="0"/>
        <w:spacing w:line="360" w:lineRule="auto"/>
        <w:ind w:firstLine="420" w:firstLineChars="200"/>
        <w:jc w:val="left"/>
        <w:rPr>
          <w:rFonts w:hint="eastAsia" w:ascii="宋体" w:hAnsi="宋体"/>
          <w:color w:val="auto"/>
        </w:rPr>
      </w:pPr>
      <w:r>
        <w:rPr>
          <w:rFonts w:hint="eastAsia" w:ascii="宋体" w:hAnsi="宋体"/>
          <w:color w:val="auto"/>
        </w:rPr>
        <w:t>（3）参加采购活动前3年内是供应商的控股股东或者实际控制人；</w:t>
      </w:r>
    </w:p>
    <w:p w14:paraId="66EC432E">
      <w:pPr>
        <w:autoSpaceDE w:val="0"/>
        <w:spacing w:line="360" w:lineRule="auto"/>
        <w:ind w:firstLine="420" w:firstLineChars="200"/>
        <w:jc w:val="left"/>
        <w:rPr>
          <w:rFonts w:hint="eastAsia" w:ascii="宋体" w:hAnsi="宋体"/>
          <w:color w:val="auto"/>
        </w:rPr>
      </w:pPr>
      <w:r>
        <w:rPr>
          <w:rFonts w:hint="eastAsia" w:ascii="宋体" w:hAnsi="宋体"/>
          <w:color w:val="auto"/>
        </w:rPr>
        <w:t>（4）与供应商的法定代表人或者负责人有夫妻、直系血亲、三代以内旁系血亲或者近姻亲关系；</w:t>
      </w:r>
    </w:p>
    <w:p w14:paraId="5DF866CF">
      <w:pPr>
        <w:autoSpaceDE w:val="0"/>
        <w:spacing w:line="360" w:lineRule="auto"/>
        <w:ind w:firstLine="420" w:firstLineChars="200"/>
        <w:jc w:val="left"/>
        <w:rPr>
          <w:rFonts w:hint="eastAsia" w:ascii="宋体" w:hAnsi="宋体"/>
          <w:color w:val="auto"/>
        </w:rPr>
      </w:pPr>
      <w:r>
        <w:rPr>
          <w:rFonts w:hint="eastAsia" w:ascii="宋体" w:hAnsi="宋体"/>
          <w:color w:val="auto"/>
        </w:rPr>
        <w:t>（5）与供应商有其他可能影响政府采购活动公平、公正进行的关系。</w:t>
      </w:r>
    </w:p>
    <w:p w14:paraId="4E8A7C19">
      <w:pPr>
        <w:autoSpaceDE w:val="0"/>
        <w:spacing w:line="360" w:lineRule="auto"/>
        <w:ind w:firstLine="420" w:firstLineChars="200"/>
        <w:jc w:val="left"/>
        <w:rPr>
          <w:rFonts w:hint="eastAsia" w:ascii="宋体" w:hAnsi="宋体"/>
          <w:color w:val="auto"/>
        </w:rPr>
      </w:pPr>
      <w:r>
        <w:rPr>
          <w:rFonts w:hint="eastAsia" w:ascii="宋体" w:hAnsi="宋体"/>
          <w:color w:val="auto"/>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754F050">
      <w:pPr>
        <w:autoSpaceDE w:val="0"/>
        <w:spacing w:line="360" w:lineRule="auto"/>
        <w:ind w:firstLine="420" w:firstLineChars="200"/>
        <w:jc w:val="left"/>
        <w:rPr>
          <w:rFonts w:hint="eastAsia" w:ascii="宋体" w:hAnsi="宋体"/>
          <w:color w:val="auto"/>
        </w:rPr>
      </w:pPr>
      <w:r>
        <w:rPr>
          <w:rFonts w:hint="eastAsia" w:ascii="宋体" w:hAnsi="宋体"/>
          <w:color w:val="auto"/>
        </w:rPr>
        <w:t>9.2有下列情形之一的视为投标人相互串通投标，投标文件将被视为无效：</w:t>
      </w:r>
    </w:p>
    <w:p w14:paraId="78CA1177">
      <w:pPr>
        <w:autoSpaceDE w:val="0"/>
        <w:spacing w:line="360" w:lineRule="auto"/>
        <w:ind w:firstLine="422" w:firstLineChars="200"/>
        <w:jc w:val="left"/>
        <w:rPr>
          <w:rFonts w:hint="eastAsia" w:ascii="宋体" w:hAnsi="宋体"/>
          <w:b/>
          <w:color w:val="auto"/>
        </w:rPr>
      </w:pPr>
      <w:r>
        <w:rPr>
          <w:rFonts w:hint="eastAsia" w:ascii="宋体" w:hAnsi="宋体"/>
          <w:b/>
          <w:color w:val="auto"/>
        </w:rPr>
        <w:t>（1）不同投标人的投标文件由同一单位或者个人编制；或者不同投标人报名的IP地址一致的；或者编制标书硬件设备CPU编号、硬盘编号、网卡地址一致的情况。</w:t>
      </w:r>
    </w:p>
    <w:p w14:paraId="3EAAF4D4">
      <w:pPr>
        <w:autoSpaceDE w:val="0"/>
        <w:spacing w:line="360" w:lineRule="auto"/>
        <w:ind w:firstLine="422" w:firstLineChars="200"/>
        <w:jc w:val="left"/>
        <w:rPr>
          <w:rFonts w:hint="eastAsia" w:ascii="宋体" w:hAnsi="宋体"/>
          <w:b/>
          <w:color w:val="auto"/>
        </w:rPr>
      </w:pPr>
      <w:r>
        <w:rPr>
          <w:rFonts w:hint="eastAsia" w:ascii="宋体" w:hAnsi="宋体"/>
          <w:b/>
          <w:color w:val="auto"/>
        </w:rPr>
        <w:t>（2）不同投标人委托同一单位或者个人办理投标事宜；</w:t>
      </w:r>
    </w:p>
    <w:p w14:paraId="061C80D7">
      <w:pPr>
        <w:autoSpaceDE w:val="0"/>
        <w:spacing w:line="360" w:lineRule="auto"/>
        <w:ind w:firstLine="422" w:firstLineChars="200"/>
        <w:jc w:val="left"/>
        <w:rPr>
          <w:rFonts w:hint="eastAsia" w:ascii="宋体" w:hAnsi="宋体"/>
          <w:b/>
          <w:color w:val="auto"/>
        </w:rPr>
      </w:pPr>
      <w:r>
        <w:rPr>
          <w:rFonts w:hint="eastAsia" w:ascii="宋体" w:hAnsi="宋体"/>
          <w:b/>
          <w:color w:val="auto"/>
        </w:rPr>
        <w:t>（3）不同的投标人的投标文件载明的项目管理员为同一个人；</w:t>
      </w:r>
    </w:p>
    <w:p w14:paraId="017BAA26">
      <w:pPr>
        <w:autoSpaceDE w:val="0"/>
        <w:spacing w:line="360" w:lineRule="auto"/>
        <w:ind w:firstLine="422" w:firstLineChars="200"/>
        <w:jc w:val="left"/>
        <w:rPr>
          <w:rFonts w:hint="eastAsia" w:ascii="宋体" w:hAnsi="宋体"/>
          <w:b/>
          <w:color w:val="auto"/>
        </w:rPr>
      </w:pPr>
      <w:r>
        <w:rPr>
          <w:rFonts w:hint="eastAsia" w:ascii="宋体" w:hAnsi="宋体"/>
          <w:b/>
          <w:color w:val="auto"/>
        </w:rPr>
        <w:t>（4）不同投标人的电子或纸质投标文件异常一致或者投标报价呈规律性差异；</w:t>
      </w:r>
    </w:p>
    <w:p w14:paraId="4C4A9DF5">
      <w:pPr>
        <w:autoSpaceDE w:val="0"/>
        <w:spacing w:line="360" w:lineRule="auto"/>
        <w:ind w:firstLine="422" w:firstLineChars="200"/>
        <w:jc w:val="left"/>
        <w:rPr>
          <w:rFonts w:hint="eastAsia" w:ascii="宋体" w:hAnsi="宋体"/>
          <w:b/>
          <w:color w:val="auto"/>
        </w:rPr>
      </w:pPr>
      <w:r>
        <w:rPr>
          <w:rFonts w:hint="eastAsia" w:ascii="宋体" w:hAnsi="宋体"/>
          <w:b/>
          <w:color w:val="auto"/>
        </w:rPr>
        <w:t>（5）不同投标人的纸质投标文件相互混装；</w:t>
      </w:r>
    </w:p>
    <w:p w14:paraId="60496DEA">
      <w:pPr>
        <w:autoSpaceDE w:val="0"/>
        <w:spacing w:line="360" w:lineRule="auto"/>
        <w:ind w:firstLine="420" w:firstLineChars="200"/>
        <w:jc w:val="left"/>
        <w:rPr>
          <w:rFonts w:hint="eastAsia" w:ascii="宋体" w:hAnsi="宋体"/>
          <w:color w:val="auto"/>
        </w:rPr>
      </w:pPr>
      <w:r>
        <w:rPr>
          <w:rFonts w:hint="eastAsia" w:ascii="宋体" w:hAnsi="宋体"/>
          <w:color w:val="auto"/>
        </w:rPr>
        <w:t>9.3供应商有下列情形之一的，属于恶意串通行为，将报同级监督管理部门：</w:t>
      </w:r>
    </w:p>
    <w:p w14:paraId="17C45BD1">
      <w:pPr>
        <w:autoSpaceDE w:val="0"/>
        <w:spacing w:line="360" w:lineRule="auto"/>
        <w:ind w:firstLine="420" w:firstLineChars="200"/>
        <w:jc w:val="left"/>
        <w:rPr>
          <w:rFonts w:hint="eastAsia" w:ascii="宋体" w:hAnsi="宋体"/>
          <w:color w:val="auto"/>
        </w:rPr>
      </w:pPr>
      <w:r>
        <w:rPr>
          <w:rFonts w:hint="eastAsia" w:ascii="宋体" w:hAnsi="宋体"/>
          <w:color w:val="auto"/>
        </w:rPr>
        <w:t>（1）供应商直接或者间接从采购人或者采购代理机构处获得其他供应商的相关信息并修改其投标文件或者投标文件；</w:t>
      </w:r>
    </w:p>
    <w:p w14:paraId="248E7BDC">
      <w:pPr>
        <w:autoSpaceDE w:val="0"/>
        <w:spacing w:line="360" w:lineRule="auto"/>
        <w:ind w:firstLine="420" w:firstLineChars="200"/>
        <w:jc w:val="left"/>
        <w:rPr>
          <w:rFonts w:hint="eastAsia" w:ascii="宋体" w:hAnsi="宋体"/>
          <w:color w:val="auto"/>
        </w:rPr>
      </w:pPr>
      <w:r>
        <w:rPr>
          <w:rFonts w:hint="eastAsia" w:ascii="宋体" w:hAnsi="宋体"/>
          <w:color w:val="auto"/>
        </w:rPr>
        <w:t>（2）供应商按照采购人或者采购代理机构的授意撤换、修改投标文件或者投标文件；</w:t>
      </w:r>
    </w:p>
    <w:p w14:paraId="42DB37A1">
      <w:pPr>
        <w:autoSpaceDE w:val="0"/>
        <w:spacing w:line="360" w:lineRule="auto"/>
        <w:ind w:firstLine="420" w:firstLineChars="200"/>
        <w:jc w:val="left"/>
        <w:rPr>
          <w:rFonts w:hint="eastAsia" w:ascii="宋体" w:hAnsi="宋体"/>
          <w:color w:val="auto"/>
        </w:rPr>
      </w:pPr>
      <w:r>
        <w:rPr>
          <w:rFonts w:hint="eastAsia" w:ascii="宋体" w:hAnsi="宋体"/>
          <w:color w:val="auto"/>
        </w:rPr>
        <w:t>（3）供应商之间协商报价、技术方案等投标文件或者投标文件的实质性内容；</w:t>
      </w:r>
    </w:p>
    <w:p w14:paraId="2F1AB059">
      <w:pPr>
        <w:autoSpaceDE w:val="0"/>
        <w:spacing w:line="360" w:lineRule="auto"/>
        <w:ind w:firstLine="420" w:firstLineChars="200"/>
        <w:jc w:val="left"/>
        <w:rPr>
          <w:rFonts w:hint="eastAsia" w:ascii="宋体" w:hAnsi="宋体"/>
          <w:color w:val="auto"/>
        </w:rPr>
      </w:pPr>
      <w:r>
        <w:rPr>
          <w:rFonts w:hint="eastAsia" w:ascii="宋体" w:hAnsi="宋体"/>
          <w:color w:val="auto"/>
        </w:rPr>
        <w:t>（4）属于同一集团、协会、商会等组织成员的供应商按照该组织要求协同参加政府采购活动；</w:t>
      </w:r>
    </w:p>
    <w:p w14:paraId="17EEB550">
      <w:pPr>
        <w:autoSpaceDE w:val="0"/>
        <w:spacing w:line="360" w:lineRule="auto"/>
        <w:ind w:firstLine="420" w:firstLineChars="200"/>
        <w:jc w:val="left"/>
        <w:rPr>
          <w:rFonts w:hint="eastAsia" w:ascii="宋体" w:hAnsi="宋体"/>
          <w:color w:val="auto"/>
        </w:rPr>
      </w:pPr>
      <w:r>
        <w:rPr>
          <w:rFonts w:hint="eastAsia" w:ascii="宋体" w:hAnsi="宋体"/>
          <w:color w:val="auto"/>
        </w:rPr>
        <w:t>（5）供应商之间事先约定一致抬高或者压低投标报价，或者在招标项目中事先约定轮流以高价位或者低价位中标，或者事先约定由某一特定供应商中标，然后再参加投标；</w:t>
      </w:r>
    </w:p>
    <w:p w14:paraId="0A0E4674">
      <w:pPr>
        <w:autoSpaceDE w:val="0"/>
        <w:spacing w:line="360" w:lineRule="auto"/>
        <w:ind w:firstLine="420" w:firstLineChars="200"/>
        <w:jc w:val="left"/>
        <w:rPr>
          <w:rFonts w:hint="eastAsia" w:ascii="宋体" w:hAnsi="宋体"/>
          <w:color w:val="auto"/>
        </w:rPr>
      </w:pPr>
      <w:r>
        <w:rPr>
          <w:rFonts w:hint="eastAsia" w:ascii="宋体" w:hAnsi="宋体"/>
          <w:color w:val="auto"/>
        </w:rPr>
        <w:t>（6）供应商之间商定部分供应商放弃参加政府采购活动或者放弃中标；</w:t>
      </w:r>
    </w:p>
    <w:p w14:paraId="3E959552">
      <w:pPr>
        <w:autoSpaceDE w:val="0"/>
        <w:spacing w:line="360" w:lineRule="auto"/>
        <w:ind w:firstLine="420" w:firstLineChars="200"/>
        <w:jc w:val="left"/>
        <w:rPr>
          <w:rFonts w:hint="eastAsia" w:ascii="宋体" w:hAnsi="宋体"/>
          <w:color w:val="auto"/>
        </w:rPr>
      </w:pPr>
      <w:r>
        <w:rPr>
          <w:rFonts w:hint="eastAsia" w:ascii="宋体" w:hAnsi="宋体"/>
          <w:color w:val="auto"/>
        </w:rPr>
        <w:t>（7）供应商与采购人或者采购代理机构之间、供应商相互之间，为谋求特定供应商中标或者排斥其他供应商的其他串通行为。</w:t>
      </w:r>
    </w:p>
    <w:p w14:paraId="30E339C1">
      <w:pPr>
        <w:pStyle w:val="9"/>
        <w:snapToGrid w:val="0"/>
        <w:spacing w:line="360" w:lineRule="auto"/>
        <w:ind w:left="2" w:leftChars="1" w:firstLine="422" w:firstLineChars="200"/>
        <w:rPr>
          <w:rFonts w:hint="eastAsia" w:hAnsi="宋体"/>
          <w:b/>
          <w:color w:val="auto"/>
        </w:rPr>
      </w:pPr>
      <w:r>
        <w:rPr>
          <w:rFonts w:hint="eastAsia" w:hAnsi="宋体"/>
          <w:b/>
          <w:color w:val="auto"/>
        </w:rPr>
        <w:t xml:space="preserve"> </w:t>
      </w:r>
    </w:p>
    <w:p w14:paraId="63686905">
      <w:pPr>
        <w:pStyle w:val="3"/>
        <w:keepLines w:val="0"/>
        <w:spacing w:line="400" w:lineRule="exact"/>
        <w:jc w:val="center"/>
        <w:rPr>
          <w:rFonts w:hint="eastAsia"/>
          <w:color w:val="auto"/>
        </w:rPr>
      </w:pPr>
      <w:bookmarkStart w:id="86" w:name="_Toc31464"/>
      <w:bookmarkEnd w:id="86"/>
      <w:bookmarkStart w:id="87" w:name="_Toc15530"/>
      <w:bookmarkEnd w:id="87"/>
      <w:bookmarkStart w:id="88" w:name="_Toc254970675"/>
      <w:bookmarkEnd w:id="88"/>
      <w:bookmarkStart w:id="89" w:name="_Toc254970534"/>
      <w:bookmarkEnd w:id="89"/>
      <w:bookmarkStart w:id="90" w:name="_Toc32102"/>
      <w:bookmarkStart w:id="91" w:name="_Toc8336"/>
      <w:r>
        <w:rPr>
          <w:rFonts w:hint="eastAsia" w:ascii="宋体" w:hAnsi="宋体"/>
          <w:color w:val="auto"/>
        </w:rPr>
        <w:t>二、招标文件</w:t>
      </w:r>
      <w:bookmarkEnd w:id="90"/>
      <w:bookmarkEnd w:id="91"/>
    </w:p>
    <w:p w14:paraId="178DE8D6">
      <w:pPr>
        <w:spacing w:line="360" w:lineRule="auto"/>
        <w:ind w:firstLine="480" w:firstLineChars="200"/>
        <w:rPr>
          <w:rFonts w:ascii="黑体" w:hAnsi="黑体" w:eastAsia="黑体"/>
          <w:color w:val="auto"/>
          <w:sz w:val="24"/>
        </w:rPr>
      </w:pPr>
      <w:r>
        <w:rPr>
          <w:rFonts w:hint="eastAsia" w:ascii="黑体" w:hAnsi="黑体" w:eastAsia="黑体"/>
          <w:color w:val="auto"/>
          <w:sz w:val="24"/>
        </w:rPr>
        <w:t>10.招标文件的组成</w:t>
      </w:r>
    </w:p>
    <w:p w14:paraId="2A1903BE">
      <w:pPr>
        <w:spacing w:line="360" w:lineRule="auto"/>
        <w:ind w:firstLine="420" w:firstLineChars="200"/>
        <w:rPr>
          <w:rFonts w:hint="eastAsia" w:ascii="宋体" w:hAnsi="宋体"/>
          <w:color w:val="auto"/>
          <w:szCs w:val="21"/>
        </w:rPr>
      </w:pPr>
      <w:r>
        <w:rPr>
          <w:rFonts w:hint="eastAsia" w:ascii="宋体" w:hAnsi="宋体"/>
          <w:color w:val="auto"/>
        </w:rPr>
        <w:t>第一章 招标公告；</w:t>
      </w:r>
    </w:p>
    <w:p w14:paraId="3DFC2207">
      <w:pPr>
        <w:spacing w:line="360" w:lineRule="auto"/>
        <w:ind w:firstLine="420" w:firstLineChars="200"/>
        <w:rPr>
          <w:rFonts w:hint="eastAsia" w:ascii="宋体" w:hAnsi="宋体"/>
          <w:color w:val="auto"/>
        </w:rPr>
      </w:pPr>
      <w:r>
        <w:rPr>
          <w:rFonts w:hint="eastAsia" w:ascii="宋体" w:hAnsi="宋体"/>
          <w:color w:val="auto"/>
        </w:rPr>
        <w:t xml:space="preserve">第二章 采购需求； </w:t>
      </w:r>
    </w:p>
    <w:p w14:paraId="68AF7DFA">
      <w:pPr>
        <w:spacing w:line="360" w:lineRule="auto"/>
        <w:ind w:firstLine="420" w:firstLineChars="200"/>
        <w:rPr>
          <w:rFonts w:hint="eastAsia" w:ascii="宋体" w:hAnsi="宋体"/>
          <w:color w:val="auto"/>
        </w:rPr>
      </w:pPr>
      <w:r>
        <w:rPr>
          <w:rFonts w:hint="eastAsia" w:ascii="宋体" w:hAnsi="宋体"/>
          <w:color w:val="auto"/>
        </w:rPr>
        <w:t>第三章 投标人须知；</w:t>
      </w:r>
    </w:p>
    <w:p w14:paraId="5C132F0C">
      <w:pPr>
        <w:spacing w:line="360" w:lineRule="auto"/>
        <w:ind w:firstLine="420" w:firstLineChars="200"/>
        <w:rPr>
          <w:rFonts w:hint="eastAsia" w:ascii="宋体" w:hAnsi="宋体"/>
          <w:color w:val="auto"/>
        </w:rPr>
      </w:pPr>
      <w:r>
        <w:rPr>
          <w:rFonts w:hint="eastAsia" w:ascii="宋体" w:hAnsi="宋体"/>
          <w:color w:val="auto"/>
        </w:rPr>
        <w:t>第四章 评标方法及评标标准；</w:t>
      </w:r>
    </w:p>
    <w:p w14:paraId="794D3A09">
      <w:pPr>
        <w:spacing w:line="360" w:lineRule="auto"/>
        <w:ind w:firstLine="420" w:firstLineChars="200"/>
        <w:rPr>
          <w:rFonts w:hint="eastAsia" w:ascii="宋体" w:hAnsi="宋体"/>
          <w:color w:val="auto"/>
        </w:rPr>
      </w:pPr>
      <w:r>
        <w:rPr>
          <w:rFonts w:hint="eastAsia" w:ascii="宋体" w:hAnsi="宋体"/>
          <w:color w:val="auto"/>
        </w:rPr>
        <w:t>第五章 拟签订的合同文本；</w:t>
      </w:r>
    </w:p>
    <w:p w14:paraId="305632E8">
      <w:pPr>
        <w:spacing w:line="360" w:lineRule="auto"/>
        <w:ind w:firstLine="420" w:firstLineChars="200"/>
        <w:rPr>
          <w:rFonts w:hint="eastAsia" w:ascii="宋体" w:hAnsi="宋体"/>
          <w:color w:val="auto"/>
        </w:rPr>
      </w:pPr>
      <w:r>
        <w:rPr>
          <w:rFonts w:hint="eastAsia" w:ascii="宋体" w:hAnsi="宋体"/>
          <w:color w:val="auto"/>
        </w:rPr>
        <w:t>第六章 投标文件格式；</w:t>
      </w:r>
    </w:p>
    <w:p w14:paraId="6292EAF5">
      <w:pPr>
        <w:spacing w:line="360" w:lineRule="auto"/>
        <w:ind w:firstLine="420" w:firstLineChars="200"/>
        <w:rPr>
          <w:rFonts w:hint="eastAsia" w:ascii="宋体" w:hAnsi="宋体"/>
          <w:color w:val="auto"/>
        </w:rPr>
      </w:pPr>
      <w:r>
        <w:rPr>
          <w:rFonts w:hint="eastAsia" w:ascii="宋体" w:hAnsi="宋体"/>
          <w:color w:val="auto"/>
        </w:rPr>
        <w:t>第七章 质疑、投诉材料格式；</w:t>
      </w:r>
    </w:p>
    <w:p w14:paraId="26CF2C26">
      <w:pPr>
        <w:spacing w:line="360" w:lineRule="auto"/>
        <w:ind w:firstLine="420" w:firstLineChars="200"/>
        <w:rPr>
          <w:rFonts w:hint="eastAsia" w:ascii="宋体" w:hAnsi="宋体"/>
          <w:color w:val="auto"/>
        </w:rPr>
      </w:pPr>
      <w:r>
        <w:rPr>
          <w:rFonts w:hint="eastAsia" w:ascii="宋体" w:hAnsi="宋体"/>
          <w:color w:val="auto"/>
        </w:rPr>
        <w:t>根据本章第11.1项的规定对公开招标文件所做的澄清、修改，构成招标文件的组成部分。当公开招标文件与招标文件的澄清和修改就同一内容的表述不一致时，以最后澄清或修改公告为准。</w:t>
      </w:r>
    </w:p>
    <w:p w14:paraId="65763560">
      <w:pP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11.招标文件的澄清、修改 、现场考察和答疑会</w:t>
      </w:r>
    </w:p>
    <w:p w14:paraId="7F022CD1">
      <w:pPr>
        <w:spacing w:line="360" w:lineRule="auto"/>
        <w:ind w:firstLine="422" w:firstLineChars="200"/>
        <w:jc w:val="left"/>
        <w:rPr>
          <w:rFonts w:hint="eastAsia" w:ascii="宋体" w:hAnsi="宋体"/>
          <w:b/>
          <w:color w:val="auto"/>
          <w:szCs w:val="21"/>
        </w:rPr>
      </w:pPr>
      <w:bookmarkStart w:id="92" w:name="_Hlk53134511"/>
      <w:bookmarkEnd w:id="92"/>
      <w:r>
        <w:rPr>
          <w:rFonts w:hint="eastAsia" w:ascii="宋体" w:hAnsi="宋体"/>
          <w:b/>
          <w:color w:val="auto"/>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4E6B579A">
      <w:pPr>
        <w:spacing w:line="360" w:lineRule="auto"/>
        <w:ind w:firstLine="420" w:firstLineChars="200"/>
        <w:jc w:val="left"/>
        <w:rPr>
          <w:rFonts w:hint="eastAsia" w:ascii="宋体" w:hAnsi="宋体"/>
          <w:color w:val="auto"/>
        </w:rPr>
      </w:pPr>
      <w:r>
        <w:rPr>
          <w:rFonts w:hint="eastAsia" w:ascii="宋体" w:hAnsi="宋体"/>
          <w:color w:val="auto"/>
        </w:rPr>
        <w:t>11.2 投标人应认真审阅本公开招标文件，如有疑问，或发现其中有误或有要求不合理的，应在投标人须知前附表规定的</w:t>
      </w:r>
      <w:r>
        <w:rPr>
          <w:rFonts w:hint="eastAsia" w:ascii="宋体" w:hAnsi="宋体"/>
          <w:color w:val="auto"/>
          <w:kern w:val="0"/>
        </w:rPr>
        <w:t>投标截止时间</w:t>
      </w:r>
      <w:r>
        <w:rPr>
          <w:rFonts w:hint="eastAsia" w:ascii="宋体" w:hAnsi="宋体"/>
          <w:color w:val="auto"/>
        </w:rPr>
        <w:t>前以书面形式要求采购人或采购代理机构对招标文件予以澄清；否则，由此产生的后果由投标人自行负责。</w:t>
      </w:r>
    </w:p>
    <w:p w14:paraId="372903F1">
      <w:pPr>
        <w:spacing w:line="360" w:lineRule="auto"/>
        <w:ind w:firstLine="420" w:firstLineChars="200"/>
        <w:jc w:val="left"/>
        <w:rPr>
          <w:rFonts w:hint="eastAsia" w:ascii="宋体" w:hAnsi="宋体"/>
          <w:color w:val="auto"/>
        </w:rPr>
      </w:pPr>
      <w:r>
        <w:rPr>
          <w:rFonts w:hint="eastAsia" w:ascii="宋体" w:hAnsi="宋体"/>
          <w:color w:val="auto"/>
        </w:rPr>
        <w:t>11.3 采购人或者采购代理机构可以对已发出的招标文件进行必要的澄清或者修改。澄清或者修改的内容可能影响投标文件编制的，采购人或者采购代理机构应当在投标截止时间至少15日前，以书面形式通知(在“投标人须知前附表”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7BF00054">
      <w:pPr>
        <w:spacing w:line="360" w:lineRule="auto"/>
        <w:ind w:firstLine="420" w:firstLineChars="200"/>
        <w:jc w:val="left"/>
        <w:rPr>
          <w:rFonts w:hint="eastAsia" w:ascii="宋体" w:hAnsi="宋体"/>
          <w:color w:val="auto"/>
        </w:rPr>
      </w:pPr>
      <w:r>
        <w:rPr>
          <w:rFonts w:hint="eastAsia" w:ascii="宋体" w:hAnsi="宋体"/>
          <w:color w:val="auto"/>
        </w:rPr>
        <w:t>11.4 采购人和采购代理机构可以视采购具体情况，变更投标截止时间和开标时间，将变更时间将在“投标人须知前附表”</w:t>
      </w:r>
      <w:r>
        <w:rPr>
          <w:rFonts w:hint="eastAsia" w:ascii="宋体" w:hAnsi="宋体"/>
          <w:color w:val="auto"/>
          <w:kern w:val="0"/>
        </w:rPr>
        <w:t>规定的政府采购信息发布媒体上</w:t>
      </w:r>
      <w:r>
        <w:rPr>
          <w:rFonts w:hint="eastAsia" w:ascii="宋体" w:hAnsi="宋体"/>
          <w:color w:val="auto"/>
        </w:rPr>
        <w:t>发布更正公告。</w:t>
      </w:r>
    </w:p>
    <w:p w14:paraId="0C7237F9">
      <w:pPr>
        <w:spacing w:line="360" w:lineRule="auto"/>
        <w:ind w:firstLine="420" w:firstLineChars="200"/>
        <w:jc w:val="left"/>
        <w:rPr>
          <w:rFonts w:hint="eastAsia" w:ascii="宋体" w:hAnsi="宋体"/>
          <w:color w:val="auto"/>
        </w:rPr>
      </w:pPr>
      <w:r>
        <w:rPr>
          <w:rFonts w:hint="eastAsia" w:ascii="宋体" w:hAnsi="宋体"/>
          <w:color w:val="auto"/>
        </w:rPr>
        <w:t>11.5采购人或者采购代理机构可以在招标文件提供期限截止后，组织已获取招标文件的潜在投标人现场考察或者召开开标前答疑会，具体详见“投标人须知前附表”。</w:t>
      </w:r>
    </w:p>
    <w:p w14:paraId="303BC4AD">
      <w:pPr>
        <w:pStyle w:val="3"/>
        <w:keepLines w:val="0"/>
        <w:spacing w:line="400" w:lineRule="exact"/>
        <w:jc w:val="center"/>
        <w:rPr>
          <w:rFonts w:hint="eastAsia"/>
          <w:color w:val="auto"/>
        </w:rPr>
      </w:pPr>
      <w:bookmarkStart w:id="93" w:name="_Toc254970676"/>
      <w:bookmarkEnd w:id="93"/>
      <w:bookmarkStart w:id="94" w:name="_Toc24282"/>
      <w:bookmarkEnd w:id="94"/>
      <w:bookmarkStart w:id="95" w:name="_Toc254970535"/>
      <w:bookmarkEnd w:id="95"/>
      <w:bookmarkStart w:id="96" w:name="_Toc7854"/>
      <w:bookmarkEnd w:id="96"/>
      <w:bookmarkStart w:id="97" w:name="_Toc25248"/>
      <w:bookmarkStart w:id="98" w:name="_Toc21329"/>
      <w:r>
        <w:rPr>
          <w:rFonts w:hint="eastAsia" w:ascii="宋体" w:hAnsi="宋体"/>
          <w:color w:val="auto"/>
        </w:rPr>
        <w:t>三、投标文件的编制</w:t>
      </w:r>
      <w:bookmarkEnd w:id="97"/>
      <w:bookmarkEnd w:id="98"/>
    </w:p>
    <w:p w14:paraId="27F8FCF1">
      <w:pPr>
        <w:spacing w:line="360" w:lineRule="auto"/>
        <w:ind w:firstLine="480" w:firstLineChars="200"/>
        <w:rPr>
          <w:rFonts w:ascii="黑体" w:hAnsi="黑体" w:eastAsia="黑体"/>
          <w:color w:val="auto"/>
          <w:sz w:val="24"/>
        </w:rPr>
      </w:pPr>
      <w:bookmarkStart w:id="99" w:name="_Toc254970677"/>
      <w:bookmarkEnd w:id="99"/>
      <w:bookmarkStart w:id="100" w:name="_Toc254970536"/>
      <w:r>
        <w:rPr>
          <w:rFonts w:hint="eastAsia" w:ascii="黑体" w:hAnsi="黑体" w:eastAsia="黑体"/>
          <w:color w:val="auto"/>
          <w:sz w:val="24"/>
        </w:rPr>
        <w:t>12.投标文件的编制原则</w:t>
      </w:r>
      <w:bookmarkEnd w:id="100"/>
    </w:p>
    <w:p w14:paraId="0BB5AB23">
      <w:pPr>
        <w:spacing w:line="360" w:lineRule="auto"/>
        <w:ind w:firstLine="420" w:firstLineChars="200"/>
        <w:rPr>
          <w:rFonts w:hint="eastAsia" w:ascii="宋体" w:hAnsi="宋体"/>
          <w:color w:val="auto"/>
          <w:szCs w:val="21"/>
        </w:rPr>
      </w:pPr>
      <w:r>
        <w:rPr>
          <w:rFonts w:hint="eastAsia" w:ascii="宋体" w:hAnsi="宋体"/>
          <w:color w:val="auto"/>
        </w:rPr>
        <w:t>12.1投标人必须按照招标文件的要求编制投标文件。投标文件必须对招标文件提出的要求和条件作出明确响应。</w:t>
      </w:r>
    </w:p>
    <w:p w14:paraId="09D84E23">
      <w:pPr>
        <w:spacing w:line="360" w:lineRule="auto"/>
        <w:ind w:firstLine="420" w:firstLineChars="200"/>
        <w:rPr>
          <w:rFonts w:hint="eastAsia" w:ascii="宋体" w:hAnsi="宋体"/>
          <w:color w:val="auto"/>
        </w:rPr>
      </w:pPr>
      <w:r>
        <w:rPr>
          <w:rFonts w:hint="eastAsia" w:ascii="宋体" w:hAnsi="宋体"/>
          <w:color w:val="auto"/>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5A460C84">
      <w:pP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13.投标文件的组成</w:t>
      </w:r>
    </w:p>
    <w:p w14:paraId="77719E6C">
      <w:pPr>
        <w:spacing w:line="360" w:lineRule="auto"/>
        <w:ind w:firstLine="420" w:firstLineChars="200"/>
        <w:rPr>
          <w:rFonts w:hint="eastAsia" w:ascii="宋体" w:hAnsi="宋体"/>
          <w:bCs/>
          <w:color w:val="auto"/>
          <w:szCs w:val="21"/>
        </w:rPr>
      </w:pPr>
      <w:r>
        <w:rPr>
          <w:rFonts w:hint="eastAsia" w:ascii="宋体" w:hAnsi="宋体"/>
          <w:bCs/>
          <w:color w:val="auto"/>
        </w:rPr>
        <w:t>13.1投标文件由报价文件、资格证明文件、商务文件、技术文件四部分组成。</w:t>
      </w:r>
    </w:p>
    <w:p w14:paraId="53B58F03">
      <w:pPr>
        <w:spacing w:line="360" w:lineRule="auto"/>
        <w:ind w:firstLine="420" w:firstLineChars="200"/>
        <w:rPr>
          <w:rFonts w:hint="eastAsia" w:ascii="宋体" w:hAnsi="宋体"/>
          <w:bCs/>
          <w:color w:val="auto"/>
        </w:rPr>
      </w:pPr>
      <w:r>
        <w:rPr>
          <w:rFonts w:hint="eastAsia" w:ascii="宋体" w:hAnsi="宋体"/>
          <w:bCs/>
          <w:color w:val="auto"/>
        </w:rPr>
        <w:t>（1）资格证明文件：具体材料见“投标人须知前附表”。</w:t>
      </w:r>
    </w:p>
    <w:p w14:paraId="307F7CE6">
      <w:pPr>
        <w:spacing w:line="360" w:lineRule="auto"/>
        <w:ind w:firstLine="420" w:firstLineChars="200"/>
        <w:rPr>
          <w:rFonts w:hint="eastAsia" w:ascii="宋体" w:hAnsi="宋体"/>
          <w:bCs/>
          <w:color w:val="auto"/>
        </w:rPr>
      </w:pPr>
      <w:r>
        <w:rPr>
          <w:rFonts w:hint="eastAsia" w:ascii="宋体" w:hAnsi="宋体"/>
          <w:bCs/>
          <w:color w:val="auto"/>
        </w:rPr>
        <w:t>（2）商务文件：具体材料见“投标人须知前附表”。</w:t>
      </w:r>
    </w:p>
    <w:p w14:paraId="53B308F3">
      <w:pPr>
        <w:spacing w:line="360" w:lineRule="auto"/>
        <w:ind w:firstLine="420" w:firstLineChars="200"/>
        <w:rPr>
          <w:rFonts w:hint="eastAsia" w:ascii="宋体" w:hAnsi="宋体"/>
          <w:bCs/>
          <w:color w:val="auto"/>
        </w:rPr>
      </w:pPr>
      <w:r>
        <w:rPr>
          <w:rFonts w:hint="eastAsia" w:ascii="宋体" w:hAnsi="宋体"/>
          <w:bCs/>
          <w:color w:val="auto"/>
        </w:rPr>
        <w:t xml:space="preserve">（3）技术文件：具体材料见“投标人须知前附表”。 </w:t>
      </w:r>
    </w:p>
    <w:p w14:paraId="1C3C180F">
      <w:pPr>
        <w:spacing w:line="360" w:lineRule="auto"/>
        <w:ind w:firstLine="420" w:firstLineChars="200"/>
        <w:rPr>
          <w:rFonts w:hint="eastAsia" w:ascii="宋体" w:hAnsi="宋体"/>
          <w:bCs/>
          <w:color w:val="auto"/>
        </w:rPr>
      </w:pPr>
      <w:r>
        <w:rPr>
          <w:rFonts w:hint="eastAsia" w:ascii="宋体" w:hAnsi="宋体"/>
          <w:bCs/>
          <w:color w:val="auto"/>
        </w:rPr>
        <w:t>（4）报价文件： 具体材料见“投标人须知前附表”。</w:t>
      </w:r>
    </w:p>
    <w:p w14:paraId="65BAAEB8">
      <w:pPr>
        <w:spacing w:line="360" w:lineRule="auto"/>
        <w:ind w:firstLine="420" w:firstLineChars="200"/>
        <w:rPr>
          <w:rFonts w:hint="eastAsia" w:ascii="宋体" w:hAnsi="宋体"/>
          <w:bCs/>
          <w:color w:val="auto"/>
        </w:rPr>
      </w:pPr>
      <w:r>
        <w:rPr>
          <w:rFonts w:hint="eastAsia" w:ascii="宋体" w:hAnsi="宋体"/>
          <w:bCs/>
          <w:color w:val="auto"/>
        </w:rPr>
        <w:t>13.2投标文件电子版：具体要求见本节19.投标文件编制。</w:t>
      </w:r>
    </w:p>
    <w:p w14:paraId="351DE87A">
      <w:pPr>
        <w:spacing w:line="360" w:lineRule="auto"/>
        <w:ind w:firstLine="480" w:firstLineChars="200"/>
        <w:rPr>
          <w:rFonts w:hint="eastAsia" w:ascii="黑体" w:hAnsi="黑体" w:eastAsia="黑体"/>
          <w:color w:val="auto"/>
          <w:sz w:val="24"/>
        </w:rPr>
      </w:pPr>
      <w:bookmarkStart w:id="101" w:name="_Toc254970678"/>
      <w:bookmarkEnd w:id="101"/>
      <w:bookmarkStart w:id="102" w:name="_Toc254970537"/>
      <w:r>
        <w:rPr>
          <w:rFonts w:hint="eastAsia" w:ascii="黑体" w:hAnsi="黑体" w:eastAsia="黑体"/>
          <w:color w:val="auto"/>
          <w:sz w:val="24"/>
        </w:rPr>
        <w:t>14.投标文件的语言及计量</w:t>
      </w:r>
      <w:bookmarkEnd w:id="102"/>
    </w:p>
    <w:p w14:paraId="1E3DCAA6">
      <w:pPr>
        <w:spacing w:line="360" w:lineRule="auto"/>
        <w:ind w:firstLine="420" w:firstLineChars="200"/>
        <w:rPr>
          <w:rFonts w:hint="eastAsia" w:ascii="宋体" w:hAnsi="宋体"/>
          <w:bCs/>
          <w:color w:val="auto"/>
          <w:szCs w:val="21"/>
        </w:rPr>
      </w:pPr>
      <w:r>
        <w:rPr>
          <w:rFonts w:hint="eastAsia" w:ascii="宋体" w:hAnsi="宋体"/>
          <w:bCs/>
          <w:color w:val="auto"/>
        </w:rPr>
        <w:t>14.1语言文字</w:t>
      </w:r>
    </w:p>
    <w:p w14:paraId="02006499">
      <w:pPr>
        <w:spacing w:line="360" w:lineRule="auto"/>
        <w:ind w:firstLine="420" w:firstLineChars="200"/>
        <w:rPr>
          <w:rFonts w:hint="eastAsia" w:ascii="宋体" w:hAnsi="宋体"/>
          <w:bCs/>
          <w:color w:val="auto"/>
        </w:rPr>
      </w:pPr>
      <w:r>
        <w:rPr>
          <w:rFonts w:hint="eastAsia" w:ascii="宋体" w:hAnsi="宋体"/>
          <w:bCs/>
          <w:color w:val="auto"/>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7B83A525">
      <w:pPr>
        <w:spacing w:line="360" w:lineRule="auto"/>
        <w:ind w:firstLine="420" w:firstLineChars="200"/>
        <w:rPr>
          <w:rFonts w:hint="eastAsia" w:ascii="宋体" w:hAnsi="宋体"/>
          <w:bCs/>
          <w:color w:val="auto"/>
        </w:rPr>
      </w:pPr>
      <w:r>
        <w:rPr>
          <w:rFonts w:hint="eastAsia" w:ascii="宋体" w:hAnsi="宋体"/>
          <w:bCs/>
          <w:color w:val="auto"/>
        </w:rPr>
        <w:t>14.2投标计量单位</w:t>
      </w:r>
    </w:p>
    <w:p w14:paraId="3031658B">
      <w:pPr>
        <w:spacing w:line="360" w:lineRule="auto"/>
        <w:ind w:firstLine="420" w:firstLineChars="200"/>
        <w:rPr>
          <w:rFonts w:hint="eastAsia" w:ascii="宋体" w:hAnsi="宋体"/>
          <w:bCs/>
          <w:color w:val="auto"/>
        </w:rPr>
      </w:pPr>
      <w:r>
        <w:rPr>
          <w:rFonts w:hint="eastAsia" w:ascii="宋体" w:hAnsi="宋体"/>
          <w:bCs/>
          <w:color w:val="auto"/>
        </w:rPr>
        <w:t>招标文件已有明确规定的，使用招标文件规定的计量单位；招标文件没有规定的，应采用中华人民共和国法定计量单位，货币种类为人民币，否则视同未响应。</w:t>
      </w:r>
    </w:p>
    <w:p w14:paraId="23BAF003">
      <w:pP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15.投标文件提交的风险</w:t>
      </w:r>
    </w:p>
    <w:p w14:paraId="01C3AF65">
      <w:pPr>
        <w:spacing w:line="360" w:lineRule="auto"/>
        <w:ind w:firstLine="420" w:firstLineChars="200"/>
        <w:rPr>
          <w:rFonts w:hint="eastAsia" w:hAnsi="宋体"/>
          <w:b/>
          <w:bCs/>
          <w:color w:val="auto"/>
          <w:szCs w:val="21"/>
        </w:rPr>
      </w:pPr>
      <w:r>
        <w:rPr>
          <w:rFonts w:hint="eastAsia" w:ascii="宋体" w:hAnsi="宋体"/>
          <w:color w:val="auto"/>
        </w:rPr>
        <w:t>投标文件分为资格证明文件、商务文件、技术文件、报价文件四部分（其中：商务文件与技术文件合并编辑成一个电子文档）。各投标人在编制投标文件时请按照招标文件规定的编排格式进行，不按要求提交齐全的文件、混乱的编排导致投标文件被误读或评标委员会查找不到有效文件是造成投标人投标文件无效的风险。▲</w:t>
      </w:r>
      <w:r>
        <w:rPr>
          <w:rFonts w:hint="eastAsia" w:ascii="宋体" w:hAnsi="宋体"/>
          <w:b/>
          <w:bCs/>
          <w:color w:val="auto"/>
        </w:rPr>
        <w:t>投标文件内容不齐全、未按规定的文件格式编制的、没有对招标文件作出实质性响应，投标无效。</w:t>
      </w:r>
    </w:p>
    <w:p w14:paraId="74947C54">
      <w:pPr>
        <w:spacing w:line="360" w:lineRule="auto"/>
        <w:ind w:firstLine="480" w:firstLineChars="200"/>
        <w:rPr>
          <w:rFonts w:hint="eastAsia" w:ascii="黑体" w:hAnsi="黑体" w:eastAsia="黑体"/>
          <w:color w:val="auto"/>
          <w:sz w:val="24"/>
        </w:rPr>
      </w:pPr>
      <w:bookmarkStart w:id="103" w:name="_Toc254970538"/>
      <w:bookmarkEnd w:id="103"/>
      <w:bookmarkStart w:id="104" w:name="_Toc254970679"/>
      <w:r>
        <w:rPr>
          <w:rFonts w:hint="eastAsia" w:ascii="黑体" w:hAnsi="黑体" w:eastAsia="黑体"/>
          <w:color w:val="auto"/>
          <w:sz w:val="24"/>
        </w:rPr>
        <w:t>16.投标报价</w:t>
      </w:r>
      <w:bookmarkEnd w:id="104"/>
    </w:p>
    <w:p w14:paraId="042F5C13">
      <w:pPr>
        <w:spacing w:line="360" w:lineRule="auto"/>
        <w:ind w:firstLine="420" w:firstLineChars="200"/>
        <w:rPr>
          <w:rFonts w:hint="eastAsia" w:ascii="宋体" w:hAnsi="宋体"/>
          <w:bCs/>
          <w:color w:val="auto"/>
          <w:szCs w:val="21"/>
        </w:rPr>
      </w:pPr>
      <w:r>
        <w:rPr>
          <w:rFonts w:hint="eastAsia" w:ascii="宋体" w:hAnsi="宋体"/>
          <w:bCs/>
          <w:color w:val="auto"/>
        </w:rPr>
        <w:t>16.1投标报价应按“第六章 投标文件格式”中“开标一览表”格式填写。</w:t>
      </w:r>
    </w:p>
    <w:p w14:paraId="0D644B41">
      <w:pPr>
        <w:spacing w:line="360" w:lineRule="auto"/>
        <w:ind w:firstLine="420" w:firstLineChars="200"/>
        <w:rPr>
          <w:rFonts w:hint="eastAsia" w:ascii="宋体" w:hAnsi="宋体"/>
          <w:bCs/>
          <w:color w:val="auto"/>
        </w:rPr>
      </w:pPr>
      <w:bookmarkStart w:id="105" w:name="_16.2投标报价具体定义见投标人须知前附表。"/>
      <w:bookmarkEnd w:id="105"/>
      <w:r>
        <w:rPr>
          <w:rFonts w:hint="eastAsia" w:ascii="宋体" w:hAnsi="宋体"/>
          <w:bCs/>
          <w:color w:val="auto"/>
        </w:rPr>
        <w:t>16.2投标报价具体包括内容详见“投标人须知前附表”。</w:t>
      </w:r>
    </w:p>
    <w:p w14:paraId="6ACDCC4E">
      <w:pPr>
        <w:spacing w:line="360" w:lineRule="auto"/>
        <w:ind w:firstLine="420" w:firstLineChars="200"/>
        <w:rPr>
          <w:rFonts w:hint="eastAsia" w:ascii="宋体" w:hAnsi="宋体"/>
          <w:bCs/>
          <w:color w:val="auto"/>
        </w:rPr>
      </w:pPr>
      <w:r>
        <w:rPr>
          <w:rFonts w:hint="eastAsia" w:ascii="宋体" w:hAnsi="宋体"/>
          <w:bCs/>
          <w:color w:val="auto"/>
        </w:rPr>
        <w:t>16.3投标人必须就所投每个分标的全部内容分别作完整唯一总价报价，不得存在漏项报价；投标人必须就所投分标的单项内容作唯一报价。</w:t>
      </w:r>
    </w:p>
    <w:p w14:paraId="0EDD8F31">
      <w:pP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17.投标有效期</w:t>
      </w:r>
    </w:p>
    <w:p w14:paraId="135E6CB0">
      <w:pPr>
        <w:spacing w:line="360" w:lineRule="auto"/>
        <w:ind w:firstLine="420" w:firstLineChars="200"/>
        <w:rPr>
          <w:rFonts w:hint="eastAsia" w:ascii="宋体" w:hAnsi="宋体"/>
          <w:bCs/>
          <w:color w:val="auto"/>
          <w:szCs w:val="21"/>
        </w:rPr>
      </w:pPr>
      <w:bookmarkStart w:id="106" w:name="_Toc254970681"/>
      <w:bookmarkEnd w:id="106"/>
      <w:bookmarkStart w:id="107" w:name="_17.1投标有效期应按“投标人须知中的前附表”规定的期限。"/>
      <w:bookmarkEnd w:id="107"/>
      <w:bookmarkStart w:id="108" w:name="_Toc254970540"/>
      <w:r>
        <w:rPr>
          <w:rFonts w:hint="eastAsia" w:ascii="宋体" w:hAnsi="宋体"/>
          <w:bCs/>
          <w:color w:val="auto"/>
        </w:rPr>
        <w:t>17.1投标有效期是指为保证采购人有足够的时间在开标后完成评标、定标、合同签订等工作而要求投标人提交的投标文件在一定时间内保持有效的期限。</w:t>
      </w:r>
      <w:bookmarkEnd w:id="108"/>
    </w:p>
    <w:p w14:paraId="115E5ABC">
      <w:pPr>
        <w:spacing w:line="360" w:lineRule="auto"/>
        <w:ind w:firstLine="420" w:firstLineChars="200"/>
        <w:rPr>
          <w:rFonts w:hint="eastAsia" w:ascii="宋体" w:hAnsi="宋体"/>
          <w:bCs/>
          <w:color w:val="auto"/>
        </w:rPr>
      </w:pPr>
      <w:r>
        <w:rPr>
          <w:rFonts w:hint="eastAsia" w:ascii="宋体" w:hAnsi="宋体"/>
          <w:bCs/>
          <w:color w:val="auto"/>
        </w:rPr>
        <w:t>17.2 投标有效期应按规定的期限作出承诺，具体详见“投标人须知前附表”。</w:t>
      </w:r>
    </w:p>
    <w:p w14:paraId="5DF0CFD1">
      <w:pPr>
        <w:spacing w:line="360" w:lineRule="auto"/>
        <w:ind w:firstLine="420" w:firstLineChars="200"/>
        <w:rPr>
          <w:rFonts w:hint="eastAsia" w:ascii="宋体" w:hAnsi="宋体"/>
          <w:bCs/>
          <w:color w:val="auto"/>
        </w:rPr>
      </w:pPr>
      <w:r>
        <w:rPr>
          <w:rFonts w:hint="eastAsia" w:ascii="宋体" w:hAnsi="宋体"/>
          <w:bCs/>
          <w:color w:val="auto"/>
        </w:rPr>
        <w:t>17.3投标人的投标文件在投标有效期内均保持有效。</w:t>
      </w:r>
    </w:p>
    <w:p w14:paraId="3EB61A3C">
      <w:pPr>
        <w:spacing w:line="360" w:lineRule="auto"/>
        <w:ind w:firstLine="480" w:firstLineChars="200"/>
        <w:rPr>
          <w:rFonts w:hint="eastAsia" w:ascii="黑体" w:hAnsi="黑体" w:eastAsia="黑体"/>
          <w:color w:val="auto"/>
          <w:sz w:val="24"/>
        </w:rPr>
      </w:pPr>
      <w:bookmarkStart w:id="109" w:name="_18.投标保证金"/>
      <w:bookmarkEnd w:id="109"/>
      <w:bookmarkStart w:id="110" w:name="_Toc254970682"/>
      <w:bookmarkEnd w:id="110"/>
      <w:bookmarkStart w:id="111" w:name="_Toc254970541"/>
      <w:r>
        <w:rPr>
          <w:rFonts w:hint="eastAsia" w:ascii="黑体" w:hAnsi="黑体" w:eastAsia="黑体"/>
          <w:color w:val="auto"/>
          <w:sz w:val="24"/>
        </w:rPr>
        <w:t>18.投标保证金</w:t>
      </w:r>
      <w:bookmarkEnd w:id="111"/>
    </w:p>
    <w:p w14:paraId="7BE6A42D">
      <w:pPr>
        <w:spacing w:line="360" w:lineRule="auto"/>
        <w:ind w:firstLine="420" w:firstLineChars="200"/>
        <w:rPr>
          <w:rFonts w:hint="eastAsia" w:ascii="宋体" w:hAnsi="宋体"/>
          <w:bCs/>
          <w:color w:val="auto"/>
          <w:szCs w:val="21"/>
        </w:rPr>
      </w:pPr>
      <w:bookmarkStart w:id="112" w:name="_Toc254970542"/>
      <w:bookmarkEnd w:id="112"/>
      <w:bookmarkStart w:id="113" w:name="_Toc254970683"/>
      <w:r>
        <w:rPr>
          <w:rFonts w:hint="eastAsia" w:ascii="宋体" w:hAnsi="宋体"/>
          <w:bCs/>
          <w:color w:val="auto"/>
        </w:rPr>
        <w:t>见“投标人须知前附表”。</w:t>
      </w:r>
      <w:bookmarkEnd w:id="113"/>
    </w:p>
    <w:p w14:paraId="710529FB">
      <w:pP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19.投标文件的编制</w:t>
      </w:r>
    </w:p>
    <w:p w14:paraId="40079DFA">
      <w:pPr>
        <w:autoSpaceDE w:val="0"/>
        <w:spacing w:line="360" w:lineRule="auto"/>
        <w:ind w:firstLine="420" w:firstLineChars="200"/>
        <w:jc w:val="left"/>
        <w:rPr>
          <w:rFonts w:hint="eastAsia" w:ascii="宋体" w:hAnsi="宋体"/>
          <w:color w:val="auto"/>
          <w:szCs w:val="21"/>
        </w:rPr>
      </w:pPr>
      <w:r>
        <w:rPr>
          <w:rFonts w:hint="eastAsia" w:ascii="宋体" w:hAnsi="宋体"/>
          <w:color w:val="auto"/>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114" w:name="_19.2投标文件应按报价文件、资格证明文件、商务文件、技术文件分别编制"/>
      <w:bookmarkEnd w:id="114"/>
      <w:r>
        <w:rPr>
          <w:rFonts w:hint="eastAsia" w:ascii="宋体" w:hAnsi="宋体"/>
          <w:color w:val="auto"/>
        </w:rPr>
        <w:t xml:space="preserve"> </w:t>
      </w:r>
    </w:p>
    <w:p w14:paraId="251AA226">
      <w:pPr>
        <w:pStyle w:val="18"/>
        <w:autoSpaceDE w:val="0"/>
        <w:snapToGrid w:val="0"/>
        <w:spacing w:before="0"/>
        <w:ind w:firstLine="420"/>
        <w:jc w:val="left"/>
        <w:rPr>
          <w:rFonts w:hint="eastAsia" w:ascii="宋体" w:hAnsi="宋体"/>
          <w:color w:val="auto"/>
          <w:sz w:val="21"/>
          <w:szCs w:val="21"/>
        </w:rPr>
      </w:pPr>
      <w:r>
        <w:rPr>
          <w:rFonts w:hint="eastAsia" w:ascii="宋体" w:hAnsi="宋体"/>
          <w:color w:val="auto"/>
          <w:sz w:val="21"/>
          <w:szCs w:val="21"/>
        </w:rPr>
        <w:t>19.2投标文件按照招标文件第六章格式要求在规定位置进行签署、盖章。投标人的投标文件未按照招标文件要求签署、盖章的，</w:t>
      </w:r>
      <w:r>
        <w:rPr>
          <w:rFonts w:hint="eastAsia" w:ascii="宋体" w:hAnsi="宋体"/>
          <w:b/>
          <w:color w:val="auto"/>
          <w:sz w:val="21"/>
          <w:szCs w:val="21"/>
        </w:rPr>
        <w:t>其投标无效。</w:t>
      </w:r>
      <w:r>
        <w:rPr>
          <w:rFonts w:hint="eastAsia" w:ascii="宋体" w:hAnsi="宋体"/>
          <w:color w:val="auto"/>
          <w:sz w:val="21"/>
          <w:szCs w:val="21"/>
        </w:rPr>
        <w:t>骑缝盖公章不视为在规定位置盖章。</w:t>
      </w:r>
    </w:p>
    <w:p w14:paraId="42271C85">
      <w:pPr>
        <w:pStyle w:val="18"/>
        <w:autoSpaceDE w:val="0"/>
        <w:snapToGrid w:val="0"/>
        <w:spacing w:before="0"/>
        <w:ind w:firstLine="420"/>
        <w:jc w:val="left"/>
        <w:rPr>
          <w:rFonts w:hint="eastAsia" w:ascii="宋体" w:hAnsi="宋体"/>
          <w:color w:val="auto"/>
          <w:sz w:val="21"/>
          <w:szCs w:val="21"/>
        </w:rPr>
      </w:pPr>
      <w:r>
        <w:rPr>
          <w:rFonts w:hint="eastAsia" w:ascii="宋体" w:hAnsi="宋体"/>
          <w:color w:val="auto"/>
          <w:sz w:val="21"/>
          <w:szCs w:val="21"/>
        </w:rPr>
        <w:t>19.3为确保网上操作合法、有效和安全，投标人应当在投标截止时间前完成在“</w:t>
      </w:r>
      <w:r>
        <w:rPr>
          <w:rFonts w:hint="eastAsia" w:ascii="宋体" w:hAnsi="宋体"/>
          <w:color w:val="auto"/>
          <w:sz w:val="21"/>
          <w:szCs w:val="21"/>
          <w:lang w:eastAsia="zh-CN"/>
        </w:rPr>
        <w:t>广西政府采购云</w:t>
      </w:r>
      <w:r>
        <w:rPr>
          <w:rFonts w:hint="eastAsia" w:ascii="宋体" w:hAnsi="宋体"/>
          <w:color w:val="auto"/>
          <w:sz w:val="21"/>
          <w:szCs w:val="21"/>
        </w:rPr>
        <w:t>”平台的身份认证，确保在电子投标过程中能够对相关数据电文进行加密和使用电子签名。</w:t>
      </w:r>
    </w:p>
    <w:p w14:paraId="0B7402B6">
      <w:pPr>
        <w:autoSpaceDE w:val="0"/>
        <w:spacing w:line="360" w:lineRule="auto"/>
        <w:ind w:firstLine="422" w:firstLineChars="200"/>
        <w:jc w:val="left"/>
        <w:rPr>
          <w:rFonts w:hint="eastAsia" w:ascii="宋体" w:hAnsi="宋体"/>
          <w:b/>
          <w:color w:val="auto"/>
          <w:szCs w:val="21"/>
        </w:rPr>
      </w:pPr>
      <w:r>
        <w:rPr>
          <w:rFonts w:hint="eastAsia" w:ascii="宋体" w:hAnsi="宋体"/>
          <w:b/>
          <w:color w:val="auto"/>
        </w:rPr>
        <w:t>19.4投标文件中标注的投标人名称应与主体资格证明（如营业执照、事业单位法人证书、执业许可证、自然人身份证等）及公章一致，</w:t>
      </w:r>
      <w:r>
        <w:rPr>
          <w:rFonts w:hint="eastAsia" w:ascii="宋体" w:hAnsi="宋体"/>
          <w:color w:val="auto"/>
        </w:rPr>
        <w:t>否则作无效投标处理</w:t>
      </w:r>
      <w:r>
        <w:rPr>
          <w:rFonts w:hint="eastAsia" w:ascii="宋体" w:hAnsi="宋体"/>
          <w:b/>
          <w:color w:val="auto"/>
        </w:rPr>
        <w:t>。</w:t>
      </w:r>
    </w:p>
    <w:p w14:paraId="14BAEBC5">
      <w:pPr>
        <w:autoSpaceDE w:val="0"/>
        <w:spacing w:line="360" w:lineRule="auto"/>
        <w:ind w:firstLine="420" w:firstLineChars="200"/>
        <w:jc w:val="left"/>
        <w:rPr>
          <w:rFonts w:hint="eastAsia" w:ascii="宋体" w:hAnsi="宋体"/>
          <w:b/>
          <w:color w:val="auto"/>
        </w:rPr>
      </w:pPr>
      <w:r>
        <w:rPr>
          <w:rFonts w:hint="eastAsia" w:ascii="宋体" w:hAnsi="宋体"/>
          <w:color w:val="auto"/>
        </w:rPr>
        <w:t>19.5投标文件应避免涂改、行间插字或者删除，</w:t>
      </w:r>
      <w:r>
        <w:rPr>
          <w:rFonts w:hint="eastAsia" w:ascii="宋体" w:hAnsi="宋体"/>
          <w:b/>
          <w:color w:val="auto"/>
        </w:rPr>
        <w:t>否则其投标无效。</w:t>
      </w:r>
    </w:p>
    <w:p w14:paraId="0897AAF7">
      <w:pPr>
        <w:autoSpaceDE w:val="0"/>
        <w:spacing w:line="360" w:lineRule="auto"/>
        <w:ind w:firstLine="420" w:firstLineChars="200"/>
        <w:jc w:val="left"/>
        <w:rPr>
          <w:rFonts w:hint="eastAsia" w:ascii="宋体" w:hAnsi="宋体"/>
          <w:color w:val="auto"/>
        </w:rPr>
      </w:pPr>
      <w:r>
        <w:rPr>
          <w:rFonts w:hint="eastAsia" w:ascii="宋体" w:hAnsi="宋体"/>
          <w:color w:val="auto"/>
        </w:rPr>
        <w:t>19.6 对招标文件的实质性要求和条件作出响应是指投标人必须对招标文件中标注为实质性要求和条件的货物内容及要求、商务条款及其它内容</w:t>
      </w:r>
      <w:r>
        <w:rPr>
          <w:rFonts w:hint="eastAsia" w:ascii="宋体" w:hAnsi="宋体"/>
          <w:b/>
          <w:color w:val="auto"/>
        </w:rPr>
        <w:t>作出满足或者优于原要求和条件的承诺</w:t>
      </w:r>
      <w:r>
        <w:rPr>
          <w:rFonts w:hint="eastAsia" w:ascii="宋体" w:hAnsi="宋体"/>
          <w:color w:val="auto"/>
        </w:rPr>
        <w:t>。</w:t>
      </w:r>
    </w:p>
    <w:p w14:paraId="68AB68DE">
      <w:pPr>
        <w:autoSpaceDE w:val="0"/>
        <w:spacing w:line="360" w:lineRule="auto"/>
        <w:ind w:firstLine="422" w:firstLineChars="200"/>
        <w:jc w:val="left"/>
        <w:rPr>
          <w:rFonts w:hint="eastAsia" w:ascii="宋体" w:hAnsi="宋体"/>
          <w:b/>
          <w:color w:val="auto"/>
          <w:u w:val="single"/>
        </w:rPr>
      </w:pPr>
      <w:r>
        <w:rPr>
          <w:rFonts w:hint="eastAsia" w:ascii="宋体" w:hAnsi="宋体"/>
          <w:b/>
          <w:color w:val="auto"/>
          <w:u w:val="single"/>
        </w:rPr>
        <w:t>19.7本项目为南宁市全流程电子化项目，异常情况见“第二节 投标人须知正文”中“四、24.2开标程序</w:t>
      </w:r>
      <w:r>
        <w:rPr>
          <w:rFonts w:hint="eastAsia" w:ascii="宋体" w:hAnsi="宋体"/>
          <w:b/>
          <w:color w:val="auto"/>
        </w:rPr>
        <w:t>。</w:t>
      </w:r>
    </w:p>
    <w:p w14:paraId="364B1A0D">
      <w:pP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20.备份投标文件</w:t>
      </w:r>
    </w:p>
    <w:p w14:paraId="4A84C8BF">
      <w:pPr>
        <w:spacing w:line="360" w:lineRule="auto"/>
        <w:ind w:firstLine="420" w:firstLineChars="200"/>
        <w:rPr>
          <w:rFonts w:hint="eastAsia" w:ascii="黑体" w:hAnsi="黑体" w:eastAsia="黑体"/>
          <w:color w:val="auto"/>
          <w:sz w:val="24"/>
        </w:rPr>
      </w:pPr>
      <w:r>
        <w:rPr>
          <w:rFonts w:hint="eastAsia" w:ascii="宋体" w:hAnsi="宋体"/>
          <w:bCs/>
          <w:color w:val="auto"/>
        </w:rPr>
        <w:t>详见在“投标人须知前附表”。</w:t>
      </w:r>
    </w:p>
    <w:p w14:paraId="1E84071E">
      <w:pP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21.投标文件的提交</w:t>
      </w:r>
    </w:p>
    <w:p w14:paraId="4AA97CB1">
      <w:pPr>
        <w:autoSpaceDE w:val="0"/>
        <w:spacing w:line="360" w:lineRule="auto"/>
        <w:ind w:firstLine="420" w:firstLineChars="200"/>
        <w:jc w:val="left"/>
        <w:rPr>
          <w:rFonts w:hint="eastAsia" w:ascii="宋体" w:hAnsi="宋体"/>
          <w:b/>
          <w:color w:val="auto"/>
          <w:szCs w:val="21"/>
        </w:rPr>
      </w:pPr>
      <w:bookmarkStart w:id="115" w:name="_21.1投标人必须在“投标人须知中的前附表”规定的投标文件接收时间和投"/>
      <w:bookmarkEnd w:id="115"/>
      <w:r>
        <w:rPr>
          <w:rFonts w:hint="eastAsia" w:ascii="宋体" w:hAnsi="宋体"/>
          <w:bCs/>
          <w:color w:val="auto"/>
        </w:rPr>
        <w:t>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w:t>
      </w:r>
      <w:r>
        <w:rPr>
          <w:rFonts w:hint="eastAsia" w:ascii="宋体" w:hAnsi="宋体" w:cs="宋体"/>
          <w:bCs/>
          <w:color w:val="auto"/>
          <w:szCs w:val="21"/>
          <w:highlight w:val="none"/>
        </w:rPr>
        <w:t>广西政府采购云</w:t>
      </w:r>
      <w:r>
        <w:rPr>
          <w:rFonts w:hint="eastAsia" w:ascii="宋体" w:hAnsi="宋体"/>
          <w:bCs/>
          <w:color w:val="auto"/>
        </w:rPr>
        <w:t xml:space="preserve">”。 </w:t>
      </w:r>
      <w:r>
        <w:rPr>
          <w:rFonts w:hint="eastAsia" w:ascii="宋体" w:hAnsi="宋体"/>
          <w:b/>
          <w:color w:val="auto"/>
        </w:rPr>
        <w:t xml:space="preserve"> </w:t>
      </w:r>
    </w:p>
    <w:p w14:paraId="0537B496">
      <w:pPr>
        <w:autoSpaceDE w:val="0"/>
        <w:spacing w:line="360" w:lineRule="auto"/>
        <w:ind w:firstLine="422" w:firstLineChars="200"/>
        <w:jc w:val="left"/>
        <w:rPr>
          <w:rFonts w:hint="eastAsia" w:ascii="宋体" w:hAnsi="宋体"/>
          <w:b/>
          <w:color w:val="auto"/>
        </w:rPr>
      </w:pPr>
      <w:r>
        <w:rPr>
          <w:rFonts w:hint="eastAsia" w:ascii="宋体" w:hAnsi="宋体"/>
          <w:b/>
          <w:color w:val="auto"/>
        </w:rPr>
        <w:t>21.2未在规定时间内提交或者未按照招标文件要求密封或者标记的电子投标文件，“</w:t>
      </w:r>
      <w:r>
        <w:rPr>
          <w:rFonts w:hint="eastAsia" w:ascii="宋体" w:hAnsi="宋体"/>
          <w:b/>
          <w:color w:val="auto"/>
          <w:lang w:eastAsia="zh-CN"/>
        </w:rPr>
        <w:t>广西政府采购云</w:t>
      </w:r>
      <w:r>
        <w:rPr>
          <w:rFonts w:hint="eastAsia" w:ascii="宋体" w:hAnsi="宋体"/>
          <w:b/>
          <w:color w:val="auto"/>
        </w:rPr>
        <w:t>”平台将拒收。</w:t>
      </w:r>
    </w:p>
    <w:p w14:paraId="278A6A87">
      <w:pPr>
        <w:autoSpaceDE w:val="0"/>
        <w:spacing w:line="360" w:lineRule="auto"/>
        <w:ind w:firstLine="420" w:firstLineChars="200"/>
        <w:jc w:val="left"/>
        <w:rPr>
          <w:rFonts w:hint="eastAsia" w:ascii="宋体" w:hAnsi="宋体"/>
          <w:color w:val="auto"/>
        </w:rPr>
      </w:pPr>
      <w:r>
        <w:rPr>
          <w:rFonts w:hint="eastAsia" w:ascii="宋体" w:hAnsi="宋体"/>
          <w:color w:val="auto"/>
        </w:rPr>
        <w:t>21.3电子版投标文件提交方式见“招标公告”中“四、提交投标文件截止时间、开标时间和地点”</w:t>
      </w:r>
      <w:r>
        <w:rPr>
          <w:rFonts w:hint="eastAsia" w:ascii="宋体" w:hAnsi="宋体"/>
          <w:b/>
          <w:color w:val="auto"/>
        </w:rPr>
        <w:t xml:space="preserve"> 。</w:t>
      </w:r>
    </w:p>
    <w:p w14:paraId="7A4BAC15">
      <w:pPr>
        <w:autoSpaceDE w:val="0"/>
        <w:spacing w:line="360" w:lineRule="auto"/>
        <w:ind w:firstLine="420" w:firstLineChars="200"/>
        <w:jc w:val="left"/>
        <w:rPr>
          <w:rFonts w:hint="eastAsia" w:ascii="宋体" w:hAnsi="宋体"/>
          <w:color w:val="auto"/>
        </w:rPr>
      </w:pPr>
      <w:r>
        <w:rPr>
          <w:rFonts w:hint="eastAsia" w:ascii="宋体" w:hAnsi="宋体"/>
          <w:color w:val="auto"/>
        </w:rPr>
        <w:t>22. 投标文件的补充、修改、撤回与退回</w:t>
      </w:r>
      <w:bookmarkStart w:id="116" w:name="_Toc254970543"/>
      <w:bookmarkEnd w:id="116"/>
      <w:bookmarkStart w:id="117" w:name="_Toc254970684"/>
      <w:bookmarkEnd w:id="117"/>
    </w:p>
    <w:p w14:paraId="69AE78EF">
      <w:pPr>
        <w:autoSpaceDE w:val="0"/>
        <w:spacing w:line="360" w:lineRule="auto"/>
        <w:ind w:firstLine="420" w:firstLineChars="200"/>
        <w:jc w:val="left"/>
        <w:rPr>
          <w:rFonts w:hint="eastAsia" w:ascii="宋体" w:hAnsi="宋体"/>
          <w:color w:val="auto"/>
        </w:rPr>
      </w:pPr>
      <w:r>
        <w:rPr>
          <w:rFonts w:hint="eastAsia" w:ascii="宋体" w:hAnsi="宋体"/>
          <w:color w:val="auto"/>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w:t>
      </w:r>
      <w:r>
        <w:rPr>
          <w:rFonts w:hint="eastAsia" w:ascii="宋体" w:hAnsi="宋体"/>
          <w:color w:val="auto"/>
          <w:lang w:eastAsia="zh-CN"/>
        </w:rPr>
        <w:t>广西政府采购云</w:t>
      </w:r>
      <w:r>
        <w:rPr>
          <w:rFonts w:hint="eastAsia" w:ascii="宋体" w:hAnsi="宋体"/>
          <w:color w:val="auto"/>
        </w:rPr>
        <w:t>”平台将拒收。（补充、修改或者撤回方式见公告附件“电子投标文件制作与投送教程”）</w:t>
      </w:r>
    </w:p>
    <w:p w14:paraId="3637CC06">
      <w:pPr>
        <w:pStyle w:val="18"/>
        <w:autoSpaceDE w:val="0"/>
        <w:spacing w:before="0"/>
        <w:ind w:firstLine="420"/>
        <w:jc w:val="left"/>
        <w:rPr>
          <w:rFonts w:hint="eastAsia" w:ascii="宋体" w:hAnsi="宋体"/>
          <w:color w:val="auto"/>
          <w:sz w:val="21"/>
          <w:szCs w:val="21"/>
        </w:rPr>
      </w:pPr>
      <w:r>
        <w:rPr>
          <w:rFonts w:hint="eastAsia" w:ascii="宋体" w:hAnsi="宋体"/>
          <w:color w:val="auto"/>
          <w:sz w:val="21"/>
          <w:szCs w:val="21"/>
        </w:rPr>
        <w:t>22.2“</w:t>
      </w:r>
      <w:r>
        <w:rPr>
          <w:rFonts w:hint="eastAsia" w:ascii="宋体" w:hAnsi="宋体"/>
          <w:color w:val="auto"/>
          <w:sz w:val="21"/>
          <w:szCs w:val="21"/>
          <w:lang w:eastAsia="zh-CN"/>
        </w:rPr>
        <w:t>广西政府采购云</w:t>
      </w:r>
      <w:r>
        <w:rPr>
          <w:rFonts w:hint="eastAsia" w:ascii="宋体" w:hAnsi="宋体"/>
          <w:color w:val="auto"/>
          <w:sz w:val="21"/>
          <w:szCs w:val="21"/>
        </w:rPr>
        <w:t>”平台收到投标文件，将妥善保存并即时向供应商发出确认回执通知。在投标截止时间前，除供应商补充、修改或者撤回投标文件外，任何单位和个人不得解密或提取投标文件。</w:t>
      </w:r>
    </w:p>
    <w:p w14:paraId="341FF007">
      <w:pPr>
        <w:autoSpaceDE w:val="0"/>
        <w:spacing w:line="360" w:lineRule="auto"/>
        <w:ind w:firstLine="420" w:firstLineChars="200"/>
        <w:jc w:val="left"/>
        <w:rPr>
          <w:rFonts w:hint="eastAsia" w:ascii="宋体" w:hAnsi="宋体"/>
          <w:color w:val="auto"/>
          <w:szCs w:val="21"/>
        </w:rPr>
      </w:pPr>
      <w:r>
        <w:rPr>
          <w:rFonts w:hint="eastAsia" w:ascii="宋体" w:hAnsi="宋体"/>
          <w:color w:val="auto"/>
        </w:rPr>
        <w:t>22.3在投标截止时间止提交电子版投标文件的投标人不足3家时，电子版投标文件由代理机构在“</w:t>
      </w:r>
      <w:r>
        <w:rPr>
          <w:rFonts w:hint="eastAsia" w:ascii="宋体" w:hAnsi="宋体"/>
          <w:color w:val="auto"/>
          <w:lang w:eastAsia="zh-CN"/>
        </w:rPr>
        <w:t>广西政府采购云</w:t>
      </w:r>
      <w:r>
        <w:rPr>
          <w:rFonts w:hint="eastAsia" w:ascii="宋体" w:hAnsi="宋体"/>
          <w:color w:val="auto"/>
        </w:rPr>
        <w:t>”平台操作退回，除此之外采购人和采购代理机构对已提交的投标文件概不退回。</w:t>
      </w:r>
    </w:p>
    <w:p w14:paraId="26295BB8">
      <w:pPr>
        <w:pStyle w:val="7"/>
        <w:snapToGrid w:val="0"/>
        <w:spacing w:line="400" w:lineRule="exact"/>
        <w:ind w:firstLine="739"/>
        <w:rPr>
          <w:rFonts w:hint="eastAsia" w:hAnsi="宋体"/>
          <w:color w:val="auto"/>
          <w:sz w:val="21"/>
          <w:szCs w:val="21"/>
        </w:rPr>
      </w:pPr>
      <w:r>
        <w:rPr>
          <w:rFonts w:hint="eastAsia" w:hAnsi="宋体"/>
          <w:color w:val="auto"/>
          <w:sz w:val="21"/>
          <w:szCs w:val="21"/>
        </w:rPr>
        <w:t xml:space="preserve"> </w:t>
      </w:r>
    </w:p>
    <w:p w14:paraId="04CAA6BE">
      <w:pPr>
        <w:pStyle w:val="3"/>
        <w:keepLines w:val="0"/>
        <w:spacing w:line="400" w:lineRule="exact"/>
        <w:jc w:val="center"/>
        <w:rPr>
          <w:rFonts w:hint="eastAsia"/>
          <w:color w:val="auto"/>
        </w:rPr>
      </w:pPr>
      <w:bookmarkStart w:id="118" w:name="_Toc22741"/>
      <w:bookmarkEnd w:id="118"/>
      <w:bookmarkStart w:id="119" w:name="_Toc254970685"/>
      <w:bookmarkEnd w:id="119"/>
      <w:bookmarkStart w:id="120" w:name="_Toc254970544"/>
      <w:bookmarkEnd w:id="120"/>
      <w:bookmarkStart w:id="121" w:name="_Toc21124"/>
      <w:bookmarkEnd w:id="121"/>
      <w:bookmarkStart w:id="122" w:name="_Toc8839"/>
      <w:bookmarkStart w:id="123" w:name="_Toc496"/>
      <w:r>
        <w:rPr>
          <w:rFonts w:hint="eastAsia" w:ascii="宋体" w:hAnsi="宋体"/>
          <w:color w:val="auto"/>
        </w:rPr>
        <w:t>四、开</w:t>
      </w:r>
      <w:bookmarkEnd w:id="122"/>
      <w:r>
        <w:rPr>
          <w:color w:val="auto"/>
        </w:rPr>
        <w:t xml:space="preserve">    </w:t>
      </w:r>
      <w:r>
        <w:rPr>
          <w:rFonts w:hint="eastAsia" w:ascii="宋体" w:hAnsi="宋体"/>
          <w:color w:val="auto"/>
        </w:rPr>
        <w:t>标</w:t>
      </w:r>
      <w:bookmarkEnd w:id="123"/>
    </w:p>
    <w:p w14:paraId="0A9A5F65">
      <w:pPr>
        <w:spacing w:line="360" w:lineRule="auto"/>
        <w:ind w:firstLine="480" w:firstLineChars="200"/>
        <w:rPr>
          <w:rFonts w:ascii="黑体" w:hAnsi="黑体" w:eastAsia="黑体"/>
          <w:color w:val="auto"/>
          <w:sz w:val="24"/>
        </w:rPr>
      </w:pPr>
      <w:bookmarkStart w:id="124" w:name="_23.开标时间和地点"/>
      <w:bookmarkEnd w:id="124"/>
      <w:r>
        <w:rPr>
          <w:rFonts w:hint="eastAsia" w:ascii="黑体" w:hAnsi="黑体" w:eastAsia="黑体"/>
          <w:color w:val="auto"/>
          <w:sz w:val="24"/>
        </w:rPr>
        <w:t>23.开标时间和地点</w:t>
      </w:r>
    </w:p>
    <w:p w14:paraId="1F04ACBB">
      <w:pPr>
        <w:spacing w:line="360" w:lineRule="auto"/>
        <w:ind w:firstLine="420" w:firstLineChars="200"/>
        <w:rPr>
          <w:rFonts w:hint="eastAsia" w:ascii="宋体" w:hAnsi="宋体"/>
          <w:color w:val="auto"/>
          <w:szCs w:val="21"/>
        </w:rPr>
      </w:pPr>
      <w:r>
        <w:rPr>
          <w:rFonts w:hint="eastAsia" w:ascii="宋体" w:hAnsi="宋体"/>
          <w:color w:val="auto"/>
        </w:rPr>
        <w:t>23.1开标时间及地点详见“投标人须知前附表”</w:t>
      </w:r>
    </w:p>
    <w:p w14:paraId="21541B36">
      <w:pPr>
        <w:spacing w:line="360" w:lineRule="auto"/>
        <w:ind w:firstLine="420" w:firstLineChars="200"/>
        <w:rPr>
          <w:rFonts w:hint="eastAsia" w:ascii="宋体" w:hAnsi="宋体"/>
          <w:color w:val="auto"/>
        </w:rPr>
      </w:pPr>
      <w:r>
        <w:rPr>
          <w:rFonts w:hint="eastAsia" w:ascii="宋体" w:hAnsi="宋体"/>
          <w:color w:val="auto"/>
        </w:rPr>
        <w:t>23.2如投标人成功解密投标文件，但未在“</w:t>
      </w:r>
      <w:r>
        <w:rPr>
          <w:rFonts w:hint="eastAsia" w:ascii="宋体" w:hAnsi="宋体"/>
          <w:color w:val="auto"/>
          <w:lang w:eastAsia="zh-CN"/>
        </w:rPr>
        <w:t>广西政府采购云</w:t>
      </w:r>
      <w:r>
        <w:rPr>
          <w:rFonts w:hint="eastAsia" w:ascii="宋体" w:hAnsi="宋体"/>
          <w:color w:val="auto"/>
        </w:rPr>
        <w:t>”电子开标大厅参加开标的，视同认可开标过程和结果，由此产生的后果由投标人自行负责。 投标人不足3家的，不得开标。</w:t>
      </w:r>
    </w:p>
    <w:p w14:paraId="3F80CED5">
      <w:pP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24.开标程序</w:t>
      </w:r>
    </w:p>
    <w:p w14:paraId="7E74D25B">
      <w:pPr>
        <w:autoSpaceDE w:val="0"/>
        <w:autoSpaceDN w:val="0"/>
        <w:adjustRightInd w:val="0"/>
        <w:spacing w:line="360" w:lineRule="auto"/>
        <w:ind w:firstLine="420" w:firstLineChars="200"/>
        <w:jc w:val="left"/>
        <w:rPr>
          <w:rFonts w:hint="eastAsia" w:ascii="宋体" w:hAnsi="宋体"/>
          <w:color w:val="auto"/>
          <w:kern w:val="0"/>
          <w:szCs w:val="21"/>
        </w:rPr>
      </w:pPr>
      <w:r>
        <w:rPr>
          <w:rFonts w:hint="eastAsia" w:ascii="宋体" w:hAnsi="宋体"/>
          <w:bCs/>
          <w:color w:val="auto"/>
        </w:rPr>
        <w:t>24.1</w:t>
      </w:r>
      <w:r>
        <w:rPr>
          <w:rFonts w:hint="eastAsia" w:ascii="宋体" w:hAnsi="宋体"/>
          <w:color w:val="auto"/>
          <w:kern w:val="0"/>
        </w:rPr>
        <w:t>开标形式：</w:t>
      </w:r>
    </w:p>
    <w:p w14:paraId="0C890042">
      <w:pPr>
        <w:autoSpaceDE w:val="0"/>
        <w:autoSpaceDN w:val="0"/>
        <w:adjustRightInd w:val="0"/>
        <w:spacing w:line="360" w:lineRule="auto"/>
        <w:ind w:firstLine="420" w:firstLineChars="200"/>
        <w:jc w:val="left"/>
        <w:rPr>
          <w:rFonts w:hint="eastAsia" w:ascii="宋体" w:hAnsi="宋体"/>
          <w:bCs/>
          <w:color w:val="auto"/>
        </w:rPr>
      </w:pPr>
      <w:r>
        <w:rPr>
          <w:rFonts w:hint="eastAsia" w:ascii="宋体" w:hAnsi="宋体"/>
          <w:color w:val="auto"/>
        </w:rPr>
        <w:t>（1）</w:t>
      </w:r>
      <w:r>
        <w:rPr>
          <w:rFonts w:hint="eastAsia" w:ascii="宋体" w:hAnsi="宋体"/>
          <w:bCs/>
          <w:color w:val="auto"/>
        </w:rPr>
        <w:t>开标的准备工作由采购代理机构负责落实，采购代理机构必须基于“</w:t>
      </w:r>
      <w:r>
        <w:rPr>
          <w:rFonts w:hint="eastAsia" w:ascii="宋体" w:hAnsi="宋体"/>
          <w:bCs/>
          <w:color w:val="auto"/>
          <w:lang w:eastAsia="zh-CN"/>
        </w:rPr>
        <w:t>广西政府采购云</w:t>
      </w:r>
      <w:r>
        <w:rPr>
          <w:rFonts w:hint="eastAsia" w:ascii="宋体" w:hAnsi="宋体"/>
          <w:bCs/>
          <w:color w:val="auto"/>
        </w:rPr>
        <w:t>”平台选取评审专家，如采购代理机构未按规定选取专家的，视为本次开评标无效，应当重新采购；</w:t>
      </w:r>
    </w:p>
    <w:p w14:paraId="047A6364">
      <w:pPr>
        <w:autoSpaceDE w:val="0"/>
        <w:autoSpaceDN w:val="0"/>
        <w:adjustRightInd w:val="0"/>
        <w:spacing w:line="360" w:lineRule="auto"/>
        <w:ind w:firstLine="420" w:firstLineChars="200"/>
        <w:jc w:val="left"/>
        <w:rPr>
          <w:rFonts w:hint="eastAsia" w:ascii="宋体" w:hAnsi="宋体"/>
          <w:bCs/>
          <w:color w:val="auto"/>
        </w:rPr>
      </w:pPr>
      <w:r>
        <w:rPr>
          <w:rFonts w:hint="eastAsia" w:ascii="宋体" w:hAnsi="宋体"/>
          <w:bCs/>
          <w:color w:val="auto"/>
        </w:rPr>
        <w:t>（2）采购代理机构将按照招标文件规定的时间通过“</w:t>
      </w:r>
      <w:r>
        <w:rPr>
          <w:rFonts w:hint="eastAsia" w:ascii="宋体" w:hAnsi="宋体"/>
          <w:bCs/>
          <w:color w:val="auto"/>
          <w:lang w:eastAsia="zh-CN"/>
        </w:rPr>
        <w:t>广西政府采购云</w:t>
      </w:r>
      <w:r>
        <w:rPr>
          <w:rFonts w:hint="eastAsia" w:ascii="宋体" w:hAnsi="宋体"/>
          <w:bCs/>
          <w:color w:val="auto"/>
        </w:rPr>
        <w:t>”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73B4A316">
      <w:pPr>
        <w:autoSpaceDE w:val="0"/>
        <w:autoSpaceDN w:val="0"/>
        <w:adjustRightInd w:val="0"/>
        <w:spacing w:line="360" w:lineRule="auto"/>
        <w:ind w:firstLine="420" w:firstLineChars="200"/>
        <w:jc w:val="left"/>
        <w:rPr>
          <w:rFonts w:hint="eastAsia" w:ascii="宋体" w:hAnsi="宋体"/>
          <w:bCs/>
          <w:color w:val="auto"/>
        </w:rPr>
      </w:pPr>
      <w:r>
        <w:rPr>
          <w:rFonts w:hint="eastAsia" w:ascii="宋体" w:hAnsi="宋体"/>
          <w:bCs/>
          <w:color w:val="auto"/>
        </w:rPr>
        <w:t>24.2开标程序：</w:t>
      </w:r>
    </w:p>
    <w:p w14:paraId="18993F55">
      <w:pPr>
        <w:pStyle w:val="9"/>
        <w:snapToGrid w:val="0"/>
        <w:spacing w:line="360" w:lineRule="auto"/>
        <w:ind w:firstLine="422" w:firstLineChars="200"/>
        <w:jc w:val="left"/>
        <w:rPr>
          <w:rFonts w:hint="eastAsia" w:hAnsi="宋体"/>
          <w:color w:val="auto"/>
        </w:rPr>
      </w:pPr>
      <w:r>
        <w:rPr>
          <w:rFonts w:hint="eastAsia" w:hAnsi="宋体"/>
          <w:b/>
          <w:color w:val="auto"/>
        </w:rPr>
        <w:t>（1）解密电子投标文件。</w:t>
      </w:r>
      <w:r>
        <w:rPr>
          <w:rFonts w:hint="eastAsia" w:hAnsi="宋体" w:cs="仿宋_GB2312"/>
          <w:b/>
          <w:color w:val="auto"/>
        </w:rPr>
        <w:t>“</w:t>
      </w:r>
      <w:r>
        <w:rPr>
          <w:rFonts w:hint="eastAsia" w:hAnsi="宋体" w:cs="仿宋_GB2312"/>
          <w:color w:val="auto"/>
          <w:lang w:eastAsia="zh-CN"/>
        </w:rPr>
        <w:t>广西政府采购云</w:t>
      </w:r>
      <w:r>
        <w:rPr>
          <w:rFonts w:hint="eastAsia" w:hAnsi="宋体" w:cs="仿宋_GB2312"/>
          <w:color w:val="auto"/>
        </w:rPr>
        <w:t>”平台按开标时间自动提取所有投标文件。采购代理机构依托“</w:t>
      </w:r>
      <w:r>
        <w:rPr>
          <w:rFonts w:hint="eastAsia" w:hAnsi="宋体" w:cs="仿宋_GB2312"/>
          <w:color w:val="auto"/>
          <w:lang w:eastAsia="zh-CN"/>
        </w:rPr>
        <w:t>广西政府采购云</w:t>
      </w:r>
      <w:r>
        <w:rPr>
          <w:rFonts w:hint="eastAsia" w:hAnsi="宋体" w:cs="仿宋_GB2312"/>
          <w:color w:val="auto"/>
        </w:rPr>
        <w:t>”平台</w:t>
      </w:r>
      <w:r>
        <w:rPr>
          <w:rFonts w:hint="eastAsia" w:hAnsi="宋体"/>
          <w:color w:val="auto"/>
        </w:rPr>
        <w:t>向各投标人发出电子加密投标文件【开始解密】通知，由投标人按招标文件规定的时间内自行进行投标文件解密。投标人的法定代表人或其委托代理人</w:t>
      </w:r>
      <w:r>
        <w:rPr>
          <w:rFonts w:hint="eastAsia" w:hAnsi="宋体"/>
          <w:b/>
          <w:color w:val="auto"/>
        </w:rPr>
        <w:t>须携带加密时所用的CA锁准时登录到“</w:t>
      </w:r>
      <w:r>
        <w:rPr>
          <w:rFonts w:hint="eastAsia" w:hAnsi="宋体"/>
          <w:b/>
          <w:color w:val="auto"/>
          <w:lang w:eastAsia="zh-CN"/>
        </w:rPr>
        <w:t>广西政府采购云</w:t>
      </w:r>
      <w:r>
        <w:rPr>
          <w:rFonts w:hint="eastAsia" w:hAnsi="宋体"/>
          <w:b/>
          <w:color w:val="auto"/>
        </w:rPr>
        <w:t>”平台电子开标大厅签到并对电子投标文件解密</w:t>
      </w:r>
      <w:r>
        <w:rPr>
          <w:rFonts w:hint="eastAsia" w:hAnsi="宋体"/>
          <w:color w:val="auto"/>
        </w:rPr>
        <w:t>。开标后5分钟投标人还未进行解密的，代理机构要通知投标人。通知后，</w:t>
      </w:r>
      <w:r>
        <w:rPr>
          <w:rFonts w:hint="eastAsia" w:hAnsi="宋体" w:cs="仿宋_GB2312"/>
          <w:color w:val="auto"/>
        </w:rPr>
        <w:t>投标文件仍未按时解密，</w:t>
      </w:r>
      <w:r>
        <w:rPr>
          <w:rFonts w:hint="eastAsia" w:hAnsi="宋体"/>
          <w:color w:val="auto"/>
        </w:rPr>
        <w:t>或者投标人没预留联系方式或预留联系方式无效，导致代理机构无法联系到投标人进行解密的，</w:t>
      </w:r>
      <w:r>
        <w:rPr>
          <w:rFonts w:hint="eastAsia" w:hAnsi="宋体"/>
          <w:b/>
          <w:color w:val="auto"/>
        </w:rPr>
        <w:t>均视为无效投标。</w:t>
      </w:r>
    </w:p>
    <w:p w14:paraId="20703B69">
      <w:pPr>
        <w:pStyle w:val="9"/>
        <w:snapToGrid w:val="0"/>
        <w:spacing w:line="360" w:lineRule="auto"/>
        <w:ind w:firstLine="420" w:firstLineChars="200"/>
        <w:jc w:val="left"/>
        <w:rPr>
          <w:rFonts w:hint="eastAsia" w:hAnsi="宋体"/>
          <w:color w:val="auto"/>
        </w:rPr>
      </w:pPr>
      <w:r>
        <w:rPr>
          <w:rFonts w:hint="eastAsia" w:hAnsi="宋体"/>
          <w:color w:val="auto"/>
        </w:rPr>
        <w:t>（解密</w:t>
      </w:r>
      <w:r>
        <w:rPr>
          <w:rFonts w:hint="eastAsia" w:hAnsi="宋体"/>
          <w:bCs/>
          <w:color w:val="auto"/>
        </w:rPr>
        <w:t>异常情况处理：详见本章</w:t>
      </w:r>
      <w:r>
        <w:rPr>
          <w:rFonts w:hint="eastAsia" w:hAnsi="宋体"/>
          <w:color w:val="auto"/>
        </w:rPr>
        <w:t>29.3 电子交易活动的中止。）</w:t>
      </w:r>
    </w:p>
    <w:p w14:paraId="5470D677">
      <w:pPr>
        <w:spacing w:line="360" w:lineRule="auto"/>
        <w:ind w:firstLine="420" w:firstLineChars="200"/>
        <w:jc w:val="left"/>
        <w:rPr>
          <w:rFonts w:hint="eastAsia" w:ascii="宋体" w:hAnsi="宋体"/>
          <w:color w:val="auto"/>
        </w:rPr>
      </w:pPr>
      <w:r>
        <w:rPr>
          <w:rFonts w:hint="eastAsia" w:ascii="宋体" w:hAnsi="宋体"/>
          <w:color w:val="auto"/>
        </w:rPr>
        <w:t>（2）</w:t>
      </w:r>
      <w:r>
        <w:rPr>
          <w:rFonts w:hint="eastAsia" w:ascii="宋体" w:hAnsi="宋体"/>
          <w:b/>
          <w:color w:val="auto"/>
        </w:rPr>
        <w:t>电子唱标。</w:t>
      </w:r>
      <w:r>
        <w:rPr>
          <w:rFonts w:hint="eastAsia" w:ascii="宋体" w:hAnsi="宋体"/>
          <w:color w:val="auto"/>
        </w:rPr>
        <w:t>投标文件解密结束，各投标供应商报价均在“</w:t>
      </w:r>
      <w:r>
        <w:rPr>
          <w:rFonts w:hint="eastAsia" w:ascii="宋体" w:hAnsi="宋体"/>
          <w:color w:val="auto"/>
          <w:lang w:eastAsia="zh-CN"/>
        </w:rPr>
        <w:t>广西政府采购云</w:t>
      </w:r>
      <w:r>
        <w:rPr>
          <w:rFonts w:hint="eastAsia" w:ascii="宋体" w:hAnsi="宋体"/>
          <w:color w:val="auto"/>
        </w:rPr>
        <w:t>”平台远程不见面开标大厅展示；</w:t>
      </w:r>
    </w:p>
    <w:p w14:paraId="43FEA6EA">
      <w:pPr>
        <w:spacing w:line="360" w:lineRule="auto"/>
        <w:ind w:firstLine="420" w:firstLineChars="200"/>
        <w:jc w:val="left"/>
        <w:rPr>
          <w:rFonts w:hint="eastAsia" w:ascii="宋体" w:hAnsi="宋体"/>
          <w:color w:val="auto"/>
        </w:rPr>
      </w:pPr>
      <w:r>
        <w:rPr>
          <w:rFonts w:hint="eastAsia" w:ascii="宋体" w:hAnsi="宋体"/>
          <w:color w:val="auto"/>
        </w:rPr>
        <w:t>（3）</w:t>
      </w:r>
      <w:r>
        <w:rPr>
          <w:rFonts w:hint="eastAsia" w:ascii="宋体" w:hAnsi="宋体"/>
          <w:b/>
          <w:color w:val="auto"/>
        </w:rPr>
        <w:t>签署电子《政府采购活动现场确认声明书》。</w:t>
      </w:r>
      <w:r>
        <w:rPr>
          <w:rFonts w:hint="eastAsia" w:ascii="宋体" w:hAnsi="宋体"/>
          <w:color w:val="auto"/>
        </w:rPr>
        <w:t>通过邮件形式在远程不见面开标大厅发送各投标人签署电子《政府采购活动现场确认声明书》。</w:t>
      </w:r>
    </w:p>
    <w:p w14:paraId="359DB40B">
      <w:pPr>
        <w:spacing w:line="360" w:lineRule="auto"/>
        <w:ind w:firstLine="420" w:firstLineChars="200"/>
        <w:jc w:val="left"/>
        <w:rPr>
          <w:rFonts w:hint="eastAsia" w:ascii="宋体" w:hAnsi="宋体"/>
          <w:bCs/>
          <w:color w:val="auto"/>
        </w:rPr>
      </w:pPr>
      <w:r>
        <w:rPr>
          <w:rFonts w:hint="eastAsia" w:ascii="宋体" w:hAnsi="宋体"/>
          <w:bCs/>
          <w:color w:val="auto"/>
        </w:rPr>
        <w:t>（4）开标过程由采购代理机构如实记录，并电子留痕，由参加电子开标的各投标人代表对电子开标记录在开标记录公布后15分钟内进行当场校核及勘误，并线上确认，未确认的视同认可开标结果。</w:t>
      </w:r>
    </w:p>
    <w:p w14:paraId="4153B02D">
      <w:pPr>
        <w:spacing w:line="360" w:lineRule="auto"/>
        <w:ind w:firstLine="420" w:firstLineChars="200"/>
        <w:jc w:val="left"/>
        <w:rPr>
          <w:rFonts w:hint="eastAsia" w:ascii="宋体" w:hAnsi="宋体"/>
          <w:bCs/>
          <w:color w:val="auto"/>
        </w:rPr>
      </w:pPr>
      <w:r>
        <w:rPr>
          <w:rFonts w:hint="eastAsia" w:ascii="宋体" w:hAnsi="宋体"/>
          <w:bCs/>
          <w:color w:val="auto"/>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7BD72DCD">
      <w:pPr>
        <w:spacing w:line="360" w:lineRule="auto"/>
        <w:ind w:firstLine="420" w:firstLineChars="200"/>
        <w:jc w:val="left"/>
        <w:rPr>
          <w:rFonts w:hint="eastAsia" w:ascii="宋体" w:hAnsi="宋体"/>
          <w:bCs/>
          <w:color w:val="auto"/>
        </w:rPr>
      </w:pPr>
      <w:r>
        <w:rPr>
          <w:rFonts w:hint="eastAsia" w:ascii="宋体" w:hAnsi="宋体"/>
          <w:bCs/>
          <w:color w:val="auto"/>
        </w:rPr>
        <w:t>（6）开标结束。</w:t>
      </w:r>
    </w:p>
    <w:p w14:paraId="559B5552">
      <w:pPr>
        <w:pStyle w:val="9"/>
        <w:snapToGrid w:val="0"/>
        <w:spacing w:line="360" w:lineRule="auto"/>
        <w:ind w:firstLine="422" w:firstLineChars="200"/>
        <w:jc w:val="left"/>
        <w:rPr>
          <w:rFonts w:hint="eastAsia" w:hAnsi="宋体"/>
          <w:color w:val="auto"/>
        </w:rPr>
      </w:pPr>
      <w:r>
        <w:rPr>
          <w:rFonts w:hint="eastAsia" w:hAnsi="宋体"/>
          <w:b/>
          <w:bCs/>
          <w:color w:val="auto"/>
        </w:rPr>
        <w:t>特别说明：</w:t>
      </w:r>
      <w:r>
        <w:rPr>
          <w:rFonts w:hint="eastAsia" w:hAnsi="宋体"/>
          <w:color w:val="auto"/>
        </w:rPr>
        <w:t>如遇“</w:t>
      </w:r>
      <w:r>
        <w:rPr>
          <w:rFonts w:hint="eastAsia" w:hAnsi="宋体"/>
          <w:color w:val="auto"/>
          <w:lang w:eastAsia="zh-CN"/>
        </w:rPr>
        <w:t>广西政府采购云</w:t>
      </w:r>
      <w:r>
        <w:rPr>
          <w:rFonts w:hint="eastAsia" w:hAnsi="宋体"/>
          <w:color w:val="auto"/>
        </w:rPr>
        <w:t>”平台电子化开标或评审程序调整的，按调整后执行。</w:t>
      </w:r>
    </w:p>
    <w:p w14:paraId="03D79D6F">
      <w:pPr>
        <w:pStyle w:val="9"/>
        <w:snapToGrid w:val="0"/>
        <w:spacing w:line="400" w:lineRule="exact"/>
        <w:ind w:left="689" w:leftChars="228" w:hanging="210" w:hangingChars="100"/>
        <w:rPr>
          <w:rFonts w:hint="eastAsia" w:hAnsi="宋体"/>
          <w:color w:val="auto"/>
        </w:rPr>
      </w:pPr>
      <w:r>
        <w:rPr>
          <w:rFonts w:hint="eastAsia" w:hAnsi="宋体"/>
          <w:color w:val="auto"/>
        </w:rPr>
        <w:t xml:space="preserve"> </w:t>
      </w:r>
    </w:p>
    <w:p w14:paraId="39E61CC1">
      <w:pPr>
        <w:pStyle w:val="3"/>
        <w:keepLines w:val="0"/>
        <w:spacing w:line="400" w:lineRule="exact"/>
        <w:jc w:val="center"/>
        <w:rPr>
          <w:rFonts w:hint="eastAsia"/>
          <w:color w:val="auto"/>
        </w:rPr>
      </w:pPr>
      <w:bookmarkStart w:id="125" w:name="_Toc12163"/>
      <w:bookmarkEnd w:id="125"/>
      <w:bookmarkStart w:id="126" w:name="_Toc22725"/>
      <w:bookmarkEnd w:id="126"/>
      <w:bookmarkStart w:id="127" w:name="_Toc23374"/>
      <w:bookmarkStart w:id="128" w:name="_Toc13366"/>
      <w:r>
        <w:rPr>
          <w:rFonts w:hint="eastAsia" w:ascii="宋体" w:hAnsi="宋体"/>
          <w:color w:val="auto"/>
        </w:rPr>
        <w:t>五、资格审查</w:t>
      </w:r>
      <w:bookmarkEnd w:id="127"/>
      <w:bookmarkEnd w:id="128"/>
    </w:p>
    <w:p w14:paraId="03BF51F5">
      <w:pPr>
        <w:pStyle w:val="4"/>
        <w:keepLines w:val="0"/>
        <w:spacing w:before="0" w:after="0" w:line="360" w:lineRule="auto"/>
        <w:ind w:firstLine="482" w:firstLineChars="200"/>
        <w:rPr>
          <w:rFonts w:ascii="黑体" w:hAnsi="黑体" w:eastAsia="黑体"/>
          <w:color w:val="auto"/>
          <w:sz w:val="24"/>
          <w:szCs w:val="24"/>
        </w:rPr>
      </w:pPr>
      <w:r>
        <w:rPr>
          <w:rFonts w:hint="eastAsia" w:ascii="黑体" w:hAnsi="黑体" w:eastAsia="黑体"/>
          <w:color w:val="auto"/>
          <w:sz w:val="24"/>
          <w:szCs w:val="24"/>
        </w:rPr>
        <w:t>25.资格审查</w:t>
      </w:r>
    </w:p>
    <w:p w14:paraId="6D7BFF72">
      <w:pPr>
        <w:spacing w:line="360" w:lineRule="auto"/>
        <w:ind w:firstLine="422" w:firstLineChars="200"/>
        <w:rPr>
          <w:rFonts w:hint="eastAsia" w:ascii="宋体" w:hAnsi="宋体"/>
          <w:b/>
          <w:bCs/>
          <w:color w:val="auto"/>
          <w:szCs w:val="21"/>
        </w:rPr>
      </w:pPr>
      <w:r>
        <w:rPr>
          <w:rFonts w:hint="eastAsia" w:ascii="宋体" w:hAnsi="宋体"/>
          <w:b/>
          <w:bCs/>
          <w:color w:val="auto"/>
        </w:rPr>
        <w:t>25.1开标结束后，采购人或采购机构依法通过电子投标文件对投标人的资格进行线上审查。</w:t>
      </w:r>
    </w:p>
    <w:p w14:paraId="65B41C5D">
      <w:pPr>
        <w:spacing w:line="360" w:lineRule="auto"/>
        <w:ind w:firstLine="422" w:firstLineChars="200"/>
        <w:rPr>
          <w:rFonts w:hint="eastAsia" w:ascii="宋体" w:hAnsi="宋体"/>
          <w:b/>
          <w:bCs/>
          <w:color w:val="auto"/>
        </w:rPr>
      </w:pPr>
      <w:r>
        <w:rPr>
          <w:rFonts w:hint="eastAsia" w:ascii="宋体" w:hAnsi="宋体"/>
          <w:b/>
          <w:bCs/>
          <w:color w:val="auto"/>
        </w:rPr>
        <w:t>25.2采购人或采购机构依据法律法规和招标文件的规定，对投标人的基本资格条件、特定资格条件进行审查。</w:t>
      </w:r>
    </w:p>
    <w:p w14:paraId="70D2A36B">
      <w:pPr>
        <w:spacing w:line="360" w:lineRule="auto"/>
        <w:ind w:firstLine="420" w:firstLineChars="200"/>
        <w:rPr>
          <w:rFonts w:hint="eastAsia" w:ascii="宋体" w:hAnsi="宋体"/>
          <w:color w:val="auto"/>
        </w:rPr>
      </w:pPr>
      <w:r>
        <w:rPr>
          <w:rFonts w:hint="eastAsia" w:ascii="宋体" w:hAnsi="宋体"/>
          <w:color w:val="auto"/>
        </w:rPr>
        <w:t>25.3资格审查标准为本“招标文件”中“投标人须知前附表”13.1点载明对投标人资格要求的条件。本项目资格审查采用合格制，凡符合招标文件规定的投标人资格要求的投标人均通过资格审查。</w:t>
      </w:r>
    </w:p>
    <w:p w14:paraId="6153F1FC">
      <w:pPr>
        <w:spacing w:line="360" w:lineRule="auto"/>
        <w:ind w:firstLine="422" w:firstLineChars="200"/>
        <w:rPr>
          <w:rFonts w:hint="eastAsia" w:ascii="宋体" w:hAnsi="宋体"/>
          <w:b/>
          <w:bCs/>
          <w:color w:val="auto"/>
        </w:rPr>
      </w:pPr>
      <w:bookmarkStart w:id="129" w:name="_25.3_投标人有下列情形之一的，资格审查不通过而导致其投标无效："/>
      <w:bookmarkEnd w:id="129"/>
      <w:r>
        <w:rPr>
          <w:rFonts w:hint="eastAsia" w:ascii="宋体" w:hAnsi="宋体"/>
          <w:b/>
          <w:bCs/>
          <w:color w:val="auto"/>
        </w:rPr>
        <w:t>25.4投标人有下列情形之一的，资格审查不通过，作无效投标处理：</w:t>
      </w:r>
    </w:p>
    <w:p w14:paraId="6999396B">
      <w:pPr>
        <w:pStyle w:val="4"/>
        <w:keepLines w:val="0"/>
        <w:spacing w:before="0" w:after="0" w:line="360" w:lineRule="auto"/>
        <w:ind w:firstLine="420" w:firstLineChars="200"/>
        <w:rPr>
          <w:rFonts w:hint="eastAsia" w:ascii="宋体" w:hAnsi="宋体"/>
          <w:b w:val="0"/>
          <w:bCs w:val="0"/>
          <w:color w:val="auto"/>
          <w:sz w:val="21"/>
          <w:szCs w:val="21"/>
        </w:rPr>
      </w:pPr>
      <w:r>
        <w:rPr>
          <w:rFonts w:hint="eastAsia" w:ascii="宋体" w:hAnsi="宋体"/>
          <w:b w:val="0"/>
          <w:bCs w:val="0"/>
          <w:color w:val="auto"/>
          <w:sz w:val="21"/>
          <w:szCs w:val="21"/>
        </w:rPr>
        <w:t>（1）不具备招标文件中规定的资格要求的；（注：其中信用查询规则见“投标人须知前附表”，“</w:t>
      </w:r>
      <w:r>
        <w:rPr>
          <w:rFonts w:hint="eastAsia" w:ascii="宋体" w:hAnsi="宋体"/>
          <w:b w:val="0"/>
          <w:bCs w:val="0"/>
          <w:color w:val="auto"/>
          <w:sz w:val="21"/>
          <w:szCs w:val="21"/>
          <w:lang w:eastAsia="zh-CN"/>
        </w:rPr>
        <w:t>广西政府采购云</w:t>
      </w:r>
      <w:r>
        <w:rPr>
          <w:rFonts w:hint="eastAsia" w:ascii="宋体" w:hAnsi="宋体"/>
          <w:b w:val="0"/>
          <w:bCs w:val="0"/>
          <w:color w:val="auto"/>
          <w:sz w:val="21"/>
          <w:szCs w:val="21"/>
        </w:rPr>
        <w:t>”平台已与“信用中国”平台做接口，审查专家可直接在线查询）</w:t>
      </w:r>
    </w:p>
    <w:p w14:paraId="70CD9128">
      <w:pPr>
        <w:pStyle w:val="4"/>
        <w:keepLines w:val="0"/>
        <w:spacing w:before="0" w:after="0" w:line="360" w:lineRule="auto"/>
        <w:ind w:firstLine="420" w:firstLineChars="200"/>
        <w:rPr>
          <w:rFonts w:hint="eastAsia" w:ascii="宋体" w:hAnsi="宋体"/>
          <w:b w:val="0"/>
          <w:bCs w:val="0"/>
          <w:color w:val="auto"/>
          <w:sz w:val="21"/>
          <w:szCs w:val="21"/>
        </w:rPr>
      </w:pPr>
      <w:r>
        <w:rPr>
          <w:rFonts w:hint="eastAsia" w:ascii="宋体" w:hAnsi="宋体"/>
          <w:b w:val="0"/>
          <w:bCs w:val="0"/>
          <w:color w:val="auto"/>
          <w:sz w:val="21"/>
          <w:szCs w:val="21"/>
        </w:rPr>
        <w:t>（2）投标文件未提供任一项“投标人须知前附表”资格证明文件规定的“必须提供”的文件资料的；</w:t>
      </w:r>
    </w:p>
    <w:p w14:paraId="4DB09EC8">
      <w:pPr>
        <w:pStyle w:val="4"/>
        <w:keepLines w:val="0"/>
        <w:spacing w:before="0" w:after="0" w:line="360" w:lineRule="auto"/>
        <w:ind w:firstLine="420" w:firstLineChars="200"/>
        <w:rPr>
          <w:rFonts w:hint="eastAsia" w:ascii="宋体" w:hAnsi="宋体"/>
          <w:b w:val="0"/>
          <w:bCs w:val="0"/>
          <w:color w:val="auto"/>
          <w:sz w:val="21"/>
          <w:szCs w:val="21"/>
        </w:rPr>
      </w:pPr>
      <w:r>
        <w:rPr>
          <w:rFonts w:hint="eastAsia" w:ascii="宋体" w:hAnsi="宋体"/>
          <w:b w:val="0"/>
          <w:bCs w:val="0"/>
          <w:color w:val="auto"/>
          <w:sz w:val="21"/>
          <w:szCs w:val="21"/>
        </w:rPr>
        <w:t>（3）投标文件提供的资格证明文件出现任一项不符合“投标人须知前附表”资格证明文件规定的“必须提供”的文件资料要求或者无效的。</w:t>
      </w:r>
    </w:p>
    <w:p w14:paraId="5A1C58BA">
      <w:pPr>
        <w:pStyle w:val="4"/>
        <w:keepLines w:val="0"/>
        <w:spacing w:before="0" w:after="0" w:line="360" w:lineRule="auto"/>
        <w:ind w:firstLine="420" w:firstLineChars="200"/>
        <w:rPr>
          <w:rFonts w:hint="eastAsia" w:ascii="宋体" w:hAnsi="宋体"/>
          <w:b w:val="0"/>
          <w:bCs w:val="0"/>
          <w:color w:val="auto"/>
          <w:sz w:val="21"/>
          <w:szCs w:val="21"/>
        </w:rPr>
      </w:pPr>
      <w:r>
        <w:rPr>
          <w:rFonts w:hint="eastAsia" w:ascii="宋体" w:hAnsi="宋体"/>
          <w:b w:val="0"/>
          <w:bCs w:val="0"/>
          <w:color w:val="auto"/>
          <w:sz w:val="21"/>
          <w:szCs w:val="21"/>
        </w:rPr>
        <w:t>25.5资格审查的合格投标人不足3家的，不得评标。</w:t>
      </w:r>
    </w:p>
    <w:p w14:paraId="3C4BBAEC">
      <w:pPr>
        <w:pStyle w:val="3"/>
        <w:keepLines w:val="0"/>
        <w:spacing w:line="360" w:lineRule="auto"/>
        <w:jc w:val="center"/>
        <w:rPr>
          <w:rFonts w:hint="eastAsia"/>
          <w:color w:val="auto"/>
        </w:rPr>
      </w:pPr>
      <w:bookmarkStart w:id="130" w:name="_Toc5577"/>
      <w:bookmarkEnd w:id="130"/>
      <w:bookmarkStart w:id="131" w:name="_Toc19683"/>
      <w:bookmarkEnd w:id="131"/>
      <w:bookmarkStart w:id="132" w:name="_Toc4727"/>
      <w:bookmarkStart w:id="133" w:name="_Toc13615"/>
      <w:r>
        <w:rPr>
          <w:rFonts w:hint="eastAsia" w:ascii="宋体" w:hAnsi="宋体"/>
          <w:color w:val="auto"/>
        </w:rPr>
        <w:t>六、评</w:t>
      </w:r>
      <w:bookmarkEnd w:id="132"/>
      <w:r>
        <w:rPr>
          <w:color w:val="auto"/>
        </w:rPr>
        <w:t xml:space="preserve">   </w:t>
      </w:r>
      <w:r>
        <w:rPr>
          <w:rFonts w:hint="eastAsia" w:ascii="宋体" w:hAnsi="宋体"/>
          <w:color w:val="auto"/>
        </w:rPr>
        <w:t>标</w:t>
      </w:r>
      <w:bookmarkEnd w:id="133"/>
    </w:p>
    <w:p w14:paraId="5E507F0E">
      <w:pPr>
        <w:spacing w:line="360" w:lineRule="auto"/>
        <w:ind w:firstLine="480" w:firstLineChars="200"/>
        <w:rPr>
          <w:rFonts w:ascii="黑体" w:hAnsi="黑体" w:eastAsia="黑体"/>
          <w:color w:val="auto"/>
          <w:sz w:val="24"/>
        </w:rPr>
      </w:pPr>
      <w:bookmarkStart w:id="134" w:name="_26.组建评标委员会"/>
      <w:bookmarkEnd w:id="134"/>
      <w:r>
        <w:rPr>
          <w:rFonts w:hint="eastAsia" w:ascii="黑体" w:hAnsi="黑体" w:eastAsia="黑体"/>
          <w:color w:val="auto"/>
          <w:sz w:val="24"/>
        </w:rPr>
        <w:t>26.组建评标委员会</w:t>
      </w:r>
    </w:p>
    <w:p w14:paraId="07D5044C">
      <w:pPr>
        <w:spacing w:line="360" w:lineRule="auto"/>
        <w:ind w:firstLine="420" w:firstLineChars="200"/>
        <w:rPr>
          <w:rFonts w:hint="eastAsia" w:hAnsi="宋体"/>
          <w:color w:val="auto"/>
          <w:szCs w:val="21"/>
        </w:rPr>
      </w:pPr>
      <w:r>
        <w:rPr>
          <w:rFonts w:hint="eastAsia" w:ascii="宋体" w:hAnsi="宋体"/>
          <w:color w:val="auto"/>
        </w:rPr>
        <w:t>评标委员会由采购人代表和评审专家组成，人数为</w:t>
      </w:r>
      <w:r>
        <w:rPr>
          <w:rFonts w:hint="eastAsia"/>
          <w:color w:val="auto"/>
        </w:rPr>
        <w:t>5</w:t>
      </w:r>
      <w:r>
        <w:rPr>
          <w:rFonts w:hint="eastAsia" w:ascii="宋体" w:hAnsi="宋体"/>
          <w:color w:val="auto"/>
        </w:rPr>
        <w:t>人以上单数，其中评审专家不得少于成员总数的三分之二。</w:t>
      </w:r>
    </w:p>
    <w:p w14:paraId="1F437002">
      <w:pPr>
        <w:spacing w:line="360" w:lineRule="auto"/>
        <w:ind w:firstLine="420" w:firstLineChars="200"/>
        <w:rPr>
          <w:rFonts w:hint="eastAsia" w:hAnsi="宋体"/>
          <w:color w:val="auto"/>
        </w:rPr>
      </w:pPr>
      <w:r>
        <w:rPr>
          <w:rFonts w:hint="eastAsia" w:ascii="宋体" w:hAnsi="宋体"/>
          <w:color w:val="auto"/>
        </w:rPr>
        <w:t>参加过采购项目前期咨询论证的专家，不得参加该采购项目的评审活动。</w:t>
      </w:r>
    </w:p>
    <w:p w14:paraId="6547C388">
      <w:pPr>
        <w:spacing w:line="360" w:lineRule="auto"/>
        <w:ind w:firstLine="480" w:firstLineChars="200"/>
        <w:rPr>
          <w:rFonts w:ascii="黑体" w:hAnsi="黑体" w:eastAsia="黑体"/>
          <w:color w:val="auto"/>
          <w:sz w:val="24"/>
        </w:rPr>
      </w:pPr>
      <w:r>
        <w:rPr>
          <w:rFonts w:hint="eastAsia" w:ascii="黑体" w:hAnsi="黑体" w:eastAsia="黑体"/>
          <w:color w:val="auto"/>
          <w:sz w:val="24"/>
        </w:rPr>
        <w:t>27.评标的依据</w:t>
      </w:r>
    </w:p>
    <w:p w14:paraId="0B25D53B">
      <w:pPr>
        <w:spacing w:line="360" w:lineRule="auto"/>
        <w:ind w:firstLine="420" w:firstLineChars="200"/>
        <w:rPr>
          <w:rFonts w:hint="eastAsia" w:hAnsi="宋体"/>
          <w:color w:val="auto"/>
          <w:szCs w:val="21"/>
        </w:rPr>
      </w:pPr>
      <w:r>
        <w:rPr>
          <w:rFonts w:hint="eastAsia" w:ascii="宋体" w:hAnsi="宋体"/>
          <w:color w:val="auto"/>
        </w:rPr>
        <w:t>评标委员会以招标文件为依据对投标文件进行评审，“第四章 评标方法和评标标准”没有规定的方法、评审因素和标准，不作为评标依据。</w:t>
      </w:r>
    </w:p>
    <w:p w14:paraId="2AA64306">
      <w:pPr>
        <w:spacing w:line="360" w:lineRule="auto"/>
        <w:ind w:firstLine="480" w:firstLineChars="200"/>
        <w:rPr>
          <w:rFonts w:ascii="黑体" w:hAnsi="黑体" w:eastAsia="黑体"/>
          <w:color w:val="auto"/>
          <w:sz w:val="24"/>
        </w:rPr>
      </w:pPr>
      <w:r>
        <w:rPr>
          <w:rFonts w:hint="eastAsia" w:ascii="黑体" w:hAnsi="黑体" w:eastAsia="黑体"/>
          <w:color w:val="auto"/>
          <w:sz w:val="24"/>
        </w:rPr>
        <w:t>28.评标原则</w:t>
      </w:r>
    </w:p>
    <w:p w14:paraId="3B335482">
      <w:pPr>
        <w:autoSpaceDE w:val="0"/>
        <w:spacing w:line="360" w:lineRule="auto"/>
        <w:ind w:firstLine="420" w:firstLineChars="200"/>
        <w:jc w:val="left"/>
        <w:rPr>
          <w:rFonts w:hint="eastAsia" w:ascii="宋体" w:hAnsi="宋体"/>
          <w:color w:val="auto"/>
          <w:szCs w:val="21"/>
        </w:rPr>
      </w:pPr>
      <w:r>
        <w:rPr>
          <w:rFonts w:hint="eastAsia" w:ascii="宋体" w:hAnsi="宋体"/>
          <w:color w:val="auto"/>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7B4EEDB7">
      <w:pPr>
        <w:autoSpaceDE w:val="0"/>
        <w:spacing w:line="360" w:lineRule="auto"/>
        <w:ind w:firstLine="420" w:firstLineChars="200"/>
        <w:jc w:val="left"/>
        <w:rPr>
          <w:rFonts w:hint="eastAsia" w:ascii="宋体" w:hAnsi="宋体"/>
          <w:color w:val="auto"/>
        </w:rPr>
      </w:pPr>
      <w:r>
        <w:rPr>
          <w:rFonts w:hint="eastAsia" w:ascii="宋体" w:hAnsi="宋体"/>
          <w:color w:val="auto"/>
        </w:rPr>
        <w:t>28.2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35" w:name="_28.3评标方法。本项目将按须知前附表规定的评标办法进行评标，具体评标"/>
      <w:bookmarkEnd w:id="135"/>
    </w:p>
    <w:p w14:paraId="5ACC7F52">
      <w:pPr>
        <w:autoSpaceDE w:val="0"/>
        <w:spacing w:line="360" w:lineRule="auto"/>
        <w:ind w:firstLine="420" w:firstLineChars="200"/>
        <w:jc w:val="left"/>
        <w:rPr>
          <w:rFonts w:hint="eastAsia" w:ascii="宋体" w:hAnsi="宋体"/>
          <w:color w:val="auto"/>
        </w:rPr>
      </w:pPr>
      <w:r>
        <w:rPr>
          <w:rFonts w:hint="eastAsia" w:ascii="宋体" w:hAnsi="宋体"/>
          <w:color w:val="auto"/>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7E3FFB93">
      <w:pPr>
        <w:autoSpaceDE w:val="0"/>
        <w:spacing w:line="360" w:lineRule="auto"/>
        <w:ind w:firstLine="420" w:firstLineChars="200"/>
        <w:jc w:val="left"/>
        <w:rPr>
          <w:rFonts w:hint="eastAsia" w:ascii="宋体" w:hAnsi="宋体"/>
          <w:color w:val="auto"/>
        </w:rPr>
      </w:pPr>
      <w:r>
        <w:rPr>
          <w:rFonts w:hint="eastAsia" w:ascii="宋体" w:hAnsi="宋体"/>
          <w:color w:val="auto"/>
        </w:rPr>
        <w:t>28.4评标过程的监控。本项目电子评标过程实行网上留痕、全程录音、录像监控，投标人在评标过程中所进行的试图影响评标结果的不公正活动，可能导致其投标按无效处理。</w:t>
      </w:r>
    </w:p>
    <w:p w14:paraId="4DBFA437">
      <w:pPr>
        <w:widowControl/>
        <w:autoSpaceDE w:val="0"/>
        <w:spacing w:line="360" w:lineRule="auto"/>
        <w:ind w:firstLine="420" w:firstLineChars="200"/>
        <w:jc w:val="left"/>
        <w:textAlignment w:val="baseline"/>
        <w:rPr>
          <w:rFonts w:hint="eastAsia" w:ascii="宋体" w:hAnsi="宋体"/>
          <w:color w:val="auto"/>
        </w:rPr>
      </w:pPr>
      <w:r>
        <w:rPr>
          <w:rFonts w:hint="eastAsia" w:ascii="宋体" w:hAnsi="宋体"/>
          <w:color w:val="auto"/>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C1343C4">
      <w:pP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29.评标方法及评标标准</w:t>
      </w:r>
    </w:p>
    <w:p w14:paraId="7C431DF1">
      <w:pPr>
        <w:spacing w:line="360" w:lineRule="auto"/>
        <w:ind w:firstLine="420" w:firstLineChars="200"/>
        <w:jc w:val="left"/>
        <w:rPr>
          <w:rFonts w:hint="eastAsia" w:ascii="宋体" w:hAnsi="宋体"/>
          <w:color w:val="auto"/>
          <w:szCs w:val="21"/>
        </w:rPr>
      </w:pPr>
      <w:r>
        <w:rPr>
          <w:rFonts w:hint="eastAsia" w:ascii="宋体" w:hAnsi="宋体"/>
          <w:color w:val="auto"/>
        </w:rPr>
        <w:t>29.1本项目的评标方法详见“投标人须知前附表”。</w:t>
      </w:r>
    </w:p>
    <w:p w14:paraId="065287A8">
      <w:pPr>
        <w:spacing w:line="360" w:lineRule="auto"/>
        <w:ind w:firstLine="420" w:firstLineChars="200"/>
        <w:jc w:val="left"/>
        <w:rPr>
          <w:rFonts w:hint="eastAsia" w:ascii="宋体" w:hAnsi="宋体"/>
          <w:color w:val="auto"/>
        </w:rPr>
      </w:pPr>
      <w:r>
        <w:rPr>
          <w:rFonts w:hint="eastAsia" w:ascii="宋体" w:hAnsi="宋体"/>
          <w:color w:val="auto"/>
        </w:rPr>
        <w:t>29.2 评标委员会按照</w:t>
      </w:r>
      <w:r>
        <w:rPr>
          <w:rFonts w:hint="eastAsia" w:ascii="宋体" w:hAnsi="宋体"/>
          <w:b/>
          <w:color w:val="auto"/>
        </w:rPr>
        <w:t>“第四章 评标方法和评标标准”</w:t>
      </w:r>
      <w:r>
        <w:rPr>
          <w:rFonts w:hint="eastAsia" w:ascii="宋体" w:hAnsi="宋体"/>
          <w:color w:val="auto"/>
        </w:rPr>
        <w:t>规定的方法、评审因素、标准和程序对投标文件进行评审。</w:t>
      </w:r>
    </w:p>
    <w:p w14:paraId="198AD9A9">
      <w:pPr>
        <w:spacing w:line="360" w:lineRule="auto"/>
        <w:ind w:firstLine="420" w:firstLineChars="200"/>
        <w:jc w:val="left"/>
        <w:rPr>
          <w:rFonts w:hint="eastAsia" w:ascii="宋体" w:hAnsi="宋体"/>
          <w:color w:val="auto"/>
        </w:rPr>
      </w:pPr>
      <w:r>
        <w:rPr>
          <w:rFonts w:hint="eastAsia" w:ascii="宋体" w:hAnsi="宋体"/>
          <w:color w:val="auto"/>
        </w:rPr>
        <w:t>29.3 电子交易活动的中止。采购过程中出现以下情形，导致电子交易平台无法正常运行，或者无法保证电子交易的公平、公正和安全时，采购机构可中止电子交易活动：</w:t>
      </w:r>
    </w:p>
    <w:p w14:paraId="5FCA47B3">
      <w:pPr>
        <w:spacing w:line="360" w:lineRule="auto"/>
        <w:ind w:firstLine="420" w:firstLineChars="200"/>
        <w:jc w:val="left"/>
        <w:rPr>
          <w:rFonts w:hint="eastAsia" w:ascii="宋体" w:hAnsi="宋体"/>
          <w:color w:val="auto"/>
        </w:rPr>
      </w:pPr>
      <w:r>
        <w:rPr>
          <w:rFonts w:hint="eastAsia" w:ascii="宋体" w:hAnsi="宋体"/>
          <w:color w:val="auto"/>
        </w:rPr>
        <w:t xml:space="preserve">（1）电子交易平台发生故障而无法登录访问的； </w:t>
      </w:r>
    </w:p>
    <w:p w14:paraId="09628016">
      <w:pPr>
        <w:spacing w:line="360" w:lineRule="auto"/>
        <w:ind w:firstLine="420" w:firstLineChars="200"/>
        <w:jc w:val="left"/>
        <w:rPr>
          <w:rFonts w:hint="eastAsia" w:ascii="宋体" w:hAnsi="宋体"/>
          <w:color w:val="auto"/>
        </w:rPr>
      </w:pPr>
      <w:r>
        <w:rPr>
          <w:rFonts w:hint="eastAsia" w:ascii="宋体" w:hAnsi="宋体"/>
          <w:color w:val="auto"/>
        </w:rPr>
        <w:t>（2）电子交易平台应用或数据库出现错误，不能进行正常操作的；</w:t>
      </w:r>
    </w:p>
    <w:p w14:paraId="16BD996B">
      <w:pPr>
        <w:spacing w:line="360" w:lineRule="auto"/>
        <w:ind w:firstLine="420" w:firstLineChars="200"/>
        <w:jc w:val="left"/>
        <w:rPr>
          <w:rFonts w:hint="eastAsia" w:ascii="宋体" w:hAnsi="宋体"/>
          <w:color w:val="auto"/>
        </w:rPr>
      </w:pPr>
      <w:r>
        <w:rPr>
          <w:rFonts w:hint="eastAsia" w:ascii="宋体" w:hAnsi="宋体"/>
          <w:color w:val="auto"/>
        </w:rPr>
        <w:t>（3）电子交易平台发现严重安全漏洞，有潜在泄密危险的；</w:t>
      </w:r>
    </w:p>
    <w:p w14:paraId="4486B1D0">
      <w:pPr>
        <w:spacing w:line="360" w:lineRule="auto"/>
        <w:ind w:firstLine="420" w:firstLineChars="200"/>
        <w:jc w:val="left"/>
        <w:rPr>
          <w:rFonts w:hint="eastAsia" w:ascii="宋体" w:hAnsi="宋体"/>
          <w:color w:val="auto"/>
        </w:rPr>
      </w:pPr>
      <w:r>
        <w:rPr>
          <w:rFonts w:hint="eastAsia" w:ascii="宋体" w:hAnsi="宋体"/>
          <w:color w:val="auto"/>
        </w:rPr>
        <w:t xml:space="preserve">（4）病毒发作导致不能进行正常操作的； </w:t>
      </w:r>
    </w:p>
    <w:p w14:paraId="76946CAC">
      <w:pPr>
        <w:spacing w:line="360" w:lineRule="auto"/>
        <w:ind w:firstLine="420" w:firstLineChars="200"/>
        <w:jc w:val="left"/>
        <w:rPr>
          <w:rFonts w:hint="eastAsia" w:ascii="宋体" w:hAnsi="宋体"/>
          <w:color w:val="auto"/>
        </w:rPr>
      </w:pPr>
      <w:r>
        <w:rPr>
          <w:rFonts w:hint="eastAsia" w:ascii="宋体" w:hAnsi="宋体"/>
          <w:color w:val="auto"/>
        </w:rPr>
        <w:t>（4）其他无法保证电子交易的公平、公正和安全的情况。</w:t>
      </w:r>
    </w:p>
    <w:p w14:paraId="5B202C31">
      <w:pPr>
        <w:spacing w:line="360" w:lineRule="auto"/>
        <w:ind w:firstLine="420" w:firstLineChars="200"/>
        <w:jc w:val="left"/>
        <w:rPr>
          <w:rFonts w:hint="eastAsia" w:ascii="宋体" w:hAnsi="宋体"/>
          <w:color w:val="auto"/>
        </w:rPr>
      </w:pPr>
      <w:r>
        <w:rPr>
          <w:rFonts w:hint="eastAsia" w:ascii="宋体" w:hAnsi="宋体"/>
          <w:color w:val="auto"/>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1B983375">
      <w:pPr>
        <w:pStyle w:val="9"/>
        <w:snapToGrid w:val="0"/>
        <w:spacing w:line="400" w:lineRule="exact"/>
        <w:ind w:firstLine="420" w:firstLineChars="200"/>
        <w:rPr>
          <w:rFonts w:hint="eastAsia" w:hAnsi="宋体"/>
          <w:color w:val="auto"/>
        </w:rPr>
      </w:pPr>
      <w:r>
        <w:rPr>
          <w:rFonts w:hint="eastAsia" w:hAnsi="宋体"/>
          <w:color w:val="auto"/>
        </w:rPr>
        <w:t xml:space="preserve"> </w:t>
      </w:r>
    </w:p>
    <w:p w14:paraId="1E483029">
      <w:pPr>
        <w:pStyle w:val="3"/>
        <w:keepLines w:val="0"/>
        <w:spacing w:line="400" w:lineRule="exact"/>
        <w:jc w:val="center"/>
        <w:rPr>
          <w:rFonts w:hint="eastAsia"/>
          <w:color w:val="auto"/>
        </w:rPr>
      </w:pPr>
      <w:bookmarkStart w:id="136" w:name="_Toc25232"/>
      <w:bookmarkEnd w:id="136"/>
      <w:bookmarkStart w:id="137" w:name="_Toc19260"/>
      <w:bookmarkEnd w:id="137"/>
      <w:bookmarkStart w:id="138" w:name="_Toc254970687"/>
      <w:bookmarkEnd w:id="138"/>
      <w:bookmarkStart w:id="139" w:name="_Toc254970546"/>
      <w:bookmarkEnd w:id="139"/>
      <w:bookmarkStart w:id="140" w:name="_Toc28529"/>
      <w:bookmarkStart w:id="141" w:name="_Toc20887"/>
      <w:r>
        <w:rPr>
          <w:rFonts w:hint="eastAsia" w:ascii="宋体" w:hAnsi="宋体"/>
          <w:color w:val="auto"/>
        </w:rPr>
        <w:t>七、</w:t>
      </w:r>
      <w:bookmarkEnd w:id="140"/>
      <w:r>
        <w:rPr>
          <w:rFonts w:hint="eastAsia" w:ascii="宋体" w:hAnsi="宋体"/>
          <w:color w:val="auto"/>
        </w:rPr>
        <w:t>中标和合同</w:t>
      </w:r>
      <w:bookmarkEnd w:id="141"/>
    </w:p>
    <w:p w14:paraId="68DDB892">
      <w:pPr>
        <w:spacing w:line="360" w:lineRule="auto"/>
        <w:ind w:firstLine="480" w:firstLineChars="200"/>
        <w:rPr>
          <w:rFonts w:ascii="黑体" w:hAnsi="黑体" w:eastAsia="黑体"/>
          <w:color w:val="auto"/>
          <w:sz w:val="24"/>
        </w:rPr>
      </w:pPr>
      <w:r>
        <w:rPr>
          <w:rFonts w:hint="eastAsia" w:ascii="黑体" w:hAnsi="黑体" w:eastAsia="黑体"/>
          <w:color w:val="auto"/>
          <w:sz w:val="24"/>
        </w:rPr>
        <w:t>30.确定中标人</w:t>
      </w:r>
    </w:p>
    <w:p w14:paraId="26B4C937">
      <w:pPr>
        <w:spacing w:line="360" w:lineRule="auto"/>
        <w:ind w:firstLine="422" w:firstLineChars="200"/>
        <w:jc w:val="left"/>
        <w:rPr>
          <w:rFonts w:hint="eastAsia" w:ascii="宋体" w:hAnsi="宋体" w:cs="Courier New"/>
          <w:b/>
          <w:bCs/>
          <w:color w:val="auto"/>
          <w:szCs w:val="21"/>
        </w:rPr>
      </w:pPr>
      <w:r>
        <w:rPr>
          <w:rFonts w:hint="eastAsia" w:ascii="宋体" w:hAnsi="宋体" w:cs="Courier New"/>
          <w:b/>
          <w:bCs/>
          <w:color w:val="auto"/>
        </w:rPr>
        <w:t>30.1本项目授权评标委员会直接按第四章“评标方法及标准”的规定排列中标候选人顺序，并依照次序确定中标人。</w:t>
      </w:r>
    </w:p>
    <w:p w14:paraId="509A696C">
      <w:pPr>
        <w:spacing w:line="360" w:lineRule="auto"/>
        <w:ind w:firstLine="422" w:firstLineChars="200"/>
        <w:jc w:val="left"/>
        <w:rPr>
          <w:rFonts w:hint="eastAsia" w:ascii="宋体" w:hAnsi="宋体" w:cs="Courier New"/>
          <w:b/>
          <w:bCs/>
          <w:color w:val="auto"/>
        </w:rPr>
      </w:pPr>
      <w:r>
        <w:rPr>
          <w:rFonts w:hint="eastAsia" w:ascii="宋体" w:hAnsi="宋体" w:cs="Courier New"/>
          <w:b/>
          <w:bCs/>
          <w:color w:val="auto"/>
        </w:rPr>
        <w:t>30.2提供相同品牌产品且通过资格审查、符合性审查的不同投标人参加同一合同项下投标的，按一家投标人计算，采用最低评标价法则以报价最低者参与评标，采用综合评分法则以评审得分最高者获得中标人推荐资格，采用最低评标价法报价相同的或者采用综合评分法评审得分相同的，按“投标人须知前附表”规定方式确定，确定后其他同品牌投标人投标无效或不作为中标候选人。</w:t>
      </w:r>
    </w:p>
    <w:p w14:paraId="7C0D226D">
      <w:pPr>
        <w:spacing w:line="360" w:lineRule="auto"/>
        <w:ind w:firstLine="420" w:firstLineChars="200"/>
        <w:jc w:val="left"/>
        <w:rPr>
          <w:rFonts w:hint="eastAsia" w:ascii="宋体" w:hAnsi="宋体" w:cs="Courier New"/>
          <w:color w:val="auto"/>
        </w:rPr>
      </w:pPr>
      <w:r>
        <w:rPr>
          <w:rFonts w:hint="eastAsia" w:ascii="宋体" w:hAnsi="宋体" w:cs="Courier New"/>
          <w:color w:val="auto"/>
        </w:rPr>
        <w:t>30.3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665883FC">
      <w:pPr>
        <w:spacing w:line="360" w:lineRule="auto"/>
        <w:ind w:firstLine="420" w:firstLineChars="200"/>
        <w:jc w:val="left"/>
        <w:rPr>
          <w:rFonts w:hint="eastAsia" w:ascii="宋体" w:hAnsi="宋体" w:cs="Courier New"/>
          <w:color w:val="auto"/>
        </w:rPr>
      </w:pPr>
      <w:r>
        <w:rPr>
          <w:rFonts w:hint="eastAsia" w:ascii="宋体" w:hAnsi="宋体" w:cs="Courier New"/>
          <w:color w:val="auto"/>
        </w:rPr>
        <w:t>30.4中标供应商无正当理由拒签合同的，根据《中华人民共和国政府采购法》第七十七条第一款规定处理。</w:t>
      </w:r>
    </w:p>
    <w:p w14:paraId="65FE1F65">
      <w:pPr>
        <w:spacing w:line="360" w:lineRule="auto"/>
        <w:ind w:firstLine="420" w:firstLineChars="200"/>
        <w:jc w:val="left"/>
        <w:rPr>
          <w:rFonts w:hint="eastAsia" w:ascii="宋体" w:hAnsi="宋体" w:cs="Courier New"/>
          <w:color w:val="auto"/>
        </w:rPr>
      </w:pPr>
      <w:r>
        <w:rPr>
          <w:rFonts w:hint="eastAsia" w:ascii="宋体" w:hAnsi="宋体" w:cs="Courier New"/>
          <w:color w:val="auto"/>
        </w:rPr>
        <w:t>30.5根据《中华人民共和国民法典》</w:t>
      </w:r>
      <w:r>
        <w:rPr>
          <w:rFonts w:hint="eastAsia" w:ascii="宋体" w:hAnsi="宋体"/>
          <w:color w:val="auto"/>
        </w:rPr>
        <w:t>第五百六十三条</w:t>
      </w:r>
      <w:r>
        <w:rPr>
          <w:rFonts w:hint="eastAsia" w:ascii="宋体" w:hAnsi="宋体" w:cs="Courier New"/>
          <w:color w:val="auto"/>
        </w:rPr>
        <w:t>，因不可抗力致使不能实现合同目的的，当事人可以解除合同。</w:t>
      </w:r>
    </w:p>
    <w:p w14:paraId="5709BDD5">
      <w:pP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31. 结果公告</w:t>
      </w:r>
    </w:p>
    <w:p w14:paraId="03910423">
      <w:pPr>
        <w:spacing w:line="360" w:lineRule="auto"/>
        <w:ind w:firstLine="420" w:firstLineChars="200"/>
        <w:jc w:val="left"/>
        <w:rPr>
          <w:rFonts w:hint="eastAsia" w:ascii="宋体" w:hAnsi="宋体"/>
          <w:color w:val="auto"/>
          <w:szCs w:val="21"/>
        </w:rPr>
      </w:pPr>
      <w:r>
        <w:rPr>
          <w:rFonts w:hint="eastAsia" w:ascii="宋体" w:hAnsi="宋体"/>
          <w:color w:val="auto"/>
        </w:rPr>
        <w:t>31.1在中标供应商确定之日起2个工作日内，由采购代理机构</w:t>
      </w:r>
      <w:r>
        <w:rPr>
          <w:rFonts w:hint="eastAsia" w:ascii="宋体" w:hAnsi="宋体"/>
          <w:b/>
          <w:color w:val="auto"/>
        </w:rPr>
        <w:t>在招标公告发布媒体上</w:t>
      </w:r>
      <w:r>
        <w:rPr>
          <w:rFonts w:hint="eastAsia" w:ascii="宋体" w:hAnsi="宋体"/>
          <w:color w:val="auto"/>
        </w:rPr>
        <w:t>发布中标结果公告，中标结果公告期限为1个工作日，发布中标结果公告的同时向中标供应商发出中标通知书。</w:t>
      </w:r>
      <w:r>
        <w:rPr>
          <w:rFonts w:hint="eastAsia" w:ascii="宋体" w:hAnsi="宋体"/>
          <w:b/>
          <w:color w:val="auto"/>
        </w:rPr>
        <w:t>采购代理机构发出中标通知书前，应当对中标人信用进行核实，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ascii="宋体" w:hAnsi="宋体"/>
          <w:color w:val="auto"/>
        </w:rPr>
        <w:t>排名第二的中标候选人因前款规定的同样原因被取消中标资格的，授权的评标委员会可以确定排名第三的中标候选人为中标人，以此类推。</w:t>
      </w:r>
    </w:p>
    <w:p w14:paraId="022F621E">
      <w:pPr>
        <w:spacing w:line="360" w:lineRule="auto"/>
        <w:ind w:firstLine="420" w:firstLineChars="200"/>
        <w:jc w:val="left"/>
        <w:rPr>
          <w:rFonts w:hint="eastAsia" w:ascii="宋体" w:hAnsi="宋体"/>
          <w:color w:val="auto"/>
        </w:rPr>
      </w:pPr>
      <w:r>
        <w:rPr>
          <w:rFonts w:hint="eastAsia" w:ascii="宋体" w:hAnsi="宋体"/>
          <w:color w:val="auto"/>
        </w:rPr>
        <w:t>以上信息查询记录及相关证据与采购文件一并保存。</w:t>
      </w:r>
    </w:p>
    <w:p w14:paraId="269BE38C">
      <w:pPr>
        <w:spacing w:line="360" w:lineRule="auto"/>
        <w:ind w:firstLine="420" w:firstLineChars="200"/>
        <w:jc w:val="left"/>
        <w:rPr>
          <w:rFonts w:hint="eastAsia" w:ascii="宋体" w:hAnsi="宋体"/>
          <w:color w:val="auto"/>
        </w:rPr>
      </w:pPr>
      <w:r>
        <w:rPr>
          <w:rFonts w:hint="eastAsia" w:ascii="宋体" w:hAnsi="宋体"/>
          <w:color w:val="auto"/>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5880AE09">
      <w:pP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32.发出中标通知书</w:t>
      </w:r>
    </w:p>
    <w:p w14:paraId="2F5CF066">
      <w:pPr>
        <w:spacing w:line="360" w:lineRule="auto"/>
        <w:ind w:firstLine="422" w:firstLineChars="200"/>
        <w:rPr>
          <w:rFonts w:hint="eastAsia" w:ascii="宋体" w:hAnsi="宋体"/>
          <w:b/>
          <w:color w:val="auto"/>
          <w:szCs w:val="21"/>
        </w:rPr>
      </w:pPr>
      <w:r>
        <w:rPr>
          <w:rFonts w:hint="eastAsia" w:ascii="宋体" w:hAnsi="宋体"/>
          <w:b/>
          <w:color w:val="auto"/>
        </w:rPr>
        <w:t>32.1在发布中标公告的同时，采购代理机构向中标人通过“</w:t>
      </w:r>
      <w:r>
        <w:rPr>
          <w:rFonts w:hint="eastAsia" w:ascii="宋体" w:hAnsi="宋体"/>
          <w:b/>
          <w:color w:val="auto"/>
          <w:lang w:eastAsia="zh-CN"/>
        </w:rPr>
        <w:t>广西政府采购云</w:t>
      </w:r>
      <w:r>
        <w:rPr>
          <w:rFonts w:hint="eastAsia" w:ascii="宋体" w:hAnsi="宋体"/>
          <w:b/>
          <w:color w:val="auto"/>
        </w:rPr>
        <w:t>”平台发出电子中标通知书。</w:t>
      </w:r>
    </w:p>
    <w:p w14:paraId="7EB23933">
      <w:pPr>
        <w:spacing w:line="360" w:lineRule="auto"/>
        <w:ind w:firstLine="422" w:firstLineChars="200"/>
        <w:rPr>
          <w:rFonts w:hint="eastAsia" w:ascii="宋体" w:hAnsi="宋体"/>
          <w:b/>
          <w:color w:val="auto"/>
        </w:rPr>
      </w:pPr>
      <w:r>
        <w:rPr>
          <w:rFonts w:hint="eastAsia" w:ascii="宋体" w:hAnsi="宋体"/>
          <w:b/>
          <w:color w:val="auto"/>
        </w:rPr>
        <w:t>32.2对未通过资格审查的投标人，采购人或采购机构应当告知其未通过的原因；采用综合评分办法评审的，采购人或采购机构还应当告知未中标人本人的评审得分与排序。</w:t>
      </w:r>
    </w:p>
    <w:p w14:paraId="169AE203">
      <w:pP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33. 无义务解释未中标原因</w:t>
      </w:r>
    </w:p>
    <w:p w14:paraId="46521F11">
      <w:pPr>
        <w:spacing w:line="360" w:lineRule="auto"/>
        <w:ind w:firstLine="422" w:firstLineChars="200"/>
        <w:rPr>
          <w:rFonts w:hint="eastAsia" w:ascii="宋体" w:hAnsi="宋体"/>
          <w:b/>
          <w:color w:val="auto"/>
          <w:szCs w:val="21"/>
        </w:rPr>
      </w:pPr>
      <w:r>
        <w:rPr>
          <w:rFonts w:hint="eastAsia" w:ascii="宋体" w:hAnsi="宋体"/>
          <w:b/>
          <w:color w:val="auto"/>
        </w:rPr>
        <w:t>采购代理机构无义务向未中标的投标人解释未中标原因和退还投标文件。</w:t>
      </w:r>
    </w:p>
    <w:p w14:paraId="6F288B57">
      <w:pP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34.合同授予标准</w:t>
      </w:r>
    </w:p>
    <w:p w14:paraId="265204C5">
      <w:pPr>
        <w:spacing w:line="360" w:lineRule="auto"/>
        <w:ind w:firstLine="420" w:firstLineChars="200"/>
        <w:rPr>
          <w:rFonts w:hint="eastAsia" w:ascii="宋体" w:hAnsi="宋体"/>
          <w:color w:val="auto"/>
          <w:szCs w:val="21"/>
        </w:rPr>
      </w:pPr>
      <w:r>
        <w:rPr>
          <w:rFonts w:hint="eastAsia" w:ascii="宋体" w:hAnsi="宋体" w:cs="Courier New"/>
          <w:color w:val="auto"/>
        </w:rPr>
        <w:t>合同将授予被确定实质上响应招标文件要求，具备履行合同能力的中标人（招标文件另有约定多名中标人的除外）。</w:t>
      </w:r>
    </w:p>
    <w:p w14:paraId="1C40065C">
      <w:pP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35.履约保证金</w:t>
      </w:r>
    </w:p>
    <w:p w14:paraId="2F852C81">
      <w:pPr>
        <w:pStyle w:val="18"/>
        <w:snapToGrid w:val="0"/>
        <w:spacing w:before="0"/>
        <w:ind w:firstLine="420"/>
        <w:rPr>
          <w:rFonts w:hint="eastAsia" w:ascii="宋体" w:hAnsi="宋体"/>
          <w:color w:val="auto"/>
          <w:kern w:val="0"/>
          <w:sz w:val="21"/>
          <w:szCs w:val="21"/>
        </w:rPr>
      </w:pPr>
      <w:bookmarkStart w:id="142" w:name="_39.1中标人须于签订合同前按本须知前附表规定的金额转账或电汇到指定账"/>
      <w:bookmarkEnd w:id="142"/>
      <w:r>
        <w:rPr>
          <w:rFonts w:hint="eastAsia" w:ascii="宋体" w:hAnsi="宋体"/>
          <w:color w:val="auto"/>
          <w:kern w:val="0"/>
          <w:sz w:val="21"/>
          <w:szCs w:val="21"/>
        </w:rPr>
        <w:t>见“投标人须知前附表”。</w:t>
      </w:r>
    </w:p>
    <w:p w14:paraId="49604034">
      <w:pP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36.签订合同</w:t>
      </w:r>
    </w:p>
    <w:p w14:paraId="45662715">
      <w:pPr>
        <w:pStyle w:val="18"/>
        <w:snapToGrid w:val="0"/>
        <w:spacing w:before="0"/>
        <w:ind w:firstLine="422"/>
        <w:jc w:val="left"/>
        <w:rPr>
          <w:rFonts w:hint="eastAsia" w:ascii="宋体" w:hAnsi="宋体"/>
          <w:color w:val="auto"/>
          <w:kern w:val="0"/>
          <w:sz w:val="21"/>
          <w:szCs w:val="21"/>
        </w:rPr>
      </w:pPr>
      <w:bookmarkStart w:id="143" w:name="_40.1投标人接到中标通知书后，按须知前附表规定向采购人出示相关资格证"/>
      <w:bookmarkEnd w:id="143"/>
      <w:r>
        <w:rPr>
          <w:rFonts w:hint="eastAsia" w:ascii="宋体" w:hAnsi="宋体"/>
          <w:b/>
          <w:color w:val="auto"/>
          <w:sz w:val="21"/>
          <w:szCs w:val="21"/>
        </w:rPr>
        <w:t>36.1中标人领取电子中标通知书后，</w:t>
      </w:r>
      <w:r>
        <w:rPr>
          <w:rFonts w:hint="eastAsia" w:ascii="宋体" w:hAnsi="宋体"/>
          <w:color w:val="auto"/>
          <w:kern w:val="0"/>
          <w:sz w:val="21"/>
          <w:szCs w:val="21"/>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1D09FF95">
      <w:pPr>
        <w:pStyle w:val="18"/>
        <w:snapToGrid w:val="0"/>
        <w:spacing w:before="0"/>
        <w:ind w:firstLine="420"/>
        <w:jc w:val="left"/>
        <w:rPr>
          <w:rFonts w:hint="eastAsia" w:ascii="宋体" w:hAnsi="宋体"/>
          <w:color w:val="auto"/>
          <w:kern w:val="0"/>
          <w:sz w:val="21"/>
          <w:szCs w:val="21"/>
        </w:rPr>
      </w:pPr>
      <w:r>
        <w:rPr>
          <w:rFonts w:hint="eastAsia" w:ascii="宋体" w:hAnsi="宋体"/>
          <w:color w:val="auto"/>
          <w:kern w:val="0"/>
          <w:sz w:val="21"/>
          <w:szCs w:val="21"/>
        </w:rPr>
        <w:t>36.2</w:t>
      </w:r>
      <w:r>
        <w:rPr>
          <w:rFonts w:hint="eastAsia" w:ascii="宋体" w:hAnsi="宋体" w:cs="仿宋_GB2312"/>
          <w:color w:val="auto"/>
          <w:sz w:val="21"/>
          <w:szCs w:val="21"/>
        </w:rPr>
        <w:t>采购合同由采购人与中标供应商根据招标文件、投标文件等内容通过政府采购电子交易平台在线签订，自动备案。</w:t>
      </w:r>
    </w:p>
    <w:p w14:paraId="78E955FD">
      <w:pPr>
        <w:pStyle w:val="18"/>
        <w:snapToGrid w:val="0"/>
        <w:spacing w:before="0"/>
        <w:ind w:firstLine="420"/>
        <w:jc w:val="left"/>
        <w:rPr>
          <w:rFonts w:hint="eastAsia" w:ascii="宋体" w:hAnsi="宋体" w:cs="仿宋_GB2312"/>
          <w:color w:val="auto"/>
          <w:sz w:val="21"/>
          <w:szCs w:val="21"/>
        </w:rPr>
      </w:pPr>
      <w:r>
        <w:rPr>
          <w:rFonts w:hint="eastAsia" w:ascii="宋体" w:hAnsi="宋体"/>
          <w:color w:val="auto"/>
          <w:sz w:val="21"/>
          <w:szCs w:val="21"/>
        </w:rPr>
        <w:t>36.3签订合同时间：按中标通知书规定的时间与采购人签订合同（最长不能超过25日）。</w:t>
      </w:r>
    </w:p>
    <w:p w14:paraId="3DAE25FC">
      <w:pPr>
        <w:spacing w:line="360" w:lineRule="auto"/>
        <w:ind w:firstLine="420" w:firstLineChars="200"/>
        <w:jc w:val="left"/>
        <w:rPr>
          <w:rFonts w:hint="eastAsia" w:ascii="宋体" w:hAnsi="宋体"/>
          <w:color w:val="auto"/>
          <w:szCs w:val="21"/>
        </w:rPr>
      </w:pPr>
      <w:r>
        <w:rPr>
          <w:rFonts w:hint="eastAsia" w:ascii="宋体" w:hAnsi="宋体"/>
          <w:color w:val="auto"/>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54FE20CE">
      <w:pPr>
        <w:spacing w:line="360" w:lineRule="auto"/>
        <w:ind w:firstLine="420" w:firstLineChars="200"/>
        <w:jc w:val="left"/>
        <w:rPr>
          <w:rFonts w:hint="eastAsia" w:ascii="宋体" w:hAnsi="宋体"/>
          <w:color w:val="auto"/>
        </w:rPr>
      </w:pPr>
      <w:r>
        <w:rPr>
          <w:rFonts w:hint="eastAsia" w:ascii="宋体" w:hAnsi="宋体"/>
          <w:color w:val="auto"/>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1637A53">
      <w:pPr>
        <w:spacing w:line="360" w:lineRule="auto"/>
        <w:ind w:firstLine="420" w:firstLineChars="200"/>
        <w:jc w:val="left"/>
        <w:rPr>
          <w:rFonts w:hint="eastAsia" w:ascii="宋体" w:hAnsi="宋体"/>
          <w:color w:val="auto"/>
        </w:rPr>
      </w:pPr>
      <w:r>
        <w:rPr>
          <w:rFonts w:hint="eastAsia" w:ascii="宋体" w:hAnsi="宋体"/>
          <w:color w:val="auto"/>
        </w:rPr>
        <w:t>36.6采购人或中标供应商不得单方面向合同另一方提出任何招标文件没有约定的条件或不合理的要求，作为签订合同的条件；也不得协商另行订立背离招标文件和合同实质性内容的协议。</w:t>
      </w:r>
    </w:p>
    <w:p w14:paraId="2EA9A279">
      <w:pPr>
        <w:spacing w:line="360" w:lineRule="auto"/>
        <w:ind w:firstLine="420" w:firstLineChars="200"/>
        <w:jc w:val="left"/>
        <w:rPr>
          <w:rFonts w:hint="eastAsia" w:ascii="宋体" w:hAnsi="宋体"/>
          <w:color w:val="auto"/>
        </w:rPr>
      </w:pPr>
      <w:r>
        <w:rPr>
          <w:rFonts w:hint="eastAsia" w:ascii="宋体" w:hAnsi="宋体"/>
          <w:color w:val="auto"/>
        </w:rPr>
        <w:t>36.7</w:t>
      </w:r>
      <w:r>
        <w:rPr>
          <w:rFonts w:hint="eastAsia" w:ascii="宋体" w:hAnsi="宋体" w:cs="仿宋_GB2312"/>
          <w:color w:val="auto"/>
        </w:rPr>
        <w:t>如签订合同并生效后，供应商无故拒绝或延期，除按照合同条款处理外，将承担相应的法律责任。</w:t>
      </w:r>
    </w:p>
    <w:p w14:paraId="77726E6C">
      <w:pPr>
        <w:spacing w:line="360" w:lineRule="auto"/>
        <w:ind w:firstLine="422" w:firstLineChars="200"/>
        <w:jc w:val="left"/>
        <w:rPr>
          <w:rFonts w:hint="eastAsia" w:ascii="宋体" w:hAnsi="宋体"/>
          <w:b/>
          <w:color w:val="auto"/>
        </w:rPr>
      </w:pPr>
      <w:r>
        <w:rPr>
          <w:rFonts w:hint="eastAsia" w:ascii="宋体" w:hAnsi="宋体"/>
          <w:b/>
          <w:color w:val="auto"/>
        </w:rPr>
        <w:t>36.8采购人需追加与合同标的相同的服务或者货物的，在不改变原合同条款且已报财政部门批准落实资金的前提下，可从原中标供应商处添购， 所签订的补充添置合同的采购资金总额不超过原采购合同金额的10%。</w:t>
      </w:r>
    </w:p>
    <w:p w14:paraId="245D0E9C">
      <w:pPr>
        <w:spacing w:line="360" w:lineRule="auto"/>
        <w:ind w:firstLine="480" w:firstLineChars="200"/>
        <w:rPr>
          <w:rFonts w:hint="eastAsia" w:ascii="黑体" w:hAnsi="黑体" w:eastAsia="黑体"/>
          <w:color w:val="auto"/>
          <w:sz w:val="24"/>
        </w:rPr>
      </w:pPr>
      <w:bookmarkStart w:id="144" w:name="_41.政府采购合同公告"/>
      <w:bookmarkEnd w:id="144"/>
      <w:r>
        <w:rPr>
          <w:rFonts w:hint="eastAsia" w:ascii="黑体" w:hAnsi="黑体" w:eastAsia="黑体"/>
          <w:color w:val="auto"/>
          <w:sz w:val="24"/>
        </w:rPr>
        <w:t>37.政府采购合同公告</w:t>
      </w:r>
    </w:p>
    <w:p w14:paraId="2CDB3C1C">
      <w:pPr>
        <w:spacing w:line="360" w:lineRule="auto"/>
        <w:ind w:firstLine="420" w:firstLineChars="200"/>
        <w:rPr>
          <w:rFonts w:hint="eastAsia" w:hAnsi="宋体"/>
          <w:color w:val="auto"/>
          <w:szCs w:val="21"/>
        </w:rPr>
      </w:pPr>
      <w:r>
        <w:rPr>
          <w:rFonts w:hint="eastAsia" w:ascii="宋体" w:hAnsi="宋体"/>
          <w:color w:val="auto"/>
        </w:rPr>
        <w:t>采购人或者受托采购代理机构应当自政府采购合同签订之日起</w:t>
      </w:r>
      <w:r>
        <w:rPr>
          <w:rFonts w:hint="eastAsia"/>
          <w:color w:val="auto"/>
        </w:rPr>
        <w:t>2</w:t>
      </w:r>
      <w:r>
        <w:rPr>
          <w:rFonts w:hint="eastAsia" w:ascii="宋体" w:hAnsi="宋体"/>
          <w:color w:val="auto"/>
        </w:rPr>
        <w:t>个工作日内，将政府采购合同在以下媒体上发布 “广西政府采购网”（</w:t>
      </w:r>
      <w:r>
        <w:rPr>
          <w:rFonts w:hint="eastAsia"/>
          <w:color w:val="auto"/>
        </w:rPr>
        <w:t>http://zfcg.gxzf.gov.cn</w:t>
      </w:r>
      <w:r>
        <w:rPr>
          <w:rFonts w:hint="eastAsia" w:ascii="宋体" w:hAnsi="宋体"/>
          <w:color w:val="auto"/>
        </w:rPr>
        <w:t>）上公告，但政府采购合同中涉及国家秘密、商业秘密的内容除外。</w:t>
      </w:r>
    </w:p>
    <w:p w14:paraId="6648D341">
      <w:pPr>
        <w:spacing w:line="360" w:lineRule="auto"/>
        <w:ind w:firstLine="480" w:firstLineChars="200"/>
        <w:rPr>
          <w:rFonts w:ascii="黑体" w:hAnsi="黑体" w:eastAsia="黑体"/>
          <w:color w:val="auto"/>
          <w:sz w:val="24"/>
        </w:rPr>
      </w:pPr>
      <w:r>
        <w:rPr>
          <w:rFonts w:hint="eastAsia" w:ascii="黑体" w:hAnsi="黑体" w:eastAsia="黑体"/>
          <w:color w:val="auto"/>
          <w:sz w:val="24"/>
        </w:rPr>
        <w:t>38. 询问、质疑和投诉</w:t>
      </w:r>
    </w:p>
    <w:p w14:paraId="660F709A">
      <w:pPr>
        <w:spacing w:line="360" w:lineRule="auto"/>
        <w:ind w:firstLine="422" w:firstLineChars="200"/>
        <w:rPr>
          <w:rFonts w:hint="eastAsia" w:hAnsi="宋体"/>
          <w:b/>
          <w:color w:val="auto"/>
          <w:szCs w:val="21"/>
        </w:rPr>
      </w:pPr>
      <w:r>
        <w:rPr>
          <w:rFonts w:hAnsi="宋体"/>
          <w:b/>
          <w:color w:val="auto"/>
        </w:rPr>
        <w:t>38.1</w:t>
      </w:r>
      <w:r>
        <w:rPr>
          <w:rFonts w:hint="eastAsia" w:ascii="宋体" w:hAnsi="宋体"/>
          <w:b/>
          <w:color w:val="auto"/>
        </w:rPr>
        <w:t>询问</w:t>
      </w:r>
    </w:p>
    <w:p w14:paraId="09EEBA2A">
      <w:pPr>
        <w:spacing w:line="360" w:lineRule="auto"/>
        <w:ind w:firstLine="420" w:firstLineChars="200"/>
        <w:jc w:val="left"/>
        <w:rPr>
          <w:rFonts w:ascii="宋体" w:hAnsi="宋体"/>
          <w:bCs/>
          <w:color w:val="auto"/>
        </w:rPr>
      </w:pPr>
      <w:r>
        <w:rPr>
          <w:rFonts w:hint="eastAsia" w:ascii="宋体" w:hAnsi="宋体"/>
          <w:bCs/>
          <w:color w:val="auto"/>
        </w:rPr>
        <w:t>38.1.1供应商在开标前对政府采购活动事项有疑问的，可以向采购人或采购代理机构项目负责人提出询问。</w:t>
      </w:r>
    </w:p>
    <w:p w14:paraId="6E1EB5F7">
      <w:pPr>
        <w:spacing w:line="360" w:lineRule="auto"/>
        <w:ind w:firstLine="420" w:firstLineChars="200"/>
        <w:jc w:val="left"/>
        <w:rPr>
          <w:rFonts w:hint="eastAsia" w:ascii="宋体" w:hAnsi="宋体"/>
          <w:bCs/>
          <w:color w:val="auto"/>
        </w:rPr>
      </w:pPr>
      <w:r>
        <w:rPr>
          <w:rFonts w:hint="eastAsia" w:ascii="宋体" w:hAnsi="宋体"/>
          <w:bCs/>
          <w:color w:val="auto"/>
        </w:rPr>
        <w:t>38.1.2采购人或采购人委托的采购代理机构自受理询问之日起3个工作日内对供应商依法提出的询问作出答复，</w:t>
      </w:r>
      <w:r>
        <w:rPr>
          <w:rFonts w:hint="eastAsia" w:ascii="宋体" w:hAnsi="宋体"/>
          <w:color w:val="auto"/>
        </w:rPr>
        <w:t>但答复内容不得涉及商业秘密</w:t>
      </w:r>
      <w:r>
        <w:rPr>
          <w:rFonts w:hint="eastAsia" w:ascii="宋体" w:hAnsi="宋体"/>
          <w:bCs/>
          <w:color w:val="auto"/>
        </w:rPr>
        <w:t>。</w:t>
      </w:r>
    </w:p>
    <w:p w14:paraId="0BE96F83">
      <w:pPr>
        <w:spacing w:line="360" w:lineRule="auto"/>
        <w:ind w:firstLine="420" w:firstLineChars="200"/>
        <w:jc w:val="left"/>
        <w:rPr>
          <w:rFonts w:hint="eastAsia" w:ascii="宋体" w:hAnsi="宋体"/>
          <w:bCs/>
          <w:color w:val="auto"/>
        </w:rPr>
      </w:pPr>
      <w:r>
        <w:rPr>
          <w:rFonts w:hint="eastAsia" w:ascii="宋体" w:hAnsi="宋体"/>
          <w:bCs/>
          <w:color w:val="auto"/>
        </w:rPr>
        <w:t>38.1.3 询问事项可能影响中标、成交结果的，采购人应当暂停签订合同，已经签订合同的，应当中止履行合同。</w:t>
      </w:r>
    </w:p>
    <w:p w14:paraId="51C347FC">
      <w:pPr>
        <w:spacing w:line="360" w:lineRule="auto"/>
        <w:ind w:firstLine="422" w:firstLineChars="200"/>
        <w:rPr>
          <w:rFonts w:hint="eastAsia" w:ascii="宋体" w:hAnsi="宋体"/>
          <w:color w:val="auto"/>
        </w:rPr>
      </w:pPr>
      <w:r>
        <w:rPr>
          <w:rFonts w:hint="eastAsia" w:ascii="宋体" w:hAnsi="宋体"/>
          <w:b/>
          <w:color w:val="auto"/>
        </w:rPr>
        <w:t xml:space="preserve"> </w:t>
      </w:r>
      <w:r>
        <w:rPr>
          <w:rFonts w:hint="eastAsia" w:ascii="宋体" w:hAnsi="宋体"/>
          <w:color w:val="auto"/>
        </w:rPr>
        <w:t>38.2质疑</w:t>
      </w:r>
    </w:p>
    <w:p w14:paraId="51AEA53C">
      <w:pPr>
        <w:spacing w:line="360" w:lineRule="auto"/>
        <w:ind w:firstLine="420" w:firstLineChars="200"/>
        <w:rPr>
          <w:rFonts w:hint="eastAsia" w:ascii="宋体" w:hAnsi="宋体"/>
          <w:b/>
          <w:color w:val="auto"/>
        </w:rPr>
      </w:pPr>
      <w:r>
        <w:rPr>
          <w:rFonts w:hint="eastAsia" w:ascii="宋体" w:hAnsi="宋体"/>
          <w:color w:val="auto"/>
        </w:rPr>
        <w:t>38.2.1</w:t>
      </w:r>
      <w:r>
        <w:rPr>
          <w:rFonts w:hint="eastAsia" w:ascii="宋体" w:hAnsi="宋体"/>
          <w:b/>
          <w:color w:val="auto"/>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0945451C">
      <w:pPr>
        <w:spacing w:line="360" w:lineRule="auto"/>
        <w:ind w:firstLine="420" w:firstLineChars="200"/>
        <w:jc w:val="left"/>
        <w:rPr>
          <w:rFonts w:hint="eastAsia" w:ascii="宋体" w:hAnsi="宋体"/>
          <w:bCs/>
          <w:color w:val="auto"/>
        </w:rPr>
      </w:pPr>
      <w:r>
        <w:rPr>
          <w:rFonts w:hint="eastAsia" w:ascii="宋体" w:hAnsi="宋体"/>
          <w:bCs/>
          <w:color w:val="auto"/>
        </w:rPr>
        <w:t>（1）潜在供应商依法获取公开招标文件后，认为采购文件使自己的权益受到损害的，应当在公开招标文件公告期限届满之日起7个工作日内提出质疑。</w:t>
      </w:r>
      <w:r>
        <w:rPr>
          <w:rFonts w:hint="eastAsia" w:ascii="宋体" w:hAnsi="宋体"/>
          <w:color w:val="auto"/>
        </w:rPr>
        <w:t>委托代理协议无特殊约定的，</w:t>
      </w:r>
      <w:r>
        <w:rPr>
          <w:rFonts w:hint="eastAsia" w:ascii="宋体" w:hAnsi="宋体"/>
          <w:bCs/>
          <w:color w:val="auto"/>
        </w:rPr>
        <w:t>对公开招标文件中采购需求（含资格要求、采购预算和评分办法）的质疑由采购人受理并负责答复；对公开招标文件中的采购执行程序的质疑由采购代理机构受理并负责答复。</w:t>
      </w:r>
    </w:p>
    <w:p w14:paraId="28486EC9">
      <w:pPr>
        <w:spacing w:line="360" w:lineRule="auto"/>
        <w:ind w:firstLine="420" w:firstLineChars="200"/>
        <w:jc w:val="left"/>
        <w:rPr>
          <w:rFonts w:hint="eastAsia" w:ascii="宋体" w:hAnsi="宋体"/>
          <w:bCs/>
          <w:color w:val="auto"/>
        </w:rPr>
      </w:pPr>
      <w:r>
        <w:rPr>
          <w:rFonts w:hint="eastAsia" w:ascii="宋体" w:hAnsi="宋体"/>
          <w:bCs/>
          <w:color w:val="auto"/>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1E881714">
      <w:pPr>
        <w:spacing w:line="360" w:lineRule="auto"/>
        <w:ind w:firstLine="420" w:firstLineChars="200"/>
        <w:jc w:val="left"/>
        <w:rPr>
          <w:rFonts w:hint="eastAsia" w:ascii="宋体" w:hAnsi="宋体"/>
          <w:bCs/>
          <w:color w:val="auto"/>
        </w:rPr>
      </w:pPr>
      <w:r>
        <w:rPr>
          <w:rFonts w:hint="eastAsia" w:ascii="宋体" w:hAnsi="宋体"/>
          <w:bCs/>
          <w:color w:val="auto"/>
        </w:rPr>
        <w:t>（3）供应商认为中标或者成交结果使自己的权益受到损害的，应当在中标或者成交结果公告期限届满之日起7个工作日内提出质疑，由采购人受理并负责答复。</w:t>
      </w:r>
    </w:p>
    <w:p w14:paraId="02F5ACAD">
      <w:pPr>
        <w:spacing w:line="360" w:lineRule="auto"/>
        <w:ind w:firstLine="422" w:firstLineChars="200"/>
        <w:rPr>
          <w:rFonts w:hint="eastAsia" w:hAnsi="宋体"/>
          <w:bCs/>
          <w:color w:val="auto"/>
        </w:rPr>
      </w:pPr>
      <w:r>
        <w:rPr>
          <w:rFonts w:hAnsi="宋体"/>
          <w:b/>
          <w:bCs/>
          <w:color w:val="auto"/>
        </w:rPr>
        <w:t>38.2.2</w:t>
      </w:r>
      <w:r>
        <w:rPr>
          <w:rFonts w:hint="eastAsia" w:ascii="宋体" w:hAnsi="宋体"/>
          <w:bCs/>
          <w:color w:val="auto"/>
        </w:rPr>
        <w:t>供应商质疑实行实名制，其质疑应当有具体的质疑事项及事实根据，质疑应当坚持依法依规、诚实信用原则，不得进行虚假、恶意质疑。</w:t>
      </w:r>
    </w:p>
    <w:p w14:paraId="0063D75D">
      <w:pPr>
        <w:spacing w:line="360" w:lineRule="auto"/>
        <w:ind w:firstLine="422" w:firstLineChars="200"/>
        <w:rPr>
          <w:rFonts w:hAnsi="宋体"/>
          <w:bCs/>
          <w:color w:val="auto"/>
        </w:rPr>
      </w:pPr>
      <w:r>
        <w:rPr>
          <w:rFonts w:hAnsi="宋体"/>
          <w:b/>
          <w:bCs/>
          <w:color w:val="auto"/>
        </w:rPr>
        <w:t>38.2.3</w:t>
      </w:r>
      <w:r>
        <w:rPr>
          <w:rFonts w:hAnsi="宋体"/>
          <w:bCs/>
          <w:color w:val="auto"/>
        </w:rPr>
        <w:t xml:space="preserve"> </w:t>
      </w:r>
      <w:r>
        <w:rPr>
          <w:rFonts w:hint="eastAsia" w:ascii="宋体" w:hAnsi="宋体"/>
          <w:bCs/>
          <w:color w:val="auto"/>
        </w:rPr>
        <w:t>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olor w:val="auto"/>
        </w:rPr>
        <w:t>。</w:t>
      </w:r>
    </w:p>
    <w:p w14:paraId="224620E1">
      <w:pPr>
        <w:spacing w:line="360" w:lineRule="auto"/>
        <w:ind w:firstLine="422" w:firstLineChars="200"/>
        <w:rPr>
          <w:rFonts w:hAnsi="宋体"/>
          <w:b/>
          <w:bCs/>
          <w:color w:val="auto"/>
        </w:rPr>
      </w:pPr>
      <w:r>
        <w:rPr>
          <w:rFonts w:hAnsi="宋体"/>
          <w:b/>
          <w:bCs/>
          <w:color w:val="auto"/>
        </w:rPr>
        <w:t xml:space="preserve">38.2.4 </w:t>
      </w:r>
      <w:r>
        <w:rPr>
          <w:rFonts w:hint="eastAsia" w:ascii="宋体" w:hAnsi="宋体"/>
          <w:b/>
          <w:bCs/>
          <w:color w:val="auto"/>
        </w:rPr>
        <w:t>质疑供应商提起质疑应当符合下列条件：</w:t>
      </w:r>
    </w:p>
    <w:p w14:paraId="1CA98B77">
      <w:pPr>
        <w:autoSpaceDE w:val="0"/>
        <w:spacing w:line="360" w:lineRule="auto"/>
        <w:ind w:firstLine="420" w:firstLineChars="200"/>
        <w:jc w:val="left"/>
        <w:rPr>
          <w:rFonts w:ascii="宋体" w:hAnsi="宋体"/>
          <w:bCs/>
          <w:color w:val="auto"/>
        </w:rPr>
      </w:pPr>
      <w:r>
        <w:rPr>
          <w:rFonts w:hint="eastAsia" w:ascii="宋体" w:hAnsi="宋体"/>
          <w:bCs/>
          <w:color w:val="auto"/>
        </w:rPr>
        <w:t>（1）质疑供应商是参与所质疑项目采购活动的供应商（潜在供应商已依法获取可之一的采购文件的，可以对该采购文件质疑）；</w:t>
      </w:r>
    </w:p>
    <w:p w14:paraId="7837AB76">
      <w:pPr>
        <w:autoSpaceDE w:val="0"/>
        <w:spacing w:line="360" w:lineRule="auto"/>
        <w:ind w:firstLine="420" w:firstLineChars="200"/>
        <w:jc w:val="left"/>
        <w:rPr>
          <w:rFonts w:hint="eastAsia" w:ascii="宋体" w:hAnsi="宋体"/>
          <w:bCs/>
          <w:color w:val="auto"/>
        </w:rPr>
      </w:pPr>
      <w:r>
        <w:rPr>
          <w:rFonts w:hint="eastAsia" w:ascii="宋体" w:hAnsi="宋体"/>
          <w:bCs/>
          <w:color w:val="auto"/>
        </w:rPr>
        <w:t>（2）质疑函内容符合本章第38.2.5项的规定；</w:t>
      </w:r>
    </w:p>
    <w:p w14:paraId="77FC99D9">
      <w:pPr>
        <w:autoSpaceDE w:val="0"/>
        <w:spacing w:line="360" w:lineRule="auto"/>
        <w:ind w:firstLine="420" w:firstLineChars="200"/>
        <w:jc w:val="left"/>
        <w:rPr>
          <w:rFonts w:hint="eastAsia" w:ascii="宋体" w:hAnsi="宋体"/>
          <w:bCs/>
          <w:color w:val="auto"/>
        </w:rPr>
      </w:pPr>
      <w:r>
        <w:rPr>
          <w:rFonts w:hint="eastAsia" w:ascii="宋体" w:hAnsi="宋体"/>
          <w:bCs/>
          <w:color w:val="auto"/>
        </w:rPr>
        <w:t>（3）在质疑有效期限内提起质疑；</w:t>
      </w:r>
    </w:p>
    <w:p w14:paraId="6553611B">
      <w:pPr>
        <w:autoSpaceDE w:val="0"/>
        <w:spacing w:line="360" w:lineRule="auto"/>
        <w:ind w:firstLine="420" w:firstLineChars="200"/>
        <w:jc w:val="left"/>
        <w:rPr>
          <w:rFonts w:hint="eastAsia" w:ascii="宋体" w:hAnsi="宋体"/>
          <w:bCs/>
          <w:color w:val="auto"/>
        </w:rPr>
      </w:pPr>
      <w:r>
        <w:rPr>
          <w:rFonts w:hint="eastAsia" w:ascii="宋体" w:hAnsi="宋体"/>
          <w:bCs/>
          <w:color w:val="auto"/>
        </w:rPr>
        <w:t>（4）属于所质疑的采购人或采购人委托的采购代理机构组织的采购活动；</w:t>
      </w:r>
    </w:p>
    <w:p w14:paraId="1D650F65">
      <w:pPr>
        <w:autoSpaceDE w:val="0"/>
        <w:spacing w:line="360" w:lineRule="auto"/>
        <w:ind w:firstLine="420" w:firstLineChars="200"/>
        <w:jc w:val="left"/>
        <w:rPr>
          <w:rFonts w:hint="eastAsia" w:ascii="宋体" w:hAnsi="宋体"/>
          <w:bCs/>
          <w:color w:val="auto"/>
        </w:rPr>
      </w:pPr>
      <w:r>
        <w:rPr>
          <w:rFonts w:hint="eastAsia" w:ascii="宋体" w:hAnsi="宋体"/>
          <w:bCs/>
          <w:color w:val="auto"/>
        </w:rPr>
        <w:t xml:space="preserve">（5）同一质疑事项未经采购人或采购人委托的采购代理机构质疑处理； </w:t>
      </w:r>
    </w:p>
    <w:p w14:paraId="0226A46B">
      <w:pPr>
        <w:autoSpaceDE w:val="0"/>
        <w:spacing w:line="360" w:lineRule="auto"/>
        <w:ind w:firstLine="420" w:firstLineChars="200"/>
        <w:jc w:val="left"/>
        <w:rPr>
          <w:rFonts w:hint="eastAsia" w:ascii="宋体" w:hAnsi="宋体"/>
          <w:bCs/>
          <w:color w:val="auto"/>
        </w:rPr>
      </w:pPr>
      <w:r>
        <w:rPr>
          <w:rFonts w:hint="eastAsia" w:ascii="宋体" w:hAnsi="宋体"/>
          <w:bCs/>
          <w:color w:val="auto"/>
        </w:rPr>
        <w:t>（6）供应商对同一采购程序环节的质疑应当在质疑有效期内一次性提出；</w:t>
      </w:r>
    </w:p>
    <w:p w14:paraId="2929A239">
      <w:pPr>
        <w:autoSpaceDE w:val="0"/>
        <w:spacing w:line="360" w:lineRule="auto"/>
        <w:ind w:firstLine="420" w:firstLineChars="200"/>
        <w:jc w:val="left"/>
        <w:rPr>
          <w:rFonts w:hint="eastAsia" w:ascii="宋体" w:hAnsi="宋体"/>
          <w:bCs/>
          <w:color w:val="auto"/>
        </w:rPr>
      </w:pPr>
      <w:r>
        <w:rPr>
          <w:rFonts w:hint="eastAsia" w:ascii="宋体" w:hAnsi="宋体"/>
          <w:bCs/>
          <w:color w:val="auto"/>
        </w:rPr>
        <w:t>（7）供应商提交质疑应当提交必要的证明材料，证明材料应以合法手段取得；</w:t>
      </w:r>
    </w:p>
    <w:p w14:paraId="48DBB954">
      <w:pPr>
        <w:autoSpaceDE w:val="0"/>
        <w:spacing w:line="360" w:lineRule="auto"/>
        <w:ind w:firstLine="420" w:firstLineChars="200"/>
        <w:jc w:val="left"/>
        <w:rPr>
          <w:rFonts w:hint="eastAsia" w:ascii="宋体" w:hAnsi="宋体"/>
          <w:color w:val="auto"/>
        </w:rPr>
      </w:pPr>
      <w:r>
        <w:rPr>
          <w:rFonts w:hint="eastAsia" w:ascii="宋体" w:hAnsi="宋体"/>
          <w:bCs/>
          <w:color w:val="auto"/>
        </w:rPr>
        <w:t>（8）财政部门规定的其他条件。</w:t>
      </w:r>
    </w:p>
    <w:p w14:paraId="130A62FE">
      <w:pPr>
        <w:autoSpaceDE w:val="0"/>
        <w:spacing w:line="360" w:lineRule="auto"/>
        <w:ind w:firstLine="420" w:firstLineChars="200"/>
        <w:jc w:val="left"/>
        <w:rPr>
          <w:rFonts w:hint="eastAsia" w:ascii="宋体" w:hAnsi="宋体"/>
          <w:b/>
          <w:color w:val="auto"/>
        </w:rPr>
      </w:pPr>
      <w:bookmarkStart w:id="145" w:name="_9.2质疑、投诉应当采用书面形式，质疑函、投诉书均应明确阐述招标文件、"/>
      <w:bookmarkEnd w:id="145"/>
      <w:r>
        <w:rPr>
          <w:rFonts w:hint="eastAsia" w:ascii="宋体" w:hAnsi="宋体"/>
          <w:color w:val="auto"/>
        </w:rPr>
        <w:t xml:space="preserve"> 38.2.5 </w:t>
      </w:r>
      <w:r>
        <w:rPr>
          <w:rFonts w:hint="eastAsia" w:ascii="宋体" w:hAnsi="宋体"/>
          <w:bCs/>
          <w:color w:val="auto"/>
        </w:rPr>
        <w:t>供应商提出质疑应当提交质疑函和必要的证明材料，针对同一采购程序环节的质疑必须在法定质疑期内一次性提出。质疑函应当包括下列内容（质疑函格式后附）：</w:t>
      </w:r>
    </w:p>
    <w:p w14:paraId="665171DC">
      <w:pPr>
        <w:autoSpaceDE w:val="0"/>
        <w:spacing w:line="360" w:lineRule="auto"/>
        <w:ind w:firstLine="420" w:firstLineChars="200"/>
        <w:jc w:val="left"/>
        <w:rPr>
          <w:rFonts w:hint="eastAsia" w:ascii="宋体" w:hAnsi="宋体"/>
          <w:bCs/>
          <w:color w:val="auto"/>
        </w:rPr>
      </w:pPr>
      <w:r>
        <w:rPr>
          <w:rFonts w:hint="eastAsia" w:ascii="宋体" w:hAnsi="宋体"/>
          <w:bCs/>
          <w:color w:val="auto"/>
        </w:rPr>
        <w:t>（1）供应商的姓名或者名称、地址、邮编、联系人及联系电话；</w:t>
      </w:r>
    </w:p>
    <w:p w14:paraId="6FF672D0">
      <w:pPr>
        <w:autoSpaceDE w:val="0"/>
        <w:spacing w:line="360" w:lineRule="auto"/>
        <w:ind w:firstLine="420" w:firstLineChars="200"/>
        <w:jc w:val="left"/>
        <w:rPr>
          <w:rFonts w:hint="eastAsia" w:ascii="宋体" w:hAnsi="宋体"/>
          <w:bCs/>
          <w:color w:val="auto"/>
        </w:rPr>
      </w:pPr>
      <w:r>
        <w:rPr>
          <w:rFonts w:hint="eastAsia" w:ascii="宋体" w:hAnsi="宋体"/>
          <w:bCs/>
          <w:color w:val="auto"/>
        </w:rPr>
        <w:t>（2）质疑项目的名称、编号；</w:t>
      </w:r>
    </w:p>
    <w:p w14:paraId="3CD29B63">
      <w:pPr>
        <w:autoSpaceDE w:val="0"/>
        <w:spacing w:line="360" w:lineRule="auto"/>
        <w:ind w:firstLine="420" w:firstLineChars="200"/>
        <w:jc w:val="left"/>
        <w:rPr>
          <w:rFonts w:hint="eastAsia" w:ascii="宋体" w:hAnsi="宋体"/>
          <w:bCs/>
          <w:color w:val="auto"/>
        </w:rPr>
      </w:pPr>
      <w:r>
        <w:rPr>
          <w:rFonts w:hint="eastAsia" w:ascii="宋体" w:hAnsi="宋体"/>
          <w:bCs/>
          <w:color w:val="auto"/>
        </w:rPr>
        <w:t>（3）具体、明确的质疑事项和与质疑事项相关的请求；</w:t>
      </w:r>
    </w:p>
    <w:p w14:paraId="03EF7744">
      <w:pPr>
        <w:autoSpaceDE w:val="0"/>
        <w:spacing w:line="360" w:lineRule="auto"/>
        <w:ind w:firstLine="420" w:firstLineChars="200"/>
        <w:jc w:val="left"/>
        <w:rPr>
          <w:rFonts w:hint="eastAsia" w:ascii="宋体" w:hAnsi="宋体"/>
          <w:bCs/>
          <w:color w:val="auto"/>
        </w:rPr>
      </w:pPr>
      <w:r>
        <w:rPr>
          <w:rFonts w:hint="eastAsia" w:ascii="宋体" w:hAnsi="宋体"/>
          <w:bCs/>
          <w:color w:val="auto"/>
        </w:rPr>
        <w:t>（4）事实依据（列明权益受到损害的事实和理由）；</w:t>
      </w:r>
    </w:p>
    <w:p w14:paraId="059AF695">
      <w:pPr>
        <w:autoSpaceDE w:val="0"/>
        <w:spacing w:line="360" w:lineRule="auto"/>
        <w:ind w:firstLine="420" w:firstLineChars="200"/>
        <w:jc w:val="left"/>
        <w:rPr>
          <w:rFonts w:hint="eastAsia" w:ascii="宋体" w:hAnsi="宋体"/>
          <w:bCs/>
          <w:color w:val="auto"/>
        </w:rPr>
      </w:pPr>
      <w:r>
        <w:rPr>
          <w:rFonts w:hint="eastAsia" w:ascii="宋体" w:hAnsi="宋体"/>
          <w:bCs/>
          <w:color w:val="auto"/>
        </w:rPr>
        <w:t>（5）必要的法律依据；</w:t>
      </w:r>
    </w:p>
    <w:p w14:paraId="6C2BEFA7">
      <w:pPr>
        <w:autoSpaceDE w:val="0"/>
        <w:spacing w:line="360" w:lineRule="auto"/>
        <w:ind w:firstLine="420" w:firstLineChars="200"/>
        <w:jc w:val="left"/>
        <w:rPr>
          <w:rFonts w:hint="eastAsia" w:ascii="宋体" w:hAnsi="宋体"/>
          <w:bCs/>
          <w:color w:val="auto"/>
        </w:rPr>
      </w:pPr>
      <w:r>
        <w:rPr>
          <w:rFonts w:hint="eastAsia" w:ascii="宋体" w:hAnsi="宋体"/>
          <w:bCs/>
          <w:color w:val="auto"/>
        </w:rPr>
        <w:t>（6）提出质疑的日期。</w:t>
      </w:r>
    </w:p>
    <w:p w14:paraId="64CC97FD">
      <w:pPr>
        <w:autoSpaceDE w:val="0"/>
        <w:spacing w:line="360" w:lineRule="auto"/>
        <w:ind w:firstLine="420" w:firstLineChars="200"/>
        <w:jc w:val="left"/>
        <w:rPr>
          <w:rFonts w:hint="eastAsia" w:ascii="宋体" w:hAnsi="宋体"/>
          <w:bCs/>
          <w:color w:val="auto"/>
        </w:rPr>
      </w:pPr>
      <w:r>
        <w:rPr>
          <w:rFonts w:hint="eastAsia" w:ascii="宋体" w:hAnsi="宋体"/>
          <w:bCs/>
          <w:color w:val="auto"/>
        </w:rPr>
        <w:t>供应商为自然人的，应当由本人签字；供应商为法人或者其他组织的，应当由法定代表人、主要负责人，或者其委托代理人签字或者盖章，并加盖公章。</w:t>
      </w:r>
    </w:p>
    <w:p w14:paraId="677080A3">
      <w:pPr>
        <w:autoSpaceDE w:val="0"/>
        <w:spacing w:line="360" w:lineRule="auto"/>
        <w:ind w:firstLine="422" w:firstLineChars="200"/>
        <w:jc w:val="left"/>
        <w:rPr>
          <w:rFonts w:hint="eastAsia" w:ascii="宋体" w:hAnsi="宋体" w:eastAsia="宋体"/>
          <w:b/>
          <w:color w:val="auto"/>
          <w:lang w:eastAsia="zh-CN"/>
        </w:rPr>
      </w:pPr>
      <w:r>
        <w:rPr>
          <w:rFonts w:hint="eastAsia" w:ascii="宋体" w:hAnsi="宋体"/>
          <w:b/>
          <w:color w:val="auto"/>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r>
        <w:rPr>
          <w:rFonts w:hint="eastAsia" w:ascii="宋体" w:hAnsi="宋体"/>
          <w:b/>
          <w:color w:val="auto"/>
          <w:lang w:eastAsia="zh-CN"/>
        </w:rPr>
        <w:t>。</w:t>
      </w:r>
    </w:p>
    <w:p w14:paraId="6682F90B">
      <w:pPr>
        <w:autoSpaceDE w:val="0"/>
        <w:spacing w:line="360" w:lineRule="auto"/>
        <w:ind w:firstLine="420" w:firstLineChars="200"/>
        <w:jc w:val="left"/>
        <w:rPr>
          <w:rFonts w:hint="eastAsia" w:ascii="宋体" w:hAnsi="宋体"/>
          <w:bCs/>
          <w:color w:val="auto"/>
        </w:rPr>
      </w:pPr>
      <w:r>
        <w:rPr>
          <w:rFonts w:hint="eastAsia" w:ascii="宋体" w:hAnsi="宋体"/>
          <w:color w:val="auto"/>
        </w:rPr>
        <w:t>3</w:t>
      </w:r>
      <w:r>
        <w:rPr>
          <w:rFonts w:hint="eastAsia" w:ascii="宋体" w:hAnsi="宋体"/>
          <w:bCs/>
          <w:color w:val="auto"/>
        </w:rPr>
        <w:t>8.2.7采购人、采购代理机构认为供应商质疑不成立，或者成立但未对中标结果构成影响的，继续开展采购活动；认为供应商质疑成立且影响或者可能影响中标结果的，按照下列情况处理：</w:t>
      </w:r>
    </w:p>
    <w:p w14:paraId="595B321F">
      <w:pPr>
        <w:autoSpaceDE w:val="0"/>
        <w:spacing w:line="360" w:lineRule="auto"/>
        <w:ind w:firstLine="420" w:firstLineChars="200"/>
        <w:jc w:val="left"/>
        <w:rPr>
          <w:rFonts w:hint="eastAsia" w:ascii="宋体" w:hAnsi="宋体"/>
          <w:bCs/>
          <w:color w:val="auto"/>
        </w:rPr>
      </w:pPr>
      <w:r>
        <w:rPr>
          <w:rFonts w:hint="eastAsia" w:ascii="宋体" w:hAnsi="宋体"/>
          <w:bCs/>
          <w:color w:val="auto"/>
        </w:rPr>
        <w:t>（一）对招标文件提出的质疑，依法通过澄清或者修改可以继续开展采购活动的，澄清或者修改招标文件后继续开展采购活动；否则应当修改招标文件后重新开展采购活动。</w:t>
      </w:r>
    </w:p>
    <w:p w14:paraId="04AA30E4">
      <w:pPr>
        <w:autoSpaceDE w:val="0"/>
        <w:spacing w:line="360" w:lineRule="auto"/>
        <w:ind w:firstLine="420" w:firstLineChars="200"/>
        <w:jc w:val="left"/>
        <w:rPr>
          <w:rFonts w:hint="eastAsia" w:ascii="宋体" w:hAnsi="宋体"/>
          <w:bCs/>
          <w:color w:val="auto"/>
        </w:rPr>
      </w:pPr>
      <w:r>
        <w:rPr>
          <w:rFonts w:hint="eastAsia" w:ascii="宋体" w:hAnsi="宋体"/>
          <w:bCs/>
          <w:color w:val="auto"/>
        </w:rPr>
        <w:t>（二）对采购过程、中标结果提出的质疑，合格供应商符合法定数量时，可以从合格的中标候选人中另行确定中标供应商的，应当依法另行确定中标供应商；否则应当重新开展采购活动。</w:t>
      </w:r>
    </w:p>
    <w:p w14:paraId="7F4523F3">
      <w:pPr>
        <w:autoSpaceDE w:val="0"/>
        <w:spacing w:line="360" w:lineRule="auto"/>
        <w:ind w:firstLine="420" w:firstLineChars="200"/>
        <w:jc w:val="left"/>
        <w:rPr>
          <w:rFonts w:hint="eastAsia" w:ascii="宋体" w:hAnsi="宋体"/>
          <w:bCs/>
          <w:color w:val="auto"/>
        </w:rPr>
      </w:pPr>
      <w:r>
        <w:rPr>
          <w:rFonts w:hint="eastAsia" w:ascii="宋体" w:hAnsi="宋体"/>
          <w:bCs/>
          <w:color w:val="auto"/>
        </w:rPr>
        <w:t>质疑答复导致中标结果改变的，采购人或者采购代理机构应当将有关情况书面报告本级财政部门。</w:t>
      </w:r>
    </w:p>
    <w:p w14:paraId="71875D0F">
      <w:pPr>
        <w:spacing w:line="360" w:lineRule="auto"/>
        <w:ind w:firstLine="422" w:firstLineChars="200"/>
        <w:rPr>
          <w:rFonts w:hint="eastAsia" w:hAnsi="宋体"/>
          <w:b/>
          <w:color w:val="auto"/>
        </w:rPr>
      </w:pPr>
      <w:r>
        <w:rPr>
          <w:rFonts w:hAnsi="宋体"/>
          <w:b/>
          <w:color w:val="auto"/>
        </w:rPr>
        <w:t>38.3</w:t>
      </w:r>
      <w:r>
        <w:rPr>
          <w:rFonts w:hint="eastAsia" w:ascii="宋体" w:hAnsi="宋体"/>
          <w:b/>
          <w:color w:val="auto"/>
        </w:rPr>
        <w:t>投诉</w:t>
      </w:r>
    </w:p>
    <w:p w14:paraId="7BBE2E3D">
      <w:pPr>
        <w:spacing w:line="360" w:lineRule="auto"/>
        <w:ind w:firstLine="422" w:firstLineChars="200"/>
        <w:rPr>
          <w:rFonts w:hAnsi="宋体"/>
          <w:bCs/>
          <w:color w:val="auto"/>
        </w:rPr>
      </w:pPr>
      <w:r>
        <w:rPr>
          <w:rFonts w:hAnsi="宋体"/>
          <w:b/>
          <w:color w:val="auto"/>
        </w:rPr>
        <w:t>38.3</w:t>
      </w:r>
      <w:r>
        <w:rPr>
          <w:rFonts w:hAnsi="宋体"/>
          <w:bCs/>
          <w:color w:val="auto"/>
        </w:rPr>
        <w:t>.</w:t>
      </w:r>
      <w:r>
        <w:rPr>
          <w:rFonts w:hAnsi="宋体"/>
          <w:b/>
          <w:bCs/>
          <w:color w:val="auto"/>
        </w:rPr>
        <w:t xml:space="preserve">1 </w:t>
      </w:r>
      <w:r>
        <w:rPr>
          <w:rFonts w:hAnsi="宋体"/>
          <w:bCs/>
          <w:color w:val="auto"/>
        </w:rPr>
        <w:t xml:space="preserve"> </w:t>
      </w:r>
      <w:r>
        <w:rPr>
          <w:rFonts w:hint="eastAsia" w:ascii="宋体" w:hAnsi="宋体"/>
          <w:bCs/>
          <w:color w:val="auto"/>
        </w:rPr>
        <w:t>供应商认为采购文件、采购过程、中标和成交结果使自己的合法权益受到损害的，应当首先依法向采购人或采购人委托的</w:t>
      </w:r>
      <w:r>
        <w:rPr>
          <w:rFonts w:hint="eastAsia" w:ascii="宋体" w:hAnsi="宋体"/>
          <w:color w:val="auto"/>
        </w:rPr>
        <w:t>采购代理机构</w:t>
      </w:r>
      <w:r>
        <w:rPr>
          <w:rFonts w:hint="eastAsia" w:ascii="宋体" w:hAnsi="宋体"/>
          <w:bCs/>
          <w:color w:val="auto"/>
        </w:rPr>
        <w:t>提出质疑。对采购人、</w:t>
      </w:r>
      <w:r>
        <w:rPr>
          <w:rFonts w:hint="eastAsia" w:ascii="宋体" w:hAnsi="宋体"/>
          <w:color w:val="auto"/>
        </w:rPr>
        <w:t>采购代理机构</w:t>
      </w:r>
      <w:r>
        <w:rPr>
          <w:rFonts w:hint="eastAsia" w:ascii="宋体" w:hAnsi="宋体"/>
          <w:bCs/>
          <w:color w:val="auto"/>
        </w:rPr>
        <w:t>的答复不满意，或者采购人、</w:t>
      </w:r>
      <w:r>
        <w:rPr>
          <w:rFonts w:hint="eastAsia" w:ascii="宋体" w:hAnsi="宋体"/>
          <w:color w:val="auto"/>
        </w:rPr>
        <w:t>采购代理机构</w:t>
      </w:r>
      <w:r>
        <w:rPr>
          <w:rFonts w:hint="eastAsia" w:ascii="宋体" w:hAnsi="宋体"/>
          <w:bCs/>
          <w:color w:val="auto"/>
        </w:rPr>
        <w:t>未在规定期限内做出答复的，供应商可以在答复期满后</w:t>
      </w:r>
      <w:r>
        <w:rPr>
          <w:rFonts w:hAnsi="宋体"/>
          <w:bCs/>
          <w:color w:val="auto"/>
        </w:rPr>
        <w:t>15</w:t>
      </w:r>
      <w:r>
        <w:rPr>
          <w:rFonts w:hint="eastAsia" w:ascii="宋体" w:hAnsi="宋体"/>
          <w:bCs/>
          <w:color w:val="auto"/>
        </w:rPr>
        <w:t>个工作日内向南宁市政府采购监督管理部门提起投诉，投诉联系方式见“投标人须知前附表”。</w:t>
      </w:r>
    </w:p>
    <w:p w14:paraId="221C75A5">
      <w:pPr>
        <w:spacing w:line="360" w:lineRule="auto"/>
        <w:ind w:firstLine="422" w:firstLineChars="200"/>
        <w:rPr>
          <w:rFonts w:hAnsi="宋体"/>
          <w:bCs/>
          <w:color w:val="auto"/>
        </w:rPr>
      </w:pPr>
      <w:r>
        <w:rPr>
          <w:rFonts w:hAnsi="宋体"/>
          <w:b/>
          <w:color w:val="auto"/>
        </w:rPr>
        <w:t>38.3</w:t>
      </w:r>
      <w:r>
        <w:rPr>
          <w:b/>
          <w:color w:val="auto"/>
        </w:rPr>
        <w:t xml:space="preserve">.2 </w:t>
      </w:r>
      <w:r>
        <w:rPr>
          <w:color w:val="auto"/>
        </w:rPr>
        <w:t xml:space="preserve"> </w:t>
      </w:r>
      <w:r>
        <w:rPr>
          <w:rFonts w:hint="eastAsia" w:ascii="宋体" w:hAnsi="宋体"/>
          <w:color w:val="auto"/>
        </w:rPr>
        <w:t>投诉人投诉时，应当提交投诉书，并按照被投诉采购人、采购代理机构和与投诉事项有关的供应商数量提供投诉书的副本。投诉书应当包括下列主要内容（如材料中有外文资料应同时附上对应的中文译本）</w:t>
      </w:r>
      <w:r>
        <w:rPr>
          <w:rFonts w:hint="eastAsia" w:ascii="宋体" w:hAnsi="宋体"/>
          <w:bCs/>
          <w:color w:val="auto"/>
        </w:rPr>
        <w:t>（投诉书格式后附）</w:t>
      </w:r>
      <w:r>
        <w:rPr>
          <w:rFonts w:hint="eastAsia" w:ascii="宋体" w:hAnsi="宋体"/>
          <w:color w:val="auto"/>
        </w:rPr>
        <w:t>：</w:t>
      </w:r>
    </w:p>
    <w:p w14:paraId="4D62AF77">
      <w:pPr>
        <w:spacing w:line="360" w:lineRule="auto"/>
        <w:ind w:firstLine="420" w:firstLineChars="200"/>
        <w:jc w:val="left"/>
        <w:rPr>
          <w:rFonts w:ascii="宋体" w:hAnsi="宋体"/>
          <w:color w:val="auto"/>
        </w:rPr>
      </w:pPr>
      <w:r>
        <w:rPr>
          <w:rFonts w:hint="eastAsia" w:ascii="宋体" w:hAnsi="宋体"/>
          <w:color w:val="auto"/>
        </w:rPr>
        <w:t xml:space="preserve">（1）投诉人和被投诉人的名称、地址、邮编、联系人及联系电话等； </w:t>
      </w:r>
    </w:p>
    <w:p w14:paraId="5E22E285">
      <w:pPr>
        <w:spacing w:line="360" w:lineRule="auto"/>
        <w:ind w:firstLine="420" w:firstLineChars="200"/>
        <w:jc w:val="left"/>
        <w:rPr>
          <w:rFonts w:hint="eastAsia" w:ascii="宋体" w:hAnsi="宋体"/>
          <w:color w:val="auto"/>
        </w:rPr>
      </w:pPr>
      <w:r>
        <w:rPr>
          <w:rFonts w:hint="eastAsia" w:ascii="宋体" w:hAnsi="宋体"/>
          <w:color w:val="auto"/>
        </w:rPr>
        <w:t xml:space="preserve">（2）质疑和质疑答复情况及相关证明材料； </w:t>
      </w:r>
    </w:p>
    <w:p w14:paraId="01CA8E70">
      <w:pPr>
        <w:spacing w:line="360" w:lineRule="auto"/>
        <w:ind w:firstLine="420" w:firstLineChars="200"/>
        <w:jc w:val="left"/>
        <w:rPr>
          <w:rFonts w:hint="eastAsia" w:ascii="宋体" w:hAnsi="宋体"/>
          <w:color w:val="auto"/>
        </w:rPr>
      </w:pPr>
      <w:r>
        <w:rPr>
          <w:rFonts w:hint="eastAsia" w:ascii="宋体" w:hAnsi="宋体"/>
          <w:color w:val="auto"/>
        </w:rPr>
        <w:t>（3）具体、明确的投诉事项和与投诉事项相关的投诉请求；</w:t>
      </w:r>
    </w:p>
    <w:p w14:paraId="5DF5DC5C">
      <w:pPr>
        <w:spacing w:line="360" w:lineRule="auto"/>
        <w:ind w:firstLine="420" w:firstLineChars="200"/>
        <w:jc w:val="left"/>
        <w:rPr>
          <w:rFonts w:hint="eastAsia" w:ascii="宋体" w:hAnsi="宋体"/>
          <w:color w:val="auto"/>
        </w:rPr>
      </w:pPr>
      <w:r>
        <w:rPr>
          <w:rFonts w:hint="eastAsia" w:ascii="宋体" w:hAnsi="宋体"/>
          <w:color w:val="auto"/>
        </w:rPr>
        <w:t>（4）事实依据；</w:t>
      </w:r>
    </w:p>
    <w:p w14:paraId="3280A1C5">
      <w:pPr>
        <w:spacing w:line="360" w:lineRule="auto"/>
        <w:ind w:firstLine="420" w:firstLineChars="200"/>
        <w:jc w:val="left"/>
        <w:rPr>
          <w:rFonts w:hint="eastAsia" w:ascii="宋体" w:hAnsi="宋体"/>
          <w:color w:val="auto"/>
        </w:rPr>
      </w:pPr>
      <w:r>
        <w:rPr>
          <w:rFonts w:hint="eastAsia" w:ascii="宋体" w:hAnsi="宋体"/>
          <w:color w:val="auto"/>
        </w:rPr>
        <w:t>（5）法律依据；</w:t>
      </w:r>
    </w:p>
    <w:p w14:paraId="79048150">
      <w:pPr>
        <w:spacing w:line="360" w:lineRule="auto"/>
        <w:ind w:firstLine="420" w:firstLineChars="200"/>
        <w:jc w:val="left"/>
        <w:rPr>
          <w:rFonts w:hint="eastAsia" w:ascii="宋体" w:hAnsi="宋体"/>
          <w:color w:val="auto"/>
        </w:rPr>
      </w:pPr>
      <w:r>
        <w:rPr>
          <w:rFonts w:hint="eastAsia" w:ascii="宋体" w:hAnsi="宋体"/>
          <w:color w:val="auto"/>
        </w:rPr>
        <w:t>（6）提起投诉的日期。</w:t>
      </w:r>
    </w:p>
    <w:p w14:paraId="3C7C82CE">
      <w:pPr>
        <w:spacing w:line="360" w:lineRule="auto"/>
        <w:ind w:firstLine="420" w:firstLineChars="200"/>
        <w:jc w:val="left"/>
        <w:rPr>
          <w:rFonts w:hint="eastAsia" w:hAnsi="宋体"/>
          <w:color w:val="auto"/>
        </w:rPr>
      </w:pPr>
      <w:r>
        <w:rPr>
          <w:rFonts w:hint="eastAsia" w:ascii="宋体" w:hAnsi="宋体"/>
          <w:color w:val="auto"/>
        </w:rPr>
        <w:t>（7）附件材料：营业执照副本内页复印件（要求证件有效并清晰反映企业法人经营范围；近期连续三个月依法缴纳税收和在职职工社会保障资金证明材料（复印件）。</w:t>
      </w:r>
      <w:r>
        <w:rPr>
          <w:rFonts w:hAnsi="宋体"/>
          <w:color w:val="auto"/>
        </w:rPr>
        <w:tab/>
      </w:r>
    </w:p>
    <w:p w14:paraId="46F9A05F">
      <w:pPr>
        <w:spacing w:line="360" w:lineRule="auto"/>
        <w:ind w:firstLine="422" w:firstLineChars="200"/>
        <w:rPr>
          <w:rFonts w:hAnsi="宋体"/>
          <w:bCs/>
          <w:color w:val="auto"/>
        </w:rPr>
      </w:pPr>
      <w:r>
        <w:rPr>
          <w:rFonts w:hAnsi="宋体"/>
          <w:b/>
          <w:color w:val="auto"/>
        </w:rPr>
        <w:t>38.3</w:t>
      </w:r>
      <w:r>
        <w:rPr>
          <w:b/>
          <w:color w:val="auto"/>
        </w:rPr>
        <w:t xml:space="preserve">.3  </w:t>
      </w:r>
      <w:r>
        <w:rPr>
          <w:rFonts w:hint="eastAsia" w:ascii="宋体" w:hAnsi="宋体"/>
          <w:color w:val="auto"/>
        </w:rPr>
        <w:t>投诉人可以委托代理人办理投诉事务。</w:t>
      </w:r>
      <w:r>
        <w:rPr>
          <w:rFonts w:hint="eastAsia" w:ascii="宋体" w:hAnsi="宋体"/>
          <w:bCs/>
          <w:color w:val="auto"/>
        </w:rPr>
        <w:t>委托代理人应熟悉相关业务情况。</w:t>
      </w:r>
      <w:r>
        <w:rPr>
          <w:rFonts w:hint="eastAsia" w:ascii="宋体" w:hAnsi="宋体"/>
          <w:color w:val="auto"/>
        </w:rPr>
        <w:t>代理人办理投诉事务时，除提交投诉书外，还应当提交投诉人的授权委托书和委托代理人身份证明复印件。</w:t>
      </w:r>
    </w:p>
    <w:p w14:paraId="486287D2">
      <w:pPr>
        <w:spacing w:line="360" w:lineRule="auto"/>
        <w:ind w:firstLine="422" w:firstLineChars="200"/>
        <w:rPr>
          <w:rFonts w:hAnsi="宋体"/>
          <w:color w:val="auto"/>
        </w:rPr>
      </w:pPr>
      <w:r>
        <w:rPr>
          <w:rFonts w:hAnsi="宋体"/>
          <w:b/>
          <w:color w:val="auto"/>
        </w:rPr>
        <w:t>38.3</w:t>
      </w:r>
      <w:r>
        <w:rPr>
          <w:b/>
          <w:color w:val="auto"/>
        </w:rPr>
        <w:t>.4</w:t>
      </w:r>
      <w:r>
        <w:rPr>
          <w:color w:val="auto"/>
        </w:rPr>
        <w:t xml:space="preserve">  </w:t>
      </w:r>
      <w:r>
        <w:rPr>
          <w:rFonts w:hint="eastAsia" w:ascii="宋体" w:hAnsi="宋体"/>
          <w:color w:val="auto"/>
        </w:rPr>
        <w:t>投诉人提起投诉应当符合下列条件：</w:t>
      </w:r>
    </w:p>
    <w:p w14:paraId="56759382">
      <w:pPr>
        <w:spacing w:line="360" w:lineRule="auto"/>
        <w:ind w:firstLine="420" w:firstLineChars="200"/>
        <w:rPr>
          <w:rFonts w:ascii="宋体" w:hAnsi="宋体"/>
          <w:color w:val="auto"/>
        </w:rPr>
      </w:pPr>
      <w:r>
        <w:rPr>
          <w:rFonts w:hint="eastAsia" w:ascii="宋体" w:hAnsi="宋体"/>
          <w:color w:val="auto"/>
        </w:rPr>
        <w:t>（1）投诉人是参与所投诉政府采购活动的供应商；</w:t>
      </w:r>
    </w:p>
    <w:p w14:paraId="1770C560">
      <w:pPr>
        <w:spacing w:line="360" w:lineRule="auto"/>
        <w:ind w:firstLine="420" w:firstLineChars="200"/>
        <w:rPr>
          <w:rFonts w:hint="eastAsia" w:ascii="宋体" w:hAnsi="宋体"/>
          <w:color w:val="auto"/>
        </w:rPr>
      </w:pPr>
      <w:r>
        <w:rPr>
          <w:rFonts w:hint="eastAsia" w:ascii="宋体" w:hAnsi="宋体"/>
          <w:color w:val="auto"/>
        </w:rPr>
        <w:t>（2）提起投诉前已依法进行质疑；</w:t>
      </w:r>
    </w:p>
    <w:p w14:paraId="15EF4A63">
      <w:pPr>
        <w:spacing w:line="360" w:lineRule="auto"/>
        <w:ind w:firstLine="420" w:firstLineChars="200"/>
        <w:rPr>
          <w:rFonts w:hint="eastAsia" w:ascii="宋体" w:hAnsi="宋体"/>
          <w:color w:val="auto"/>
        </w:rPr>
      </w:pPr>
      <w:r>
        <w:rPr>
          <w:rFonts w:hint="eastAsia" w:ascii="宋体" w:hAnsi="宋体"/>
          <w:color w:val="auto"/>
        </w:rPr>
        <w:t>（3）投诉书内容符合本章第38.3.2项的规定；</w:t>
      </w:r>
    </w:p>
    <w:p w14:paraId="77A17A2A">
      <w:pPr>
        <w:spacing w:line="360" w:lineRule="auto"/>
        <w:ind w:firstLine="420" w:firstLineChars="200"/>
        <w:rPr>
          <w:rFonts w:hint="eastAsia" w:ascii="宋体" w:hAnsi="宋体"/>
          <w:color w:val="auto"/>
        </w:rPr>
      </w:pPr>
      <w:r>
        <w:rPr>
          <w:rFonts w:hint="eastAsia" w:ascii="宋体" w:hAnsi="宋体"/>
          <w:color w:val="auto"/>
        </w:rPr>
        <w:t>（4）在投诉有效期限内提起投诉；</w:t>
      </w:r>
    </w:p>
    <w:p w14:paraId="027BD28F">
      <w:pPr>
        <w:spacing w:line="360" w:lineRule="auto"/>
        <w:ind w:firstLine="420" w:firstLineChars="200"/>
        <w:rPr>
          <w:rFonts w:hint="eastAsia" w:ascii="宋体" w:hAnsi="宋体"/>
          <w:color w:val="auto"/>
        </w:rPr>
      </w:pPr>
      <w:r>
        <w:rPr>
          <w:rFonts w:hint="eastAsia" w:ascii="宋体" w:hAnsi="宋体"/>
          <w:color w:val="auto"/>
        </w:rPr>
        <w:t>（5）属于南宁市政府采购监督管理部门管辖；</w:t>
      </w:r>
    </w:p>
    <w:p w14:paraId="3CEF6F27">
      <w:pPr>
        <w:spacing w:line="360" w:lineRule="auto"/>
        <w:ind w:firstLine="420" w:firstLineChars="200"/>
        <w:rPr>
          <w:rFonts w:hint="eastAsia" w:ascii="宋体" w:hAnsi="宋体"/>
          <w:color w:val="auto"/>
        </w:rPr>
      </w:pPr>
      <w:r>
        <w:rPr>
          <w:rFonts w:hint="eastAsia" w:ascii="宋体" w:hAnsi="宋体"/>
          <w:color w:val="auto"/>
        </w:rPr>
        <w:t>（6）同一投诉事项未经</w:t>
      </w:r>
      <w:r>
        <w:rPr>
          <w:rFonts w:hint="eastAsia" w:ascii="宋体" w:hAnsi="宋体"/>
          <w:bCs/>
          <w:color w:val="auto"/>
        </w:rPr>
        <w:t>南宁市政府采购监督管理部门</w:t>
      </w:r>
      <w:r>
        <w:rPr>
          <w:rFonts w:hint="eastAsia" w:ascii="宋体" w:hAnsi="宋体"/>
          <w:color w:val="auto"/>
        </w:rPr>
        <w:t>投诉处理；</w:t>
      </w:r>
    </w:p>
    <w:p w14:paraId="70A9A9FB">
      <w:pPr>
        <w:spacing w:line="360" w:lineRule="auto"/>
        <w:ind w:firstLine="420" w:firstLineChars="200"/>
        <w:rPr>
          <w:rFonts w:hint="eastAsia" w:ascii="宋体"/>
          <w:color w:val="auto"/>
        </w:rPr>
      </w:pPr>
      <w:r>
        <w:rPr>
          <w:rFonts w:hint="eastAsia" w:ascii="宋体" w:hAnsi="宋体"/>
          <w:color w:val="auto"/>
        </w:rPr>
        <w:t>（7）国务院财政部门规定的其他条件。</w:t>
      </w:r>
    </w:p>
    <w:p w14:paraId="2DE8CE97">
      <w:pPr>
        <w:spacing w:line="360" w:lineRule="auto"/>
        <w:ind w:firstLine="422" w:firstLineChars="200"/>
        <w:rPr>
          <w:rFonts w:hint="eastAsia"/>
          <w:color w:val="auto"/>
        </w:rPr>
      </w:pPr>
      <w:r>
        <w:rPr>
          <w:rFonts w:hAnsi="宋体"/>
          <w:b/>
          <w:color w:val="auto"/>
        </w:rPr>
        <w:t>38.3</w:t>
      </w:r>
      <w:r>
        <w:rPr>
          <w:rFonts w:hint="eastAsia" w:ascii="宋体" w:hAnsi="宋体"/>
          <w:b/>
          <w:color w:val="auto"/>
        </w:rPr>
        <w:t>.5</w:t>
      </w:r>
      <w:r>
        <w:rPr>
          <w:rFonts w:hint="eastAsia" w:ascii="宋体"/>
          <w:color w:val="auto"/>
        </w:rPr>
        <w:t xml:space="preserve">  </w:t>
      </w:r>
      <w:r>
        <w:rPr>
          <w:rFonts w:hint="eastAsia" w:ascii="宋体" w:hAnsi="宋体"/>
          <w:color w:val="auto"/>
        </w:rPr>
        <w:t>南宁市政府采购监督管理部门自受理投诉之日起30个工作日内，对投诉事项作出处理决定，并以书面形式通知投诉人、被投诉人及其他与投诉处理结果有利害关系的政府采购当事人。并将投诉结果在http：//zfcg.gxzf.gov.cn (广西壮族自治区政府采购网)发布。</w:t>
      </w:r>
    </w:p>
    <w:p w14:paraId="11182963">
      <w:pPr>
        <w:spacing w:line="360" w:lineRule="auto"/>
        <w:ind w:firstLine="422" w:firstLineChars="200"/>
        <w:rPr>
          <w:rFonts w:ascii="宋体"/>
          <w:color w:val="auto"/>
        </w:rPr>
      </w:pPr>
      <w:r>
        <w:rPr>
          <w:rFonts w:hAnsi="宋体"/>
          <w:b/>
          <w:color w:val="auto"/>
        </w:rPr>
        <w:t>38.3</w:t>
      </w:r>
      <w:r>
        <w:rPr>
          <w:rFonts w:hint="eastAsia" w:ascii="宋体" w:hAnsi="宋体"/>
          <w:b/>
          <w:color w:val="auto"/>
        </w:rPr>
        <w:t>.6</w:t>
      </w:r>
      <w:r>
        <w:rPr>
          <w:rFonts w:hint="eastAsia" w:ascii="宋体"/>
          <w:color w:val="auto"/>
        </w:rPr>
        <w:t xml:space="preserve">  </w:t>
      </w:r>
      <w:r>
        <w:rPr>
          <w:rFonts w:hint="eastAsia" w:ascii="宋体" w:hAnsi="宋体"/>
          <w:color w:val="auto"/>
        </w:rPr>
        <w:t>南宁市政府采购监督管理部门在处理投诉事项期间，可以视具体情况暂停采购活动。</w:t>
      </w:r>
    </w:p>
    <w:p w14:paraId="7517EA13">
      <w:pPr>
        <w:snapToGrid w:val="0"/>
        <w:spacing w:line="360" w:lineRule="auto"/>
        <w:ind w:left="120" w:leftChars="57" w:firstLine="482" w:firstLineChars="150"/>
        <w:jc w:val="center"/>
        <w:outlineLvl w:val="2"/>
        <w:rPr>
          <w:rFonts w:hint="eastAsia" w:ascii="宋体" w:hAnsi="宋体"/>
          <w:b/>
          <w:bCs/>
          <w:color w:val="auto"/>
          <w:sz w:val="32"/>
          <w:szCs w:val="32"/>
        </w:rPr>
      </w:pPr>
      <w:bookmarkStart w:id="146" w:name="_Toc8819"/>
      <w:bookmarkEnd w:id="146"/>
      <w:bookmarkStart w:id="147" w:name="_Toc11264"/>
      <w:bookmarkEnd w:id="147"/>
      <w:bookmarkStart w:id="148" w:name="_Toc10841"/>
      <w:bookmarkStart w:id="149" w:name="_Toc449"/>
    </w:p>
    <w:p w14:paraId="07C6E2C3">
      <w:pPr>
        <w:snapToGrid w:val="0"/>
        <w:spacing w:line="360" w:lineRule="auto"/>
        <w:ind w:left="120" w:leftChars="57" w:firstLine="482" w:firstLineChars="150"/>
        <w:jc w:val="center"/>
        <w:outlineLvl w:val="2"/>
        <w:rPr>
          <w:rFonts w:hint="eastAsia"/>
          <w:b/>
          <w:bCs/>
          <w:color w:val="auto"/>
          <w:sz w:val="32"/>
          <w:szCs w:val="32"/>
        </w:rPr>
      </w:pPr>
      <w:r>
        <w:rPr>
          <w:rFonts w:hint="eastAsia" w:ascii="宋体" w:hAnsi="宋体"/>
          <w:b/>
          <w:bCs/>
          <w:color w:val="auto"/>
          <w:sz w:val="32"/>
          <w:szCs w:val="32"/>
        </w:rPr>
        <w:t>八、验收</w:t>
      </w:r>
      <w:bookmarkEnd w:id="148"/>
      <w:bookmarkEnd w:id="149"/>
    </w:p>
    <w:p w14:paraId="3B670971">
      <w:pPr>
        <w:spacing w:line="360" w:lineRule="auto"/>
        <w:ind w:firstLine="422" w:firstLineChars="200"/>
        <w:rPr>
          <w:rFonts w:hAnsi="宋体"/>
          <w:b/>
          <w:color w:val="auto"/>
          <w:szCs w:val="21"/>
        </w:rPr>
      </w:pPr>
      <w:r>
        <w:rPr>
          <w:rFonts w:hAnsi="宋体"/>
          <w:b/>
          <w:color w:val="auto"/>
        </w:rPr>
        <w:t>39.</w:t>
      </w:r>
      <w:r>
        <w:rPr>
          <w:rFonts w:hint="eastAsia" w:ascii="宋体" w:hAnsi="宋体"/>
          <w:b/>
          <w:color w:val="auto"/>
        </w:rPr>
        <w:t>验收</w:t>
      </w:r>
    </w:p>
    <w:p w14:paraId="7E47B664">
      <w:pPr>
        <w:autoSpaceDE w:val="0"/>
        <w:spacing w:line="360" w:lineRule="auto"/>
        <w:ind w:firstLine="420" w:firstLineChars="200"/>
        <w:jc w:val="left"/>
        <w:rPr>
          <w:rFonts w:ascii="宋体" w:hAnsi="宋体"/>
          <w:color w:val="auto"/>
        </w:rPr>
      </w:pPr>
      <w:r>
        <w:rPr>
          <w:rFonts w:hint="eastAsia" w:ascii="宋体" w:hAnsi="宋体"/>
          <w:color w:val="auto"/>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AAFFE05">
      <w:pPr>
        <w:autoSpaceDE w:val="0"/>
        <w:spacing w:line="360" w:lineRule="auto"/>
        <w:ind w:firstLine="420" w:firstLineChars="200"/>
        <w:jc w:val="left"/>
        <w:rPr>
          <w:rFonts w:hint="eastAsia" w:ascii="宋体" w:hAnsi="宋体"/>
          <w:color w:val="auto"/>
        </w:rPr>
      </w:pPr>
      <w:r>
        <w:rPr>
          <w:rFonts w:hint="eastAsia" w:ascii="宋体" w:hAnsi="宋体"/>
          <w:color w:val="auto"/>
        </w:rPr>
        <w:t>39.2采购人可以邀请参加本项目的其他投标人或者第三方机构参与验收。参与验收的投标人或者第三方机构的意见作为验收书的参考资料一并存档。</w:t>
      </w:r>
    </w:p>
    <w:p w14:paraId="3DAE5382">
      <w:pPr>
        <w:autoSpaceDE w:val="0"/>
        <w:spacing w:line="360" w:lineRule="auto"/>
        <w:ind w:firstLine="420" w:firstLineChars="200"/>
        <w:jc w:val="left"/>
        <w:rPr>
          <w:rFonts w:hint="eastAsia" w:ascii="宋体" w:hAnsi="宋体"/>
          <w:color w:val="auto"/>
        </w:rPr>
      </w:pPr>
      <w:r>
        <w:rPr>
          <w:rFonts w:hint="eastAsia" w:ascii="宋体" w:hAnsi="宋体"/>
          <w:color w:val="auto"/>
        </w:rPr>
        <w:t>39.3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AE1D11C">
      <w:pPr>
        <w:autoSpaceDE w:val="0"/>
        <w:spacing w:line="360" w:lineRule="auto"/>
        <w:ind w:firstLine="420" w:firstLineChars="200"/>
        <w:jc w:val="left"/>
        <w:rPr>
          <w:rFonts w:hint="eastAsia" w:ascii="宋体" w:hAnsi="宋体"/>
          <w:color w:val="auto"/>
        </w:rPr>
      </w:pPr>
      <w:r>
        <w:rPr>
          <w:rFonts w:hint="eastAsia" w:ascii="宋体" w:hAnsi="宋体"/>
          <w:color w:val="auto"/>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7577428">
      <w:pPr>
        <w:pStyle w:val="9"/>
        <w:snapToGrid w:val="0"/>
        <w:spacing w:line="400" w:lineRule="exact"/>
        <w:rPr>
          <w:rFonts w:hint="eastAsia" w:hAnsi="宋体"/>
          <w:color w:val="auto"/>
        </w:rPr>
      </w:pPr>
      <w:r>
        <w:rPr>
          <w:rFonts w:hint="eastAsia" w:hAnsi="宋体"/>
          <w:color w:val="auto"/>
        </w:rPr>
        <w:t xml:space="preserve"> </w:t>
      </w:r>
    </w:p>
    <w:p w14:paraId="0BBB4D2E">
      <w:pPr>
        <w:rPr>
          <w:rFonts w:hint="eastAsia"/>
          <w:color w:val="auto"/>
        </w:rPr>
      </w:pPr>
      <w:bookmarkStart w:id="150" w:name="_Toc25846"/>
      <w:bookmarkEnd w:id="150"/>
      <w:bookmarkStart w:id="151" w:name="_八、其他事项"/>
      <w:bookmarkEnd w:id="151"/>
      <w:bookmarkStart w:id="152" w:name="_Toc26314"/>
      <w:r>
        <w:rPr>
          <w:rFonts w:hint="eastAsia"/>
          <w:color w:val="auto"/>
        </w:rPr>
        <w:br w:type="page"/>
      </w:r>
      <w:bookmarkEnd w:id="152"/>
    </w:p>
    <w:p w14:paraId="22805B7A">
      <w:pPr>
        <w:pStyle w:val="3"/>
        <w:keepLines w:val="0"/>
        <w:spacing w:line="360" w:lineRule="auto"/>
        <w:jc w:val="center"/>
        <w:rPr>
          <w:rFonts w:hint="eastAsia"/>
          <w:color w:val="auto"/>
        </w:rPr>
      </w:pPr>
      <w:bookmarkStart w:id="153" w:name="_Toc25871"/>
      <w:bookmarkEnd w:id="153"/>
      <w:bookmarkStart w:id="154" w:name="_Toc12886"/>
      <w:r>
        <w:rPr>
          <w:rFonts w:hint="eastAsia" w:ascii="宋体" w:hAnsi="宋体"/>
          <w:color w:val="auto"/>
        </w:rPr>
        <w:t>九、其他事项</w:t>
      </w:r>
      <w:bookmarkEnd w:id="154"/>
    </w:p>
    <w:p w14:paraId="14714E9D">
      <w:pPr>
        <w:spacing w:line="360" w:lineRule="auto"/>
        <w:ind w:firstLine="480" w:firstLineChars="200"/>
        <w:rPr>
          <w:rFonts w:ascii="黑体" w:hAnsi="黑体" w:eastAsia="黑体"/>
          <w:color w:val="auto"/>
          <w:sz w:val="24"/>
        </w:rPr>
      </w:pPr>
      <w:bookmarkStart w:id="155" w:name="_42.代理服务费"/>
      <w:bookmarkEnd w:id="155"/>
      <w:r>
        <w:rPr>
          <w:rFonts w:hint="eastAsia" w:ascii="黑体" w:hAnsi="黑体" w:eastAsia="黑体"/>
          <w:color w:val="auto"/>
          <w:sz w:val="24"/>
        </w:rPr>
        <w:t>40.代理服务费</w:t>
      </w:r>
    </w:p>
    <w:p w14:paraId="72ECD186">
      <w:pPr>
        <w:spacing w:line="360" w:lineRule="auto"/>
        <w:ind w:firstLine="422" w:firstLineChars="200"/>
        <w:rPr>
          <w:rFonts w:hint="eastAsia" w:ascii="宋体" w:hAnsi="宋体"/>
          <w:b/>
          <w:color w:val="auto"/>
          <w:szCs w:val="21"/>
        </w:rPr>
      </w:pPr>
      <w:r>
        <w:rPr>
          <w:rFonts w:hint="eastAsia" w:ascii="宋体" w:hAnsi="宋体"/>
          <w:b/>
          <w:color w:val="auto"/>
        </w:rPr>
        <w:t>代理服务费收费标准及缴费账户详见“投标人须知前附表”，投标人为联合体的，可以由联合体中的一方或者多方共同交纳代理服务费。</w:t>
      </w:r>
    </w:p>
    <w:p w14:paraId="588C7ED2">
      <w:pP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41. 需要补充的其他内容</w:t>
      </w:r>
    </w:p>
    <w:p w14:paraId="0F700254">
      <w:pPr>
        <w:autoSpaceDE w:val="0"/>
        <w:spacing w:line="360" w:lineRule="auto"/>
        <w:ind w:firstLine="420" w:firstLineChars="200"/>
        <w:jc w:val="left"/>
        <w:rPr>
          <w:rFonts w:hint="eastAsia" w:ascii="宋体" w:hAnsi="宋体"/>
          <w:color w:val="auto"/>
          <w:szCs w:val="21"/>
        </w:rPr>
      </w:pPr>
      <w:bookmarkStart w:id="156" w:name="_Hlk65857140"/>
      <w:bookmarkEnd w:id="156"/>
      <w:r>
        <w:rPr>
          <w:rFonts w:hint="eastAsia" w:ascii="宋体" w:hAnsi="宋体"/>
          <w:color w:val="auto"/>
        </w:rPr>
        <w:t>41.1本招标文件解释规则详见“投标人须知前附表”。</w:t>
      </w:r>
    </w:p>
    <w:p w14:paraId="723D75E5">
      <w:pPr>
        <w:autoSpaceDE w:val="0"/>
        <w:spacing w:line="360" w:lineRule="auto"/>
        <w:ind w:firstLine="420" w:firstLineChars="200"/>
        <w:jc w:val="left"/>
        <w:rPr>
          <w:rFonts w:hint="eastAsia" w:ascii="宋体" w:hAnsi="宋体"/>
          <w:color w:val="auto"/>
        </w:rPr>
      </w:pPr>
      <w:r>
        <w:rPr>
          <w:rFonts w:hint="eastAsia" w:ascii="宋体" w:hAnsi="宋体"/>
          <w:color w:val="auto"/>
        </w:rPr>
        <w:t>41.2 其他事项详见“投标人须知前附表”。</w:t>
      </w:r>
    </w:p>
    <w:p w14:paraId="07A62E98">
      <w:pPr>
        <w:pStyle w:val="9"/>
        <w:autoSpaceDE w:val="0"/>
        <w:spacing w:line="360" w:lineRule="auto"/>
        <w:ind w:firstLine="420" w:firstLineChars="200"/>
        <w:jc w:val="left"/>
        <w:rPr>
          <w:rFonts w:hint="eastAsia" w:hAnsi="宋体"/>
          <w:color w:val="auto"/>
        </w:rPr>
      </w:pPr>
      <w:r>
        <w:rPr>
          <w:rFonts w:hint="eastAsia" w:hAnsi="宋体"/>
          <w:color w:val="auto"/>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由中小企业制造，即货物由中小企业生产且使用该中小企业商号或者注册商标，不对其中涉及的工程承建商和服务的承接商作出要求的，享受本文件规定的中小企业扶持政策。</w:t>
      </w:r>
    </w:p>
    <w:p w14:paraId="7E620F39">
      <w:pPr>
        <w:pStyle w:val="9"/>
        <w:autoSpaceDE w:val="0"/>
        <w:spacing w:line="360" w:lineRule="auto"/>
        <w:ind w:firstLine="420" w:firstLineChars="200"/>
        <w:contextualSpacing/>
        <w:jc w:val="left"/>
        <w:rPr>
          <w:rFonts w:hint="eastAsia" w:hAnsi="宋体"/>
          <w:color w:val="auto"/>
        </w:rPr>
      </w:pPr>
      <w:r>
        <w:rPr>
          <w:rFonts w:hint="eastAsia" w:hAnsi="宋体"/>
          <w:color w:val="auto"/>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3D65B284">
      <w:pPr>
        <w:pStyle w:val="9"/>
        <w:autoSpaceDE w:val="0"/>
        <w:spacing w:line="360" w:lineRule="auto"/>
        <w:ind w:firstLine="420" w:firstLineChars="200"/>
        <w:contextualSpacing/>
        <w:jc w:val="left"/>
        <w:rPr>
          <w:rFonts w:hint="eastAsia" w:hAnsi="宋体"/>
          <w:color w:val="auto"/>
        </w:rPr>
      </w:pPr>
      <w:r>
        <w:rPr>
          <w:rFonts w:hint="eastAsia" w:hAnsi="宋体"/>
          <w:color w:val="auto"/>
        </w:rPr>
        <w:t>依据本文件规定享受扶持政策获得政府采购合同的，小微企业不得将合同分包给大中型企业，中型企业不得将合同分包给大型企业。</w:t>
      </w:r>
    </w:p>
    <w:p w14:paraId="21279FB4">
      <w:pPr>
        <w:spacing w:line="360" w:lineRule="auto"/>
        <w:ind w:firstLine="480" w:firstLineChars="200"/>
        <w:rPr>
          <w:rFonts w:hint="eastAsia" w:ascii="黑体" w:hAnsi="黑体" w:eastAsia="黑体"/>
          <w:color w:val="auto"/>
          <w:sz w:val="24"/>
        </w:rPr>
      </w:pPr>
      <w:r>
        <w:rPr>
          <w:rFonts w:hint="eastAsia" w:ascii="黑体" w:hAnsi="黑体" w:eastAsia="黑体"/>
          <w:color w:val="auto"/>
          <w:sz w:val="24"/>
        </w:rPr>
        <w:t>42. 政采贷相关说明</w:t>
      </w:r>
    </w:p>
    <w:p w14:paraId="59078D8F">
      <w:pPr>
        <w:spacing w:line="360" w:lineRule="auto"/>
        <w:ind w:firstLine="420" w:firstLineChars="200"/>
        <w:jc w:val="left"/>
        <w:rPr>
          <w:rFonts w:hint="eastAsia" w:ascii="宋体" w:hAnsi="宋体"/>
          <w:color w:val="auto"/>
          <w:szCs w:val="21"/>
        </w:rPr>
      </w:pPr>
      <w:r>
        <w:rPr>
          <w:rFonts w:hint="eastAsia" w:ascii="宋体" w:hAnsi="宋体"/>
          <w:color w:val="auto"/>
        </w:rPr>
        <w:t>为优化政府采购营商环境，缓解供应商资金难题，南宁市政府采购试行政府采购信用融资制度，中标供应商如有融资需求，可凭政府采购合同通过以下方式申请政府采购信用融资贷款：</w:t>
      </w:r>
    </w:p>
    <w:p w14:paraId="28D76C5F">
      <w:pPr>
        <w:spacing w:line="360" w:lineRule="auto"/>
        <w:ind w:firstLine="420" w:firstLineChars="200"/>
        <w:jc w:val="left"/>
        <w:rPr>
          <w:rFonts w:hint="eastAsia" w:ascii="宋体" w:hAnsi="宋体"/>
          <w:color w:val="auto"/>
        </w:rPr>
      </w:pPr>
      <w:r>
        <w:rPr>
          <w:rFonts w:hint="eastAsia" w:ascii="宋体" w:hAnsi="宋体"/>
          <w:color w:val="auto"/>
        </w:rPr>
        <w:t>（1）线下渠道：在“南宁市公共资源交易中心”官网（网址：http://www.nnggzy.org.cn）“交易信息-政府采购-政府采购信用融资”中融资银行和南宁市企业融资货物中心专栏信息申请政府采购信用融资。</w:t>
      </w:r>
    </w:p>
    <w:p w14:paraId="33C49A5D">
      <w:pPr>
        <w:pageBreakBefore w:val="0"/>
        <w:numPr>
          <w:ilvl w:val="0"/>
          <w:numId w:val="0"/>
        </w:numPr>
        <w:kinsoku/>
        <w:wordWrap/>
        <w:overflowPunct/>
        <w:topLinePunct w:val="0"/>
        <w:bidi w:val="0"/>
        <w:spacing w:beforeAutospacing="0" w:line="360" w:lineRule="auto"/>
        <w:ind w:leftChars="200" w:right="0" w:rightChars="0"/>
        <w:jc w:val="left"/>
        <w:rPr>
          <w:rFonts w:hint="eastAsia" w:ascii="宋体" w:hAnsi="宋体" w:eastAsia="宋体" w:cs="宋体"/>
          <w:color w:val="auto"/>
        </w:rPr>
      </w:pPr>
      <w:r>
        <w:rPr>
          <w:rFonts w:hint="eastAsia" w:ascii="宋体" w:hAnsi="宋体"/>
          <w:color w:val="auto"/>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Ansi="宋体"/>
          <w:color w:val="auto"/>
        </w:rPr>
        <w:br w:type="page"/>
      </w:r>
      <w:bookmarkStart w:id="157" w:name="_Toc532545043"/>
    </w:p>
    <w:p w14:paraId="1BE924FC">
      <w:pPr>
        <w:pageBreakBefore w:val="0"/>
        <w:kinsoku/>
        <w:wordWrap/>
        <w:overflowPunct/>
        <w:topLinePunct w:val="0"/>
        <w:bidi w:val="0"/>
        <w:spacing w:beforeAutospacing="0" w:line="360" w:lineRule="auto"/>
        <w:ind w:left="0" w:leftChars="0" w:right="0"/>
        <w:jc w:val="center"/>
        <w:outlineLvl w:val="0"/>
        <w:rPr>
          <w:rFonts w:hint="eastAsia" w:ascii="宋体" w:hAnsi="宋体" w:eastAsia="宋体" w:cs="宋体"/>
          <w:b/>
          <w:color w:val="auto"/>
          <w:sz w:val="36"/>
          <w:szCs w:val="20"/>
        </w:rPr>
      </w:pPr>
      <w:bookmarkStart w:id="158" w:name="_Toc20225"/>
    </w:p>
    <w:p w14:paraId="0450CC15">
      <w:pPr>
        <w:pageBreakBefore w:val="0"/>
        <w:kinsoku/>
        <w:wordWrap/>
        <w:overflowPunct/>
        <w:topLinePunct w:val="0"/>
        <w:bidi w:val="0"/>
        <w:spacing w:beforeAutospacing="0" w:line="360" w:lineRule="auto"/>
        <w:ind w:left="0" w:leftChars="0" w:right="0"/>
        <w:jc w:val="center"/>
        <w:outlineLvl w:val="0"/>
        <w:rPr>
          <w:rFonts w:hint="eastAsia" w:ascii="宋体" w:hAnsi="宋体" w:eastAsia="宋体" w:cs="宋体"/>
          <w:b/>
          <w:color w:val="auto"/>
          <w:sz w:val="36"/>
          <w:szCs w:val="20"/>
        </w:rPr>
      </w:pPr>
    </w:p>
    <w:p w14:paraId="43D4E3E2">
      <w:pPr>
        <w:pageBreakBefore w:val="0"/>
        <w:kinsoku/>
        <w:wordWrap/>
        <w:overflowPunct/>
        <w:topLinePunct w:val="0"/>
        <w:bidi w:val="0"/>
        <w:spacing w:beforeAutospacing="0" w:line="360" w:lineRule="auto"/>
        <w:ind w:left="0" w:leftChars="0" w:right="0"/>
        <w:jc w:val="center"/>
        <w:outlineLvl w:val="0"/>
        <w:rPr>
          <w:rFonts w:hint="eastAsia" w:ascii="宋体" w:hAnsi="宋体" w:eastAsia="宋体" w:cs="宋体"/>
          <w:b/>
          <w:color w:val="auto"/>
          <w:sz w:val="36"/>
          <w:szCs w:val="20"/>
        </w:rPr>
      </w:pPr>
      <w:r>
        <w:rPr>
          <w:rFonts w:hint="eastAsia" w:ascii="宋体" w:hAnsi="宋体" w:eastAsia="宋体" w:cs="宋体"/>
          <w:b/>
          <w:color w:val="auto"/>
          <w:sz w:val="36"/>
          <w:szCs w:val="20"/>
        </w:rPr>
        <w:t>第四章  评标方法</w:t>
      </w:r>
      <w:bookmarkEnd w:id="157"/>
      <w:r>
        <w:rPr>
          <w:rFonts w:hint="eastAsia" w:ascii="宋体" w:hAnsi="宋体" w:eastAsia="宋体" w:cs="宋体"/>
          <w:b/>
          <w:color w:val="auto"/>
          <w:sz w:val="36"/>
          <w:szCs w:val="20"/>
        </w:rPr>
        <w:t>及评分标准</w:t>
      </w:r>
      <w:bookmarkEnd w:id="158"/>
    </w:p>
    <w:p w14:paraId="1C6E75FA">
      <w:pPr>
        <w:pageBreakBefore w:val="0"/>
        <w:kinsoku/>
        <w:wordWrap/>
        <w:overflowPunct/>
        <w:topLinePunct w:val="0"/>
        <w:bidi w:val="0"/>
        <w:spacing w:beforeAutospacing="0" w:line="360" w:lineRule="auto"/>
        <w:ind w:left="0" w:leftChars="0" w:right="0"/>
        <w:jc w:val="center"/>
        <w:outlineLvl w:val="1"/>
        <w:rPr>
          <w:rFonts w:hint="eastAsia" w:ascii="宋体" w:hAnsi="宋体" w:eastAsia="宋体" w:cs="宋体"/>
          <w:b/>
          <w:bCs/>
          <w:color w:val="auto"/>
          <w:sz w:val="32"/>
          <w:szCs w:val="32"/>
        </w:rPr>
      </w:pPr>
      <w:bookmarkStart w:id="159" w:name="_Toc22726"/>
      <w:r>
        <w:rPr>
          <w:rFonts w:hint="eastAsia" w:ascii="宋体" w:hAnsi="宋体" w:eastAsia="宋体" w:cs="宋体"/>
          <w:b/>
          <w:bCs/>
          <w:color w:val="auto"/>
          <w:sz w:val="32"/>
          <w:szCs w:val="32"/>
        </w:rPr>
        <w:t>第一节 评标方法</w:t>
      </w:r>
      <w:bookmarkEnd w:id="159"/>
    </w:p>
    <w:p w14:paraId="4C8881B1">
      <w:pPr>
        <w:pageBreakBefore w:val="0"/>
        <w:tabs>
          <w:tab w:val="left" w:pos="2472"/>
        </w:tabs>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rPr>
      </w:pPr>
      <w:r>
        <w:rPr>
          <w:rFonts w:hint="eastAsia" w:ascii="宋体" w:hAnsi="宋体" w:eastAsia="宋体" w:cs="宋体"/>
          <w:color w:val="auto"/>
          <w:szCs w:val="21"/>
        </w:rPr>
        <w:t>本项目采用</w:t>
      </w:r>
      <w:r>
        <w:rPr>
          <w:rFonts w:hint="eastAsia" w:ascii="宋体" w:hAnsi="宋体" w:eastAsia="宋体" w:cs="宋体"/>
          <w:color w:val="auto"/>
          <w:szCs w:val="21"/>
          <w:u w:val="single"/>
        </w:rPr>
        <w:t xml:space="preserve"> 以下勾选的方式</w:t>
      </w:r>
      <w:r>
        <w:rPr>
          <w:rFonts w:hint="eastAsia" w:ascii="宋体" w:hAnsi="宋体" w:eastAsia="宋体" w:cs="宋体"/>
          <w:color w:val="auto"/>
          <w:szCs w:val="21"/>
        </w:rPr>
        <w:t>进行评审。</w:t>
      </w:r>
    </w:p>
    <w:p w14:paraId="32E7CB25">
      <w:pPr>
        <w:pageBreakBefore w:val="0"/>
        <w:kinsoku/>
        <w:wordWrap/>
        <w:overflowPunct/>
        <w:topLinePunct w:val="0"/>
        <w:bidi w:val="0"/>
        <w:spacing w:beforeAutospacing="0" w:line="360" w:lineRule="auto"/>
        <w:ind w:left="0" w:leftChars="0" w:right="0" w:firstLine="420"/>
        <w:rPr>
          <w:rFonts w:hint="eastAsia" w:ascii="宋体" w:hAnsi="宋体" w:eastAsia="宋体" w:cs="宋体"/>
          <w:color w:val="auto"/>
          <w:szCs w:val="20"/>
        </w:rPr>
      </w:pPr>
      <w:r>
        <w:rPr>
          <w:rFonts w:hint="eastAsia" w:ascii="宋体" w:hAnsi="宋体" w:eastAsia="宋体" w:cs="宋体"/>
          <w:color w:val="auto"/>
          <w:szCs w:val="21"/>
        </w:rPr>
        <w:t>□最低评标价法，是指投标文件满足招标文件</w:t>
      </w:r>
      <w:r>
        <w:rPr>
          <w:rFonts w:hint="eastAsia" w:ascii="宋体" w:hAnsi="宋体" w:eastAsia="宋体" w:cs="宋体"/>
          <w:color w:val="auto"/>
          <w:szCs w:val="20"/>
        </w:rPr>
        <w:t>全部实质性要求，且投标报价最低的投标人为中标候选人的评标方法。</w:t>
      </w:r>
    </w:p>
    <w:p w14:paraId="3E783159">
      <w:pPr>
        <w:pageBreakBefore w:val="0"/>
        <w:kinsoku/>
        <w:wordWrap/>
        <w:overflowPunct/>
        <w:topLinePunct w:val="0"/>
        <w:autoSpaceDE w:val="0"/>
        <w:autoSpaceDN w:val="0"/>
        <w:bidi w:val="0"/>
        <w:adjustRightInd w:val="0"/>
        <w:spacing w:beforeAutospacing="0" w:line="360" w:lineRule="auto"/>
        <w:ind w:left="0" w:leftChars="0" w:right="0" w:firstLine="420" w:firstLineChars="200"/>
        <w:rPr>
          <w:rFonts w:hint="eastAsia" w:ascii="宋体" w:hAnsi="宋体" w:eastAsia="宋体" w:cs="宋体"/>
          <w:color w:val="auto"/>
          <w:sz w:val="24"/>
        </w:rPr>
      </w:pPr>
      <w:r>
        <w:rPr>
          <w:rFonts w:hint="eastAsia" w:ascii="宋体" w:hAnsi="宋体" w:eastAsia="宋体" w:cs="宋体"/>
          <w:bCs/>
          <w:color w:val="auto"/>
          <w:szCs w:val="21"/>
        </w:rPr>
        <w:t>☑</w:t>
      </w:r>
      <w:r>
        <w:rPr>
          <w:rFonts w:hint="eastAsia" w:ascii="宋体" w:hAnsi="宋体" w:eastAsia="宋体" w:cs="宋体"/>
          <w:color w:val="auto"/>
        </w:rPr>
        <w:t>综合评分法，</w:t>
      </w:r>
      <w:r>
        <w:rPr>
          <w:rFonts w:hint="eastAsia" w:ascii="宋体" w:hAnsi="宋体" w:eastAsia="宋体" w:cs="宋体"/>
          <w:color w:val="auto"/>
          <w:szCs w:val="20"/>
        </w:rPr>
        <w:t xml:space="preserve">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4D20133A">
      <w:pPr>
        <w:pageBreakBefore w:val="0"/>
        <w:kinsoku/>
        <w:wordWrap/>
        <w:overflowPunct/>
        <w:topLinePunct w:val="0"/>
        <w:bidi w:val="0"/>
        <w:spacing w:beforeAutospacing="0" w:line="360" w:lineRule="auto"/>
        <w:ind w:left="0" w:leftChars="0" w:right="0" w:firstLine="420"/>
        <w:rPr>
          <w:rFonts w:hint="eastAsia" w:ascii="宋体" w:hAnsi="宋体" w:eastAsia="宋体" w:cs="宋体"/>
          <w:color w:val="auto"/>
          <w:szCs w:val="20"/>
        </w:rPr>
      </w:pPr>
    </w:p>
    <w:p w14:paraId="45EA979A">
      <w:pPr>
        <w:pageBreakBefore w:val="0"/>
        <w:tabs>
          <w:tab w:val="left" w:pos="2472"/>
        </w:tabs>
        <w:kinsoku/>
        <w:wordWrap/>
        <w:overflowPunct/>
        <w:topLinePunct w:val="0"/>
        <w:bidi w:val="0"/>
        <w:spacing w:beforeAutospacing="0" w:line="360" w:lineRule="auto"/>
        <w:ind w:left="0" w:leftChars="0" w:right="0"/>
        <w:jc w:val="center"/>
        <w:outlineLvl w:val="1"/>
        <w:rPr>
          <w:rFonts w:hint="eastAsia" w:ascii="宋体" w:hAnsi="宋体" w:eastAsia="宋体" w:cs="宋体"/>
          <w:b/>
          <w:bCs/>
          <w:color w:val="auto"/>
          <w:sz w:val="32"/>
          <w:szCs w:val="32"/>
        </w:rPr>
      </w:pPr>
      <w:bookmarkStart w:id="160" w:name="_Toc25369"/>
      <w:r>
        <w:rPr>
          <w:rFonts w:hint="eastAsia" w:ascii="宋体" w:hAnsi="宋体" w:eastAsia="宋体" w:cs="宋体"/>
          <w:b/>
          <w:bCs/>
          <w:color w:val="auto"/>
          <w:sz w:val="32"/>
          <w:szCs w:val="32"/>
        </w:rPr>
        <w:t>第二节 评标程序</w:t>
      </w:r>
      <w:bookmarkEnd w:id="160"/>
    </w:p>
    <w:p w14:paraId="28332188">
      <w:pPr>
        <w:pageBreakBefore w:val="0"/>
        <w:kinsoku/>
        <w:wordWrap/>
        <w:overflowPunct/>
        <w:topLinePunct w:val="0"/>
        <w:bidi w:val="0"/>
        <w:spacing w:beforeAutospacing="0" w:line="360" w:lineRule="auto"/>
        <w:ind w:left="0" w:leftChars="0" w:right="0" w:firstLine="422" w:firstLineChars="200"/>
        <w:rPr>
          <w:rFonts w:hint="eastAsia" w:ascii="宋体" w:hAnsi="宋体" w:eastAsia="宋体" w:cs="宋体"/>
          <w:b/>
          <w:color w:val="auto"/>
          <w:szCs w:val="21"/>
        </w:rPr>
      </w:pPr>
      <w:r>
        <w:rPr>
          <w:rFonts w:hint="eastAsia" w:ascii="宋体" w:hAnsi="宋体" w:eastAsia="宋体" w:cs="宋体"/>
          <w:b/>
          <w:color w:val="auto"/>
          <w:szCs w:val="21"/>
        </w:rPr>
        <w:t>1.符合性审查</w:t>
      </w:r>
    </w:p>
    <w:p w14:paraId="618E1B0C">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rPr>
      </w:pPr>
      <w:r>
        <w:rPr>
          <w:rFonts w:hint="eastAsia" w:ascii="宋体" w:hAnsi="宋体" w:eastAsia="宋体" w:cs="宋体"/>
          <w:color w:val="auto"/>
        </w:rPr>
        <w:t>评标委员会应当对符合资格的投标人的投标文件进行投标报价、商务、技术等实质性内容符合性审查，以确定其是否满足招标文件的实质性要求。</w:t>
      </w:r>
    </w:p>
    <w:p w14:paraId="3F69964D">
      <w:pPr>
        <w:pageBreakBefore w:val="0"/>
        <w:kinsoku/>
        <w:wordWrap/>
        <w:overflowPunct/>
        <w:topLinePunct w:val="0"/>
        <w:bidi w:val="0"/>
        <w:spacing w:beforeAutospacing="0" w:line="360" w:lineRule="auto"/>
        <w:ind w:left="0" w:leftChars="0" w:right="0" w:firstLine="422" w:firstLineChars="200"/>
        <w:rPr>
          <w:rFonts w:hint="eastAsia" w:ascii="宋体" w:hAnsi="宋体" w:eastAsia="宋体" w:cs="宋体"/>
          <w:b/>
          <w:color w:val="auto"/>
          <w:szCs w:val="21"/>
        </w:rPr>
      </w:pPr>
      <w:r>
        <w:rPr>
          <w:rFonts w:hint="eastAsia" w:ascii="宋体" w:hAnsi="宋体" w:eastAsia="宋体" w:cs="宋体"/>
          <w:b/>
          <w:color w:val="auto"/>
          <w:szCs w:val="21"/>
        </w:rPr>
        <w:t>2.符合性审查不通过而导致投标无效的情形</w:t>
      </w:r>
    </w:p>
    <w:p w14:paraId="7921F1F5">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rPr>
      </w:pPr>
      <w:r>
        <w:rPr>
          <w:rFonts w:hint="eastAsia" w:ascii="宋体" w:hAnsi="宋体" w:eastAsia="宋体" w:cs="宋体"/>
          <w:color w:val="auto"/>
          <w:szCs w:val="21"/>
        </w:rPr>
        <w:t>投标人的投标文件中存在对招标文件的任何实质性要求和条件的负偏离，将被视为投标无效。</w:t>
      </w:r>
    </w:p>
    <w:p w14:paraId="04D72DE7">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rPr>
      </w:pPr>
      <w:r>
        <w:rPr>
          <w:rFonts w:hint="eastAsia" w:ascii="宋体" w:hAnsi="宋体" w:eastAsia="宋体" w:cs="宋体"/>
          <w:color w:val="auto"/>
          <w:szCs w:val="21"/>
        </w:rPr>
        <w:t>2.1在报价评审时，如发现下列情形之一的，将被视为投标无效：</w:t>
      </w:r>
    </w:p>
    <w:p w14:paraId="2EBABBB7">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（1）投标文件未提供“投标人须知前附表”第13.1条规定中“必须提供”的文件资料的</w:t>
      </w:r>
      <w:r>
        <w:rPr>
          <w:rFonts w:hint="eastAsia" w:ascii="宋体" w:hAnsi="宋体" w:cs="宋体"/>
          <w:color w:val="auto"/>
          <w:szCs w:val="21"/>
          <w:lang w:eastAsia="zh-CN"/>
        </w:rPr>
        <w:t>；</w:t>
      </w:r>
    </w:p>
    <w:p w14:paraId="52FC597C">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rPr>
      </w:pPr>
      <w:r>
        <w:rPr>
          <w:rFonts w:hint="eastAsia" w:ascii="宋体" w:hAnsi="宋体" w:eastAsia="宋体" w:cs="宋体"/>
          <w:color w:val="auto"/>
          <w:szCs w:val="21"/>
        </w:rPr>
        <w:t>（2）未采用人民币报价或者未按照招标文件标明的币种报价的；</w:t>
      </w:r>
    </w:p>
    <w:p w14:paraId="0D0F718E">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rPr>
      </w:pPr>
      <w:r>
        <w:rPr>
          <w:rFonts w:hint="eastAsia" w:ascii="宋体" w:hAnsi="宋体" w:eastAsia="宋体" w:cs="宋体"/>
          <w:color w:val="auto"/>
          <w:szCs w:val="21"/>
        </w:rPr>
        <w:t>（3）报价超出招标文件规定最高限价，或者超出采购预算金额（包括分项预算）的；</w:t>
      </w:r>
    </w:p>
    <w:p w14:paraId="664D0AD7">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rPr>
      </w:pPr>
      <w:r>
        <w:rPr>
          <w:rFonts w:hint="eastAsia" w:ascii="宋体" w:hAnsi="宋体" w:eastAsia="宋体" w:cs="宋体"/>
          <w:color w:val="auto"/>
          <w:szCs w:val="21"/>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68532B6F">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rPr>
      </w:pPr>
      <w:r>
        <w:rPr>
          <w:rFonts w:hint="eastAsia" w:ascii="宋体" w:hAnsi="宋体" w:eastAsia="宋体" w:cs="宋体"/>
          <w:color w:val="auto"/>
          <w:szCs w:val="21"/>
        </w:rPr>
        <w:t>（5）修正后的报价，投标人不确认的；</w:t>
      </w:r>
    </w:p>
    <w:p w14:paraId="4F0E43DB">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rPr>
      </w:pPr>
      <w:r>
        <w:rPr>
          <w:rFonts w:hint="eastAsia" w:ascii="宋体" w:hAnsi="宋体" w:eastAsia="宋体" w:cs="宋体"/>
          <w:color w:val="auto"/>
          <w:szCs w:val="21"/>
        </w:rPr>
        <w:t>（6）投标人属于本章第5条第（2）项情形的。</w:t>
      </w:r>
    </w:p>
    <w:p w14:paraId="56270954">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rPr>
      </w:pPr>
      <w:r>
        <w:rPr>
          <w:rFonts w:hint="eastAsia" w:ascii="宋体" w:hAnsi="宋体" w:eastAsia="宋体" w:cs="宋体"/>
          <w:color w:val="auto"/>
          <w:szCs w:val="21"/>
        </w:rPr>
        <w:t>2.2在商务评审时，如发现下列情形之一的，将被视为投标无效：</w:t>
      </w:r>
    </w:p>
    <w:p w14:paraId="04D4458A">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rPr>
      </w:pPr>
      <w:r>
        <w:rPr>
          <w:rFonts w:hint="eastAsia" w:ascii="宋体" w:hAnsi="宋体" w:eastAsia="宋体" w:cs="宋体"/>
          <w:color w:val="auto"/>
          <w:szCs w:val="21"/>
        </w:rPr>
        <w:t>（1）投标文件未按招标文件要求签署、盖章的；</w:t>
      </w:r>
    </w:p>
    <w:p w14:paraId="3A6BD5F4">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（2）委托代理人未能出具有效身份证明或者出具的身份证明与授权委托书中的信息不符的； </w:t>
      </w:r>
    </w:p>
    <w:p w14:paraId="4D13BEE4">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（3）投标文件未提供“投标人须知前附表”第13.1条规定中“必须提供”或者“委托时必须提供”的文件资料的</w:t>
      </w:r>
      <w:r>
        <w:rPr>
          <w:rFonts w:hint="eastAsia" w:ascii="宋体" w:hAnsi="宋体" w:cs="宋体"/>
          <w:color w:val="auto"/>
          <w:szCs w:val="21"/>
          <w:lang w:eastAsia="zh-CN"/>
        </w:rPr>
        <w:t>；</w:t>
      </w:r>
    </w:p>
    <w:p w14:paraId="4A512C46">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rPr>
      </w:pPr>
      <w:r>
        <w:rPr>
          <w:rFonts w:hint="eastAsia" w:ascii="宋体" w:hAnsi="宋体" w:eastAsia="宋体" w:cs="宋体"/>
          <w:color w:val="auto"/>
          <w:szCs w:val="21"/>
        </w:rPr>
        <w:t>（4）投标有效期、项目完成时间（交货时间、服务完成时间或者服务期等）、质保期、售后服务等招标文件中标“▲”的商务条款发生负偏离的；</w:t>
      </w:r>
    </w:p>
    <w:p w14:paraId="0126020C">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rPr>
      </w:pPr>
      <w:r>
        <w:rPr>
          <w:rFonts w:hint="eastAsia" w:ascii="宋体" w:hAnsi="宋体" w:eastAsia="宋体" w:cs="宋体"/>
          <w:color w:val="auto"/>
          <w:szCs w:val="21"/>
        </w:rPr>
        <w:t>（5）商务条款评审允许负偏离的条款数超过“投标人须知前附表”规定项数的。</w:t>
      </w:r>
    </w:p>
    <w:p w14:paraId="7E9A9E6D">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rPr>
      </w:pPr>
      <w:r>
        <w:rPr>
          <w:rFonts w:hint="eastAsia" w:ascii="宋体" w:hAnsi="宋体" w:eastAsia="宋体" w:cs="宋体"/>
          <w:color w:val="auto"/>
          <w:szCs w:val="21"/>
        </w:rPr>
        <w:t>（6）投标文件的实质性内容未使用中文表述、使用计量单位不符合招标文件要求的；</w:t>
      </w:r>
    </w:p>
    <w:p w14:paraId="103CD24A">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rPr>
      </w:pPr>
      <w:r>
        <w:rPr>
          <w:rFonts w:hint="eastAsia" w:ascii="宋体" w:hAnsi="宋体" w:eastAsia="宋体" w:cs="宋体"/>
          <w:color w:val="auto"/>
          <w:szCs w:val="21"/>
        </w:rPr>
        <w:t>（7）投标文件中的文件资料因填写不齐全或者内容虚假或者出现其他情形而导致被评标委员会认定无效的；</w:t>
      </w:r>
    </w:p>
    <w:p w14:paraId="45D60B79">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rPr>
      </w:pPr>
      <w:r>
        <w:rPr>
          <w:rFonts w:hint="eastAsia" w:ascii="宋体" w:hAnsi="宋体" w:eastAsia="宋体" w:cs="宋体"/>
          <w:color w:val="auto"/>
          <w:szCs w:val="21"/>
        </w:rPr>
        <w:t>（8）投标文件含有采购人不能接受的附加条件的；</w:t>
      </w:r>
    </w:p>
    <w:p w14:paraId="63671184">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rPr>
      </w:pPr>
      <w:r>
        <w:rPr>
          <w:rFonts w:hint="eastAsia" w:ascii="宋体" w:hAnsi="宋体" w:eastAsia="宋体" w:cs="宋体"/>
          <w:color w:val="auto"/>
          <w:szCs w:val="21"/>
        </w:rPr>
        <w:t>（9）未响应招标文件实质性要求的；</w:t>
      </w:r>
    </w:p>
    <w:p w14:paraId="4FAA13EC">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rPr>
      </w:pPr>
      <w:r>
        <w:rPr>
          <w:rFonts w:hint="eastAsia" w:ascii="宋体" w:hAnsi="宋体" w:eastAsia="宋体" w:cs="宋体"/>
          <w:color w:val="auto"/>
          <w:szCs w:val="21"/>
        </w:rPr>
        <w:t>（10）属于投标人须知正文第9.2条情形的；</w:t>
      </w:r>
    </w:p>
    <w:p w14:paraId="5144481E">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rPr>
      </w:pPr>
      <w:r>
        <w:rPr>
          <w:rFonts w:hint="eastAsia" w:ascii="宋体" w:hAnsi="宋体" w:eastAsia="宋体" w:cs="宋体"/>
          <w:color w:val="auto"/>
          <w:szCs w:val="21"/>
        </w:rPr>
        <w:t>（11）法律、法规和招标文件规定的其他无效情形。</w:t>
      </w:r>
    </w:p>
    <w:p w14:paraId="2E5C3D66">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rPr>
      </w:pPr>
      <w:r>
        <w:rPr>
          <w:rFonts w:hint="eastAsia" w:ascii="宋体" w:hAnsi="宋体" w:eastAsia="宋体" w:cs="宋体"/>
          <w:color w:val="auto"/>
          <w:szCs w:val="21"/>
        </w:rPr>
        <w:t>2.3在技术评审时，如发现下列情形之一的，将被视为投标无效：</w:t>
      </w:r>
    </w:p>
    <w:p w14:paraId="5F889244">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rPr>
      </w:pPr>
      <w:r>
        <w:rPr>
          <w:rFonts w:hint="eastAsia" w:ascii="宋体" w:hAnsi="宋体" w:eastAsia="宋体" w:cs="宋体"/>
          <w:color w:val="auto"/>
          <w:szCs w:val="21"/>
        </w:rPr>
        <w:t>（1）不满足招标文件要求的服务内容、技术要求、安全、质量标准，或者与招标文件中标“▲”的技术需求发生负偏离的；</w:t>
      </w:r>
    </w:p>
    <w:p w14:paraId="3CC88C0F">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rPr>
      </w:pPr>
      <w:r>
        <w:rPr>
          <w:rFonts w:hint="eastAsia" w:ascii="宋体" w:hAnsi="宋体" w:eastAsia="宋体" w:cs="宋体"/>
          <w:color w:val="auto"/>
          <w:szCs w:val="21"/>
        </w:rPr>
        <w:t>（2）技术需求评审允许负偏离的条款数超过“投标人须知前附表”规定项数的；</w:t>
      </w:r>
    </w:p>
    <w:p w14:paraId="7DD554C6">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（3）投标文件未提供“投标人须知前附表”第13.1条规定中“必须提供”的文件资料的</w:t>
      </w:r>
      <w:r>
        <w:rPr>
          <w:rFonts w:hint="eastAsia" w:ascii="宋体" w:hAnsi="宋体" w:cs="宋体"/>
          <w:color w:val="auto"/>
          <w:szCs w:val="21"/>
          <w:lang w:eastAsia="zh-CN"/>
        </w:rPr>
        <w:t>；</w:t>
      </w:r>
    </w:p>
    <w:p w14:paraId="1706BCD7">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rPr>
      </w:pPr>
      <w:r>
        <w:rPr>
          <w:rFonts w:hint="eastAsia" w:ascii="宋体" w:hAnsi="宋体" w:eastAsia="宋体" w:cs="宋体"/>
          <w:color w:val="auto"/>
          <w:szCs w:val="21"/>
        </w:rPr>
        <w:t>（4）虚假投标，或者出现其他情形而导致被评标委员会认定无效的；</w:t>
      </w:r>
    </w:p>
    <w:p w14:paraId="2BCCE170">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rPr>
      </w:pPr>
      <w:r>
        <w:rPr>
          <w:rFonts w:hint="eastAsia" w:ascii="宋体" w:hAnsi="宋体" w:eastAsia="宋体" w:cs="宋体"/>
          <w:color w:val="auto"/>
          <w:szCs w:val="21"/>
        </w:rPr>
        <w:t>（5）如招标文件需要提供技术方案的，投标技术方案不明确，招标文件未允许但存在一个或者一个以上备选（替代）投标方案的。</w:t>
      </w:r>
    </w:p>
    <w:p w14:paraId="1E5D2126">
      <w:pPr>
        <w:pageBreakBefore w:val="0"/>
        <w:kinsoku/>
        <w:wordWrap/>
        <w:overflowPunct/>
        <w:topLinePunct w:val="0"/>
        <w:bidi w:val="0"/>
        <w:spacing w:beforeAutospacing="0" w:line="360" w:lineRule="auto"/>
        <w:ind w:left="0" w:leftChars="0" w:right="0" w:firstLine="422" w:firstLineChars="200"/>
        <w:rPr>
          <w:rFonts w:hint="eastAsia" w:ascii="宋体" w:hAnsi="宋体" w:eastAsia="宋体" w:cs="宋体"/>
          <w:b/>
          <w:color w:val="auto"/>
          <w:szCs w:val="21"/>
        </w:rPr>
      </w:pPr>
      <w:r>
        <w:rPr>
          <w:rFonts w:hint="eastAsia" w:ascii="宋体" w:hAnsi="宋体" w:eastAsia="宋体" w:cs="宋体"/>
          <w:b/>
          <w:color w:val="auto"/>
          <w:szCs w:val="21"/>
        </w:rPr>
        <w:t>3.澄清补正、说明或者补正</w:t>
      </w:r>
    </w:p>
    <w:p w14:paraId="4A4FEB85">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rPr>
      </w:pPr>
      <w:r>
        <w:rPr>
          <w:rFonts w:hint="eastAsia" w:ascii="宋体" w:hAnsi="宋体" w:eastAsia="宋体" w:cs="宋体"/>
          <w:color w:val="auto"/>
          <w:szCs w:val="21"/>
        </w:rPr>
        <w:t>对投标文件中含义不明确、同类问题表述不一致或者有明显文字和计算错误的内容，评标委员会应在“</w:t>
      </w:r>
      <w:r>
        <w:rPr>
          <w:rFonts w:hint="eastAsia" w:ascii="宋体" w:hAnsi="宋体" w:cs="宋体"/>
          <w:color w:val="auto"/>
          <w:szCs w:val="21"/>
          <w:lang w:eastAsia="zh-CN"/>
        </w:rPr>
        <w:t>广西政府采购云</w:t>
      </w:r>
      <w:r>
        <w:rPr>
          <w:rFonts w:hint="eastAsia" w:ascii="宋体" w:hAnsi="宋体" w:eastAsia="宋体" w:cs="宋体"/>
          <w:color w:val="auto"/>
          <w:szCs w:val="21"/>
        </w:rPr>
        <w:t>”平台发布电子澄清函，要求投标人在规定时间内作出必要的澄清、说明或者补正。投标人在“</w:t>
      </w:r>
      <w:r>
        <w:rPr>
          <w:rFonts w:hint="eastAsia" w:ascii="宋体" w:hAnsi="宋体" w:cs="宋体"/>
          <w:color w:val="auto"/>
          <w:szCs w:val="21"/>
          <w:lang w:eastAsia="zh-CN"/>
        </w:rPr>
        <w:t>广西政府采购云</w:t>
      </w:r>
      <w:r>
        <w:rPr>
          <w:rFonts w:hint="eastAsia" w:ascii="宋体" w:hAnsi="宋体" w:eastAsia="宋体" w:cs="宋体"/>
          <w:color w:val="auto"/>
          <w:szCs w:val="21"/>
        </w:rPr>
        <w:t>”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2844FB6E">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rPr>
      </w:pPr>
      <w:r>
        <w:rPr>
          <w:rFonts w:hint="eastAsia" w:ascii="宋体" w:hAnsi="宋体" w:eastAsia="宋体" w:cs="宋体"/>
          <w:color w:val="auto"/>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6AFDECF4">
      <w:pPr>
        <w:pageBreakBefore w:val="0"/>
        <w:kinsoku/>
        <w:wordWrap/>
        <w:overflowPunct/>
        <w:topLinePunct w:val="0"/>
        <w:bidi w:val="0"/>
        <w:spacing w:beforeAutospacing="0" w:line="360" w:lineRule="auto"/>
        <w:ind w:left="0" w:leftChars="0" w:right="0" w:firstLine="422" w:firstLineChars="200"/>
        <w:rPr>
          <w:rFonts w:hint="eastAsia" w:ascii="宋体" w:hAnsi="宋体" w:eastAsia="宋体" w:cs="宋体"/>
          <w:b/>
          <w:color w:val="auto"/>
          <w:szCs w:val="21"/>
        </w:rPr>
      </w:pPr>
      <w:r>
        <w:rPr>
          <w:rFonts w:hint="eastAsia" w:ascii="宋体" w:hAnsi="宋体" w:eastAsia="宋体" w:cs="宋体"/>
          <w:b/>
          <w:color w:val="auto"/>
          <w:szCs w:val="21"/>
        </w:rPr>
        <w:t>4.投标文件修正</w:t>
      </w:r>
    </w:p>
    <w:p w14:paraId="43733A7D">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4.1投标文件报价出现前后不一致的，按照下列规定修正： </w:t>
      </w:r>
    </w:p>
    <w:p w14:paraId="2F5849A3">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rPr>
      </w:pPr>
      <w:r>
        <w:rPr>
          <w:rFonts w:hint="eastAsia" w:ascii="宋体" w:hAnsi="宋体" w:eastAsia="宋体" w:cs="宋体"/>
          <w:color w:val="auto"/>
        </w:rPr>
        <w:t>（1）报价文件中“开标一览表”内容与投标文件中相应内容不一致的，以“开标一览表”为准；</w:t>
      </w:r>
    </w:p>
    <w:p w14:paraId="09AD7A78">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rPr>
      </w:pPr>
      <w:r>
        <w:rPr>
          <w:rFonts w:hint="eastAsia" w:ascii="宋体" w:hAnsi="宋体" w:eastAsia="宋体" w:cs="宋体"/>
          <w:color w:val="auto"/>
        </w:rPr>
        <w:t>（2）大写金额和小写金额不一致的，以大写金额为准；</w:t>
      </w:r>
    </w:p>
    <w:p w14:paraId="448F444D">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rPr>
      </w:pPr>
      <w:r>
        <w:rPr>
          <w:rFonts w:hint="eastAsia" w:ascii="宋体" w:hAnsi="宋体" w:eastAsia="宋体" w:cs="宋体"/>
          <w:color w:val="auto"/>
        </w:rPr>
        <w:t>（3）单价金额小数点或者百分比有明显错位的，以开标一览表的总价为准，并修改单价；</w:t>
      </w:r>
    </w:p>
    <w:p w14:paraId="0B329369">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rPr>
      </w:pPr>
      <w:r>
        <w:rPr>
          <w:rFonts w:hint="eastAsia" w:ascii="宋体" w:hAnsi="宋体" w:eastAsia="宋体" w:cs="宋体"/>
          <w:color w:val="auto"/>
        </w:rPr>
        <w:t>（4）总价金额与按单价汇总金额不一致的，以单价金额计算结果为准。</w:t>
      </w:r>
    </w:p>
    <w:p w14:paraId="437177E5">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rPr>
      </w:pPr>
      <w:r>
        <w:rPr>
          <w:rFonts w:hint="eastAsia" w:ascii="宋体" w:hAnsi="宋体" w:eastAsia="宋体" w:cs="宋体"/>
          <w:color w:val="auto"/>
        </w:rPr>
        <w:t>同时出现两种以上不一致的，按照以上（1）-（4）规定的顺序修正。修正后的报价经投标人确认后产生约束力，投标人不确认的，其投标无效。</w:t>
      </w:r>
    </w:p>
    <w:p w14:paraId="56D4B100">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rPr>
      </w:pPr>
      <w:r>
        <w:rPr>
          <w:rFonts w:hint="eastAsia" w:ascii="宋体" w:hAnsi="宋体" w:eastAsia="宋体" w:cs="宋体"/>
          <w:color w:val="auto"/>
          <w:szCs w:val="21"/>
        </w:rPr>
        <w:t>4.2经投标人确认修正后的报价若超过采购预算金额或者最高限价，投标人的投标文件作无效投标处理。</w:t>
      </w:r>
    </w:p>
    <w:p w14:paraId="78B431F4">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rPr>
      </w:pPr>
      <w:r>
        <w:rPr>
          <w:rFonts w:hint="eastAsia" w:ascii="宋体" w:hAnsi="宋体" w:eastAsia="宋体" w:cs="宋体"/>
          <w:color w:val="auto"/>
          <w:szCs w:val="21"/>
        </w:rPr>
        <w:t>4.3经投标人确认修正后的报价作为签订合同的依据，并以此报价计算价格分。</w:t>
      </w:r>
    </w:p>
    <w:p w14:paraId="77CDBEBE">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rPr>
      </w:pPr>
      <w:r>
        <w:rPr>
          <w:rFonts w:hint="eastAsia" w:ascii="宋体" w:hAnsi="宋体" w:eastAsia="宋体" w:cs="宋体"/>
          <w:color w:val="auto"/>
          <w:szCs w:val="21"/>
        </w:rPr>
        <w:t>5.比较与评价</w:t>
      </w:r>
    </w:p>
    <w:p w14:paraId="364882DF">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rPr>
      </w:pPr>
      <w:r>
        <w:rPr>
          <w:rFonts w:hint="eastAsia" w:ascii="宋体" w:hAnsi="宋体" w:eastAsia="宋体" w:cs="宋体"/>
          <w:color w:val="auto"/>
        </w:rPr>
        <w:t>5.1评标委员会按照招标文件中规定的评标方法和评标标准，对符合性审查合格的投标文件进行商务和技术评估，综合比较与评价。</w:t>
      </w:r>
    </w:p>
    <w:p w14:paraId="31707D1B">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rPr>
      </w:pPr>
      <w:r>
        <w:rPr>
          <w:rFonts w:hint="eastAsia" w:ascii="宋体" w:hAnsi="宋体" w:eastAsia="宋体" w:cs="宋体"/>
          <w:color w:val="auto"/>
        </w:rPr>
        <w:t>5.2评标委员会独立对每个投标人的投标文件进行评价，并汇总每个投标人的得分。</w:t>
      </w:r>
    </w:p>
    <w:p w14:paraId="5A33E118">
      <w:pPr>
        <w:pageBreakBefore w:val="0"/>
        <w:widowControl/>
        <w:numPr>
          <w:ilvl w:val="0"/>
          <w:numId w:val="3"/>
        </w:numPr>
        <w:kinsoku/>
        <w:wordWrap/>
        <w:overflowPunct/>
        <w:topLinePunct w:val="0"/>
        <w:bidi w:val="0"/>
        <w:spacing w:beforeAutospacing="0" w:line="360" w:lineRule="auto"/>
        <w:ind w:left="0" w:leftChars="0" w:right="0" w:firstLine="420" w:firstLineChars="200"/>
        <w:jc w:val="left"/>
        <w:rPr>
          <w:rFonts w:hint="eastAsia" w:ascii="宋体" w:hAnsi="宋体" w:eastAsia="宋体" w:cs="宋体"/>
          <w:color w:val="auto"/>
        </w:rPr>
      </w:pPr>
      <w:r>
        <w:rPr>
          <w:rFonts w:hint="eastAsia" w:ascii="宋体" w:hAnsi="宋体" w:eastAsia="宋体" w:cs="宋体"/>
          <w:color w:val="auto"/>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4DF5C03F">
      <w:pPr>
        <w:pageBreakBefore w:val="0"/>
        <w:widowControl/>
        <w:numPr>
          <w:ilvl w:val="0"/>
          <w:numId w:val="3"/>
        </w:numPr>
        <w:kinsoku/>
        <w:wordWrap/>
        <w:overflowPunct/>
        <w:topLinePunct w:val="0"/>
        <w:bidi w:val="0"/>
        <w:spacing w:beforeAutospacing="0" w:line="360" w:lineRule="auto"/>
        <w:ind w:left="0" w:leftChars="0" w:right="0" w:firstLine="420" w:firstLineChars="200"/>
        <w:jc w:val="left"/>
        <w:rPr>
          <w:rFonts w:hint="eastAsia" w:ascii="宋体" w:hAnsi="宋体" w:eastAsia="宋体" w:cs="宋体"/>
          <w:color w:val="auto"/>
        </w:rPr>
      </w:pPr>
      <w:r>
        <w:rPr>
          <w:rFonts w:hint="eastAsia" w:ascii="宋体" w:hAnsi="宋体" w:eastAsia="宋体" w:cs="宋体"/>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454F2B9C">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rPr>
      </w:pPr>
      <w:r>
        <w:rPr>
          <w:rFonts w:hint="eastAsia" w:ascii="宋体" w:hAnsi="宋体" w:eastAsia="宋体" w:cs="宋体"/>
          <w:color w:val="auto"/>
        </w:rPr>
        <w:t>5.3评标委员会按照招标文件中规定的评标方法和标准计算各投标人的报价得分。在计算过程中，不得去掉最高报价或者最低报价。</w:t>
      </w:r>
    </w:p>
    <w:p w14:paraId="2D76CBBC">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rPr>
      </w:pPr>
      <w:r>
        <w:rPr>
          <w:rFonts w:hint="eastAsia" w:ascii="宋体" w:hAnsi="宋体" w:eastAsia="宋体" w:cs="宋体"/>
          <w:color w:val="auto"/>
        </w:rPr>
        <w:t>5.4各投标人的得分为所有评委的有效评分的算术平均数。</w:t>
      </w:r>
    </w:p>
    <w:p w14:paraId="2F60ED66">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rPr>
      </w:pPr>
      <w:r>
        <w:rPr>
          <w:rFonts w:hint="eastAsia" w:ascii="宋体" w:hAnsi="宋体" w:eastAsia="宋体" w:cs="宋体"/>
          <w:color w:val="auto"/>
        </w:rPr>
        <w:t>5.5评标委员会按照招标文件中的规定推荐中标候选人。</w:t>
      </w:r>
    </w:p>
    <w:p w14:paraId="509209C3">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rPr>
      </w:pPr>
      <w:r>
        <w:rPr>
          <w:rFonts w:hint="eastAsia" w:ascii="宋体" w:hAnsi="宋体" w:eastAsia="宋体" w:cs="宋体"/>
          <w:color w:val="auto"/>
        </w:rPr>
        <w:t>5.6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07CE8CFB">
      <w:pPr>
        <w:pageBreakBefore w:val="0"/>
        <w:kinsoku/>
        <w:wordWrap/>
        <w:overflowPunct/>
        <w:topLinePunct w:val="0"/>
        <w:bidi w:val="0"/>
        <w:spacing w:beforeAutospacing="0" w:line="360" w:lineRule="auto"/>
        <w:ind w:left="0" w:leftChars="0" w:right="0" w:firstLine="422" w:firstLineChars="200"/>
        <w:rPr>
          <w:rFonts w:hint="eastAsia" w:ascii="宋体" w:hAnsi="宋体" w:eastAsia="宋体" w:cs="宋体"/>
          <w:b/>
          <w:color w:val="auto"/>
          <w:szCs w:val="21"/>
        </w:rPr>
      </w:pPr>
      <w:r>
        <w:rPr>
          <w:rFonts w:hint="eastAsia" w:ascii="宋体" w:hAnsi="宋体" w:eastAsia="宋体" w:cs="宋体"/>
          <w:b/>
          <w:color w:val="auto"/>
          <w:szCs w:val="21"/>
        </w:rPr>
        <w:t>6.评审复核</w:t>
      </w:r>
    </w:p>
    <w:p w14:paraId="7335698A">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rPr>
      </w:pPr>
      <w:r>
        <w:rPr>
          <w:rFonts w:hint="eastAsia" w:ascii="宋体" w:hAnsi="宋体" w:eastAsia="宋体" w:cs="宋体"/>
          <w:color w:val="auto"/>
          <w:szCs w:val="21"/>
        </w:rPr>
        <w:t>6.1评标报告签署前，评标委员会要对评审结果进行复核，复核意见要体现在评标报告中。</w:t>
      </w:r>
    </w:p>
    <w:p w14:paraId="1DC78DE7">
      <w:pPr>
        <w:pageBreakBefore w:val="0"/>
        <w:widowControl/>
        <w:kinsoku/>
        <w:wordWrap/>
        <w:overflowPunct/>
        <w:topLinePunct w:val="0"/>
        <w:bidi w:val="0"/>
        <w:spacing w:beforeAutospacing="0" w:line="360" w:lineRule="auto"/>
        <w:ind w:left="0" w:leftChars="0" w:right="0" w:firstLine="420" w:firstLineChars="200"/>
        <w:jc w:val="left"/>
        <w:textAlignment w:val="baseline"/>
        <w:rPr>
          <w:rFonts w:hint="eastAsia" w:ascii="宋体" w:hAnsi="宋体" w:eastAsia="宋体" w:cs="宋体"/>
          <w:color w:val="auto"/>
        </w:rPr>
      </w:pPr>
      <w:r>
        <w:rPr>
          <w:rFonts w:hint="eastAsia" w:ascii="宋体" w:hAnsi="宋体" w:eastAsia="宋体" w:cs="宋体"/>
          <w:color w:val="auto"/>
        </w:rPr>
        <w:t>6.2评标结果汇总完成后，除下列情形外，任何人不得修改评标结果：</w:t>
      </w:r>
    </w:p>
    <w:p w14:paraId="3891CDBA">
      <w:pPr>
        <w:pageBreakBefore w:val="0"/>
        <w:widowControl/>
        <w:kinsoku/>
        <w:wordWrap/>
        <w:overflowPunct/>
        <w:topLinePunct w:val="0"/>
        <w:bidi w:val="0"/>
        <w:spacing w:beforeAutospacing="0" w:line="360" w:lineRule="auto"/>
        <w:ind w:left="0" w:leftChars="0" w:right="0"/>
        <w:jc w:val="left"/>
        <w:textAlignment w:val="baseline"/>
        <w:rPr>
          <w:rFonts w:hint="eastAsia" w:ascii="宋体" w:hAnsi="宋体" w:eastAsia="宋体" w:cs="宋体"/>
          <w:color w:val="auto"/>
        </w:rPr>
      </w:pPr>
      <w:r>
        <w:rPr>
          <w:rFonts w:hint="eastAsia" w:ascii="宋体" w:hAnsi="宋体" w:eastAsia="宋体" w:cs="宋体"/>
          <w:color w:val="auto"/>
        </w:rPr>
        <w:t>　　（一）分值汇总计算错误的；</w:t>
      </w:r>
    </w:p>
    <w:p w14:paraId="7159673C">
      <w:pPr>
        <w:pageBreakBefore w:val="0"/>
        <w:widowControl/>
        <w:kinsoku/>
        <w:wordWrap/>
        <w:overflowPunct/>
        <w:topLinePunct w:val="0"/>
        <w:bidi w:val="0"/>
        <w:spacing w:beforeAutospacing="0" w:line="360" w:lineRule="auto"/>
        <w:ind w:left="0" w:leftChars="0" w:right="0"/>
        <w:jc w:val="left"/>
        <w:textAlignment w:val="baseline"/>
        <w:rPr>
          <w:rFonts w:hint="eastAsia" w:ascii="宋体" w:hAnsi="宋体" w:eastAsia="宋体" w:cs="宋体"/>
          <w:color w:val="auto"/>
        </w:rPr>
      </w:pPr>
      <w:r>
        <w:rPr>
          <w:rFonts w:hint="eastAsia" w:ascii="宋体" w:hAnsi="宋体" w:eastAsia="宋体" w:cs="宋体"/>
          <w:color w:val="auto"/>
        </w:rPr>
        <w:t>　　（二）分项评分超出评分标准范围的；</w:t>
      </w:r>
    </w:p>
    <w:p w14:paraId="7FDE267A">
      <w:pPr>
        <w:pageBreakBefore w:val="0"/>
        <w:widowControl/>
        <w:kinsoku/>
        <w:wordWrap/>
        <w:overflowPunct/>
        <w:topLinePunct w:val="0"/>
        <w:bidi w:val="0"/>
        <w:spacing w:beforeAutospacing="0" w:line="360" w:lineRule="auto"/>
        <w:ind w:left="0" w:leftChars="0" w:right="0"/>
        <w:jc w:val="left"/>
        <w:textAlignment w:val="baseline"/>
        <w:rPr>
          <w:rFonts w:hint="eastAsia" w:ascii="宋体" w:hAnsi="宋体" w:eastAsia="宋体" w:cs="宋体"/>
          <w:color w:val="auto"/>
        </w:rPr>
      </w:pPr>
      <w:r>
        <w:rPr>
          <w:rFonts w:hint="eastAsia" w:ascii="宋体" w:hAnsi="宋体" w:eastAsia="宋体" w:cs="宋体"/>
          <w:color w:val="auto"/>
        </w:rPr>
        <w:t>　　（三）评标委员会成员对客观评审因素评分不一致的；</w:t>
      </w:r>
    </w:p>
    <w:p w14:paraId="1E933FA4">
      <w:pPr>
        <w:pageBreakBefore w:val="0"/>
        <w:widowControl/>
        <w:kinsoku/>
        <w:wordWrap/>
        <w:overflowPunct/>
        <w:topLinePunct w:val="0"/>
        <w:bidi w:val="0"/>
        <w:spacing w:beforeAutospacing="0" w:line="360" w:lineRule="auto"/>
        <w:ind w:left="0" w:leftChars="0" w:right="0"/>
        <w:jc w:val="left"/>
        <w:textAlignment w:val="baseline"/>
        <w:rPr>
          <w:rFonts w:hint="eastAsia" w:ascii="宋体" w:hAnsi="宋体" w:eastAsia="宋体" w:cs="宋体"/>
          <w:color w:val="auto"/>
        </w:rPr>
      </w:pPr>
      <w:r>
        <w:rPr>
          <w:rFonts w:hint="eastAsia" w:ascii="宋体" w:hAnsi="宋体" w:eastAsia="宋体" w:cs="宋体"/>
          <w:color w:val="auto"/>
        </w:rPr>
        <w:t>　　（四）经评标委员会认定评分畸高、畸低的。</w:t>
      </w:r>
    </w:p>
    <w:p w14:paraId="2AAB828B">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rPr>
      </w:pPr>
      <w:r>
        <w:rPr>
          <w:rFonts w:hint="eastAsia" w:ascii="宋体" w:hAnsi="宋体" w:eastAsia="宋体" w:cs="宋体"/>
          <w:color w:val="auto"/>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4B4C438F">
      <w:pPr>
        <w:keepNext/>
        <w:keepLines/>
        <w:pageBreakBefore w:val="0"/>
        <w:kinsoku/>
        <w:wordWrap/>
        <w:overflowPunct/>
        <w:topLinePunct w:val="0"/>
        <w:bidi w:val="0"/>
        <w:spacing w:beforeAutospacing="0" w:line="360" w:lineRule="auto"/>
        <w:ind w:left="0" w:leftChars="0" w:right="0"/>
        <w:jc w:val="center"/>
        <w:outlineLvl w:val="1"/>
        <w:rPr>
          <w:rFonts w:hint="eastAsia" w:ascii="宋体" w:hAnsi="宋体" w:eastAsia="宋体" w:cs="宋体"/>
          <w:bCs/>
          <w:color w:val="auto"/>
          <w:sz w:val="30"/>
          <w:szCs w:val="30"/>
        </w:rPr>
      </w:pPr>
      <w:bookmarkStart w:id="161" w:name="_Toc14443"/>
      <w:r>
        <w:rPr>
          <w:rFonts w:hint="eastAsia" w:ascii="宋体" w:hAnsi="宋体" w:eastAsia="宋体" w:cs="宋体"/>
          <w:bCs/>
          <w:color w:val="auto"/>
          <w:sz w:val="30"/>
          <w:szCs w:val="30"/>
        </w:rPr>
        <w:t>第三节 评分标准</w:t>
      </w:r>
      <w:bookmarkEnd w:id="161"/>
    </w:p>
    <w:p w14:paraId="58E1EC6E">
      <w:pPr>
        <w:pageBreakBefore w:val="0"/>
        <w:kinsoku/>
        <w:wordWrap/>
        <w:overflowPunct/>
        <w:topLinePunct w:val="0"/>
        <w:bidi w:val="0"/>
        <w:spacing w:beforeAutospacing="0" w:line="360" w:lineRule="auto"/>
        <w:ind w:left="0" w:leftChars="0" w:right="0" w:firstLine="602" w:firstLineChars="200"/>
        <w:jc w:val="center"/>
        <w:rPr>
          <w:rFonts w:hint="eastAsia" w:ascii="宋体" w:hAnsi="宋体" w:eastAsia="宋体" w:cs="宋体"/>
          <w:b/>
          <w:color w:val="auto"/>
          <w:sz w:val="30"/>
          <w:szCs w:val="30"/>
        </w:rPr>
      </w:pPr>
      <w:r>
        <w:rPr>
          <w:rFonts w:hint="eastAsia" w:ascii="宋体" w:hAnsi="宋体" w:eastAsia="宋体" w:cs="宋体"/>
          <w:b/>
          <w:color w:val="auto"/>
          <w:sz w:val="30"/>
          <w:szCs w:val="30"/>
        </w:rPr>
        <w:t>一、最低评标价法</w:t>
      </w:r>
    </w:p>
    <w:p w14:paraId="4DA79AB1">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0"/>
        </w:rPr>
      </w:pPr>
      <w:r>
        <w:rPr>
          <w:rFonts w:hint="eastAsia" w:ascii="宋体" w:hAnsi="宋体" w:eastAsia="宋体" w:cs="宋体"/>
          <w:color w:val="auto"/>
          <w:szCs w:val="20"/>
        </w:rPr>
        <w:t>通过资格审查、符合性审查的投标人，评标委员会将按照有效报价从低到高排序并推荐中标候选人。报价相同的，评标委员会推荐方式见本章“第四节中标候选人推荐原则”。</w:t>
      </w:r>
    </w:p>
    <w:p w14:paraId="7B37ABC7">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0"/>
        </w:rPr>
      </w:pPr>
      <w:r>
        <w:rPr>
          <w:rFonts w:hint="eastAsia" w:ascii="宋体" w:hAnsi="宋体" w:eastAsia="宋体" w:cs="宋体"/>
          <w:color w:val="auto"/>
          <w:szCs w:val="20"/>
        </w:rPr>
        <w:t>说明：</w:t>
      </w:r>
    </w:p>
    <w:p w14:paraId="0708D9FD">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0"/>
        </w:rPr>
      </w:pPr>
      <w:r>
        <w:rPr>
          <w:rFonts w:hint="eastAsia" w:ascii="宋体" w:hAnsi="宋体" w:eastAsia="宋体" w:cs="宋体"/>
          <w:color w:val="auto"/>
          <w:szCs w:val="20"/>
        </w:rPr>
        <w:t>（1）对于非专门面向中小企业的项目，投标人在其投标文件中提供《中小企业声明函》，且其服务为小型和微型企业承接的，对其小型和微型企业产品的最后报价给予20%的价格扣除，扣除后的价格为评标价，即评标价＝投标报价×（1-20%）；（以投标人按第六章“投标文件格式”要求提供的《投标报价表》和《中小企业声明函》为评审依据）</w:t>
      </w:r>
    </w:p>
    <w:p w14:paraId="2A10302C">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bCs/>
          <w:color w:val="auto"/>
          <w:szCs w:val="20"/>
        </w:rPr>
      </w:pPr>
      <w:r>
        <w:rPr>
          <w:rFonts w:hint="eastAsia" w:ascii="宋体" w:hAnsi="宋体" w:eastAsia="宋体" w:cs="宋体"/>
          <w:color w:val="auto"/>
          <w:szCs w:val="20"/>
        </w:rPr>
        <w:t>（2）接受大中型企业与小微企业组成联合体或者允许大中型企业向一家或者多家小微企业分包的采购项目，联合协议或者分包意向协议约定小微企业的合同份额占到合同总金额30%以上的，对联合体或者大中型企业的报价给予6%的扣除，用扣除后的价格参加评审，扣除后的价格为评标报价，即评标报价=投标报价×（1-6%）。（以投标人按第六章“投标文件格式”要求提供的《投标报价表》、《中小企业声明函》和《联合体协议书》为评审依据）</w:t>
      </w:r>
    </w:p>
    <w:p w14:paraId="1C01E33B">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0"/>
        </w:rPr>
      </w:pPr>
      <w:r>
        <w:rPr>
          <w:rFonts w:hint="eastAsia" w:ascii="宋体" w:hAnsi="宋体" w:eastAsia="宋体" w:cs="宋体"/>
          <w:color w:val="auto"/>
          <w:szCs w:val="21"/>
        </w:rPr>
        <w:t>（3）按照</w:t>
      </w:r>
      <w:r>
        <w:rPr>
          <w:rFonts w:hint="eastAsia" w:ascii="宋体" w:hAnsi="宋体" w:eastAsia="宋体" w:cs="宋体"/>
          <w:bCs/>
          <w:color w:val="auto"/>
          <w:szCs w:val="21"/>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eastAsia="宋体" w:cs="宋体"/>
          <w:color w:val="auto"/>
          <w:szCs w:val="21"/>
        </w:rPr>
        <w:t>残疾人福利性单位参加政府采购活动时，应当提供《残疾人福利性单位声明函》，并对声明的真实性负责。</w:t>
      </w:r>
      <w:r>
        <w:rPr>
          <w:rFonts w:hint="eastAsia" w:ascii="宋体" w:hAnsi="宋体" w:eastAsia="宋体" w:cs="宋体"/>
          <w:bCs/>
          <w:color w:val="auto"/>
          <w:szCs w:val="21"/>
        </w:rPr>
        <w:t>残疾人福利性单位属于小型、微型企业的，不重复享受政策。</w:t>
      </w:r>
      <w:r>
        <w:rPr>
          <w:rFonts w:hint="eastAsia" w:ascii="宋体" w:hAnsi="宋体" w:eastAsia="宋体" w:cs="宋体"/>
          <w:bCs/>
          <w:color w:val="auto"/>
          <w:szCs w:val="20"/>
        </w:rPr>
        <w:t>（以投标人按第</w:t>
      </w:r>
      <w:r>
        <w:rPr>
          <w:rFonts w:hint="eastAsia" w:ascii="宋体" w:hAnsi="宋体" w:eastAsia="宋体" w:cs="宋体"/>
          <w:color w:val="auto"/>
          <w:szCs w:val="20"/>
        </w:rPr>
        <w:t>六</w:t>
      </w:r>
      <w:r>
        <w:rPr>
          <w:rFonts w:hint="eastAsia" w:ascii="宋体" w:hAnsi="宋体" w:eastAsia="宋体" w:cs="宋体"/>
          <w:bCs/>
          <w:color w:val="auto"/>
          <w:szCs w:val="20"/>
        </w:rPr>
        <w:t>章“投标文件格式”要求提供的《投标报价表》和《</w:t>
      </w:r>
      <w:r>
        <w:rPr>
          <w:rFonts w:hint="eastAsia" w:ascii="宋体" w:hAnsi="宋体" w:eastAsia="宋体" w:cs="宋体"/>
          <w:color w:val="auto"/>
          <w:szCs w:val="21"/>
        </w:rPr>
        <w:t>残疾人福利性单位声明函</w:t>
      </w:r>
      <w:r>
        <w:rPr>
          <w:rFonts w:hint="eastAsia" w:ascii="宋体" w:hAnsi="宋体" w:eastAsia="宋体" w:cs="宋体"/>
          <w:bCs/>
          <w:color w:val="auto"/>
          <w:szCs w:val="20"/>
        </w:rPr>
        <w:t>》为评审依据）</w:t>
      </w:r>
    </w:p>
    <w:p w14:paraId="5A0A0DFF">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0"/>
        </w:rPr>
      </w:pPr>
      <w:r>
        <w:rPr>
          <w:rFonts w:hint="eastAsia" w:ascii="宋体" w:hAnsi="宋体" w:eastAsia="宋体" w:cs="宋体"/>
          <w:color w:val="auto"/>
          <w:szCs w:val="20"/>
        </w:rPr>
        <w:t>（4）除上述情况外，评标价＝投标报价；</w:t>
      </w:r>
    </w:p>
    <w:p w14:paraId="000A12F3">
      <w:pPr>
        <w:pageBreakBefore w:val="0"/>
        <w:kinsoku/>
        <w:wordWrap/>
        <w:overflowPunct/>
        <w:topLinePunct w:val="0"/>
        <w:bidi w:val="0"/>
        <w:spacing w:beforeAutospacing="0" w:line="360" w:lineRule="auto"/>
        <w:ind w:left="0" w:leftChars="0" w:right="0" w:firstLine="602" w:firstLineChars="200"/>
        <w:jc w:val="center"/>
        <w:rPr>
          <w:rFonts w:hint="eastAsia" w:ascii="宋体" w:hAnsi="宋体" w:eastAsia="宋体" w:cs="宋体"/>
          <w:b/>
          <w:color w:val="auto"/>
          <w:sz w:val="30"/>
          <w:szCs w:val="30"/>
        </w:rPr>
      </w:pPr>
      <w:r>
        <w:rPr>
          <w:rFonts w:hint="eastAsia" w:ascii="宋体" w:hAnsi="宋体" w:eastAsia="宋体" w:cs="宋体"/>
          <w:b/>
          <w:color w:val="auto"/>
          <w:sz w:val="30"/>
          <w:szCs w:val="30"/>
        </w:rPr>
        <w:t>二、综合评分法</w:t>
      </w:r>
    </w:p>
    <w:p w14:paraId="4AC8F24A">
      <w:pPr>
        <w:pageBreakBefore w:val="0"/>
        <w:kinsoku/>
        <w:wordWrap/>
        <w:overflowPunct/>
        <w:topLinePunct w:val="0"/>
        <w:bidi w:val="0"/>
        <w:spacing w:beforeAutospacing="0" w:line="360" w:lineRule="auto"/>
        <w:ind w:left="0" w:leftChars="0" w:right="0"/>
        <w:jc w:val="left"/>
        <w:rPr>
          <w:rFonts w:hint="eastAsia" w:ascii="宋体" w:hAnsi="宋体" w:eastAsia="宋体" w:cs="宋体"/>
          <w:b/>
          <w:bCs/>
          <w:color w:val="auto"/>
          <w:lang w:bidi="ar"/>
        </w:rPr>
      </w:pPr>
      <w:r>
        <w:rPr>
          <w:rFonts w:hint="eastAsia" w:ascii="宋体" w:hAnsi="宋体" w:eastAsia="宋体" w:cs="宋体"/>
          <w:b/>
          <w:bCs/>
          <w:color w:val="auto"/>
          <w:lang w:val="en-US" w:eastAsia="zh-CN" w:bidi="ar"/>
        </w:rPr>
        <w:t>1</w:t>
      </w:r>
      <w:r>
        <w:rPr>
          <w:rFonts w:hint="eastAsia" w:ascii="宋体" w:hAnsi="宋体" w:eastAsia="宋体" w:cs="宋体"/>
          <w:b/>
          <w:bCs/>
          <w:color w:val="auto"/>
          <w:lang w:bidi="ar"/>
        </w:rPr>
        <w:t>、</w:t>
      </w:r>
      <w:r>
        <w:rPr>
          <w:rFonts w:hint="eastAsia" w:ascii="宋体" w:hAnsi="宋体" w:eastAsia="宋体" w:cs="宋体"/>
          <w:b/>
          <w:bCs/>
          <w:color w:val="auto"/>
          <w:lang w:val="en-US" w:eastAsia="zh-CN" w:bidi="ar"/>
        </w:rPr>
        <w:t>价格</w:t>
      </w:r>
      <w:r>
        <w:rPr>
          <w:rFonts w:hint="eastAsia" w:ascii="宋体" w:hAnsi="宋体" w:eastAsia="宋体" w:cs="宋体"/>
          <w:b/>
          <w:bCs/>
          <w:color w:val="auto"/>
          <w:lang w:bidi="ar"/>
        </w:rPr>
        <w:t>分……………………………………………………………………………………………</w:t>
      </w:r>
      <w:r>
        <w:rPr>
          <w:rFonts w:hint="eastAsia" w:ascii="宋体" w:hAnsi="宋体" w:cs="宋体"/>
          <w:b/>
          <w:bCs/>
          <w:color w:val="auto"/>
          <w:lang w:val="en-US" w:eastAsia="zh-CN" w:bidi="ar"/>
        </w:rPr>
        <w:t>10</w:t>
      </w:r>
      <w:r>
        <w:rPr>
          <w:rFonts w:hint="eastAsia" w:ascii="宋体" w:hAnsi="宋体" w:eastAsia="宋体" w:cs="宋体"/>
          <w:b/>
          <w:bCs/>
          <w:color w:val="auto"/>
          <w:lang w:bidi="ar"/>
        </w:rPr>
        <w:t>分</w:t>
      </w:r>
    </w:p>
    <w:p w14:paraId="2D851789">
      <w:pPr>
        <w:pStyle w:val="10"/>
        <w:rPr>
          <w:rFonts w:hint="eastAsia"/>
          <w:color w:val="auto"/>
        </w:rPr>
      </w:pPr>
    </w:p>
    <w:p w14:paraId="7BF6518C">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0"/>
        </w:rPr>
      </w:pPr>
      <w:r>
        <w:rPr>
          <w:rFonts w:hint="eastAsia" w:ascii="宋体" w:hAnsi="宋体" w:eastAsia="宋体" w:cs="宋体"/>
          <w:color w:val="auto"/>
          <w:szCs w:val="20"/>
        </w:rPr>
        <w:t>（1）对于非专门面向中小企业的项目，投标人在其投标文件中提供《中小企业声明函》，且其服务为小型和微型企业承接的，对其小型和微型企业产品的最后报价给予20%的价格扣除，扣除后的价格为评标价，即评标价＝投标报价×（1-20%）；（以投标人按第六章“投标文件格式”要求提供的《投标报价表》和《中小企业声明函》为评审依据）</w:t>
      </w:r>
    </w:p>
    <w:p w14:paraId="2F5B7E89">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bCs/>
          <w:color w:val="auto"/>
          <w:szCs w:val="20"/>
        </w:rPr>
      </w:pPr>
      <w:r>
        <w:rPr>
          <w:rFonts w:hint="eastAsia" w:ascii="宋体" w:hAnsi="宋体" w:eastAsia="宋体" w:cs="宋体"/>
          <w:color w:val="auto"/>
          <w:szCs w:val="20"/>
        </w:rPr>
        <w:t>（2）接受大中型企业与小微企业组成联合体或者允许大中型企业向一家或者多家小微企业分包的采购项目，联合协议或者分包意向协议约定小微企业的合同份额占到合同总金额30%以上的，对联合体或者大中型企业的报价给予6%的扣除，用扣除后的价格参加评审，扣除后的价格为评标报价，即评标报价=投标报价×（1-6%）。（以投标人按第六章“投标文件格式”要求提供的《投标报价表》、《中小企业声明函》和《联合体协议书》为评审依据）</w:t>
      </w:r>
    </w:p>
    <w:p w14:paraId="3141AE3F">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rPr>
      </w:pPr>
      <w:r>
        <w:rPr>
          <w:rFonts w:hint="eastAsia" w:ascii="宋体" w:hAnsi="宋体" w:eastAsia="宋体" w:cs="宋体"/>
          <w:color w:val="auto"/>
          <w:szCs w:val="21"/>
        </w:rPr>
        <w:t>（3）按照</w:t>
      </w:r>
      <w:r>
        <w:rPr>
          <w:rFonts w:hint="eastAsia" w:ascii="宋体" w:hAnsi="宋体" w:eastAsia="宋体" w:cs="宋体"/>
          <w:bCs/>
          <w:color w:val="auto"/>
          <w:szCs w:val="21"/>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eastAsia="宋体" w:cs="宋体"/>
          <w:color w:val="auto"/>
          <w:szCs w:val="21"/>
        </w:rPr>
        <w:t>残疾人福利性单位参加政府采购活动时，应当提供《残疾人福利性单位声明函》，并对声明的真实性负责。</w:t>
      </w:r>
      <w:r>
        <w:rPr>
          <w:rFonts w:hint="eastAsia" w:ascii="宋体" w:hAnsi="宋体" w:eastAsia="宋体" w:cs="宋体"/>
          <w:bCs/>
          <w:color w:val="auto"/>
          <w:szCs w:val="21"/>
        </w:rPr>
        <w:t>残疾人福利性单位属于小型、微型企业的，不重复享受政策。（以投标人按第</w:t>
      </w:r>
      <w:r>
        <w:rPr>
          <w:rFonts w:hint="eastAsia" w:ascii="宋体" w:hAnsi="宋体" w:eastAsia="宋体" w:cs="宋体"/>
          <w:color w:val="auto"/>
          <w:szCs w:val="21"/>
        </w:rPr>
        <w:t>六</w:t>
      </w:r>
      <w:r>
        <w:rPr>
          <w:rFonts w:hint="eastAsia" w:ascii="宋体" w:hAnsi="宋体" w:eastAsia="宋体" w:cs="宋体"/>
          <w:bCs/>
          <w:color w:val="auto"/>
          <w:szCs w:val="21"/>
        </w:rPr>
        <w:t>章“投标文件格式”要求提供的《投标报价表》和《</w:t>
      </w:r>
      <w:r>
        <w:rPr>
          <w:rFonts w:hint="eastAsia" w:ascii="宋体" w:hAnsi="宋体" w:eastAsia="宋体" w:cs="宋体"/>
          <w:color w:val="auto"/>
          <w:szCs w:val="21"/>
        </w:rPr>
        <w:t>残疾人福利性单位声明函</w:t>
      </w:r>
      <w:r>
        <w:rPr>
          <w:rFonts w:hint="eastAsia" w:ascii="宋体" w:hAnsi="宋体" w:eastAsia="宋体" w:cs="宋体"/>
          <w:bCs/>
          <w:color w:val="auto"/>
          <w:szCs w:val="21"/>
        </w:rPr>
        <w:t>》为评审依据）</w:t>
      </w:r>
    </w:p>
    <w:p w14:paraId="05293F0A">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rPr>
      </w:pPr>
      <w:r>
        <w:rPr>
          <w:rFonts w:hint="eastAsia" w:ascii="宋体" w:hAnsi="宋体" w:eastAsia="宋体" w:cs="宋体"/>
          <w:color w:val="auto"/>
          <w:szCs w:val="21"/>
        </w:rPr>
        <w:t>（4）除上述情况外，评标价＝投标报价；</w:t>
      </w:r>
    </w:p>
    <w:p w14:paraId="07D6F0D2">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kern w:val="0"/>
          <w:sz w:val="21"/>
          <w:szCs w:val="21"/>
        </w:rPr>
      </w:pPr>
      <w:r>
        <w:rPr>
          <w:rFonts w:hint="eastAsia" w:ascii="宋体" w:hAnsi="宋体" w:eastAsia="宋体" w:cs="宋体"/>
          <w:color w:val="auto"/>
          <w:szCs w:val="21"/>
        </w:rPr>
        <w:t>（5）</w:t>
      </w:r>
      <w:r>
        <w:rPr>
          <w:rFonts w:hint="eastAsia" w:ascii="宋体" w:hAnsi="宋体" w:eastAsia="宋体" w:cs="宋体"/>
          <w:color w:val="auto"/>
          <w:kern w:val="0"/>
          <w:sz w:val="21"/>
          <w:szCs w:val="21"/>
        </w:rPr>
        <w:t>价格分计算公式：</w:t>
      </w:r>
    </w:p>
    <w:p w14:paraId="412EBC69">
      <w:pPr>
        <w:pageBreakBefore w:val="0"/>
        <w:kinsoku/>
        <w:wordWrap/>
        <w:overflowPunct/>
        <w:topLinePunct w:val="0"/>
        <w:bidi w:val="0"/>
        <w:spacing w:beforeAutospacing="0" w:line="360" w:lineRule="auto"/>
        <w:ind w:left="0" w:leftChars="0" w:right="0" w:firstLine="420"/>
        <w:rPr>
          <w:rFonts w:hint="eastAsia" w:ascii="宋体" w:hAnsi="宋体" w:eastAsia="宋体" w:cs="宋体"/>
          <w:color w:val="auto"/>
          <w:szCs w:val="21"/>
        </w:rPr>
      </w:pPr>
      <w:r>
        <w:rPr>
          <w:rFonts w:hint="eastAsia" w:ascii="宋体" w:hAnsi="宋体" w:eastAsia="宋体" w:cs="宋体"/>
          <w:bCs/>
          <w:color w:val="auto"/>
          <w:szCs w:val="21"/>
        </w:rPr>
        <w:t>（</w:t>
      </w:r>
      <w:r>
        <w:rPr>
          <w:rFonts w:hint="eastAsia" w:ascii="宋体" w:hAnsi="宋体" w:eastAsia="宋体" w:cs="宋体"/>
          <w:color w:val="auto"/>
          <w:szCs w:val="21"/>
        </w:rPr>
        <w:t>投标人最低报价</w:t>
      </w:r>
      <w:r>
        <w:rPr>
          <w:rFonts w:hint="eastAsia" w:ascii="宋体" w:hAnsi="宋体" w:eastAsia="宋体" w:cs="宋体"/>
          <w:color w:val="auto"/>
          <w:kern w:val="0"/>
          <w:szCs w:val="21"/>
        </w:rPr>
        <w:t>/某投标人报价）×10分</w:t>
      </w:r>
    </w:p>
    <w:p w14:paraId="0DB7089C">
      <w:pPr>
        <w:pageBreakBefore w:val="0"/>
        <w:kinsoku/>
        <w:wordWrap/>
        <w:overflowPunct/>
        <w:topLinePunct w:val="0"/>
        <w:bidi w:val="0"/>
        <w:spacing w:beforeAutospacing="0" w:line="360" w:lineRule="auto"/>
        <w:ind w:left="0" w:leftChars="0" w:right="0"/>
        <w:jc w:val="left"/>
        <w:rPr>
          <w:rFonts w:hint="eastAsia" w:ascii="宋体" w:hAnsi="宋体" w:eastAsia="宋体" w:cs="宋体"/>
          <w:b/>
          <w:bCs/>
          <w:color w:val="auto"/>
          <w:lang w:bidi="ar"/>
        </w:rPr>
      </w:pPr>
      <w:r>
        <w:rPr>
          <w:rFonts w:hint="eastAsia" w:ascii="宋体" w:hAnsi="宋体" w:eastAsia="宋体" w:cs="宋体"/>
          <w:b/>
          <w:bCs/>
          <w:color w:val="auto"/>
          <w:lang w:bidi="ar"/>
        </w:rPr>
        <w:t>2</w:t>
      </w:r>
      <w:bookmarkStart w:id="162" w:name="OLE_LINK1"/>
      <w:r>
        <w:rPr>
          <w:rFonts w:hint="eastAsia" w:ascii="宋体" w:hAnsi="宋体" w:eastAsia="宋体" w:cs="宋体"/>
          <w:b/>
          <w:bCs/>
          <w:color w:val="auto"/>
          <w:lang w:bidi="ar"/>
        </w:rPr>
        <w:t>、技术分……………………………………………………………………………………………</w:t>
      </w:r>
      <w:r>
        <w:rPr>
          <w:rFonts w:hint="eastAsia" w:ascii="宋体" w:hAnsi="宋体" w:cs="宋体"/>
          <w:b/>
          <w:bCs/>
          <w:color w:val="auto"/>
          <w:lang w:val="en-US" w:eastAsia="zh-CN" w:bidi="ar"/>
        </w:rPr>
        <w:t>45</w:t>
      </w:r>
      <w:r>
        <w:rPr>
          <w:rFonts w:hint="eastAsia" w:ascii="宋体" w:hAnsi="宋体" w:eastAsia="宋体" w:cs="宋体"/>
          <w:b/>
          <w:bCs/>
          <w:color w:val="auto"/>
          <w:lang w:bidi="ar"/>
        </w:rPr>
        <w:t>分</w:t>
      </w:r>
    </w:p>
    <w:bookmarkEnd w:id="162"/>
    <w:p w14:paraId="33D30A54">
      <w:pPr>
        <w:pageBreakBefore w:val="0"/>
        <w:kinsoku/>
        <w:wordWrap/>
        <w:overflowPunct/>
        <w:topLinePunct w:val="0"/>
        <w:bidi w:val="0"/>
        <w:spacing w:beforeAutospacing="0" w:line="360" w:lineRule="auto"/>
        <w:ind w:left="0" w:leftChars="0" w:right="0"/>
        <w:jc w:val="left"/>
        <w:rPr>
          <w:rFonts w:hint="eastAsia" w:ascii="宋体" w:hAnsi="宋体" w:eastAsia="宋体" w:cs="宋体"/>
          <w:b/>
          <w:bCs/>
          <w:color w:val="auto"/>
          <w:lang w:bidi="ar"/>
        </w:rPr>
      </w:pPr>
      <w:r>
        <w:rPr>
          <w:rFonts w:hint="eastAsia" w:ascii="宋体" w:hAnsi="宋体" w:eastAsia="宋体" w:cs="宋体"/>
          <w:b/>
          <w:bCs/>
          <w:color w:val="auto"/>
          <w:lang w:bidi="ar"/>
        </w:rPr>
        <w:t>（1）项目实施方案分（满分</w:t>
      </w:r>
      <w:r>
        <w:rPr>
          <w:rFonts w:hint="eastAsia" w:ascii="宋体" w:hAnsi="宋体" w:cs="宋体"/>
          <w:b/>
          <w:bCs/>
          <w:color w:val="auto"/>
          <w:lang w:val="en-US" w:eastAsia="zh-CN" w:bidi="ar"/>
        </w:rPr>
        <w:t>10</w:t>
      </w:r>
      <w:r>
        <w:rPr>
          <w:rFonts w:hint="eastAsia" w:ascii="宋体" w:hAnsi="宋体" w:eastAsia="宋体" w:cs="宋体"/>
          <w:b/>
          <w:bCs/>
          <w:color w:val="auto"/>
          <w:lang w:bidi="ar"/>
        </w:rPr>
        <w:t>分）</w:t>
      </w:r>
    </w:p>
    <w:p w14:paraId="669D1D5A">
      <w:pPr>
        <w:pageBreakBefore w:val="0"/>
        <w:kinsoku/>
        <w:wordWrap/>
        <w:overflowPunct/>
        <w:topLinePunct w:val="0"/>
        <w:bidi w:val="0"/>
        <w:spacing w:beforeAutospacing="0" w:line="360" w:lineRule="auto"/>
        <w:ind w:left="0" w:leftChars="0" w:right="0" w:firstLine="420" w:firstLineChars="200"/>
        <w:rPr>
          <w:rFonts w:hint="default" w:ascii="宋体" w:hAnsi="宋体" w:eastAsia="宋体" w:cs="宋体"/>
          <w:color w:val="auto"/>
          <w:lang w:val="en-US" w:eastAsia="zh-CN" w:bidi="ar"/>
        </w:rPr>
      </w:pPr>
      <w:r>
        <w:rPr>
          <w:rFonts w:hint="eastAsia" w:ascii="宋体" w:hAnsi="宋体" w:eastAsia="宋体" w:cs="宋体"/>
          <w:color w:val="auto"/>
          <w:lang w:bidi="ar"/>
        </w:rPr>
        <w:t>一档（</w:t>
      </w:r>
      <w:r>
        <w:rPr>
          <w:rFonts w:hint="eastAsia" w:ascii="宋体" w:hAnsi="宋体" w:cs="宋体"/>
          <w:color w:val="auto"/>
          <w:lang w:val="en-US" w:eastAsia="zh-CN" w:bidi="ar"/>
        </w:rPr>
        <w:t>3</w:t>
      </w:r>
      <w:r>
        <w:rPr>
          <w:rFonts w:hint="eastAsia" w:ascii="宋体" w:hAnsi="宋体" w:eastAsia="宋体" w:cs="宋体"/>
          <w:color w:val="auto"/>
          <w:lang w:bidi="ar"/>
        </w:rPr>
        <w:t>分）：服务实施方案综合评价一般，</w:t>
      </w:r>
      <w:r>
        <w:rPr>
          <w:rFonts w:hint="eastAsia" w:ascii="宋体" w:hAnsi="宋体" w:cs="宋体"/>
          <w:color w:val="auto"/>
          <w:lang w:val="en-US" w:eastAsia="zh-CN" w:bidi="ar"/>
        </w:rPr>
        <w:t>对项目需求及采购人单位性质、职能、特点有一定了解，并针对本项目提出可行服务方案，配送方案满足采购需求；</w:t>
      </w:r>
    </w:p>
    <w:p w14:paraId="05433CD0">
      <w:pPr>
        <w:pageBreakBefore w:val="0"/>
        <w:kinsoku/>
        <w:wordWrap/>
        <w:overflowPunct/>
        <w:topLinePunct w:val="0"/>
        <w:bidi w:val="0"/>
        <w:spacing w:beforeAutospacing="0" w:line="360" w:lineRule="auto"/>
        <w:ind w:left="0" w:leftChars="0" w:right="0" w:firstLine="420" w:firstLineChars="200"/>
        <w:jc w:val="left"/>
        <w:rPr>
          <w:rFonts w:hint="eastAsia" w:ascii="宋体" w:hAnsi="宋体" w:cs="宋体"/>
          <w:color w:val="auto"/>
          <w:lang w:val="en-US" w:eastAsia="zh-CN" w:bidi="ar"/>
        </w:rPr>
      </w:pPr>
      <w:r>
        <w:rPr>
          <w:rFonts w:hint="eastAsia" w:ascii="宋体" w:hAnsi="宋体" w:eastAsia="宋体" w:cs="宋体"/>
          <w:color w:val="auto"/>
          <w:lang w:bidi="ar"/>
        </w:rPr>
        <w:t>二档（</w:t>
      </w:r>
      <w:r>
        <w:rPr>
          <w:rFonts w:hint="eastAsia" w:ascii="宋体" w:hAnsi="宋体" w:cs="宋体"/>
          <w:color w:val="auto"/>
          <w:lang w:val="en-US" w:eastAsia="zh-CN" w:bidi="ar"/>
        </w:rPr>
        <w:t>6</w:t>
      </w:r>
      <w:r>
        <w:rPr>
          <w:rFonts w:hint="eastAsia" w:ascii="宋体" w:hAnsi="宋体" w:eastAsia="宋体" w:cs="宋体"/>
          <w:color w:val="auto"/>
          <w:lang w:bidi="ar"/>
        </w:rPr>
        <w:t>分）：</w:t>
      </w:r>
      <w:r>
        <w:rPr>
          <w:rFonts w:hint="eastAsia"/>
          <w:color w:val="auto"/>
        </w:rPr>
        <w:t>服务实施方案基本完备</w:t>
      </w:r>
      <w:r>
        <w:rPr>
          <w:rFonts w:hint="eastAsia" w:ascii="宋体" w:hAnsi="宋体" w:eastAsia="宋体" w:cs="宋体"/>
          <w:color w:val="auto"/>
          <w:lang w:bidi="ar"/>
        </w:rPr>
        <w:t>，</w:t>
      </w:r>
      <w:r>
        <w:rPr>
          <w:rFonts w:hint="eastAsia" w:ascii="宋体" w:hAnsi="宋体" w:cs="宋体"/>
          <w:color w:val="auto"/>
          <w:lang w:val="en-US" w:eastAsia="zh-CN" w:bidi="ar"/>
        </w:rPr>
        <w:t>从采购人实际需求出发，针对本项目提出科学、可行的服务方案，并有详细的配送方案、服务流程和服务承诺；</w:t>
      </w:r>
    </w:p>
    <w:p w14:paraId="6B606EF5">
      <w:pPr>
        <w:pageBreakBefore w:val="0"/>
        <w:kinsoku/>
        <w:wordWrap/>
        <w:overflowPunct/>
        <w:topLinePunct w:val="0"/>
        <w:bidi w:val="0"/>
        <w:spacing w:beforeAutospacing="0" w:line="360" w:lineRule="auto"/>
        <w:ind w:left="0" w:leftChars="0" w:right="0" w:firstLine="420" w:firstLineChars="200"/>
        <w:jc w:val="left"/>
        <w:rPr>
          <w:rFonts w:hint="default" w:ascii="宋体" w:hAnsi="宋体" w:eastAsia="宋体" w:cs="宋体"/>
          <w:color w:val="auto"/>
          <w:lang w:val="en-US" w:eastAsia="zh-CN" w:bidi="ar"/>
        </w:rPr>
      </w:pPr>
      <w:r>
        <w:rPr>
          <w:rFonts w:hint="eastAsia" w:ascii="宋体" w:hAnsi="宋体" w:eastAsia="宋体" w:cs="宋体"/>
          <w:color w:val="auto"/>
          <w:lang w:bidi="ar"/>
        </w:rPr>
        <w:t>三档（</w:t>
      </w:r>
      <w:r>
        <w:rPr>
          <w:rFonts w:hint="eastAsia" w:ascii="宋体" w:hAnsi="宋体" w:cs="宋体"/>
          <w:color w:val="auto"/>
          <w:lang w:val="en-US" w:eastAsia="zh-CN" w:bidi="ar"/>
        </w:rPr>
        <w:t>10</w:t>
      </w:r>
      <w:r>
        <w:rPr>
          <w:rFonts w:hint="eastAsia" w:ascii="宋体" w:hAnsi="宋体" w:eastAsia="宋体" w:cs="宋体"/>
          <w:color w:val="auto"/>
          <w:lang w:bidi="ar"/>
        </w:rPr>
        <w:t>分）：</w:t>
      </w:r>
      <w:r>
        <w:rPr>
          <w:rFonts w:hint="eastAsia"/>
          <w:color w:val="auto"/>
          <w:lang w:val="en-US" w:eastAsia="zh-CN"/>
        </w:rPr>
        <w:t>从采购人实际需求出发，针对本项目提出科学、可行的服务方案，并有详细的配送方案、服务流程和服务承诺，能从本项目的整体出发，且具有服务意识。能针对重点及难点工作提出符合实际的解决方案；服务过程有智能化技术辅助。</w:t>
      </w:r>
    </w:p>
    <w:p w14:paraId="6982FB2F">
      <w:pPr>
        <w:pageBreakBefore w:val="0"/>
        <w:kinsoku/>
        <w:wordWrap/>
        <w:overflowPunct/>
        <w:topLinePunct w:val="0"/>
        <w:bidi w:val="0"/>
        <w:spacing w:beforeAutospacing="0" w:line="360" w:lineRule="auto"/>
        <w:ind w:left="0" w:leftChars="0" w:right="0"/>
        <w:jc w:val="left"/>
        <w:rPr>
          <w:rFonts w:hint="eastAsia" w:ascii="宋体" w:hAnsi="宋体" w:eastAsia="宋体" w:cs="宋体"/>
          <w:color w:val="auto"/>
          <w:lang w:bidi="ar"/>
        </w:rPr>
      </w:pPr>
      <w:r>
        <w:rPr>
          <w:rFonts w:hint="eastAsia" w:ascii="宋体" w:hAnsi="宋体" w:eastAsia="宋体" w:cs="宋体"/>
          <w:color w:val="auto"/>
          <w:lang w:bidi="ar"/>
        </w:rPr>
        <w:t>注：一档、二档、三档不重复计分，由评委根据各投标供应商的文件内容，在相应内容档次内独立打分。不满足进档要求的，得0分。</w:t>
      </w:r>
    </w:p>
    <w:p w14:paraId="54BE5D49">
      <w:pPr>
        <w:pageBreakBefore w:val="0"/>
        <w:kinsoku/>
        <w:wordWrap/>
        <w:overflowPunct/>
        <w:topLinePunct w:val="0"/>
        <w:bidi w:val="0"/>
        <w:spacing w:beforeAutospacing="0" w:line="360" w:lineRule="auto"/>
        <w:ind w:left="0" w:leftChars="0" w:right="0"/>
        <w:jc w:val="left"/>
        <w:rPr>
          <w:rFonts w:hint="eastAsia" w:ascii="宋体" w:hAnsi="宋体" w:eastAsia="宋体" w:cs="宋体"/>
          <w:b/>
          <w:bCs/>
          <w:color w:val="auto"/>
          <w:lang w:bidi="ar"/>
        </w:rPr>
      </w:pPr>
      <w:r>
        <w:rPr>
          <w:rFonts w:hint="eastAsia" w:ascii="宋体" w:hAnsi="宋体" w:eastAsia="宋体" w:cs="宋体"/>
          <w:b/>
          <w:bCs/>
          <w:color w:val="auto"/>
          <w:lang w:bidi="ar"/>
        </w:rPr>
        <w:t>（2）质量保障措施方案分（满分10 分）</w:t>
      </w:r>
    </w:p>
    <w:p w14:paraId="56AB7FD7">
      <w:pPr>
        <w:pageBreakBefore w:val="0"/>
        <w:kinsoku/>
        <w:wordWrap/>
        <w:overflowPunct/>
        <w:topLinePunct w:val="0"/>
        <w:bidi w:val="0"/>
        <w:spacing w:beforeAutospacing="0" w:line="360" w:lineRule="auto"/>
        <w:ind w:left="0" w:leftChars="0" w:right="0" w:firstLine="210" w:firstLineChars="100"/>
        <w:jc w:val="left"/>
        <w:rPr>
          <w:rFonts w:hint="eastAsia" w:ascii="宋体" w:hAnsi="宋体" w:eastAsia="宋体" w:cs="宋体"/>
          <w:color w:val="auto"/>
          <w:lang w:bidi="ar"/>
        </w:rPr>
      </w:pPr>
      <w:r>
        <w:rPr>
          <w:rFonts w:hint="eastAsia" w:ascii="宋体" w:hAnsi="宋体" w:eastAsia="宋体" w:cs="宋体"/>
          <w:color w:val="auto"/>
          <w:lang w:bidi="ar"/>
        </w:rPr>
        <w:t>一档(3分):食材质量保障方案，可行性较强。有食材控制管理措施、食材质量标准；可追溯食材来源；有检验检疫措施，主动开展检验工作；</w:t>
      </w:r>
    </w:p>
    <w:p w14:paraId="6246EA25">
      <w:pPr>
        <w:pageBreakBefore w:val="0"/>
        <w:kinsoku/>
        <w:wordWrap/>
        <w:overflowPunct/>
        <w:topLinePunct w:val="0"/>
        <w:bidi w:val="0"/>
        <w:spacing w:beforeAutospacing="0" w:line="360" w:lineRule="auto"/>
        <w:ind w:left="0" w:leftChars="0" w:right="0" w:firstLine="210" w:firstLineChars="100"/>
        <w:jc w:val="left"/>
        <w:rPr>
          <w:rFonts w:hint="eastAsia" w:ascii="宋体" w:hAnsi="宋体" w:eastAsia="宋体" w:cs="宋体"/>
          <w:color w:val="auto"/>
          <w:lang w:bidi="ar"/>
        </w:rPr>
      </w:pPr>
      <w:r>
        <w:rPr>
          <w:rFonts w:hint="eastAsia" w:ascii="宋体" w:hAnsi="宋体" w:eastAsia="宋体" w:cs="宋体"/>
          <w:color w:val="auto"/>
          <w:lang w:bidi="ar"/>
        </w:rPr>
        <w:t>二档(6分):食材质量保障方案，可行性强。有相对完整的进货采购渠道、食材控制管理措施、食材质量标准；可追溯食材来源；有检验检疫措施，能把好食材质量关；主动开展检验工作；</w:t>
      </w:r>
    </w:p>
    <w:p w14:paraId="14FB6B05">
      <w:pPr>
        <w:pageBreakBefore w:val="0"/>
        <w:kinsoku/>
        <w:wordWrap/>
        <w:overflowPunct/>
        <w:topLinePunct w:val="0"/>
        <w:bidi w:val="0"/>
        <w:spacing w:beforeAutospacing="0" w:line="360" w:lineRule="auto"/>
        <w:ind w:left="0" w:leftChars="0" w:right="0" w:firstLine="210" w:firstLineChars="100"/>
        <w:jc w:val="left"/>
        <w:rPr>
          <w:rFonts w:hint="eastAsia" w:ascii="宋体" w:hAnsi="宋体" w:eastAsia="宋体" w:cs="宋体"/>
          <w:color w:val="auto"/>
          <w:lang w:bidi="ar"/>
        </w:rPr>
      </w:pPr>
      <w:r>
        <w:rPr>
          <w:rFonts w:hint="eastAsia" w:ascii="宋体" w:hAnsi="宋体" w:eastAsia="宋体" w:cs="宋体"/>
          <w:color w:val="auto"/>
          <w:lang w:bidi="ar"/>
        </w:rPr>
        <w:t>三档(10分):食材质量保障方案根据项目实际情况制定，有完整相对固定的进货采购渠道、食材控制管理措施、食材质量标准；可清晰直观的追溯食材来源；检验检疫措施全面，能严格进行食材质量把关；主动开展检验工作，提供有具体的实施步骤和要求。</w:t>
      </w:r>
    </w:p>
    <w:p w14:paraId="4B3EEA36">
      <w:pPr>
        <w:pageBreakBefore w:val="0"/>
        <w:kinsoku/>
        <w:wordWrap/>
        <w:overflowPunct/>
        <w:topLinePunct w:val="0"/>
        <w:bidi w:val="0"/>
        <w:spacing w:beforeAutospacing="0" w:line="360" w:lineRule="auto"/>
        <w:ind w:left="0" w:leftChars="0" w:right="0"/>
        <w:jc w:val="left"/>
        <w:rPr>
          <w:rFonts w:hint="eastAsia" w:ascii="宋体" w:hAnsi="宋体" w:eastAsia="宋体" w:cs="宋体"/>
          <w:color w:val="auto"/>
          <w:lang w:bidi="ar"/>
        </w:rPr>
      </w:pPr>
      <w:r>
        <w:rPr>
          <w:rFonts w:hint="eastAsia" w:ascii="宋体" w:hAnsi="宋体" w:eastAsia="宋体" w:cs="宋体"/>
          <w:color w:val="auto"/>
          <w:lang w:bidi="ar"/>
        </w:rPr>
        <w:t>注：一档、二档、三档不重复计分，由评委根据各投标</w:t>
      </w:r>
      <w:r>
        <w:rPr>
          <w:rFonts w:hint="eastAsia" w:ascii="宋体" w:hAnsi="宋体" w:cs="宋体"/>
          <w:color w:val="auto"/>
          <w:lang w:val="en-US" w:eastAsia="zh-CN" w:bidi="ar"/>
        </w:rPr>
        <w:t>人</w:t>
      </w:r>
      <w:r>
        <w:rPr>
          <w:rFonts w:hint="eastAsia" w:ascii="宋体" w:hAnsi="宋体" w:eastAsia="宋体" w:cs="宋体"/>
          <w:color w:val="auto"/>
          <w:lang w:bidi="ar"/>
        </w:rPr>
        <w:t>的文件内容，在相应内容档次内独立打分。不满足进档要求的，得0分。</w:t>
      </w:r>
    </w:p>
    <w:p w14:paraId="5639E969">
      <w:pPr>
        <w:pageBreakBefore w:val="0"/>
        <w:kinsoku/>
        <w:wordWrap/>
        <w:overflowPunct/>
        <w:topLinePunct w:val="0"/>
        <w:bidi w:val="0"/>
        <w:spacing w:beforeAutospacing="0" w:line="360" w:lineRule="auto"/>
        <w:ind w:left="0" w:leftChars="0" w:right="0"/>
        <w:jc w:val="left"/>
        <w:rPr>
          <w:rFonts w:hint="eastAsia" w:ascii="宋体" w:hAnsi="宋体" w:eastAsia="宋体" w:cs="宋体"/>
          <w:b/>
          <w:bCs/>
          <w:color w:val="auto"/>
          <w:lang w:bidi="ar"/>
        </w:rPr>
      </w:pPr>
      <w:r>
        <w:rPr>
          <w:rFonts w:hint="eastAsia" w:ascii="宋体" w:hAnsi="宋体" w:eastAsia="宋体" w:cs="宋体"/>
          <w:b/>
          <w:bCs/>
          <w:color w:val="auto"/>
          <w:lang w:bidi="ar"/>
        </w:rPr>
        <w:t>（3）应急预案分（满分</w:t>
      </w:r>
      <w:r>
        <w:rPr>
          <w:rFonts w:hint="eastAsia" w:ascii="宋体" w:hAnsi="宋体" w:cs="宋体"/>
          <w:b/>
          <w:bCs/>
          <w:color w:val="auto"/>
          <w:lang w:val="en-US" w:eastAsia="zh-CN" w:bidi="ar"/>
        </w:rPr>
        <w:t>10</w:t>
      </w:r>
      <w:r>
        <w:rPr>
          <w:rFonts w:hint="eastAsia" w:ascii="宋体" w:hAnsi="宋体" w:eastAsia="宋体" w:cs="宋体"/>
          <w:b/>
          <w:bCs/>
          <w:color w:val="auto"/>
          <w:lang w:bidi="ar"/>
        </w:rPr>
        <w:t>分）</w:t>
      </w:r>
    </w:p>
    <w:p w14:paraId="58B4471B">
      <w:pPr>
        <w:pageBreakBefore w:val="0"/>
        <w:kinsoku/>
        <w:wordWrap/>
        <w:overflowPunct/>
        <w:topLinePunct w:val="0"/>
        <w:bidi w:val="0"/>
        <w:spacing w:beforeAutospacing="0" w:line="360" w:lineRule="auto"/>
        <w:ind w:left="0" w:leftChars="0" w:right="0" w:firstLine="210" w:firstLineChars="100"/>
        <w:jc w:val="left"/>
        <w:rPr>
          <w:rFonts w:hint="eastAsia" w:ascii="宋体" w:hAnsi="宋体" w:eastAsia="宋体" w:cs="宋体"/>
          <w:color w:val="auto"/>
          <w:lang w:bidi="ar"/>
        </w:rPr>
      </w:pPr>
      <w:r>
        <w:rPr>
          <w:rFonts w:hint="eastAsia" w:ascii="宋体" w:hAnsi="宋体" w:eastAsia="宋体" w:cs="宋体"/>
          <w:color w:val="auto"/>
          <w:lang w:bidi="ar"/>
        </w:rPr>
        <w:t>一档（</w:t>
      </w:r>
      <w:r>
        <w:rPr>
          <w:rFonts w:hint="eastAsia" w:ascii="宋体" w:hAnsi="宋体" w:eastAsia="宋体" w:cs="宋体"/>
          <w:color w:val="auto"/>
          <w:lang w:val="en-US" w:eastAsia="zh-CN" w:bidi="ar"/>
        </w:rPr>
        <w:t>3</w:t>
      </w:r>
      <w:r>
        <w:rPr>
          <w:rFonts w:hint="eastAsia" w:ascii="宋体" w:hAnsi="宋体" w:eastAsia="宋体" w:cs="宋体"/>
          <w:color w:val="auto"/>
          <w:lang w:bidi="ar"/>
        </w:rPr>
        <w:t>分）：</w:t>
      </w:r>
      <w:r>
        <w:rPr>
          <w:rFonts w:hint="eastAsia" w:ascii="宋体" w:hAnsi="宋体" w:eastAsia="宋体" w:cs="宋体"/>
          <w:color w:val="auto"/>
          <w:lang w:eastAsia="zh-TW" w:bidi="ar"/>
        </w:rPr>
        <w:t>投标人</w:t>
      </w:r>
      <w:r>
        <w:rPr>
          <w:rFonts w:hint="eastAsia" w:ascii="宋体" w:hAnsi="宋体" w:eastAsia="宋体" w:cs="宋体"/>
          <w:color w:val="auto"/>
          <w:lang w:bidi="ar"/>
        </w:rPr>
        <w:t>设置有</w:t>
      </w:r>
      <w:r>
        <w:rPr>
          <w:rFonts w:hint="eastAsia" w:ascii="宋体" w:hAnsi="宋体" w:eastAsia="宋体" w:cs="宋体"/>
          <w:color w:val="auto"/>
          <w:lang w:eastAsia="zh-TW" w:bidi="ar"/>
        </w:rPr>
        <w:t>对问题食材</w:t>
      </w:r>
      <w:r>
        <w:rPr>
          <w:rFonts w:hint="eastAsia" w:ascii="宋体" w:hAnsi="宋体" w:eastAsia="宋体" w:cs="宋体"/>
          <w:color w:val="auto"/>
          <w:lang w:bidi="ar"/>
        </w:rPr>
        <w:t>或配送过程中</w:t>
      </w:r>
      <w:r>
        <w:rPr>
          <w:rFonts w:hint="eastAsia" w:ascii="宋体" w:hAnsi="宋体" w:eastAsia="宋体" w:cs="宋体"/>
          <w:color w:val="auto"/>
          <w:lang w:eastAsia="zh-TW" w:bidi="ar"/>
        </w:rPr>
        <w:t>发生紧急事件处理</w:t>
      </w:r>
      <w:r>
        <w:rPr>
          <w:rFonts w:hint="eastAsia" w:ascii="宋体" w:hAnsi="宋体" w:eastAsia="宋体" w:cs="宋体"/>
          <w:color w:val="auto"/>
          <w:lang w:bidi="ar"/>
        </w:rPr>
        <w:t>的应急</w:t>
      </w:r>
      <w:r>
        <w:rPr>
          <w:rFonts w:hint="eastAsia" w:ascii="宋体" w:hAnsi="宋体" w:eastAsia="宋体" w:cs="宋体"/>
          <w:color w:val="auto"/>
          <w:lang w:eastAsia="zh-TW" w:bidi="ar"/>
        </w:rPr>
        <w:t>预案，</w:t>
      </w:r>
      <w:r>
        <w:rPr>
          <w:rFonts w:hint="eastAsia" w:ascii="宋体" w:hAnsi="宋体" w:eastAsia="宋体" w:cs="宋体"/>
          <w:color w:val="auto"/>
          <w:lang w:bidi="ar"/>
        </w:rPr>
        <w:t>并具有可行性</w:t>
      </w:r>
      <w:r>
        <w:rPr>
          <w:rFonts w:hint="eastAsia" w:ascii="宋体" w:hAnsi="宋体" w:eastAsia="宋体" w:cs="宋体"/>
          <w:color w:val="auto"/>
          <w:lang w:eastAsia="zh-TW" w:bidi="ar"/>
        </w:rPr>
        <w:t>；</w:t>
      </w:r>
    </w:p>
    <w:p w14:paraId="16C3BE60">
      <w:pPr>
        <w:pageBreakBefore w:val="0"/>
        <w:kinsoku/>
        <w:wordWrap/>
        <w:overflowPunct/>
        <w:topLinePunct w:val="0"/>
        <w:bidi w:val="0"/>
        <w:spacing w:beforeAutospacing="0" w:line="360" w:lineRule="auto"/>
        <w:ind w:left="0" w:leftChars="0" w:right="0" w:firstLine="210" w:firstLineChars="100"/>
        <w:jc w:val="left"/>
        <w:rPr>
          <w:rFonts w:hint="eastAsia" w:ascii="宋体" w:hAnsi="宋体" w:eastAsia="宋体" w:cs="宋体"/>
          <w:color w:val="auto"/>
          <w:lang w:bidi="ar"/>
        </w:rPr>
      </w:pPr>
      <w:r>
        <w:rPr>
          <w:rFonts w:hint="eastAsia" w:ascii="宋体" w:hAnsi="宋体" w:eastAsia="宋体" w:cs="宋体"/>
          <w:color w:val="auto"/>
          <w:lang w:bidi="ar"/>
        </w:rPr>
        <w:t>二档（</w:t>
      </w:r>
      <w:r>
        <w:rPr>
          <w:rFonts w:hint="eastAsia" w:ascii="宋体" w:hAnsi="宋体" w:eastAsia="宋体" w:cs="宋体"/>
          <w:color w:val="auto"/>
          <w:lang w:val="en-US" w:eastAsia="zh-CN" w:bidi="ar"/>
        </w:rPr>
        <w:t>6</w:t>
      </w:r>
      <w:r>
        <w:rPr>
          <w:rFonts w:hint="eastAsia" w:ascii="宋体" w:hAnsi="宋体" w:eastAsia="宋体" w:cs="宋体"/>
          <w:color w:val="auto"/>
          <w:lang w:bidi="ar"/>
        </w:rPr>
        <w:t>分）：投标人设置有完备的对问题食材或配送过程中发生的紧急事件处理有具体可执行的应急预案，并有详细的处理流程方案。当接到采购人应急需求时，能承诺在1小时内响应解决完成；</w:t>
      </w:r>
    </w:p>
    <w:p w14:paraId="003ADDBF">
      <w:pPr>
        <w:pageBreakBefore w:val="0"/>
        <w:kinsoku/>
        <w:wordWrap/>
        <w:overflowPunct/>
        <w:topLinePunct w:val="0"/>
        <w:bidi w:val="0"/>
        <w:spacing w:beforeAutospacing="0" w:line="360" w:lineRule="auto"/>
        <w:ind w:left="0" w:leftChars="0" w:right="0" w:firstLine="210" w:firstLineChars="100"/>
        <w:jc w:val="left"/>
        <w:rPr>
          <w:rFonts w:hint="eastAsia" w:ascii="宋体" w:hAnsi="宋体" w:eastAsia="宋体" w:cs="宋体"/>
          <w:color w:val="auto"/>
          <w:lang w:val="en-US" w:eastAsia="zh-CN" w:bidi="ar"/>
        </w:rPr>
      </w:pPr>
      <w:r>
        <w:rPr>
          <w:rFonts w:hint="eastAsia" w:ascii="宋体" w:hAnsi="宋体" w:eastAsia="宋体" w:cs="宋体"/>
          <w:color w:val="auto"/>
          <w:lang w:bidi="ar"/>
        </w:rPr>
        <w:t>三档（</w:t>
      </w:r>
      <w:r>
        <w:rPr>
          <w:rFonts w:hint="eastAsia" w:ascii="宋体" w:hAnsi="宋体" w:eastAsia="宋体" w:cs="宋体"/>
          <w:color w:val="auto"/>
          <w:lang w:val="en-US" w:eastAsia="zh-CN" w:bidi="ar"/>
        </w:rPr>
        <w:t>10</w:t>
      </w:r>
      <w:r>
        <w:rPr>
          <w:rFonts w:hint="eastAsia" w:ascii="宋体" w:hAnsi="宋体" w:eastAsia="宋体" w:cs="宋体"/>
          <w:color w:val="auto"/>
          <w:lang w:bidi="ar"/>
        </w:rPr>
        <w:t>分）：投标人设置对问题食材或配送过程中发生的紧急事件有完备的应急预案，并有详细的处理流程方案，当接到采购人应急需求时，能承诺在能承诺在40分钟内响应解决完成</w:t>
      </w:r>
      <w:r>
        <w:rPr>
          <w:rFonts w:hint="eastAsia" w:ascii="宋体" w:hAnsi="宋体" w:eastAsia="宋体" w:cs="宋体"/>
          <w:color w:val="auto"/>
          <w:lang w:val="en-US" w:eastAsia="zh-CN" w:bidi="ar"/>
        </w:rPr>
        <w:t>。</w:t>
      </w:r>
    </w:p>
    <w:p w14:paraId="1D45DC4C">
      <w:pPr>
        <w:pageBreakBefore w:val="0"/>
        <w:kinsoku/>
        <w:wordWrap/>
        <w:overflowPunct/>
        <w:topLinePunct w:val="0"/>
        <w:bidi w:val="0"/>
        <w:spacing w:beforeAutospacing="0" w:line="360" w:lineRule="auto"/>
        <w:ind w:left="0" w:leftChars="0" w:right="0" w:firstLine="210" w:firstLineChars="100"/>
        <w:jc w:val="left"/>
        <w:rPr>
          <w:rFonts w:hint="eastAsia" w:ascii="宋体" w:hAnsi="宋体" w:eastAsia="宋体" w:cs="宋体"/>
          <w:color w:val="auto"/>
          <w:lang w:bidi="ar"/>
        </w:rPr>
      </w:pPr>
      <w:r>
        <w:rPr>
          <w:rFonts w:hint="eastAsia" w:ascii="宋体" w:hAnsi="宋体" w:eastAsia="宋体" w:cs="宋体"/>
          <w:color w:val="auto"/>
          <w:lang w:bidi="ar"/>
        </w:rPr>
        <w:t>注： 一档、二档、三档不重复计分，由评委根据各投标供应商的文件内容，在相应内容档次内独立打分。不满足进档要求的，得0分。</w:t>
      </w:r>
    </w:p>
    <w:p w14:paraId="3D678907">
      <w:pPr>
        <w:pageBreakBefore w:val="0"/>
        <w:kinsoku/>
        <w:wordWrap/>
        <w:overflowPunct/>
        <w:topLinePunct w:val="0"/>
        <w:bidi w:val="0"/>
        <w:spacing w:beforeAutospacing="0" w:line="360" w:lineRule="auto"/>
        <w:ind w:left="0" w:leftChars="0" w:right="0"/>
        <w:jc w:val="left"/>
        <w:rPr>
          <w:rFonts w:hint="eastAsia" w:ascii="宋体" w:hAnsi="宋体" w:eastAsia="宋体" w:cs="宋体"/>
          <w:b/>
          <w:bCs/>
          <w:color w:val="auto"/>
          <w:lang w:bidi="ar"/>
        </w:rPr>
      </w:pPr>
      <w:r>
        <w:rPr>
          <w:rFonts w:hint="eastAsia" w:ascii="宋体" w:hAnsi="宋体" w:cs="宋体"/>
          <w:b/>
          <w:bCs/>
          <w:color w:val="auto"/>
          <w:lang w:val="en-US" w:eastAsia="zh-CN" w:bidi="ar"/>
        </w:rPr>
        <w:t>（4）</w:t>
      </w:r>
      <w:r>
        <w:rPr>
          <w:rFonts w:hint="eastAsia" w:ascii="宋体" w:hAnsi="宋体" w:eastAsia="宋体" w:cs="宋体"/>
          <w:b/>
          <w:bCs/>
          <w:color w:val="auto"/>
          <w:lang w:bidi="ar"/>
        </w:rPr>
        <w:t>售后服务方案</w:t>
      </w:r>
      <w:r>
        <w:rPr>
          <w:rFonts w:hint="eastAsia" w:ascii="宋体" w:hAnsi="宋体" w:eastAsia="宋体" w:cs="宋体"/>
          <w:b/>
          <w:bCs/>
          <w:color w:val="auto"/>
          <w:lang w:val="en-US" w:eastAsia="zh-CN" w:bidi="ar"/>
        </w:rPr>
        <w:t>分</w:t>
      </w:r>
      <w:r>
        <w:rPr>
          <w:rFonts w:hint="eastAsia" w:ascii="宋体" w:hAnsi="宋体" w:cs="宋体"/>
          <w:b/>
          <w:bCs/>
          <w:color w:val="auto"/>
          <w:lang w:val="en-US" w:eastAsia="zh-CN" w:bidi="ar"/>
        </w:rPr>
        <w:t>（</w:t>
      </w:r>
      <w:r>
        <w:rPr>
          <w:rFonts w:hint="eastAsia" w:ascii="宋体" w:hAnsi="宋体" w:eastAsia="宋体" w:cs="宋体"/>
          <w:b/>
          <w:bCs/>
          <w:color w:val="auto"/>
          <w:lang w:bidi="ar"/>
        </w:rPr>
        <w:t>满分</w:t>
      </w:r>
      <w:r>
        <w:rPr>
          <w:rFonts w:hint="eastAsia" w:ascii="宋体" w:hAnsi="宋体" w:cs="宋体"/>
          <w:b/>
          <w:bCs/>
          <w:color w:val="auto"/>
          <w:lang w:val="en-US" w:eastAsia="zh-CN" w:bidi="ar"/>
        </w:rPr>
        <w:t>5</w:t>
      </w:r>
      <w:r>
        <w:rPr>
          <w:rFonts w:hint="eastAsia" w:ascii="宋体" w:hAnsi="宋体" w:eastAsia="宋体" w:cs="宋体"/>
          <w:b/>
          <w:bCs/>
          <w:color w:val="auto"/>
          <w:lang w:bidi="ar"/>
        </w:rPr>
        <w:t>分）</w:t>
      </w:r>
    </w:p>
    <w:p w14:paraId="1FEE8C0C">
      <w:pPr>
        <w:pageBreakBefore w:val="0"/>
        <w:kinsoku/>
        <w:wordWrap/>
        <w:overflowPunct/>
        <w:topLinePunct w:val="0"/>
        <w:bidi w:val="0"/>
        <w:spacing w:beforeAutospacing="0" w:line="360" w:lineRule="auto"/>
        <w:ind w:left="0" w:leftChars="0" w:right="0" w:firstLine="210" w:firstLineChars="100"/>
        <w:jc w:val="left"/>
        <w:rPr>
          <w:rFonts w:hint="eastAsia" w:ascii="宋体" w:hAnsi="宋体" w:eastAsia="宋体" w:cs="宋体"/>
          <w:color w:val="auto"/>
          <w:lang w:bidi="ar"/>
        </w:rPr>
      </w:pPr>
      <w:r>
        <w:rPr>
          <w:rFonts w:hint="eastAsia" w:ascii="宋体" w:hAnsi="宋体" w:eastAsia="宋体" w:cs="宋体"/>
          <w:color w:val="auto"/>
          <w:lang w:bidi="ar"/>
        </w:rPr>
        <w:t>一档</w:t>
      </w:r>
      <w:r>
        <w:rPr>
          <w:rFonts w:hint="eastAsia" w:ascii="宋体" w:hAnsi="宋体" w:cs="宋体"/>
          <w:color w:val="auto"/>
          <w:lang w:eastAsia="zh-CN" w:bidi="ar"/>
        </w:rPr>
        <w:t>（</w:t>
      </w:r>
      <w:r>
        <w:rPr>
          <w:rFonts w:hint="eastAsia" w:ascii="宋体" w:hAnsi="宋体" w:cs="宋体"/>
          <w:color w:val="auto"/>
          <w:lang w:val="en-US" w:eastAsia="zh-CN" w:bidi="ar"/>
        </w:rPr>
        <w:t>1</w:t>
      </w:r>
      <w:r>
        <w:rPr>
          <w:rFonts w:hint="eastAsia" w:ascii="宋体" w:hAnsi="宋体" w:eastAsia="宋体" w:cs="宋体"/>
          <w:color w:val="auto"/>
          <w:lang w:bidi="ar"/>
        </w:rPr>
        <w:t>分</w:t>
      </w:r>
      <w:r>
        <w:rPr>
          <w:rFonts w:hint="eastAsia" w:ascii="宋体" w:hAnsi="宋体" w:cs="宋体"/>
          <w:color w:val="auto"/>
          <w:lang w:eastAsia="zh-CN" w:bidi="ar"/>
        </w:rPr>
        <w:t>）</w:t>
      </w:r>
      <w:r>
        <w:rPr>
          <w:rFonts w:hint="eastAsia" w:ascii="宋体" w:hAnsi="宋体" w:eastAsia="宋体" w:cs="宋体"/>
          <w:color w:val="auto"/>
          <w:lang w:bidi="ar"/>
        </w:rPr>
        <w:t>：售后服务方案阐述简单，售后流程简单，服务响应在1.5小时以上；</w:t>
      </w:r>
    </w:p>
    <w:p w14:paraId="5A4D1144">
      <w:pPr>
        <w:pageBreakBefore w:val="0"/>
        <w:kinsoku/>
        <w:wordWrap/>
        <w:overflowPunct/>
        <w:topLinePunct w:val="0"/>
        <w:bidi w:val="0"/>
        <w:spacing w:beforeAutospacing="0" w:line="360" w:lineRule="auto"/>
        <w:ind w:left="0" w:leftChars="0" w:right="0" w:firstLine="210" w:firstLineChars="100"/>
        <w:jc w:val="left"/>
        <w:rPr>
          <w:rFonts w:hint="eastAsia" w:ascii="宋体" w:hAnsi="宋体" w:eastAsia="宋体" w:cs="宋体"/>
          <w:color w:val="auto"/>
          <w:lang w:bidi="ar"/>
        </w:rPr>
      </w:pPr>
      <w:r>
        <w:rPr>
          <w:rFonts w:hint="eastAsia" w:ascii="宋体" w:hAnsi="宋体" w:eastAsia="宋体" w:cs="宋体"/>
          <w:color w:val="auto"/>
          <w:lang w:bidi="ar"/>
        </w:rPr>
        <w:t>二档</w:t>
      </w:r>
      <w:r>
        <w:rPr>
          <w:rFonts w:hint="eastAsia" w:ascii="宋体" w:hAnsi="宋体" w:cs="宋体"/>
          <w:color w:val="auto"/>
          <w:lang w:eastAsia="zh-CN" w:bidi="ar"/>
        </w:rPr>
        <w:t>（</w:t>
      </w:r>
      <w:r>
        <w:rPr>
          <w:rFonts w:hint="eastAsia" w:ascii="宋体" w:hAnsi="宋体" w:cs="宋体"/>
          <w:color w:val="auto"/>
          <w:lang w:val="en-US" w:eastAsia="zh-CN" w:bidi="ar"/>
        </w:rPr>
        <w:t>3</w:t>
      </w:r>
      <w:r>
        <w:rPr>
          <w:rFonts w:hint="eastAsia" w:ascii="宋体" w:hAnsi="宋体" w:eastAsia="宋体" w:cs="宋体"/>
          <w:color w:val="auto"/>
          <w:lang w:bidi="ar"/>
        </w:rPr>
        <w:t>分</w:t>
      </w:r>
      <w:r>
        <w:rPr>
          <w:rFonts w:hint="eastAsia" w:ascii="宋体" w:hAnsi="宋体" w:cs="宋体"/>
          <w:color w:val="auto"/>
          <w:lang w:eastAsia="zh-CN" w:bidi="ar"/>
        </w:rPr>
        <w:t>）</w:t>
      </w:r>
      <w:r>
        <w:rPr>
          <w:rFonts w:hint="eastAsia" w:ascii="宋体" w:hAnsi="宋体" w:eastAsia="宋体" w:cs="宋体"/>
          <w:color w:val="auto"/>
          <w:lang w:bidi="ar"/>
        </w:rPr>
        <w:t>：售后服务方案阐述较齐全、较完整，可行性较好，售后流程清晰，服务响应在1小时以上1.5小时以内；</w:t>
      </w:r>
    </w:p>
    <w:p w14:paraId="5EF7718A">
      <w:pPr>
        <w:pageBreakBefore w:val="0"/>
        <w:kinsoku/>
        <w:wordWrap/>
        <w:overflowPunct/>
        <w:topLinePunct w:val="0"/>
        <w:bidi w:val="0"/>
        <w:spacing w:beforeAutospacing="0" w:line="360" w:lineRule="auto"/>
        <w:ind w:left="0" w:leftChars="0" w:right="0" w:firstLine="210" w:firstLineChars="100"/>
        <w:jc w:val="left"/>
        <w:rPr>
          <w:rFonts w:hint="eastAsia" w:ascii="宋体" w:hAnsi="宋体" w:eastAsia="宋体" w:cs="宋体"/>
          <w:color w:val="auto"/>
          <w:lang w:bidi="ar"/>
        </w:rPr>
      </w:pPr>
      <w:r>
        <w:rPr>
          <w:rFonts w:hint="eastAsia" w:ascii="宋体" w:hAnsi="宋体" w:eastAsia="宋体" w:cs="宋体"/>
          <w:color w:val="auto"/>
          <w:lang w:bidi="ar"/>
        </w:rPr>
        <w:t>三档</w:t>
      </w:r>
      <w:r>
        <w:rPr>
          <w:rFonts w:hint="eastAsia" w:ascii="宋体" w:hAnsi="宋体" w:cs="宋体"/>
          <w:color w:val="auto"/>
          <w:lang w:eastAsia="zh-CN" w:bidi="ar"/>
        </w:rPr>
        <w:t>（</w:t>
      </w:r>
      <w:r>
        <w:rPr>
          <w:rFonts w:hint="eastAsia" w:ascii="宋体" w:hAnsi="宋体" w:cs="宋体"/>
          <w:color w:val="auto"/>
          <w:lang w:val="en-US" w:eastAsia="zh-CN" w:bidi="ar"/>
        </w:rPr>
        <w:t>5</w:t>
      </w:r>
      <w:r>
        <w:rPr>
          <w:rFonts w:hint="eastAsia" w:ascii="宋体" w:hAnsi="宋体" w:eastAsia="宋体" w:cs="宋体"/>
          <w:color w:val="auto"/>
          <w:lang w:bidi="ar"/>
        </w:rPr>
        <w:t>分</w:t>
      </w:r>
      <w:r>
        <w:rPr>
          <w:rFonts w:hint="eastAsia" w:ascii="宋体" w:hAnsi="宋体" w:cs="宋体"/>
          <w:color w:val="auto"/>
          <w:lang w:eastAsia="zh-CN" w:bidi="ar"/>
        </w:rPr>
        <w:t>）</w:t>
      </w:r>
      <w:r>
        <w:rPr>
          <w:rFonts w:hint="eastAsia" w:ascii="宋体" w:hAnsi="宋体" w:eastAsia="宋体" w:cs="宋体"/>
          <w:color w:val="auto"/>
          <w:lang w:bidi="ar"/>
        </w:rPr>
        <w:t>：售后服务方案阐述详细、完整，可行性高，售后流程清晰，服务响应时间在1小时以内，有固定的售后服务团队和完善的组织架构。</w:t>
      </w:r>
    </w:p>
    <w:p w14:paraId="7B935123">
      <w:pPr>
        <w:pageBreakBefore w:val="0"/>
        <w:kinsoku/>
        <w:wordWrap/>
        <w:overflowPunct/>
        <w:topLinePunct w:val="0"/>
        <w:bidi w:val="0"/>
        <w:spacing w:beforeAutospacing="0" w:line="360" w:lineRule="auto"/>
        <w:ind w:left="0" w:leftChars="0" w:right="0"/>
        <w:jc w:val="left"/>
        <w:rPr>
          <w:rFonts w:hint="eastAsia" w:ascii="宋体" w:hAnsi="宋体" w:eastAsia="宋体" w:cs="宋体"/>
          <w:color w:val="auto"/>
          <w:lang w:bidi="ar"/>
        </w:rPr>
      </w:pPr>
      <w:r>
        <w:rPr>
          <w:rFonts w:hint="eastAsia" w:ascii="宋体" w:hAnsi="宋体" w:eastAsia="宋体" w:cs="宋体"/>
          <w:color w:val="auto"/>
          <w:lang w:bidi="ar"/>
        </w:rPr>
        <w:t>注：一档、二档、三档不重复计分，由评委根据各投标供应商的文件内容，在相应内容档次内独立打分。不满足进档要求的，得0分。</w:t>
      </w:r>
    </w:p>
    <w:p w14:paraId="17BB55B9">
      <w:pPr>
        <w:pageBreakBefore w:val="0"/>
        <w:kinsoku/>
        <w:wordWrap/>
        <w:overflowPunct/>
        <w:topLinePunct w:val="0"/>
        <w:bidi w:val="0"/>
        <w:spacing w:beforeAutospacing="0" w:line="360" w:lineRule="auto"/>
        <w:ind w:left="0" w:leftChars="0" w:right="0" w:firstLine="422" w:firstLineChars="200"/>
        <w:jc w:val="left"/>
        <w:rPr>
          <w:rFonts w:hint="eastAsia" w:ascii="宋体" w:hAnsi="宋体" w:eastAsia="宋体" w:cs="宋体"/>
          <w:b/>
          <w:bCs/>
          <w:color w:val="auto"/>
          <w:lang w:bidi="ar"/>
        </w:rPr>
      </w:pPr>
      <w:r>
        <w:rPr>
          <w:rFonts w:hint="eastAsia" w:ascii="宋体" w:hAnsi="宋体" w:eastAsia="宋体" w:cs="宋体"/>
          <w:b/>
          <w:bCs/>
          <w:color w:val="auto"/>
          <w:lang w:bidi="ar"/>
        </w:rPr>
        <w:t>（5）拟投入配送人员情况（满分10分）</w:t>
      </w:r>
    </w:p>
    <w:p w14:paraId="3CF675C4">
      <w:pPr>
        <w:pageBreakBefore w:val="0"/>
        <w:kinsoku/>
        <w:wordWrap/>
        <w:overflowPunct/>
        <w:topLinePunct w:val="0"/>
        <w:bidi w:val="0"/>
        <w:spacing w:beforeAutospacing="0" w:line="360" w:lineRule="auto"/>
        <w:ind w:left="0" w:leftChars="0" w:right="0" w:firstLine="420" w:firstLineChars="200"/>
        <w:jc w:val="left"/>
        <w:rPr>
          <w:rFonts w:hint="eastAsia" w:ascii="宋体" w:hAnsi="宋体" w:eastAsia="宋体" w:cs="宋体"/>
          <w:color w:val="auto"/>
          <w:lang w:bidi="ar"/>
        </w:rPr>
      </w:pPr>
      <w:r>
        <w:rPr>
          <w:rFonts w:hint="eastAsia" w:ascii="宋体" w:hAnsi="宋体" w:eastAsia="宋体" w:cs="宋体"/>
          <w:color w:val="auto"/>
          <w:lang w:bidi="ar"/>
        </w:rPr>
        <w:t>拟投入</w:t>
      </w:r>
      <w:r>
        <w:rPr>
          <w:rFonts w:hint="eastAsia" w:ascii="宋体" w:hAnsi="宋体" w:cs="宋体"/>
          <w:color w:val="auto"/>
          <w:lang w:val="en-US" w:eastAsia="zh-CN" w:bidi="ar"/>
        </w:rPr>
        <w:t>本项目</w:t>
      </w:r>
      <w:r>
        <w:rPr>
          <w:rFonts w:hint="eastAsia" w:ascii="宋体" w:hAnsi="宋体" w:eastAsia="宋体" w:cs="宋体"/>
          <w:color w:val="auto"/>
          <w:lang w:bidi="ar"/>
        </w:rPr>
        <w:t>配送人员达到</w:t>
      </w:r>
      <w:r>
        <w:rPr>
          <w:rFonts w:hint="eastAsia" w:ascii="宋体" w:hAnsi="宋体" w:cs="宋体"/>
          <w:color w:val="auto"/>
          <w:lang w:val="en-US" w:eastAsia="zh-CN" w:bidi="ar"/>
        </w:rPr>
        <w:t>8</w:t>
      </w:r>
      <w:r>
        <w:rPr>
          <w:rFonts w:hint="eastAsia" w:ascii="宋体" w:hAnsi="宋体" w:eastAsia="宋体" w:cs="宋体"/>
          <w:color w:val="auto"/>
          <w:lang w:bidi="ar"/>
        </w:rPr>
        <w:t>人得基础分</w:t>
      </w:r>
      <w:r>
        <w:rPr>
          <w:rFonts w:hint="eastAsia" w:ascii="宋体" w:hAnsi="宋体" w:cs="宋体"/>
          <w:color w:val="auto"/>
          <w:lang w:val="en-US" w:eastAsia="zh-CN" w:bidi="ar"/>
        </w:rPr>
        <w:t>1</w:t>
      </w:r>
      <w:r>
        <w:rPr>
          <w:rFonts w:hint="eastAsia" w:ascii="宋体" w:hAnsi="宋体" w:eastAsia="宋体" w:cs="宋体"/>
          <w:color w:val="auto"/>
          <w:lang w:bidi="ar"/>
        </w:rPr>
        <w:t>分，在基础上每增加投入1人加</w:t>
      </w:r>
      <w:r>
        <w:rPr>
          <w:rFonts w:hint="eastAsia" w:ascii="宋体" w:hAnsi="宋体" w:cs="宋体"/>
          <w:color w:val="auto"/>
          <w:lang w:val="en-US" w:eastAsia="zh-CN" w:bidi="ar"/>
        </w:rPr>
        <w:t>1</w:t>
      </w:r>
      <w:r>
        <w:rPr>
          <w:rFonts w:hint="eastAsia" w:ascii="宋体" w:hAnsi="宋体" w:eastAsia="宋体" w:cs="宋体"/>
          <w:color w:val="auto"/>
          <w:lang w:bidi="ar"/>
        </w:rPr>
        <w:t>分，满分10分。（必须提供相关人员有效的身份证、驾驶证（如有）、健康证明扫描件，并加盖投标人公章，否则不计分）</w:t>
      </w:r>
    </w:p>
    <w:p w14:paraId="44551887">
      <w:pPr>
        <w:pageBreakBefore w:val="0"/>
        <w:kinsoku/>
        <w:wordWrap/>
        <w:overflowPunct/>
        <w:topLinePunct w:val="0"/>
        <w:bidi w:val="0"/>
        <w:spacing w:beforeAutospacing="0" w:line="360" w:lineRule="auto"/>
        <w:ind w:left="0" w:leftChars="0" w:right="0"/>
        <w:jc w:val="left"/>
        <w:rPr>
          <w:rFonts w:hint="eastAsia" w:ascii="宋体" w:hAnsi="宋体" w:eastAsia="宋体" w:cs="宋体"/>
          <w:color w:val="auto"/>
          <w:lang w:bidi="ar"/>
        </w:rPr>
      </w:pPr>
      <w:r>
        <w:rPr>
          <w:rFonts w:hint="eastAsia" w:ascii="宋体" w:hAnsi="宋体" w:eastAsia="宋体" w:cs="宋体"/>
          <w:b/>
          <w:bCs/>
          <w:color w:val="auto"/>
          <w:lang w:bidi="ar"/>
        </w:rPr>
        <w:t>3、商务分……………………………………………………………………………………………………</w:t>
      </w:r>
      <w:r>
        <w:rPr>
          <w:rFonts w:hint="eastAsia" w:ascii="宋体" w:hAnsi="宋体" w:cs="宋体"/>
          <w:b/>
          <w:bCs/>
          <w:color w:val="auto"/>
          <w:lang w:val="en-US" w:eastAsia="zh-CN" w:bidi="ar"/>
        </w:rPr>
        <w:t>45</w:t>
      </w:r>
      <w:r>
        <w:rPr>
          <w:rFonts w:hint="eastAsia" w:ascii="宋体" w:hAnsi="宋体" w:eastAsia="宋体" w:cs="宋体"/>
          <w:color w:val="auto"/>
          <w:lang w:bidi="ar"/>
        </w:rPr>
        <w:t>分</w:t>
      </w:r>
    </w:p>
    <w:p w14:paraId="657546BA">
      <w:pPr>
        <w:pageBreakBefore w:val="0"/>
        <w:kinsoku/>
        <w:wordWrap/>
        <w:overflowPunct/>
        <w:topLinePunct w:val="0"/>
        <w:bidi w:val="0"/>
        <w:spacing w:beforeAutospacing="0" w:line="360" w:lineRule="auto"/>
        <w:ind w:left="0" w:leftChars="0" w:right="0"/>
        <w:jc w:val="left"/>
        <w:rPr>
          <w:rFonts w:hint="eastAsia" w:ascii="宋体" w:hAnsi="宋体" w:eastAsia="宋体" w:cs="宋体"/>
          <w:b/>
          <w:bCs/>
          <w:color w:val="auto"/>
          <w:lang w:bidi="ar"/>
        </w:rPr>
      </w:pPr>
      <w:r>
        <w:rPr>
          <w:rFonts w:hint="eastAsia" w:ascii="宋体" w:hAnsi="宋体" w:eastAsia="宋体" w:cs="宋体"/>
          <w:b/>
          <w:bCs/>
          <w:color w:val="auto"/>
          <w:lang w:bidi="ar"/>
        </w:rPr>
        <w:t>（1）业绩分（满分</w:t>
      </w:r>
      <w:r>
        <w:rPr>
          <w:rFonts w:hint="eastAsia" w:ascii="宋体" w:hAnsi="宋体" w:cs="宋体"/>
          <w:b/>
          <w:bCs/>
          <w:color w:val="auto"/>
          <w:lang w:val="en-US" w:eastAsia="zh-CN" w:bidi="ar"/>
        </w:rPr>
        <w:t>6</w:t>
      </w:r>
      <w:r>
        <w:rPr>
          <w:rFonts w:hint="eastAsia" w:ascii="宋体" w:hAnsi="宋体" w:eastAsia="宋体" w:cs="宋体"/>
          <w:b/>
          <w:bCs/>
          <w:color w:val="auto"/>
          <w:lang w:bidi="ar"/>
        </w:rPr>
        <w:t>分）</w:t>
      </w:r>
    </w:p>
    <w:p w14:paraId="6AA9CAC9">
      <w:pPr>
        <w:pageBreakBefore w:val="0"/>
        <w:kinsoku/>
        <w:wordWrap/>
        <w:overflowPunct/>
        <w:topLinePunct w:val="0"/>
        <w:bidi w:val="0"/>
        <w:spacing w:beforeAutospacing="0" w:line="360" w:lineRule="auto"/>
        <w:ind w:left="0" w:leftChars="0" w:right="0" w:firstLine="420" w:firstLineChars="200"/>
        <w:jc w:val="left"/>
        <w:rPr>
          <w:rFonts w:hint="eastAsia" w:ascii="宋体" w:hAnsi="宋体" w:eastAsia="宋体" w:cs="宋体"/>
          <w:color w:val="auto"/>
          <w:lang w:bidi="ar"/>
        </w:rPr>
      </w:pPr>
      <w:r>
        <w:rPr>
          <w:rFonts w:hint="eastAsia" w:ascii="宋体" w:hAnsi="宋体" w:eastAsia="宋体" w:cs="宋体"/>
          <w:color w:val="auto"/>
          <w:lang w:bidi="ar"/>
        </w:rPr>
        <w:t>供应商有保证食品卫生安全和质量的能力，自</w:t>
      </w:r>
      <w:r>
        <w:rPr>
          <w:rFonts w:hint="eastAsia" w:ascii="宋体" w:hAnsi="宋体" w:cs="宋体"/>
          <w:color w:val="auto"/>
          <w:lang w:val="en-US" w:eastAsia="zh-CN" w:bidi="ar"/>
        </w:rPr>
        <w:t>2021</w:t>
      </w:r>
      <w:r>
        <w:rPr>
          <w:rFonts w:hint="eastAsia" w:ascii="宋体" w:hAnsi="宋体" w:eastAsia="宋体" w:cs="宋体"/>
          <w:color w:val="auto"/>
          <w:lang w:bidi="ar"/>
        </w:rPr>
        <w:t>年</w:t>
      </w:r>
      <w:r>
        <w:rPr>
          <w:rFonts w:hint="eastAsia" w:ascii="宋体" w:hAnsi="宋体" w:cs="宋体"/>
          <w:color w:val="auto"/>
          <w:lang w:val="en-US" w:eastAsia="zh-CN" w:bidi="ar"/>
        </w:rPr>
        <w:t>1月1日</w:t>
      </w:r>
      <w:r>
        <w:rPr>
          <w:rFonts w:hint="eastAsia" w:ascii="宋体" w:hAnsi="宋体" w:eastAsia="宋体" w:cs="宋体"/>
          <w:color w:val="auto"/>
          <w:lang w:bidi="ar"/>
        </w:rPr>
        <w:t>以来有类似食材配送业绩，（提供中标通知书</w:t>
      </w:r>
      <w:r>
        <w:rPr>
          <w:rFonts w:hint="eastAsia" w:ascii="宋体" w:hAnsi="宋体" w:cs="宋体"/>
          <w:color w:val="auto"/>
          <w:lang w:val="en-US" w:eastAsia="zh-CN" w:bidi="ar"/>
        </w:rPr>
        <w:t>或</w:t>
      </w:r>
      <w:r>
        <w:rPr>
          <w:rFonts w:hint="eastAsia" w:ascii="宋体" w:hAnsi="宋体" w:eastAsia="宋体" w:cs="宋体"/>
          <w:color w:val="auto"/>
          <w:lang w:bidi="ar"/>
        </w:rPr>
        <w:t>合同扫描件并加盖投标人公章），每项业绩得</w:t>
      </w:r>
      <w:r>
        <w:rPr>
          <w:rFonts w:hint="eastAsia" w:ascii="宋体" w:hAnsi="宋体" w:cs="宋体"/>
          <w:color w:val="auto"/>
          <w:lang w:val="en-US" w:eastAsia="zh-CN" w:bidi="ar"/>
        </w:rPr>
        <w:t>1</w:t>
      </w:r>
      <w:r>
        <w:rPr>
          <w:rFonts w:hint="eastAsia" w:ascii="宋体" w:hAnsi="宋体" w:eastAsia="宋体" w:cs="宋体"/>
          <w:color w:val="auto"/>
          <w:lang w:bidi="ar"/>
        </w:rPr>
        <w:t>分，满分</w:t>
      </w:r>
      <w:r>
        <w:rPr>
          <w:rFonts w:hint="eastAsia" w:ascii="宋体" w:hAnsi="宋体" w:cs="宋体"/>
          <w:color w:val="auto"/>
          <w:lang w:val="en-US" w:eastAsia="zh-CN" w:bidi="ar"/>
        </w:rPr>
        <w:t>6</w:t>
      </w:r>
      <w:r>
        <w:rPr>
          <w:rFonts w:hint="eastAsia" w:ascii="宋体" w:hAnsi="宋体" w:eastAsia="宋体" w:cs="宋体"/>
          <w:color w:val="auto"/>
          <w:lang w:bidi="ar"/>
        </w:rPr>
        <w:t xml:space="preserve">分。 </w:t>
      </w:r>
    </w:p>
    <w:p w14:paraId="7D57E6E4">
      <w:pPr>
        <w:pageBreakBefore w:val="0"/>
        <w:kinsoku/>
        <w:wordWrap/>
        <w:overflowPunct/>
        <w:topLinePunct w:val="0"/>
        <w:bidi w:val="0"/>
        <w:spacing w:beforeAutospacing="0" w:line="360" w:lineRule="auto"/>
        <w:ind w:left="0" w:leftChars="0" w:right="0"/>
        <w:jc w:val="left"/>
        <w:rPr>
          <w:rFonts w:hint="eastAsia" w:ascii="宋体" w:hAnsi="宋体" w:eastAsia="宋体" w:cs="宋体"/>
          <w:b/>
          <w:bCs/>
          <w:color w:val="auto"/>
          <w:lang w:bidi="ar"/>
        </w:rPr>
      </w:pPr>
      <w:r>
        <w:rPr>
          <w:rFonts w:hint="eastAsia" w:ascii="宋体" w:hAnsi="宋体" w:eastAsia="宋体" w:cs="宋体"/>
          <w:b/>
          <w:bCs/>
          <w:color w:val="auto"/>
          <w:lang w:bidi="ar"/>
        </w:rPr>
        <w:t>（2）场所分</w:t>
      </w:r>
      <w:r>
        <w:rPr>
          <w:rFonts w:hint="eastAsia" w:ascii="宋体" w:hAnsi="宋体" w:eastAsia="宋体" w:cs="宋体"/>
          <w:b/>
          <w:bCs/>
          <w:color w:val="auto"/>
          <w:lang w:eastAsia="zh-CN" w:bidi="ar"/>
        </w:rPr>
        <w:t>、仓储能力</w:t>
      </w:r>
      <w:r>
        <w:rPr>
          <w:rFonts w:hint="eastAsia" w:ascii="宋体" w:hAnsi="宋体" w:eastAsia="宋体" w:cs="宋体"/>
          <w:b/>
          <w:bCs/>
          <w:color w:val="auto"/>
          <w:lang w:bidi="ar"/>
        </w:rPr>
        <w:t>分（满分</w:t>
      </w:r>
      <w:r>
        <w:rPr>
          <w:rFonts w:hint="eastAsia" w:ascii="宋体" w:hAnsi="宋体" w:eastAsia="宋体" w:cs="宋体"/>
          <w:b/>
          <w:bCs/>
          <w:color w:val="auto"/>
          <w:lang w:val="en-US" w:eastAsia="zh-CN" w:bidi="ar"/>
        </w:rPr>
        <w:t>1</w:t>
      </w:r>
      <w:r>
        <w:rPr>
          <w:rFonts w:hint="eastAsia" w:ascii="宋体" w:hAnsi="宋体" w:cs="宋体"/>
          <w:b/>
          <w:bCs/>
          <w:color w:val="auto"/>
          <w:lang w:val="en-US" w:eastAsia="zh-CN" w:bidi="ar"/>
        </w:rPr>
        <w:t>2</w:t>
      </w:r>
      <w:r>
        <w:rPr>
          <w:rFonts w:hint="eastAsia" w:ascii="宋体" w:hAnsi="宋体" w:eastAsia="宋体" w:cs="宋体"/>
          <w:b/>
          <w:bCs/>
          <w:color w:val="auto"/>
          <w:lang w:bidi="ar"/>
        </w:rPr>
        <w:t>分）</w:t>
      </w:r>
    </w:p>
    <w:p w14:paraId="44AD92A5">
      <w:pPr>
        <w:spacing w:line="360" w:lineRule="auto"/>
        <w:ind w:firstLine="420" w:firstLineChars="200"/>
        <w:jc w:val="left"/>
        <w:rPr>
          <w:rFonts w:hint="eastAsia" w:cs="宋体"/>
          <w:color w:val="auto"/>
          <w:lang w:bidi="ar"/>
        </w:rPr>
      </w:pPr>
      <w:r>
        <w:rPr>
          <w:rFonts w:hint="eastAsia" w:cs="宋体"/>
          <w:color w:val="auto"/>
          <w:lang w:bidi="ar"/>
        </w:rPr>
        <w:t>供应商</w:t>
      </w:r>
      <w:r>
        <w:rPr>
          <w:rFonts w:hint="eastAsia" w:ascii="宋体" w:hAnsi="宋体" w:eastAsia="宋体" w:cs="宋体"/>
          <w:b w:val="0"/>
          <w:bCs/>
          <w:color w:val="auto"/>
          <w:kern w:val="0"/>
          <w:szCs w:val="21"/>
          <w:highlight w:val="none"/>
        </w:rPr>
        <w:t>持有</w:t>
      </w:r>
      <w:r>
        <w:rPr>
          <w:rFonts w:hint="eastAsia" w:ascii="宋体" w:hAnsi="宋体" w:eastAsia="宋体" w:cs="宋体"/>
          <w:b w:val="0"/>
          <w:bCs/>
          <w:color w:val="auto"/>
          <w:szCs w:val="21"/>
          <w:highlight w:val="none"/>
        </w:rPr>
        <w:t>自有产权或租赁与生产经营品种相适应的经营场所及仓储场所</w:t>
      </w:r>
      <w:r>
        <w:rPr>
          <w:rFonts w:hint="eastAsia" w:cs="宋体"/>
          <w:color w:val="auto"/>
          <w:lang w:bidi="ar"/>
        </w:rPr>
        <w:t>，配送中心功能设置合理、功能划分清晰齐全</w:t>
      </w:r>
      <w:r>
        <w:rPr>
          <w:rFonts w:hint="eastAsia" w:cs="宋体"/>
          <w:color w:val="auto"/>
          <w:lang w:eastAsia="zh-CN" w:bidi="ar"/>
        </w:rPr>
        <w:t>，营业场所需具备完整的冷链体系即独立的恒温库，冷冻库，保鲜库，排酸库，速冻库(附标注清晰的营业场所平面图)</w:t>
      </w:r>
      <w:r>
        <w:rPr>
          <w:rFonts w:hint="eastAsia" w:cs="宋体"/>
          <w:color w:val="auto"/>
          <w:lang w:bidi="ar"/>
        </w:rPr>
        <w:t>。</w:t>
      </w:r>
    </w:p>
    <w:p w14:paraId="069717E2">
      <w:pPr>
        <w:spacing w:line="360" w:lineRule="auto"/>
        <w:ind w:firstLine="420" w:firstLineChars="200"/>
        <w:jc w:val="left"/>
        <w:rPr>
          <w:rFonts w:hint="eastAsia" w:cs="宋体"/>
          <w:color w:val="auto"/>
          <w:lang w:bidi="ar"/>
        </w:rPr>
      </w:pPr>
      <w:r>
        <w:rPr>
          <w:rFonts w:hint="eastAsia" w:cs="宋体"/>
          <w:color w:val="auto"/>
          <w:lang w:val="en-US" w:eastAsia="zh-CN" w:bidi="ar"/>
        </w:rPr>
        <w:t>①供应商自有产权或租赁与生产经营品种相适应的经营场所及仓储场所，面积达1000平方米得1分；每增加1000平方米加1分，满分6分。</w:t>
      </w:r>
      <w:r>
        <w:rPr>
          <w:rFonts w:hint="eastAsia" w:cs="宋体"/>
          <w:color w:val="auto"/>
          <w:lang w:bidi="ar"/>
        </w:rPr>
        <w:t>(包括各类食材分类清洗区、加工区、办公区、仓库等)。</w:t>
      </w:r>
    </w:p>
    <w:p w14:paraId="7A55151A">
      <w:pPr>
        <w:spacing w:line="360" w:lineRule="auto"/>
        <w:ind w:firstLine="420" w:firstLineChars="200"/>
        <w:jc w:val="left"/>
        <w:rPr>
          <w:rFonts w:hint="eastAsia" w:cs="宋体"/>
          <w:color w:val="auto"/>
          <w:lang w:eastAsia="zh-CN" w:bidi="ar"/>
        </w:rPr>
      </w:pPr>
      <w:r>
        <w:rPr>
          <w:rFonts w:hint="eastAsia" w:cs="宋体"/>
          <w:color w:val="auto"/>
          <w:lang w:val="en-US" w:eastAsia="zh-CN" w:bidi="ar"/>
        </w:rPr>
        <w:t>②供应商</w:t>
      </w:r>
      <w:r>
        <w:rPr>
          <w:rFonts w:hint="eastAsia" w:cs="宋体"/>
          <w:color w:val="auto"/>
          <w:lang w:bidi="ar"/>
        </w:rPr>
        <w:t>有与经营品种相适应的自有或租赁储备冷库/保鲜仓库（经营畜肉、禽肉类等生鲜食品），容积量达100立方米得1分；每增加100立方米加1分，提供相关证明材料，满分</w:t>
      </w:r>
      <w:r>
        <w:rPr>
          <w:rFonts w:hint="eastAsia" w:cs="宋体"/>
          <w:color w:val="auto"/>
          <w:lang w:val="en-US" w:eastAsia="zh-CN" w:bidi="ar"/>
        </w:rPr>
        <w:t>4分</w:t>
      </w:r>
      <w:r>
        <w:rPr>
          <w:rFonts w:hint="eastAsia" w:cs="宋体"/>
          <w:color w:val="auto"/>
          <w:lang w:bidi="ar"/>
        </w:rPr>
        <w:t>。复印件并加盖公章（原件备查）</w:t>
      </w:r>
      <w:r>
        <w:rPr>
          <w:rFonts w:hint="eastAsia" w:cs="宋体"/>
          <w:color w:val="auto"/>
          <w:lang w:eastAsia="zh-CN" w:bidi="ar"/>
        </w:rPr>
        <w:t>。</w:t>
      </w:r>
    </w:p>
    <w:p w14:paraId="0079B9E7">
      <w:pPr>
        <w:spacing w:line="360" w:lineRule="auto"/>
        <w:ind w:firstLine="420" w:firstLineChars="200"/>
        <w:jc w:val="left"/>
        <w:rPr>
          <w:rFonts w:hint="eastAsia" w:cs="宋体"/>
          <w:color w:val="auto"/>
          <w:lang w:bidi="ar"/>
        </w:rPr>
      </w:pPr>
      <w:r>
        <w:rPr>
          <w:rFonts w:hint="eastAsia" w:cs="宋体"/>
          <w:color w:val="auto"/>
          <w:lang w:val="en-US" w:eastAsia="zh-CN" w:bidi="ar"/>
        </w:rPr>
        <w:t>③供应商自有产权或定点合作与生产经营品种相适应的加工场地（如定点屠宰场地、蔬菜加工场地、肉类加工场地等加工场地），每提供一个得1分，满分2分。</w:t>
      </w:r>
    </w:p>
    <w:p w14:paraId="7758F65D">
      <w:pPr>
        <w:spacing w:line="360" w:lineRule="auto"/>
        <w:ind w:firstLine="420" w:firstLineChars="200"/>
        <w:jc w:val="left"/>
        <w:rPr>
          <w:rFonts w:cs="宋体"/>
          <w:color w:val="auto"/>
          <w:lang w:bidi="ar"/>
        </w:rPr>
      </w:pPr>
      <w:r>
        <w:rPr>
          <w:rFonts w:hint="eastAsia" w:cs="宋体"/>
          <w:color w:val="auto"/>
          <w:lang w:bidi="ar"/>
        </w:rPr>
        <w:t>（</w:t>
      </w:r>
      <w:r>
        <w:rPr>
          <w:rFonts w:hint="eastAsia" w:cs="宋体"/>
          <w:color w:val="auto"/>
          <w:lang w:val="en-US" w:eastAsia="zh-CN" w:bidi="ar"/>
        </w:rPr>
        <w:t>注：</w:t>
      </w:r>
      <w:r>
        <w:rPr>
          <w:rFonts w:hint="eastAsia" w:cs="宋体"/>
          <w:color w:val="auto"/>
          <w:lang w:bidi="ar"/>
        </w:rPr>
        <w:t>须提供相关产权证明或场地租赁合同扫描件、场地照片，并加盖投标人公章，否则不计分）。</w:t>
      </w:r>
    </w:p>
    <w:p w14:paraId="5347FA27">
      <w:pPr>
        <w:pageBreakBefore w:val="0"/>
        <w:kinsoku/>
        <w:wordWrap/>
        <w:overflowPunct/>
        <w:topLinePunct w:val="0"/>
        <w:bidi w:val="0"/>
        <w:spacing w:beforeAutospacing="0" w:line="360" w:lineRule="auto"/>
        <w:ind w:left="0" w:leftChars="0" w:right="0"/>
        <w:jc w:val="left"/>
        <w:rPr>
          <w:rFonts w:hint="eastAsia" w:ascii="宋体" w:hAnsi="宋体" w:eastAsia="宋体" w:cs="宋体"/>
          <w:color w:val="auto"/>
          <w:lang w:bidi="ar"/>
        </w:rPr>
      </w:pPr>
      <w:r>
        <w:rPr>
          <w:rFonts w:hint="eastAsia" w:ascii="宋体" w:hAnsi="宋体" w:eastAsia="宋体" w:cs="宋体"/>
          <w:b/>
          <w:bCs/>
          <w:color w:val="auto"/>
          <w:lang w:bidi="ar"/>
        </w:rPr>
        <w:t>（3）供应能力（满分</w:t>
      </w:r>
      <w:r>
        <w:rPr>
          <w:rFonts w:hint="eastAsia" w:ascii="宋体" w:hAnsi="宋体" w:cs="宋体"/>
          <w:b/>
          <w:bCs/>
          <w:color w:val="auto"/>
          <w:lang w:val="en-US" w:eastAsia="zh-CN" w:bidi="ar"/>
        </w:rPr>
        <w:t>6</w:t>
      </w:r>
      <w:r>
        <w:rPr>
          <w:rFonts w:hint="eastAsia" w:ascii="宋体" w:hAnsi="宋体" w:eastAsia="宋体" w:cs="宋体"/>
          <w:b/>
          <w:bCs/>
          <w:color w:val="auto"/>
          <w:lang w:bidi="ar"/>
        </w:rPr>
        <w:t>分）</w:t>
      </w:r>
      <w:r>
        <w:rPr>
          <w:rFonts w:hint="eastAsia" w:ascii="宋体" w:hAnsi="宋体" w:eastAsia="宋体" w:cs="宋体"/>
          <w:color w:val="auto"/>
          <w:lang w:bidi="ar"/>
        </w:rPr>
        <w:t>：</w:t>
      </w:r>
    </w:p>
    <w:p w14:paraId="1FFC26A7">
      <w:pPr>
        <w:pageBreakBefore w:val="0"/>
        <w:kinsoku/>
        <w:wordWrap/>
        <w:overflowPunct/>
        <w:topLinePunct w:val="0"/>
        <w:bidi w:val="0"/>
        <w:spacing w:beforeAutospacing="0" w:line="360" w:lineRule="auto"/>
        <w:ind w:left="0" w:leftChars="0" w:right="0" w:firstLine="420" w:firstLineChars="200"/>
        <w:jc w:val="left"/>
        <w:rPr>
          <w:rFonts w:hint="eastAsia" w:ascii="宋体" w:hAnsi="宋体" w:eastAsia="宋体" w:cs="宋体"/>
          <w:color w:val="auto"/>
          <w:lang w:eastAsia="zh-CN" w:bidi="ar"/>
        </w:rPr>
      </w:pPr>
      <w:r>
        <w:rPr>
          <w:rFonts w:hint="eastAsia" w:ascii="宋体" w:hAnsi="宋体" w:eastAsia="宋体" w:cs="宋体"/>
          <w:color w:val="auto"/>
          <w:lang w:bidi="ar"/>
        </w:rPr>
        <w:t>供应商自有产权或</w:t>
      </w:r>
      <w:r>
        <w:rPr>
          <w:rFonts w:hint="eastAsia" w:ascii="宋体" w:hAnsi="宋体" w:cs="宋体"/>
          <w:color w:val="auto"/>
          <w:lang w:val="en-US" w:eastAsia="zh-CN" w:bidi="ar"/>
        </w:rPr>
        <w:t>与之</w:t>
      </w:r>
      <w:r>
        <w:rPr>
          <w:rFonts w:hint="eastAsia" w:ascii="宋体" w:hAnsi="宋体" w:eastAsia="宋体" w:cs="宋体"/>
          <w:color w:val="auto"/>
          <w:lang w:bidi="ar"/>
        </w:rPr>
        <w:t>合作经营</w:t>
      </w:r>
      <w:r>
        <w:rPr>
          <w:rFonts w:hint="eastAsia" w:ascii="宋体" w:hAnsi="宋体" w:cs="宋体"/>
          <w:color w:val="auto"/>
          <w:lang w:val="en-US" w:eastAsia="zh-CN" w:bidi="ar"/>
        </w:rPr>
        <w:t>的</w:t>
      </w:r>
      <w:r>
        <w:rPr>
          <w:rFonts w:hint="eastAsia" w:ascii="宋体" w:hAnsi="宋体" w:eastAsia="宋体" w:cs="宋体"/>
          <w:color w:val="auto"/>
          <w:lang w:bidi="ar"/>
        </w:rPr>
        <w:t>养殖</w:t>
      </w:r>
      <w:r>
        <w:rPr>
          <w:rFonts w:hint="eastAsia" w:ascii="宋体" w:hAnsi="宋体" w:cs="宋体"/>
          <w:color w:val="auto"/>
          <w:lang w:val="en-US" w:eastAsia="zh-CN" w:bidi="ar"/>
        </w:rPr>
        <w:t>或种植</w:t>
      </w:r>
      <w:r>
        <w:rPr>
          <w:rFonts w:hint="eastAsia" w:ascii="宋体" w:hAnsi="宋体" w:eastAsia="宋体" w:cs="宋体"/>
          <w:color w:val="auto"/>
          <w:lang w:bidi="ar"/>
        </w:rPr>
        <w:t>基地，</w:t>
      </w:r>
      <w:r>
        <w:rPr>
          <w:rFonts w:hint="eastAsia" w:ascii="宋体" w:hAnsi="宋体" w:cs="宋体"/>
          <w:color w:val="auto"/>
          <w:lang w:val="en-US" w:eastAsia="zh-CN" w:bidi="ar"/>
        </w:rPr>
        <w:t>保证长期稳定的供货能力，</w:t>
      </w:r>
      <w:r>
        <w:rPr>
          <w:rFonts w:hint="eastAsia" w:ascii="宋体" w:hAnsi="宋体" w:eastAsia="宋体" w:cs="宋体"/>
          <w:color w:val="auto"/>
          <w:lang w:bidi="ar"/>
        </w:rPr>
        <w:t>提供相关证明材料，每提供1份证明材料得</w:t>
      </w:r>
      <w:r>
        <w:rPr>
          <w:rFonts w:hint="eastAsia" w:ascii="宋体" w:hAnsi="宋体" w:cs="宋体"/>
          <w:color w:val="auto"/>
          <w:lang w:val="en-US" w:eastAsia="zh-CN" w:bidi="ar"/>
        </w:rPr>
        <w:t>1</w:t>
      </w:r>
      <w:r>
        <w:rPr>
          <w:rFonts w:hint="eastAsia" w:ascii="宋体" w:hAnsi="宋体" w:eastAsia="宋体" w:cs="宋体"/>
          <w:color w:val="auto"/>
          <w:lang w:bidi="ar"/>
        </w:rPr>
        <w:t>分，满分</w:t>
      </w:r>
      <w:r>
        <w:rPr>
          <w:rFonts w:hint="eastAsia" w:ascii="宋体" w:hAnsi="宋体" w:cs="宋体"/>
          <w:color w:val="auto"/>
          <w:lang w:val="en-US" w:eastAsia="zh-CN" w:bidi="ar"/>
        </w:rPr>
        <w:t>6</w:t>
      </w:r>
      <w:r>
        <w:rPr>
          <w:rFonts w:hint="eastAsia" w:ascii="宋体" w:hAnsi="宋体" w:eastAsia="宋体" w:cs="宋体"/>
          <w:color w:val="auto"/>
          <w:lang w:bidi="ar"/>
        </w:rPr>
        <w:t>分</w:t>
      </w:r>
      <w:r>
        <w:rPr>
          <w:rFonts w:hint="eastAsia" w:ascii="宋体" w:hAnsi="宋体" w:cs="宋体"/>
          <w:color w:val="auto"/>
          <w:lang w:eastAsia="zh-CN" w:bidi="ar"/>
        </w:rPr>
        <w:t>。</w:t>
      </w:r>
    </w:p>
    <w:p w14:paraId="6C7A71BE">
      <w:pPr>
        <w:pageBreakBefore w:val="0"/>
        <w:kinsoku/>
        <w:wordWrap/>
        <w:overflowPunct/>
        <w:topLinePunct w:val="0"/>
        <w:bidi w:val="0"/>
        <w:spacing w:beforeAutospacing="0" w:line="360" w:lineRule="auto"/>
        <w:ind w:left="0" w:leftChars="0" w:right="0" w:firstLine="420" w:firstLineChars="200"/>
        <w:jc w:val="left"/>
        <w:rPr>
          <w:rFonts w:hint="eastAsia" w:ascii="宋体" w:hAnsi="宋体" w:eastAsia="宋体" w:cs="宋体"/>
          <w:color w:val="auto"/>
          <w:lang w:bidi="ar"/>
        </w:rPr>
      </w:pPr>
      <w:r>
        <w:rPr>
          <w:rFonts w:hint="eastAsia" w:ascii="宋体" w:hAnsi="宋体" w:eastAsia="宋体" w:cs="宋体"/>
          <w:color w:val="auto"/>
          <w:lang w:bidi="ar"/>
        </w:rPr>
        <w:t>(</w:t>
      </w:r>
      <w:r>
        <w:rPr>
          <w:rFonts w:hint="eastAsia" w:ascii="宋体" w:hAnsi="宋体" w:cs="宋体"/>
          <w:color w:val="auto"/>
          <w:lang w:val="en-US" w:eastAsia="zh-CN" w:bidi="ar"/>
        </w:rPr>
        <w:t>注：</w:t>
      </w:r>
      <w:r>
        <w:rPr>
          <w:rFonts w:hint="eastAsia" w:ascii="宋体" w:hAnsi="宋体" w:eastAsia="宋体" w:cs="宋体"/>
          <w:color w:val="auto"/>
          <w:lang w:bidi="ar"/>
        </w:rPr>
        <w:t>提供</w:t>
      </w:r>
      <w:r>
        <w:rPr>
          <w:rFonts w:hint="eastAsia" w:cs="宋体"/>
          <w:color w:val="auto"/>
          <w:lang w:bidi="ar"/>
        </w:rPr>
        <w:t>相关产权证明</w:t>
      </w:r>
      <w:r>
        <w:rPr>
          <w:rFonts w:hint="eastAsia" w:cs="宋体"/>
          <w:color w:val="auto"/>
          <w:lang w:val="en-US" w:eastAsia="zh-CN" w:bidi="ar"/>
        </w:rPr>
        <w:t>或</w:t>
      </w:r>
      <w:r>
        <w:rPr>
          <w:rFonts w:hint="eastAsia" w:ascii="宋体" w:hAnsi="宋体" w:eastAsia="宋体" w:cs="宋体"/>
          <w:color w:val="auto"/>
          <w:lang w:bidi="ar"/>
        </w:rPr>
        <w:t>与相应单位合作协议扫描件等相关证明材料，并加盖投标人公章，否则不计分)。</w:t>
      </w:r>
    </w:p>
    <w:p w14:paraId="02C5918C">
      <w:pPr>
        <w:pageBreakBefore w:val="0"/>
        <w:kinsoku/>
        <w:wordWrap/>
        <w:overflowPunct/>
        <w:topLinePunct w:val="0"/>
        <w:bidi w:val="0"/>
        <w:spacing w:beforeAutospacing="0" w:line="360" w:lineRule="auto"/>
        <w:ind w:left="0" w:leftChars="0" w:right="0"/>
        <w:jc w:val="left"/>
        <w:rPr>
          <w:rFonts w:hint="eastAsia" w:ascii="宋体" w:hAnsi="宋体" w:eastAsia="宋体" w:cs="宋体"/>
          <w:b/>
          <w:bCs/>
          <w:color w:val="auto"/>
          <w:lang w:bidi="ar"/>
        </w:rPr>
      </w:pPr>
      <w:r>
        <w:rPr>
          <w:rFonts w:hint="eastAsia" w:ascii="宋体" w:hAnsi="宋体" w:eastAsia="宋体" w:cs="宋体"/>
          <w:b/>
          <w:bCs/>
          <w:color w:val="auto"/>
          <w:lang w:bidi="ar"/>
        </w:rPr>
        <w:t>（</w:t>
      </w:r>
      <w:r>
        <w:rPr>
          <w:rFonts w:hint="default" w:ascii="宋体" w:hAnsi="宋体" w:cs="宋体"/>
          <w:b/>
          <w:bCs/>
          <w:color w:val="auto"/>
          <w:lang w:bidi="ar"/>
        </w:rPr>
        <w:t>4</w:t>
      </w:r>
      <w:r>
        <w:rPr>
          <w:rFonts w:hint="eastAsia" w:ascii="宋体" w:hAnsi="宋体" w:eastAsia="宋体" w:cs="宋体"/>
          <w:b/>
          <w:bCs/>
          <w:color w:val="auto"/>
          <w:lang w:bidi="ar"/>
        </w:rPr>
        <w:t>）配送能力（满分</w:t>
      </w:r>
      <w:r>
        <w:rPr>
          <w:rFonts w:hint="default" w:ascii="宋体" w:hAnsi="宋体" w:cs="宋体"/>
          <w:b/>
          <w:bCs/>
          <w:color w:val="auto"/>
          <w:lang w:bidi="ar"/>
        </w:rPr>
        <w:t>10</w:t>
      </w:r>
      <w:r>
        <w:rPr>
          <w:rFonts w:hint="eastAsia" w:ascii="宋体" w:hAnsi="宋体" w:eastAsia="宋体" w:cs="宋体"/>
          <w:b/>
          <w:bCs/>
          <w:color w:val="auto"/>
          <w:lang w:bidi="ar"/>
        </w:rPr>
        <w:t>分）：</w:t>
      </w:r>
    </w:p>
    <w:p w14:paraId="39D04A11">
      <w:pPr>
        <w:pageBreakBefore w:val="0"/>
        <w:kinsoku/>
        <w:wordWrap/>
        <w:overflowPunct/>
        <w:topLinePunct w:val="0"/>
        <w:bidi w:val="0"/>
        <w:spacing w:beforeAutospacing="0" w:line="360" w:lineRule="auto"/>
        <w:ind w:left="0" w:leftChars="0" w:right="0" w:firstLine="420" w:firstLineChars="200"/>
        <w:rPr>
          <w:rFonts w:hint="eastAsia" w:ascii="宋体" w:hAnsi="宋体"/>
          <w:bCs/>
          <w:color w:val="auto"/>
          <w:lang w:val="en-US" w:eastAsia="zh-CN"/>
        </w:rPr>
      </w:pPr>
      <w:r>
        <w:rPr>
          <w:rFonts w:hint="eastAsia" w:ascii="宋体" w:hAnsi="宋体"/>
          <w:bCs/>
          <w:color w:val="auto"/>
          <w:lang w:val="en-US" w:eastAsia="zh-CN"/>
        </w:rPr>
        <w:t>供应商或法定代表人拟投入自有或租赁4.2米及以上专用冷链车5辆的得基础分1分；在此基础上每增加投入4.2米及以上专用冷链车车1辆加1分，此项满分5分。(如车辆为投标人名下车辆，须提供行驶证或登记证、彩色照片等相关证明材料扫描件；如车辆为租赁车辆，必须提供车辆租赁合同、车辆行驶证或登记证、彩色照片等相关证明材料扫描件，相关扫描件需加盖投标人公章；否则不计分)</w:t>
      </w:r>
    </w:p>
    <w:p w14:paraId="20B1BBCE">
      <w:pPr>
        <w:pageBreakBefore w:val="0"/>
        <w:kinsoku/>
        <w:wordWrap/>
        <w:overflowPunct/>
        <w:topLinePunct w:val="0"/>
        <w:bidi w:val="0"/>
        <w:spacing w:beforeAutospacing="0" w:line="360" w:lineRule="auto"/>
        <w:ind w:left="0" w:leftChars="0" w:right="0" w:firstLine="420" w:firstLineChars="200"/>
        <w:rPr>
          <w:rFonts w:hint="eastAsia" w:ascii="宋体" w:hAnsi="宋体"/>
          <w:bCs/>
          <w:color w:val="auto"/>
          <w:lang w:val="en-US" w:eastAsia="zh-CN"/>
        </w:rPr>
      </w:pPr>
      <w:r>
        <w:rPr>
          <w:rFonts w:hint="eastAsia" w:ascii="宋体" w:hAnsi="宋体"/>
          <w:bCs/>
          <w:color w:val="auto"/>
          <w:lang w:val="en-US" w:eastAsia="zh-CN"/>
        </w:rPr>
        <w:t>提供将熟食从饭堂运至监区的服务，运送车辆规格为电瓶车。拟投入3辆的得基础分2分，每增加1台加1分。提供的车辆要进行日常维护。满分为5分。(如车辆为投标人名下车辆，提供购车发票、彩色照片等相关证明材料扫描件；如车辆为租赁车辆，必须提供车辆租赁合同、彩色照片等相关证明材料扫描件，相关扫描件需加盖投标人公章；否则不计分)</w:t>
      </w:r>
    </w:p>
    <w:p w14:paraId="1246EC05">
      <w:pPr>
        <w:pageBreakBefore w:val="0"/>
        <w:kinsoku/>
        <w:wordWrap/>
        <w:overflowPunct/>
        <w:topLinePunct w:val="0"/>
        <w:bidi w:val="0"/>
        <w:spacing w:beforeAutospacing="0" w:line="360" w:lineRule="auto"/>
        <w:ind w:left="0" w:leftChars="0" w:right="0"/>
        <w:jc w:val="left"/>
        <w:rPr>
          <w:rFonts w:hint="eastAsia" w:ascii="宋体" w:hAnsi="宋体" w:eastAsia="宋体" w:cs="宋体"/>
          <w:b/>
          <w:bCs/>
          <w:color w:val="auto"/>
          <w:lang w:bidi="ar"/>
        </w:rPr>
      </w:pPr>
      <w:r>
        <w:rPr>
          <w:rFonts w:hint="eastAsia" w:ascii="宋体" w:hAnsi="宋体" w:cs="宋体"/>
          <w:b/>
          <w:bCs/>
          <w:color w:val="auto"/>
          <w:lang w:eastAsia="zh-CN" w:bidi="ar"/>
        </w:rPr>
        <w:t>（</w:t>
      </w:r>
      <w:r>
        <w:rPr>
          <w:rFonts w:hint="eastAsia" w:ascii="宋体" w:hAnsi="宋体" w:cs="宋体"/>
          <w:b/>
          <w:bCs/>
          <w:color w:val="auto"/>
          <w:lang w:val="en-US" w:eastAsia="zh-CN" w:bidi="ar"/>
        </w:rPr>
        <w:t>5</w:t>
      </w:r>
      <w:r>
        <w:rPr>
          <w:rFonts w:hint="eastAsia" w:ascii="宋体" w:hAnsi="宋体" w:cs="宋体"/>
          <w:b/>
          <w:bCs/>
          <w:color w:val="auto"/>
          <w:lang w:eastAsia="zh-CN" w:bidi="ar"/>
        </w:rPr>
        <w:t>）</w:t>
      </w:r>
      <w:r>
        <w:rPr>
          <w:rFonts w:hint="eastAsia" w:ascii="宋体" w:hAnsi="宋体" w:eastAsia="宋体" w:cs="宋体"/>
          <w:b/>
          <w:bCs/>
          <w:color w:val="auto"/>
          <w:lang w:bidi="ar"/>
        </w:rPr>
        <w:t>保证食品安全能力（满分</w:t>
      </w:r>
      <w:r>
        <w:rPr>
          <w:rFonts w:hint="default" w:ascii="宋体" w:hAnsi="宋体" w:cs="宋体"/>
          <w:b/>
          <w:bCs/>
          <w:color w:val="auto"/>
          <w:lang w:bidi="ar"/>
        </w:rPr>
        <w:t>8</w:t>
      </w:r>
      <w:r>
        <w:rPr>
          <w:rFonts w:hint="eastAsia" w:ascii="宋体" w:hAnsi="宋体" w:eastAsia="宋体" w:cs="宋体"/>
          <w:b/>
          <w:bCs/>
          <w:color w:val="auto"/>
          <w:lang w:bidi="ar"/>
        </w:rPr>
        <w:t>分）：</w:t>
      </w:r>
    </w:p>
    <w:p w14:paraId="5D2B9430">
      <w:pPr>
        <w:pageBreakBefore w:val="0"/>
        <w:kinsoku/>
        <w:wordWrap/>
        <w:overflowPunct/>
        <w:topLinePunct w:val="0"/>
        <w:bidi w:val="0"/>
        <w:spacing w:beforeAutospacing="0" w:line="360" w:lineRule="auto"/>
        <w:ind w:left="0" w:leftChars="0" w:right="0" w:firstLine="420" w:firstLineChars="200"/>
        <w:rPr>
          <w:rFonts w:hint="eastAsia" w:ascii="宋体" w:hAnsi="宋体"/>
          <w:bCs/>
          <w:color w:val="auto"/>
          <w:lang w:val="en-US" w:eastAsia="zh-CN"/>
        </w:rPr>
      </w:pPr>
      <w:r>
        <w:rPr>
          <w:rFonts w:hint="eastAsia" w:ascii="宋体" w:hAnsi="宋体"/>
          <w:bCs/>
          <w:color w:val="auto"/>
          <w:lang w:val="en-US" w:eastAsia="zh-CN"/>
        </w:rPr>
        <w:t>①投标人具有食品安全检测能力，设有独立的检测室且具备检测留样设备并配备专业食品检测人员≥</w:t>
      </w:r>
      <w:r>
        <w:rPr>
          <w:rFonts w:hint="default" w:ascii="宋体" w:hAnsi="宋体"/>
          <w:bCs/>
          <w:color w:val="auto"/>
          <w:lang w:eastAsia="zh-CN"/>
        </w:rPr>
        <w:t>2</w:t>
      </w:r>
      <w:r>
        <w:rPr>
          <w:rFonts w:hint="eastAsia" w:ascii="宋体" w:hAnsi="宋体"/>
          <w:bCs/>
          <w:color w:val="auto"/>
          <w:lang w:val="en-US" w:eastAsia="zh-CN"/>
        </w:rPr>
        <w:t>人的得3分；(须提供相关场地、设备购买发票或凭证；需提供投标人检验员证书扫描件；以上材料均须加盖投标人公章，否则不计分)</w:t>
      </w:r>
    </w:p>
    <w:p w14:paraId="712836E9">
      <w:pPr>
        <w:pageBreakBefore w:val="0"/>
        <w:kinsoku/>
        <w:wordWrap/>
        <w:overflowPunct/>
        <w:topLinePunct w:val="0"/>
        <w:bidi w:val="0"/>
        <w:spacing w:beforeAutospacing="0" w:line="360" w:lineRule="auto"/>
        <w:ind w:left="0" w:leftChars="0" w:right="0" w:firstLine="420" w:firstLineChars="200"/>
        <w:rPr>
          <w:rFonts w:hint="eastAsia" w:ascii="宋体" w:hAnsi="宋体"/>
          <w:bCs/>
          <w:color w:val="auto"/>
          <w:lang w:val="en-US" w:eastAsia="zh-CN"/>
        </w:rPr>
      </w:pPr>
      <w:r>
        <w:rPr>
          <w:rFonts w:hint="eastAsia" w:ascii="宋体" w:hAnsi="宋体"/>
          <w:bCs/>
          <w:color w:val="auto"/>
          <w:lang w:val="en-US" w:eastAsia="zh-CN"/>
        </w:rPr>
        <w:t>②投标人购买《食品安全责任保险》不足以服务365个自然日，须提供一份承诺书，承诺在服务期内续保，方能得分，其中赔偿限额200万元以下得2分，赔偿限额200万元（含）至500万得3分，赔偿限额500万元（含）至800万元，得5分。(提供相关保单证明扫描件并加盖投标人公章，证明材料中体现保险触发）</w:t>
      </w:r>
    </w:p>
    <w:p w14:paraId="412966B9">
      <w:pPr>
        <w:pageBreakBefore w:val="0"/>
        <w:kinsoku/>
        <w:wordWrap/>
        <w:overflowPunct/>
        <w:topLinePunct w:val="0"/>
        <w:bidi w:val="0"/>
        <w:spacing w:beforeAutospacing="0" w:line="360" w:lineRule="auto"/>
        <w:ind w:left="0" w:leftChars="0" w:right="0"/>
        <w:jc w:val="left"/>
        <w:rPr>
          <w:rFonts w:hint="eastAsia" w:ascii="宋体" w:hAnsi="宋体" w:eastAsia="宋体" w:cs="宋体"/>
          <w:b/>
          <w:bCs/>
          <w:color w:val="auto"/>
          <w:lang w:val="en-US" w:eastAsia="zh-CN" w:bidi="ar"/>
        </w:rPr>
      </w:pPr>
      <w:r>
        <w:rPr>
          <w:rFonts w:hint="default" w:ascii="宋体" w:hAnsi="宋体" w:eastAsia="宋体" w:cs="宋体"/>
          <w:b/>
          <w:bCs/>
          <w:color w:val="auto"/>
          <w:lang w:eastAsia="zh-CN" w:bidi="ar"/>
        </w:rPr>
        <w:t>（6）</w:t>
      </w:r>
      <w:r>
        <w:rPr>
          <w:rFonts w:hint="eastAsia" w:ascii="宋体" w:hAnsi="宋体" w:eastAsia="宋体" w:cs="宋体"/>
          <w:b/>
          <w:bCs/>
          <w:color w:val="auto"/>
          <w:lang w:val="en-US" w:eastAsia="zh-CN" w:bidi="ar"/>
        </w:rPr>
        <w:t>信誉分(满分</w:t>
      </w:r>
      <w:r>
        <w:rPr>
          <w:rFonts w:hint="eastAsia" w:ascii="宋体" w:hAnsi="宋体" w:cs="宋体"/>
          <w:b/>
          <w:bCs/>
          <w:color w:val="auto"/>
          <w:lang w:val="en-US" w:eastAsia="zh-CN" w:bidi="ar"/>
        </w:rPr>
        <w:t>3</w:t>
      </w:r>
      <w:r>
        <w:rPr>
          <w:rFonts w:hint="eastAsia" w:ascii="宋体" w:hAnsi="宋体" w:eastAsia="宋体" w:cs="宋体"/>
          <w:b/>
          <w:bCs/>
          <w:color w:val="auto"/>
          <w:lang w:val="en-US" w:eastAsia="zh-CN" w:bidi="ar"/>
        </w:rPr>
        <w:t>分)：</w:t>
      </w:r>
    </w:p>
    <w:p w14:paraId="7B3E2E71">
      <w:pPr>
        <w:pageBreakBefore w:val="0"/>
        <w:kinsoku/>
        <w:wordWrap/>
        <w:overflowPunct/>
        <w:topLinePunct w:val="0"/>
        <w:bidi w:val="0"/>
        <w:spacing w:beforeAutospacing="0" w:line="360" w:lineRule="auto"/>
        <w:ind w:left="0" w:leftChars="0" w:right="0" w:firstLine="420" w:firstLineChars="200"/>
        <w:rPr>
          <w:rFonts w:hint="eastAsia" w:ascii="宋体" w:hAnsi="宋体"/>
          <w:bCs/>
          <w:color w:val="auto"/>
          <w:lang w:val="en-US" w:eastAsia="zh-CN"/>
        </w:rPr>
      </w:pPr>
      <w:r>
        <w:rPr>
          <w:rFonts w:hint="eastAsia" w:ascii="宋体" w:hAnsi="宋体"/>
          <w:bCs/>
          <w:color w:val="auto"/>
          <w:lang w:val="en-US" w:eastAsia="zh-CN"/>
        </w:rPr>
        <w:t>①</w:t>
      </w:r>
      <w:bookmarkStart w:id="163" w:name="OLE_LINK10"/>
      <w:r>
        <w:rPr>
          <w:rFonts w:hint="eastAsia" w:ascii="宋体" w:hAnsi="宋体"/>
          <w:bCs/>
          <w:color w:val="auto"/>
          <w:lang w:val="en-US" w:eastAsia="zh-CN"/>
        </w:rPr>
        <w:t>供应商</w:t>
      </w:r>
      <w:r>
        <w:rPr>
          <w:rFonts w:hint="default" w:ascii="宋体" w:hAnsi="宋体"/>
          <w:bCs/>
          <w:color w:val="auto"/>
          <w:lang w:eastAsia="zh-CN"/>
        </w:rPr>
        <w:t>具有有效的</w:t>
      </w:r>
      <w:bookmarkEnd w:id="163"/>
      <w:r>
        <w:rPr>
          <w:rFonts w:hint="eastAsia" w:ascii="宋体" w:hAnsi="宋体"/>
          <w:bCs/>
          <w:color w:val="auto"/>
          <w:lang w:val="en-US" w:eastAsia="zh-CN"/>
        </w:rPr>
        <w:t>ISO系列质量管理体系认证证书、ISO系列环境管理体系认证证书、ISO系列职业健康管理体系认证证书</w:t>
      </w:r>
      <w:bookmarkStart w:id="164" w:name="OLE_LINK9"/>
      <w:r>
        <w:rPr>
          <w:rFonts w:hint="eastAsia" w:ascii="宋体" w:hAnsi="宋体" w:cs="宋体"/>
          <w:bCs/>
          <w:color w:val="auto"/>
          <w:szCs w:val="21"/>
          <w:highlight w:val="none"/>
        </w:rPr>
        <w:t>且在有效期内的得</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分</w:t>
      </w:r>
      <w:bookmarkEnd w:id="164"/>
      <w:r>
        <w:rPr>
          <w:rFonts w:hint="eastAsia" w:ascii="宋体" w:hAnsi="宋体" w:cs="宋体"/>
          <w:bCs/>
          <w:color w:val="auto"/>
          <w:szCs w:val="21"/>
          <w:highlight w:val="none"/>
          <w:lang w:eastAsia="zh-CN"/>
        </w:rPr>
        <w:t>；</w:t>
      </w:r>
    </w:p>
    <w:p w14:paraId="384D106C">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bCs/>
          <w:color w:val="auto"/>
          <w:lang w:val="en-US" w:eastAsia="zh-CN"/>
        </w:rPr>
      </w:pPr>
      <w:r>
        <w:rPr>
          <w:rFonts w:hint="eastAsia" w:ascii="宋体" w:hAnsi="宋体"/>
          <w:bCs/>
          <w:color w:val="auto"/>
          <w:lang w:val="en-US" w:eastAsia="zh-CN"/>
        </w:rPr>
        <w:t>②供应商</w:t>
      </w:r>
      <w:r>
        <w:rPr>
          <w:rFonts w:hint="default" w:ascii="宋体" w:hAnsi="宋体"/>
          <w:bCs/>
          <w:color w:val="auto"/>
          <w:lang w:eastAsia="zh-CN"/>
        </w:rPr>
        <w:t>具有有效的</w:t>
      </w:r>
      <w:r>
        <w:rPr>
          <w:rFonts w:hint="eastAsia" w:ascii="宋体" w:hAnsi="宋体"/>
          <w:bCs/>
          <w:color w:val="auto"/>
          <w:lang w:val="en-US" w:eastAsia="zh-CN"/>
        </w:rPr>
        <w:t>ISO系列食品安全管理体系认证证书</w:t>
      </w:r>
      <w:r>
        <w:rPr>
          <w:rFonts w:hint="eastAsia" w:ascii="宋体" w:hAnsi="宋体" w:cs="宋体"/>
          <w:bCs/>
          <w:color w:val="auto"/>
          <w:szCs w:val="21"/>
          <w:highlight w:val="none"/>
        </w:rPr>
        <w:t>且在有效期内的得</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分</w:t>
      </w:r>
      <w:r>
        <w:rPr>
          <w:rFonts w:hint="eastAsia" w:ascii="宋体" w:hAnsi="宋体" w:cs="宋体"/>
          <w:bCs/>
          <w:color w:val="auto"/>
          <w:szCs w:val="21"/>
          <w:highlight w:val="none"/>
          <w:lang w:eastAsia="zh-CN"/>
        </w:rPr>
        <w:t>；</w:t>
      </w:r>
    </w:p>
    <w:p w14:paraId="181C5107">
      <w:pPr>
        <w:spacing w:line="360" w:lineRule="auto"/>
        <w:ind w:firstLine="420" w:firstLineChars="200"/>
        <w:rPr>
          <w:rFonts w:hint="eastAsia"/>
          <w:color w:val="auto"/>
          <w:lang w:val="en-US" w:eastAsia="zh-CN"/>
        </w:rPr>
      </w:pPr>
      <w:r>
        <w:rPr>
          <w:rFonts w:hint="eastAsia" w:ascii="宋体" w:hAnsi="宋体"/>
          <w:bCs/>
          <w:color w:val="auto"/>
          <w:lang w:val="en-US" w:eastAsia="zh-CN"/>
        </w:rPr>
        <w:t>③供应商</w:t>
      </w:r>
      <w:r>
        <w:rPr>
          <w:rFonts w:hint="default" w:ascii="宋体" w:hAnsi="宋体"/>
          <w:bCs/>
          <w:color w:val="auto"/>
          <w:lang w:eastAsia="zh-CN"/>
        </w:rPr>
        <w:t>具有有效的</w:t>
      </w:r>
      <w:r>
        <w:rPr>
          <w:rFonts w:hint="eastAsia" w:ascii="宋体" w:hAnsi="宋体"/>
          <w:bCs/>
          <w:color w:val="auto"/>
          <w:lang w:val="en-US" w:eastAsia="zh-CN"/>
        </w:rPr>
        <w:t>ISO供应链安全管理体系认证</w:t>
      </w:r>
      <w:r>
        <w:rPr>
          <w:rFonts w:hint="eastAsia" w:ascii="宋体" w:hAnsi="宋体" w:cs="宋体"/>
          <w:bCs/>
          <w:color w:val="auto"/>
          <w:szCs w:val="21"/>
          <w:highlight w:val="none"/>
        </w:rPr>
        <w:t>且在有效期内的得</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分</w:t>
      </w:r>
      <w:r>
        <w:rPr>
          <w:rFonts w:hint="eastAsia" w:ascii="宋体" w:hAnsi="宋体"/>
          <w:bCs/>
          <w:color w:val="auto"/>
          <w:lang w:val="en-US" w:eastAsia="zh-CN"/>
        </w:rPr>
        <w:t>；</w:t>
      </w:r>
    </w:p>
    <w:p w14:paraId="17A55139">
      <w:pPr>
        <w:pageBreakBefore w:val="0"/>
        <w:kinsoku/>
        <w:wordWrap/>
        <w:overflowPunct/>
        <w:topLinePunct w:val="0"/>
        <w:bidi w:val="0"/>
        <w:spacing w:beforeAutospacing="0" w:line="360" w:lineRule="auto"/>
        <w:ind w:left="0" w:leftChars="0" w:right="0" w:firstLine="420" w:firstLineChars="200"/>
        <w:rPr>
          <w:rFonts w:hint="default" w:ascii="宋体" w:hAnsi="宋体"/>
          <w:bCs/>
          <w:color w:val="auto"/>
          <w:lang w:val="en-US" w:eastAsia="zh-CN"/>
        </w:rPr>
      </w:pPr>
      <w:r>
        <w:rPr>
          <w:rFonts w:hint="eastAsia" w:ascii="宋体" w:hAnsi="宋体"/>
          <w:bCs/>
          <w:color w:val="auto"/>
          <w:lang w:val="en-US" w:eastAsia="zh-CN"/>
        </w:rPr>
        <w:t>注：</w:t>
      </w:r>
      <w:r>
        <w:rPr>
          <w:rFonts w:hint="eastAsia" w:ascii="宋体" w:hAnsi="宋体" w:cs="宋体"/>
          <w:bCs/>
          <w:color w:val="auto"/>
          <w:szCs w:val="21"/>
          <w:highlight w:val="none"/>
        </w:rPr>
        <w:t>须提供</w:t>
      </w:r>
      <w:r>
        <w:rPr>
          <w:rFonts w:hint="eastAsia" w:ascii="宋体" w:hAnsi="宋体"/>
          <w:bCs/>
          <w:color w:val="auto"/>
          <w:lang w:val="en-US" w:eastAsia="zh-CN"/>
        </w:rPr>
        <w:t>有效证件</w:t>
      </w:r>
      <w:r>
        <w:rPr>
          <w:rFonts w:hint="eastAsia" w:ascii="宋体" w:hAnsi="宋体" w:cs="宋体"/>
          <w:bCs/>
          <w:color w:val="auto"/>
          <w:szCs w:val="21"/>
          <w:highlight w:val="none"/>
        </w:rPr>
        <w:t>复印件并加盖公章</w:t>
      </w:r>
      <w:r>
        <w:rPr>
          <w:rFonts w:hint="eastAsia" w:ascii="宋体" w:hAnsi="宋体"/>
          <w:bCs/>
          <w:color w:val="auto"/>
          <w:lang w:val="en-US" w:eastAsia="zh-CN"/>
        </w:rPr>
        <w:t>（原件备查）</w:t>
      </w:r>
      <w:r>
        <w:rPr>
          <w:rFonts w:hint="eastAsia" w:ascii="宋体" w:hAnsi="宋体" w:cs="宋体"/>
          <w:bCs/>
          <w:color w:val="auto"/>
          <w:szCs w:val="21"/>
          <w:highlight w:val="none"/>
        </w:rPr>
        <w:t>，否则不予计分</w:t>
      </w:r>
      <w:r>
        <w:rPr>
          <w:rFonts w:hint="eastAsia" w:ascii="宋体" w:hAnsi="宋体"/>
          <w:bCs/>
          <w:color w:val="auto"/>
          <w:lang w:val="en-US" w:eastAsia="zh-CN"/>
        </w:rPr>
        <w:t>。</w:t>
      </w:r>
    </w:p>
    <w:p w14:paraId="0CD43288">
      <w:pPr>
        <w:pageBreakBefore w:val="0"/>
        <w:kinsoku/>
        <w:wordWrap/>
        <w:overflowPunct/>
        <w:topLinePunct w:val="0"/>
        <w:bidi w:val="0"/>
        <w:spacing w:beforeAutospacing="0" w:line="360" w:lineRule="auto"/>
        <w:ind w:left="0" w:leftChars="0" w:right="0"/>
        <w:jc w:val="left"/>
        <w:rPr>
          <w:rFonts w:hint="eastAsia" w:ascii="宋体" w:hAnsi="宋体" w:eastAsia="宋体" w:cs="宋体"/>
          <w:b/>
          <w:bCs/>
          <w:color w:val="auto"/>
          <w:lang w:bidi="ar"/>
        </w:rPr>
      </w:pPr>
      <w:r>
        <w:rPr>
          <w:rFonts w:hint="eastAsia" w:ascii="宋体" w:hAnsi="宋体" w:eastAsia="宋体" w:cs="宋体"/>
          <w:b/>
          <w:bCs/>
          <w:color w:val="auto"/>
          <w:lang w:bidi="ar"/>
        </w:rPr>
        <w:t>（</w:t>
      </w:r>
      <w:r>
        <w:rPr>
          <w:rFonts w:hint="eastAsia" w:ascii="宋体" w:hAnsi="宋体" w:cs="宋体"/>
          <w:b/>
          <w:bCs/>
          <w:color w:val="auto"/>
          <w:lang w:val="en-US" w:eastAsia="zh-CN" w:bidi="ar"/>
        </w:rPr>
        <w:t>7</w:t>
      </w:r>
      <w:r>
        <w:rPr>
          <w:rFonts w:hint="eastAsia" w:ascii="宋体" w:hAnsi="宋体" w:eastAsia="宋体" w:cs="宋体"/>
          <w:b/>
          <w:bCs/>
          <w:color w:val="auto"/>
          <w:lang w:bidi="ar"/>
        </w:rPr>
        <w:t>）诚信分（-6～0分）</w:t>
      </w:r>
    </w:p>
    <w:p w14:paraId="389338EF">
      <w:pPr>
        <w:pageBreakBefore w:val="0"/>
        <w:kinsoku/>
        <w:wordWrap/>
        <w:overflowPunct/>
        <w:topLinePunct w:val="0"/>
        <w:bidi w:val="0"/>
        <w:spacing w:beforeAutospacing="0" w:line="360" w:lineRule="auto"/>
        <w:ind w:left="0" w:leftChars="0" w:right="0" w:firstLine="420" w:firstLineChars="200"/>
        <w:rPr>
          <w:rFonts w:hint="eastAsia" w:ascii="宋体" w:hAnsi="宋体"/>
          <w:bCs/>
          <w:color w:val="auto"/>
        </w:rPr>
      </w:pPr>
      <w:r>
        <w:rPr>
          <w:rFonts w:hint="eastAsia" w:ascii="宋体" w:hAnsi="宋体"/>
          <w:bCs/>
          <w:color w:val="auto"/>
        </w:rPr>
        <w:t>投标人在截标日前一年内在政府采购活动中存在违约违规情形的（以信用中国”网站(www.creditchina.gov.cn) 、中国政府采购网(www.ccgp.gov.cn)查询记录为评分依据），每次扣除3分，最高扣6分。(若存在违约违规情形，由投标人提供认定材料；若在项目处于质疑期，被其他利害关系投标人质疑或监督管理部门查实在政府采购活动中存在违约违规情形的，采购人有权将以提供虚假材料谋取中标处理，报政府采购监督管理部门进行处罚)。</w:t>
      </w:r>
    </w:p>
    <w:p w14:paraId="2AEFC7C6">
      <w:pPr>
        <w:pageBreakBefore w:val="0"/>
        <w:kinsoku/>
        <w:wordWrap/>
        <w:overflowPunct/>
        <w:topLinePunct w:val="0"/>
        <w:bidi w:val="0"/>
        <w:spacing w:beforeAutospacing="0" w:line="360" w:lineRule="auto"/>
        <w:ind w:left="0" w:leftChars="0" w:right="0"/>
        <w:rPr>
          <w:rFonts w:hint="eastAsia" w:ascii="宋体" w:hAnsi="宋体" w:eastAsia="宋体" w:cs="宋体"/>
          <w:b/>
          <w:bCs/>
          <w:color w:val="auto"/>
          <w:szCs w:val="21"/>
        </w:rPr>
      </w:pPr>
      <w:r>
        <w:rPr>
          <w:rFonts w:hint="eastAsia" w:ascii="宋体" w:hAnsi="宋体" w:eastAsia="宋体" w:cs="宋体"/>
          <w:b/>
          <w:bCs/>
          <w:color w:val="auto"/>
          <w:szCs w:val="21"/>
        </w:rPr>
        <w:t>（三）总得分＝1＋2＋3</w:t>
      </w:r>
    </w:p>
    <w:p w14:paraId="74F06FDB">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0"/>
        </w:rPr>
      </w:pPr>
      <w:r>
        <w:rPr>
          <w:rFonts w:hint="eastAsia" w:ascii="宋体" w:hAnsi="宋体" w:eastAsia="宋体" w:cs="宋体"/>
          <w:b/>
          <w:color w:val="auto"/>
        </w:rPr>
        <w:t>（四）中标标准：</w:t>
      </w:r>
      <w:r>
        <w:rPr>
          <w:rFonts w:hint="eastAsia" w:ascii="宋体" w:hAnsi="宋体" w:eastAsia="宋体" w:cs="宋体"/>
          <w:color w:val="auto"/>
          <w:szCs w:val="20"/>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7DDA9DC5">
      <w:pPr>
        <w:pageBreakBefore w:val="0"/>
        <w:kinsoku/>
        <w:wordWrap/>
        <w:overflowPunct/>
        <w:topLinePunct w:val="0"/>
        <w:bidi w:val="0"/>
        <w:spacing w:beforeAutospacing="0" w:line="360" w:lineRule="auto"/>
        <w:ind w:left="0" w:leftChars="0" w:right="0"/>
        <w:rPr>
          <w:rFonts w:hint="eastAsia" w:ascii="宋体" w:hAnsi="宋体" w:eastAsia="宋体" w:cs="宋体"/>
          <w:color w:val="auto"/>
        </w:rPr>
      </w:pPr>
    </w:p>
    <w:p w14:paraId="0B33C11D">
      <w:pPr>
        <w:keepNext/>
        <w:keepLines/>
        <w:pageBreakBefore w:val="0"/>
        <w:kinsoku/>
        <w:wordWrap/>
        <w:overflowPunct/>
        <w:topLinePunct w:val="0"/>
        <w:bidi w:val="0"/>
        <w:spacing w:beforeAutospacing="0" w:line="360" w:lineRule="auto"/>
        <w:ind w:left="0" w:leftChars="0" w:right="0"/>
        <w:jc w:val="center"/>
        <w:outlineLvl w:val="1"/>
        <w:rPr>
          <w:rFonts w:hint="eastAsia" w:ascii="宋体" w:hAnsi="宋体" w:eastAsia="宋体" w:cs="宋体"/>
          <w:bCs/>
          <w:color w:val="auto"/>
          <w:sz w:val="30"/>
          <w:szCs w:val="30"/>
        </w:rPr>
      </w:pPr>
      <w:bookmarkStart w:id="165" w:name="_Toc23039"/>
      <w:r>
        <w:rPr>
          <w:rFonts w:hint="eastAsia" w:ascii="宋体" w:hAnsi="宋体" w:eastAsia="宋体" w:cs="宋体"/>
          <w:bCs/>
          <w:color w:val="auto"/>
          <w:sz w:val="30"/>
          <w:szCs w:val="30"/>
        </w:rPr>
        <w:t>第四节 中标候选人推荐原则</w:t>
      </w:r>
      <w:bookmarkEnd w:id="165"/>
    </w:p>
    <w:p w14:paraId="3A42BEAA">
      <w:pPr>
        <w:pageBreakBefore w:val="0"/>
        <w:numPr>
          <w:ilvl w:val="0"/>
          <w:numId w:val="4"/>
        </w:numPr>
        <w:kinsoku/>
        <w:wordWrap/>
        <w:overflowPunct/>
        <w:topLinePunct w:val="0"/>
        <w:bidi w:val="0"/>
        <w:spacing w:beforeAutospacing="0" w:line="360" w:lineRule="auto"/>
        <w:ind w:left="0" w:leftChars="0" w:right="0"/>
        <w:contextualSpacing/>
        <w:rPr>
          <w:rFonts w:hint="eastAsia" w:ascii="宋体" w:hAnsi="宋体" w:eastAsia="宋体" w:cs="宋体"/>
          <w:b/>
          <w:bCs/>
          <w:color w:val="auto"/>
          <w:sz w:val="24"/>
        </w:rPr>
      </w:pPr>
      <w:r>
        <w:rPr>
          <w:rFonts w:hint="eastAsia" w:ascii="宋体" w:hAnsi="宋体" w:eastAsia="宋体" w:cs="宋体"/>
          <w:b/>
          <w:bCs/>
          <w:color w:val="auto"/>
          <w:sz w:val="24"/>
        </w:rPr>
        <w:t>综合评分法</w:t>
      </w:r>
    </w:p>
    <w:p w14:paraId="651167ED">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0"/>
        </w:rPr>
      </w:pPr>
      <w:r>
        <w:rPr>
          <w:rFonts w:hint="eastAsia" w:ascii="宋体" w:hAnsi="宋体" w:eastAsia="宋体" w:cs="宋体"/>
          <w:color w:val="auto"/>
          <w:szCs w:val="20"/>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7CDDC3E6">
      <w:pPr>
        <w:pageBreakBefore w:val="0"/>
        <w:kinsoku/>
        <w:wordWrap/>
        <w:overflowPunct/>
        <w:topLinePunct w:val="0"/>
        <w:bidi w:val="0"/>
        <w:spacing w:beforeAutospacing="0" w:line="360" w:lineRule="auto"/>
        <w:ind w:left="0" w:leftChars="0" w:right="0" w:firstLine="482" w:firstLineChars="200"/>
        <w:rPr>
          <w:rFonts w:hint="eastAsia" w:ascii="宋体" w:hAnsi="宋体" w:eastAsia="宋体" w:cs="宋体"/>
          <w:color w:val="auto"/>
          <w:szCs w:val="20"/>
        </w:rPr>
      </w:pPr>
      <w:r>
        <w:rPr>
          <w:rFonts w:hint="eastAsia" w:ascii="宋体" w:hAnsi="宋体" w:eastAsia="宋体" w:cs="宋体"/>
          <w:b/>
          <w:bCs/>
          <w:color w:val="auto"/>
          <w:sz w:val="24"/>
        </w:rPr>
        <w:t>（二）最低评标报价法</w:t>
      </w:r>
    </w:p>
    <w:p w14:paraId="604EB7F4">
      <w:pPr>
        <w:pageBreakBefore w:val="0"/>
        <w:tabs>
          <w:tab w:val="left" w:pos="2472"/>
        </w:tabs>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0"/>
        </w:rPr>
      </w:pPr>
      <w:r>
        <w:rPr>
          <w:rFonts w:hint="eastAsia" w:ascii="宋体" w:hAnsi="宋体" w:eastAsia="宋体" w:cs="宋体"/>
          <w:color w:val="auto"/>
          <w:szCs w:val="20"/>
        </w:rPr>
        <w:t>评标委员会将按照有效报价从低到高排序并推荐中标候选人。投标报价相同的并列，投标文件满足招标文件全部实质性要求且投标报价最低的投标人为排名第一的中标候选人；评标价相同且前述指标均相同时，由评标委员会各成员对评标价相同的供应商，当场投票表决，得票多者优先，并依照次序确定1家中标供应商。</w:t>
      </w:r>
    </w:p>
    <w:p w14:paraId="143AB48E">
      <w:pPr>
        <w:keepNext/>
        <w:keepLines/>
        <w:pageBreakBefore w:val="0"/>
        <w:kinsoku/>
        <w:wordWrap/>
        <w:overflowPunct/>
        <w:topLinePunct w:val="0"/>
        <w:bidi w:val="0"/>
        <w:spacing w:beforeAutospacing="0" w:line="360" w:lineRule="auto"/>
        <w:ind w:left="0" w:leftChars="0" w:right="0" w:firstLine="600" w:firstLineChars="200"/>
        <w:jc w:val="center"/>
        <w:outlineLvl w:val="1"/>
        <w:rPr>
          <w:rFonts w:hint="eastAsia" w:ascii="宋体" w:hAnsi="宋体" w:eastAsia="宋体" w:cs="宋体"/>
          <w:bCs/>
          <w:color w:val="auto"/>
          <w:sz w:val="30"/>
          <w:szCs w:val="30"/>
        </w:rPr>
      </w:pPr>
      <w:bookmarkStart w:id="166" w:name="_Toc21849"/>
      <w:r>
        <w:rPr>
          <w:rFonts w:hint="eastAsia" w:ascii="宋体" w:hAnsi="宋体" w:eastAsia="宋体" w:cs="宋体"/>
          <w:bCs/>
          <w:color w:val="auto"/>
          <w:sz w:val="30"/>
          <w:szCs w:val="30"/>
        </w:rPr>
        <w:t>第五节 评标报告</w:t>
      </w:r>
      <w:bookmarkEnd w:id="166"/>
    </w:p>
    <w:p w14:paraId="1C772011">
      <w:pPr>
        <w:pageBreakBefore w:val="0"/>
        <w:kinsoku/>
        <w:wordWrap/>
        <w:overflowPunct/>
        <w:topLinePunct w:val="0"/>
        <w:bidi w:val="0"/>
        <w:adjustRightInd w:val="0"/>
        <w:spacing w:beforeAutospacing="0" w:line="360" w:lineRule="auto"/>
        <w:ind w:left="0" w:leftChars="0" w:right="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（一）评标报告与推荐中标候选人</w:t>
      </w:r>
    </w:p>
    <w:p w14:paraId="1D4BBD3B">
      <w:pPr>
        <w:pageBreakBefore w:val="0"/>
        <w:tabs>
          <w:tab w:val="left" w:pos="2472"/>
        </w:tabs>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0"/>
        </w:rPr>
      </w:pPr>
      <w:r>
        <w:rPr>
          <w:rFonts w:hint="eastAsia" w:ascii="宋体" w:hAnsi="宋体" w:eastAsia="宋体" w:cs="宋体"/>
          <w:color w:val="auto"/>
          <w:szCs w:val="20"/>
        </w:rPr>
        <w:t>评标委员会根据原始评标记录和评标结果编写评标报告，并通过电子交易平台向采购人、采购代理机构提交。</w:t>
      </w:r>
    </w:p>
    <w:p w14:paraId="4C8D328D">
      <w:pPr>
        <w:pageBreakBefore w:val="0"/>
        <w:widowControl/>
        <w:kinsoku/>
        <w:wordWrap/>
        <w:overflowPunct/>
        <w:topLinePunct w:val="0"/>
        <w:bidi w:val="0"/>
        <w:spacing w:beforeAutospacing="0" w:line="360" w:lineRule="auto"/>
        <w:ind w:left="0" w:leftChars="0" w:right="0" w:firstLine="482" w:firstLineChars="200"/>
        <w:jc w:val="left"/>
        <w:rPr>
          <w:rFonts w:hint="eastAsia" w:ascii="宋体" w:hAnsi="宋体" w:eastAsia="宋体" w:cs="宋体"/>
          <w:b/>
          <w:bCs/>
          <w:color w:val="auto"/>
          <w:sz w:val="24"/>
        </w:rPr>
      </w:pPr>
      <w:r>
        <w:rPr>
          <w:rFonts w:hint="eastAsia" w:ascii="宋体" w:hAnsi="宋体" w:eastAsia="宋体" w:cs="宋体"/>
          <w:b/>
          <w:bCs/>
          <w:color w:val="auto"/>
          <w:sz w:val="24"/>
        </w:rPr>
        <w:t>（二）评标争议事项处理</w:t>
      </w:r>
    </w:p>
    <w:p w14:paraId="21467165">
      <w:pPr>
        <w:pageBreakBefore w:val="0"/>
        <w:tabs>
          <w:tab w:val="left" w:pos="2472"/>
        </w:tabs>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0"/>
        </w:rPr>
      </w:pPr>
      <w:r>
        <w:rPr>
          <w:rFonts w:hint="eastAsia" w:ascii="宋体" w:hAnsi="宋体" w:eastAsia="宋体" w:cs="宋体"/>
          <w:color w:val="auto"/>
          <w:szCs w:val="20"/>
        </w:rPr>
        <w:t>评标委员会成员对需要共同认定的事项存在争议的，应当按照少数服从多数的原则作出结论。持不同意见的评标委员会成员应当在评标报告上签署不同意见及理由，否则视为同意评标报告。</w:t>
      </w:r>
    </w:p>
    <w:p w14:paraId="23028C46">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b/>
          <w:color w:val="auto"/>
          <w:sz w:val="36"/>
          <w:szCs w:val="20"/>
        </w:rPr>
        <w:sectPr>
          <w:pgSz w:w="11906" w:h="16838"/>
          <w:pgMar w:top="1134" w:right="1134" w:bottom="1134" w:left="1134" w:header="720" w:footer="720" w:gutter="0"/>
          <w:cols w:space="720" w:num="1"/>
          <w:docGrid w:type="lines" w:linePitch="331" w:charSpace="0"/>
        </w:sectPr>
      </w:pPr>
    </w:p>
    <w:p w14:paraId="64479F51">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rPr>
      </w:pPr>
    </w:p>
    <w:p w14:paraId="1DF3E05F">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rPr>
      </w:pPr>
    </w:p>
    <w:p w14:paraId="2C8B01BD">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rPr>
      </w:pPr>
    </w:p>
    <w:p w14:paraId="020A9146">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rPr>
      </w:pPr>
    </w:p>
    <w:p w14:paraId="220334E4">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rPr>
      </w:pPr>
    </w:p>
    <w:p w14:paraId="74E0ADD5">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rPr>
      </w:pPr>
    </w:p>
    <w:p w14:paraId="26B2E4EC">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rPr>
      </w:pPr>
    </w:p>
    <w:p w14:paraId="2E8EDF9B">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rPr>
      </w:pPr>
    </w:p>
    <w:p w14:paraId="28EE509E">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rPr>
      </w:pPr>
    </w:p>
    <w:p w14:paraId="49CE0279">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rPr>
      </w:pPr>
    </w:p>
    <w:p w14:paraId="3072AF13">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rPr>
      </w:pPr>
    </w:p>
    <w:p w14:paraId="7A6C68AE">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rPr>
      </w:pPr>
    </w:p>
    <w:p w14:paraId="02CCD092">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rPr>
      </w:pPr>
    </w:p>
    <w:p w14:paraId="6EC8BAEF">
      <w:pPr>
        <w:pageBreakBefore w:val="0"/>
        <w:tabs>
          <w:tab w:val="left" w:pos="2472"/>
        </w:tabs>
        <w:kinsoku/>
        <w:wordWrap/>
        <w:overflowPunct/>
        <w:topLinePunct w:val="0"/>
        <w:bidi w:val="0"/>
        <w:spacing w:beforeAutospacing="0" w:line="360" w:lineRule="auto"/>
        <w:ind w:left="0" w:leftChars="0" w:right="0"/>
        <w:jc w:val="center"/>
        <w:outlineLvl w:val="0"/>
        <w:rPr>
          <w:rFonts w:hint="eastAsia" w:ascii="宋体" w:hAnsi="宋体" w:eastAsia="宋体" w:cs="宋体"/>
          <w:b/>
          <w:color w:val="auto"/>
          <w:sz w:val="36"/>
          <w:szCs w:val="20"/>
        </w:rPr>
      </w:pPr>
      <w:bookmarkStart w:id="167" w:name="_Toc2848"/>
      <w:r>
        <w:rPr>
          <w:rFonts w:hint="eastAsia" w:ascii="宋体" w:hAnsi="宋体" w:eastAsia="宋体" w:cs="宋体"/>
          <w:b/>
          <w:color w:val="auto"/>
          <w:sz w:val="36"/>
          <w:szCs w:val="20"/>
        </w:rPr>
        <w:t>第五章 拟签订的合同文本</w:t>
      </w:r>
      <w:bookmarkEnd w:id="167"/>
    </w:p>
    <w:p w14:paraId="48F7CB4A">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bCs/>
          <w:color w:val="auto"/>
          <w:szCs w:val="20"/>
        </w:rPr>
        <w:sectPr>
          <w:pgSz w:w="11906" w:h="16838"/>
          <w:pgMar w:top="1134" w:right="1134" w:bottom="1134" w:left="1134" w:header="720" w:footer="720" w:gutter="0"/>
          <w:cols w:space="720" w:num="1"/>
          <w:docGrid w:type="lines" w:linePitch="331" w:charSpace="0"/>
        </w:sectPr>
      </w:pPr>
    </w:p>
    <w:p w14:paraId="2F33714C">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rPr>
      </w:pPr>
    </w:p>
    <w:p w14:paraId="0C6CC86F">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u w:val="single"/>
        </w:rPr>
      </w:pPr>
      <w:r>
        <w:rPr>
          <w:rFonts w:hint="eastAsia" w:ascii="宋体" w:hAnsi="宋体" w:eastAsia="宋体" w:cs="宋体"/>
          <w:color w:val="auto"/>
          <w:sz w:val="24"/>
        </w:rPr>
        <w:t>“</w:t>
      </w:r>
      <w:r>
        <w:rPr>
          <w:rFonts w:hint="eastAsia" w:ascii="宋体" w:hAnsi="宋体" w:cs="宋体"/>
          <w:color w:val="auto"/>
          <w:sz w:val="24"/>
          <w:lang w:eastAsia="zh-CN"/>
        </w:rPr>
        <w:t>广西政府采购云</w:t>
      </w:r>
      <w:r>
        <w:rPr>
          <w:rFonts w:hint="eastAsia" w:ascii="宋体" w:hAnsi="宋体" w:eastAsia="宋体" w:cs="宋体"/>
          <w:color w:val="auto"/>
          <w:sz w:val="24"/>
        </w:rPr>
        <w:t>”平台合同编号：</w:t>
      </w:r>
      <w:r>
        <w:rPr>
          <w:rFonts w:hint="eastAsia" w:ascii="宋体" w:hAnsi="宋体" w:eastAsia="宋体" w:cs="宋体"/>
          <w:color w:val="auto"/>
          <w:sz w:val="24"/>
          <w:u w:val="single"/>
        </w:rPr>
        <w:t xml:space="preserve">           </w:t>
      </w:r>
    </w:p>
    <w:p w14:paraId="371F72D8">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sz w:val="52"/>
        </w:rPr>
      </w:pPr>
    </w:p>
    <w:p w14:paraId="78375465">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sz w:val="52"/>
        </w:rPr>
      </w:pPr>
    </w:p>
    <w:p w14:paraId="612D8B79">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sz w:val="52"/>
        </w:rPr>
      </w:pPr>
      <w:r>
        <w:rPr>
          <w:rFonts w:hint="eastAsia" w:ascii="宋体" w:hAnsi="宋体" w:eastAsia="宋体" w:cs="宋体"/>
          <w:b/>
          <w:bCs/>
          <w:color w:val="auto"/>
          <w:sz w:val="52"/>
        </w:rPr>
        <w:t>南 宁 市 政 府 采 购</w:t>
      </w:r>
    </w:p>
    <w:p w14:paraId="37B46D9A">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rPr>
      </w:pPr>
    </w:p>
    <w:p w14:paraId="69AE4F50">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rPr>
      </w:pPr>
      <w:r>
        <w:rPr>
          <w:rFonts w:hint="eastAsia" w:ascii="宋体" w:hAnsi="宋体" w:eastAsia="宋体" w:cs="宋体"/>
          <w:color w:val="auto"/>
        </w:rPr>
        <w:t xml:space="preserve">                                                 </w:t>
      </w:r>
    </w:p>
    <w:p w14:paraId="23B83463">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sz w:val="44"/>
        </w:rPr>
      </w:pPr>
      <w:r>
        <w:rPr>
          <w:rFonts w:hint="eastAsia" w:ascii="宋体" w:hAnsi="宋体" w:eastAsia="宋体" w:cs="宋体"/>
          <w:b/>
          <w:bCs/>
          <w:color w:val="auto"/>
          <w:sz w:val="44"/>
          <w:u w:val="single"/>
        </w:rPr>
        <w:t xml:space="preserve"> </w:t>
      </w:r>
      <w:r>
        <w:rPr>
          <w:rFonts w:hint="eastAsia" w:ascii="宋体" w:hAnsi="宋体" w:cs="宋体"/>
          <w:b/>
          <w:bCs/>
          <w:color w:val="auto"/>
          <w:sz w:val="44"/>
          <w:u w:val="single"/>
          <w:lang w:eastAsia="zh-CN"/>
        </w:rPr>
        <w:t>南宁市第二看守所在押人员伙房食材配送服务采购项目</w:t>
      </w:r>
      <w:r>
        <w:rPr>
          <w:rFonts w:hint="eastAsia" w:ascii="宋体" w:hAnsi="宋体" w:eastAsia="宋体" w:cs="宋体"/>
          <w:b/>
          <w:bCs/>
          <w:color w:val="auto"/>
          <w:sz w:val="44"/>
        </w:rPr>
        <w:t>合同</w:t>
      </w:r>
    </w:p>
    <w:p w14:paraId="57E95C6F">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sz w:val="44"/>
        </w:rPr>
      </w:pPr>
    </w:p>
    <w:p w14:paraId="6AA1B9E5">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sz w:val="44"/>
        </w:rPr>
      </w:pPr>
    </w:p>
    <w:p w14:paraId="091B216F">
      <w:pPr>
        <w:pageBreakBefore w:val="0"/>
        <w:kinsoku/>
        <w:wordWrap/>
        <w:overflowPunct/>
        <w:topLinePunct w:val="0"/>
        <w:bidi w:val="0"/>
        <w:spacing w:beforeAutospacing="0" w:line="360" w:lineRule="auto"/>
        <w:ind w:left="0" w:leftChars="0" w:right="0" w:firstLine="3507" w:firstLineChars="794"/>
        <w:rPr>
          <w:rFonts w:hint="eastAsia" w:ascii="宋体" w:hAnsi="宋体" w:eastAsia="宋体" w:cs="宋体"/>
          <w:b/>
          <w:bCs/>
          <w:color w:val="auto"/>
          <w:sz w:val="44"/>
        </w:rPr>
      </w:pPr>
    </w:p>
    <w:p w14:paraId="652376EE">
      <w:pPr>
        <w:pageBreakBefore w:val="0"/>
        <w:kinsoku/>
        <w:wordWrap/>
        <w:overflowPunct/>
        <w:topLinePunct w:val="0"/>
        <w:bidi w:val="0"/>
        <w:spacing w:beforeAutospacing="0" w:line="360" w:lineRule="auto"/>
        <w:ind w:left="0" w:leftChars="0" w:right="0" w:firstLine="3507" w:firstLineChars="794"/>
        <w:rPr>
          <w:rFonts w:hint="eastAsia" w:ascii="宋体" w:hAnsi="宋体" w:eastAsia="宋体" w:cs="宋体"/>
          <w:b/>
          <w:bCs/>
          <w:color w:val="auto"/>
          <w:sz w:val="44"/>
        </w:rPr>
      </w:pPr>
    </w:p>
    <w:p w14:paraId="4B486769">
      <w:pPr>
        <w:pageBreakBefore w:val="0"/>
        <w:kinsoku/>
        <w:wordWrap/>
        <w:overflowPunct/>
        <w:topLinePunct w:val="0"/>
        <w:bidi w:val="0"/>
        <w:spacing w:beforeAutospacing="0" w:line="360" w:lineRule="auto"/>
        <w:ind w:left="0" w:leftChars="0" w:right="0" w:firstLine="1995" w:firstLineChars="552"/>
        <w:rPr>
          <w:rFonts w:hint="eastAsia" w:ascii="宋体" w:hAnsi="宋体" w:eastAsia="宋体" w:cs="宋体"/>
          <w:b/>
          <w:color w:val="auto"/>
          <w:sz w:val="36"/>
          <w:szCs w:val="36"/>
        </w:rPr>
      </w:pPr>
      <w:r>
        <w:rPr>
          <w:rFonts w:hint="eastAsia" w:ascii="宋体" w:hAnsi="宋体" w:eastAsia="宋体" w:cs="宋体"/>
          <w:b/>
          <w:color w:val="auto"/>
          <w:sz w:val="36"/>
          <w:szCs w:val="36"/>
        </w:rPr>
        <w:t>项目编号：</w:t>
      </w:r>
      <w:r>
        <w:rPr>
          <w:rFonts w:hint="eastAsia" w:ascii="宋体" w:hAnsi="宋体" w:cs="宋体"/>
          <w:b/>
          <w:color w:val="auto"/>
          <w:sz w:val="36"/>
          <w:szCs w:val="36"/>
          <w:u w:val="single"/>
          <w:lang w:eastAsia="zh-CN"/>
        </w:rPr>
        <w:t>NNZC2024-G3-990896-GXJZ</w:t>
      </w:r>
      <w:r>
        <w:rPr>
          <w:rFonts w:hint="eastAsia" w:ascii="宋体" w:hAnsi="宋体" w:eastAsia="宋体" w:cs="宋体"/>
          <w:b/>
          <w:color w:val="auto"/>
          <w:sz w:val="36"/>
          <w:szCs w:val="36"/>
          <w:u w:val="single"/>
        </w:rPr>
        <w:t xml:space="preserve"> </w:t>
      </w:r>
    </w:p>
    <w:p w14:paraId="6D74FF68">
      <w:pPr>
        <w:pageBreakBefore w:val="0"/>
        <w:kinsoku/>
        <w:wordWrap/>
        <w:overflowPunct/>
        <w:topLinePunct w:val="0"/>
        <w:bidi w:val="0"/>
        <w:spacing w:beforeAutospacing="0" w:line="360" w:lineRule="auto"/>
        <w:ind w:left="0" w:leftChars="0" w:right="0" w:firstLine="1995" w:firstLineChars="552"/>
        <w:rPr>
          <w:rFonts w:hint="eastAsia" w:ascii="宋体" w:hAnsi="宋体" w:eastAsia="宋体" w:cs="宋体"/>
          <w:b/>
          <w:color w:val="auto"/>
          <w:sz w:val="36"/>
          <w:szCs w:val="36"/>
        </w:rPr>
      </w:pPr>
      <w:r>
        <w:rPr>
          <w:rFonts w:hint="eastAsia" w:ascii="宋体" w:hAnsi="宋体" w:eastAsia="宋体" w:cs="宋体"/>
          <w:b/>
          <w:color w:val="auto"/>
          <w:sz w:val="36"/>
          <w:szCs w:val="36"/>
        </w:rPr>
        <w:t>计划编号：</w:t>
      </w:r>
      <w:r>
        <w:rPr>
          <w:rFonts w:hint="eastAsia" w:ascii="宋体" w:hAnsi="宋体" w:eastAsia="宋体" w:cs="宋体"/>
          <w:b/>
          <w:color w:val="auto"/>
          <w:sz w:val="36"/>
          <w:szCs w:val="36"/>
          <w:u w:val="single"/>
        </w:rPr>
        <w:t xml:space="preserve">  </w:t>
      </w:r>
      <w:r>
        <w:rPr>
          <w:rFonts w:hint="eastAsia" w:ascii="宋体" w:hAnsi="宋体" w:cs="宋体"/>
          <w:b/>
          <w:color w:val="auto"/>
          <w:sz w:val="36"/>
          <w:szCs w:val="36"/>
          <w:u w:val="single"/>
          <w:lang w:val="en-US" w:eastAsia="zh-CN"/>
        </w:rPr>
        <w:t xml:space="preserve">                     </w:t>
      </w:r>
      <w:r>
        <w:rPr>
          <w:rFonts w:hint="eastAsia" w:ascii="宋体" w:hAnsi="宋体" w:eastAsia="宋体" w:cs="宋体"/>
          <w:b/>
          <w:color w:val="auto"/>
          <w:sz w:val="36"/>
          <w:szCs w:val="36"/>
          <w:u w:val="single"/>
        </w:rPr>
        <w:t xml:space="preserve"> </w:t>
      </w:r>
    </w:p>
    <w:p w14:paraId="0A03BE99">
      <w:pPr>
        <w:pageBreakBefore w:val="0"/>
        <w:kinsoku/>
        <w:wordWrap/>
        <w:overflowPunct/>
        <w:topLinePunct w:val="0"/>
        <w:bidi w:val="0"/>
        <w:spacing w:beforeAutospacing="0" w:line="360" w:lineRule="auto"/>
        <w:ind w:left="0" w:leftChars="0" w:right="0" w:firstLine="1970" w:firstLineChars="545"/>
        <w:rPr>
          <w:rFonts w:hint="eastAsia" w:ascii="宋体" w:hAnsi="宋体" w:eastAsia="宋体" w:cs="宋体"/>
          <w:b/>
          <w:color w:val="auto"/>
          <w:sz w:val="36"/>
          <w:szCs w:val="36"/>
          <w:u w:val="single"/>
        </w:rPr>
      </w:pPr>
    </w:p>
    <w:p w14:paraId="37C2024E">
      <w:pPr>
        <w:pageBreakBefore w:val="0"/>
        <w:tabs>
          <w:tab w:val="left" w:pos="7200"/>
        </w:tabs>
        <w:kinsoku/>
        <w:wordWrap/>
        <w:overflowPunct/>
        <w:topLinePunct w:val="0"/>
        <w:bidi w:val="0"/>
        <w:spacing w:beforeAutospacing="0" w:line="360" w:lineRule="auto"/>
        <w:ind w:left="0" w:leftChars="0" w:right="0" w:firstLine="1995" w:firstLineChars="552"/>
        <w:rPr>
          <w:rFonts w:hint="eastAsia" w:ascii="宋体" w:hAnsi="宋体" w:eastAsia="宋体" w:cs="宋体"/>
          <w:b/>
          <w:color w:val="auto"/>
          <w:sz w:val="36"/>
          <w:szCs w:val="36"/>
          <w:u w:val="single"/>
        </w:rPr>
      </w:pPr>
      <w:r>
        <w:rPr>
          <w:rFonts w:hint="eastAsia" w:ascii="宋体" w:hAnsi="宋体" w:eastAsia="宋体" w:cs="宋体"/>
          <w:b/>
          <w:color w:val="auto"/>
          <w:sz w:val="36"/>
          <w:szCs w:val="36"/>
        </w:rPr>
        <w:t>采购人：</w:t>
      </w:r>
      <w:r>
        <w:rPr>
          <w:rFonts w:hint="eastAsia" w:ascii="宋体" w:hAnsi="宋体" w:eastAsia="宋体" w:cs="宋体"/>
          <w:b/>
          <w:color w:val="auto"/>
          <w:sz w:val="36"/>
          <w:szCs w:val="36"/>
          <w:u w:val="single"/>
        </w:rPr>
        <w:t xml:space="preserve"> </w:t>
      </w:r>
      <w:r>
        <w:rPr>
          <w:rFonts w:hint="eastAsia" w:ascii="宋体" w:hAnsi="宋体" w:cs="宋体"/>
          <w:b/>
          <w:color w:val="auto"/>
          <w:sz w:val="36"/>
          <w:szCs w:val="36"/>
          <w:u w:val="single"/>
          <w:lang w:eastAsia="zh-CN"/>
        </w:rPr>
        <w:t>南宁市第二看守所</w:t>
      </w:r>
      <w:r>
        <w:rPr>
          <w:rFonts w:hint="eastAsia" w:ascii="宋体" w:hAnsi="宋体" w:eastAsia="宋体" w:cs="宋体"/>
          <w:b/>
          <w:color w:val="auto"/>
          <w:sz w:val="36"/>
          <w:szCs w:val="36"/>
          <w:u w:val="single"/>
        </w:rPr>
        <w:t xml:space="preserve">  </w:t>
      </w:r>
    </w:p>
    <w:p w14:paraId="4F4929A7">
      <w:pPr>
        <w:pageBreakBefore w:val="0"/>
        <w:tabs>
          <w:tab w:val="left" w:pos="7380"/>
        </w:tabs>
        <w:kinsoku/>
        <w:wordWrap/>
        <w:overflowPunct/>
        <w:topLinePunct w:val="0"/>
        <w:bidi w:val="0"/>
        <w:spacing w:beforeAutospacing="0" w:line="360" w:lineRule="auto"/>
        <w:ind w:left="0" w:leftChars="0" w:right="0" w:firstLine="1995" w:firstLineChars="552"/>
        <w:rPr>
          <w:rFonts w:hint="eastAsia" w:ascii="宋体" w:hAnsi="宋体" w:eastAsia="宋体" w:cs="宋体"/>
          <w:b/>
          <w:bCs/>
          <w:color w:val="auto"/>
          <w:sz w:val="44"/>
        </w:rPr>
      </w:pPr>
      <w:r>
        <w:rPr>
          <w:rFonts w:hint="eastAsia" w:ascii="宋体" w:hAnsi="宋体" w:eastAsia="宋体" w:cs="宋体"/>
          <w:b/>
          <w:color w:val="auto"/>
          <w:sz w:val="36"/>
          <w:szCs w:val="36"/>
        </w:rPr>
        <w:t>中标供应商：</w:t>
      </w:r>
      <w:r>
        <w:rPr>
          <w:rFonts w:hint="eastAsia" w:ascii="宋体" w:hAnsi="宋体" w:eastAsia="宋体" w:cs="宋体"/>
          <w:b/>
          <w:color w:val="auto"/>
          <w:sz w:val="36"/>
          <w:szCs w:val="36"/>
          <w:u w:val="single"/>
        </w:rPr>
        <w:t xml:space="preserve">                   </w:t>
      </w:r>
    </w:p>
    <w:p w14:paraId="04C9E190">
      <w:pPr>
        <w:pageBreakBefore w:val="0"/>
        <w:tabs>
          <w:tab w:val="left" w:pos="7380"/>
        </w:tabs>
        <w:kinsoku/>
        <w:wordWrap/>
        <w:overflowPunct/>
        <w:topLinePunct w:val="0"/>
        <w:bidi w:val="0"/>
        <w:spacing w:beforeAutospacing="0" w:line="360" w:lineRule="auto"/>
        <w:ind w:left="0" w:leftChars="0" w:right="0"/>
        <w:rPr>
          <w:rFonts w:hint="eastAsia" w:ascii="宋体" w:hAnsi="宋体" w:eastAsia="宋体" w:cs="宋体"/>
          <w:b/>
          <w:bCs/>
          <w:color w:val="auto"/>
          <w:sz w:val="44"/>
        </w:rPr>
      </w:pPr>
    </w:p>
    <w:p w14:paraId="131D78DD">
      <w:pPr>
        <w:pageBreakBefore w:val="0"/>
        <w:kinsoku/>
        <w:wordWrap/>
        <w:overflowPunct/>
        <w:topLinePunct w:val="0"/>
        <w:bidi w:val="0"/>
        <w:spacing w:beforeAutospacing="0" w:line="360" w:lineRule="auto"/>
        <w:ind w:left="0" w:leftChars="0" w:right="0" w:firstLine="960" w:firstLineChars="400"/>
        <w:rPr>
          <w:rFonts w:hint="eastAsia" w:ascii="宋体" w:hAnsi="宋体" w:eastAsia="宋体" w:cs="宋体"/>
          <w:color w:val="auto"/>
          <w:sz w:val="24"/>
        </w:rPr>
      </w:pPr>
    </w:p>
    <w:p w14:paraId="44A8F5B9">
      <w:pPr>
        <w:pageBreakBefore w:val="0"/>
        <w:kinsoku/>
        <w:wordWrap/>
        <w:overflowPunct/>
        <w:topLinePunct w:val="0"/>
        <w:bidi w:val="0"/>
        <w:spacing w:beforeAutospacing="0" w:line="360" w:lineRule="auto"/>
        <w:ind w:left="0" w:leftChars="0" w:right="0" w:firstLine="960" w:firstLineChars="400"/>
        <w:rPr>
          <w:rFonts w:hint="eastAsia" w:ascii="宋体" w:hAnsi="宋体" w:eastAsia="宋体" w:cs="宋体"/>
          <w:color w:val="auto"/>
          <w:sz w:val="24"/>
        </w:rPr>
      </w:pPr>
    </w:p>
    <w:p w14:paraId="39EB8E19">
      <w:pPr>
        <w:pageBreakBefore w:val="0"/>
        <w:kinsoku/>
        <w:wordWrap/>
        <w:overflowPunct/>
        <w:topLinePunct w:val="0"/>
        <w:bidi w:val="0"/>
        <w:spacing w:beforeAutospacing="0" w:line="360" w:lineRule="auto"/>
        <w:ind w:left="0" w:leftChars="0" w:right="0" w:firstLine="2280" w:firstLineChars="950"/>
        <w:rPr>
          <w:rFonts w:hint="eastAsia" w:ascii="宋体" w:hAnsi="宋体" w:eastAsia="宋体" w:cs="宋体"/>
          <w:b/>
          <w:bCs/>
          <w:color w:val="auto"/>
          <w:sz w:val="44"/>
        </w:rPr>
      </w:pPr>
      <w:r>
        <w:rPr>
          <w:rFonts w:hint="eastAsia" w:ascii="宋体" w:hAnsi="宋体" w:eastAsia="宋体" w:cs="宋体"/>
          <w:color w:val="auto"/>
          <w:sz w:val="24"/>
        </w:rPr>
        <w:t>签订日期：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36B25477">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b/>
          <w:color w:val="auto"/>
          <w:sz w:val="24"/>
        </w:rPr>
      </w:pPr>
      <w:r>
        <w:rPr>
          <w:rFonts w:hint="eastAsia" w:ascii="宋体" w:hAnsi="宋体" w:eastAsia="宋体" w:cs="宋体"/>
          <w:b/>
          <w:bCs/>
          <w:color w:val="auto"/>
          <w:sz w:val="44"/>
        </w:rPr>
        <w:br w:type="page"/>
      </w:r>
      <w:r>
        <w:rPr>
          <w:rFonts w:hint="eastAsia" w:ascii="宋体" w:hAnsi="宋体" w:eastAsia="宋体" w:cs="宋体"/>
          <w:b/>
          <w:color w:val="auto"/>
          <w:sz w:val="24"/>
        </w:rPr>
        <w:t>合同目录</w:t>
      </w:r>
    </w:p>
    <w:p w14:paraId="25D151DB">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b/>
          <w:bCs/>
          <w:color w:val="auto"/>
          <w:sz w:val="44"/>
        </w:rPr>
      </w:pPr>
    </w:p>
    <w:p w14:paraId="53C913E2">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kern w:val="0"/>
          <w:sz w:val="24"/>
        </w:rPr>
      </w:pPr>
      <w:r>
        <w:rPr>
          <w:rFonts w:hint="eastAsia" w:ascii="宋体" w:hAnsi="宋体" w:eastAsia="宋体" w:cs="宋体"/>
          <w:color w:val="auto"/>
          <w:kern w:val="0"/>
          <w:sz w:val="24"/>
        </w:rPr>
        <w:t>一、</w:t>
      </w:r>
      <w:r>
        <w:rPr>
          <w:rFonts w:hint="eastAsia" w:ascii="宋体" w:hAnsi="宋体" w:eastAsia="宋体" w:cs="宋体"/>
          <w:color w:val="auto"/>
          <w:sz w:val="24"/>
        </w:rPr>
        <w:t>第一部分 合同书</w:t>
      </w:r>
      <w:r>
        <w:rPr>
          <w:rFonts w:hint="eastAsia" w:ascii="宋体" w:hAnsi="宋体" w:eastAsia="宋体" w:cs="宋体"/>
          <w:color w:val="auto"/>
          <w:kern w:val="0"/>
          <w:sz w:val="24"/>
        </w:rPr>
        <w:t>……………………………………………………………（页码）</w:t>
      </w:r>
    </w:p>
    <w:p w14:paraId="43E9E505">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kern w:val="0"/>
          <w:sz w:val="24"/>
        </w:rPr>
      </w:pPr>
      <w:r>
        <w:rPr>
          <w:rFonts w:hint="eastAsia" w:ascii="宋体" w:hAnsi="宋体" w:eastAsia="宋体" w:cs="宋体"/>
          <w:color w:val="auto"/>
          <w:kern w:val="0"/>
          <w:sz w:val="24"/>
        </w:rPr>
        <w:t>二、第二部分 合同一般条款……………………………………………………（页码）</w:t>
      </w:r>
    </w:p>
    <w:p w14:paraId="5F0E3B36">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kern w:val="0"/>
          <w:sz w:val="24"/>
        </w:rPr>
      </w:pPr>
      <w:r>
        <w:rPr>
          <w:rFonts w:hint="eastAsia" w:ascii="宋体" w:hAnsi="宋体" w:eastAsia="宋体" w:cs="宋体"/>
          <w:color w:val="auto"/>
          <w:kern w:val="0"/>
          <w:sz w:val="24"/>
        </w:rPr>
        <w:t>三、第三部分 合同专用条款……………………………………………………（页码）</w:t>
      </w:r>
    </w:p>
    <w:p w14:paraId="409169DB">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kern w:val="0"/>
          <w:sz w:val="24"/>
        </w:rPr>
      </w:pPr>
      <w:r>
        <w:rPr>
          <w:rFonts w:hint="eastAsia" w:ascii="宋体" w:hAnsi="宋体" w:eastAsia="宋体" w:cs="宋体"/>
          <w:color w:val="auto"/>
          <w:kern w:val="0"/>
          <w:sz w:val="24"/>
        </w:rPr>
        <w:t>四、</w:t>
      </w:r>
      <w:r>
        <w:rPr>
          <w:rFonts w:hint="eastAsia" w:ascii="宋体" w:hAnsi="宋体" w:eastAsia="宋体" w:cs="宋体"/>
          <w:color w:val="auto"/>
          <w:sz w:val="24"/>
        </w:rPr>
        <w:t>第四部分 合同附件</w:t>
      </w:r>
      <w:r>
        <w:rPr>
          <w:rFonts w:hint="eastAsia" w:ascii="宋体" w:hAnsi="宋体" w:eastAsia="宋体" w:cs="宋体"/>
          <w:color w:val="auto"/>
          <w:kern w:val="0"/>
          <w:sz w:val="24"/>
        </w:rPr>
        <w:t>…………………………………………………………（页码）</w:t>
      </w:r>
    </w:p>
    <w:p w14:paraId="1888294E">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kern w:val="0"/>
          <w:sz w:val="24"/>
        </w:rPr>
      </w:pPr>
      <w:r>
        <w:rPr>
          <w:rFonts w:hint="eastAsia" w:ascii="宋体" w:hAnsi="宋体" w:eastAsia="宋体" w:cs="宋体"/>
          <w:color w:val="auto"/>
          <w:kern w:val="0"/>
          <w:sz w:val="24"/>
        </w:rPr>
        <w:t>4.1中标通知书 …………………………………………………………………（页码）</w:t>
      </w:r>
    </w:p>
    <w:p w14:paraId="44B75D70">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kern w:val="0"/>
          <w:sz w:val="24"/>
        </w:rPr>
      </w:pPr>
      <w:r>
        <w:rPr>
          <w:rFonts w:hint="eastAsia" w:ascii="宋体" w:hAnsi="宋体" w:eastAsia="宋体" w:cs="宋体"/>
          <w:color w:val="auto"/>
          <w:kern w:val="0"/>
          <w:sz w:val="24"/>
        </w:rPr>
        <w:t>4.2招标文件服务需求一览表 …………………………………………………（页码）</w:t>
      </w:r>
    </w:p>
    <w:p w14:paraId="2A903005">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kern w:val="0"/>
          <w:sz w:val="24"/>
        </w:rPr>
      </w:pPr>
      <w:r>
        <w:rPr>
          <w:rFonts w:hint="eastAsia" w:ascii="宋体" w:hAnsi="宋体" w:eastAsia="宋体" w:cs="宋体"/>
          <w:color w:val="auto"/>
          <w:kern w:val="0"/>
          <w:sz w:val="24"/>
        </w:rPr>
        <w:t>4.3招标文件的更改通知（如有） ……………………………………………（页码）</w:t>
      </w:r>
    </w:p>
    <w:p w14:paraId="7F1879C0">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kern w:val="0"/>
          <w:sz w:val="24"/>
        </w:rPr>
      </w:pPr>
      <w:r>
        <w:rPr>
          <w:rFonts w:hint="eastAsia" w:ascii="宋体" w:hAnsi="宋体" w:eastAsia="宋体" w:cs="宋体"/>
          <w:color w:val="auto"/>
          <w:kern w:val="0"/>
          <w:sz w:val="24"/>
        </w:rPr>
        <w:t>4.4投标函 ………………………………………………………………………（页码）</w:t>
      </w:r>
    </w:p>
    <w:p w14:paraId="188325DF">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kern w:val="0"/>
          <w:sz w:val="24"/>
        </w:rPr>
      </w:pPr>
      <w:r>
        <w:rPr>
          <w:rFonts w:hint="eastAsia" w:ascii="宋体" w:hAnsi="宋体" w:eastAsia="宋体" w:cs="宋体"/>
          <w:color w:val="auto"/>
          <w:kern w:val="0"/>
          <w:sz w:val="24"/>
        </w:rPr>
        <w:t>4.5报价表 ………………………………………………………………………（页码）</w:t>
      </w:r>
    </w:p>
    <w:p w14:paraId="128DD3E9">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kern w:val="0"/>
          <w:sz w:val="24"/>
        </w:rPr>
      </w:pPr>
      <w:r>
        <w:rPr>
          <w:rFonts w:hint="eastAsia" w:ascii="宋体" w:hAnsi="宋体" w:eastAsia="宋体" w:cs="宋体"/>
          <w:color w:val="auto"/>
          <w:kern w:val="0"/>
          <w:sz w:val="24"/>
        </w:rPr>
        <w:t>4.6投标服务技术资料表 ………………………………………………………（页码）</w:t>
      </w:r>
    </w:p>
    <w:p w14:paraId="3EC2A44E">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kern w:val="0"/>
          <w:sz w:val="24"/>
        </w:rPr>
      </w:pPr>
      <w:r>
        <w:rPr>
          <w:rFonts w:hint="eastAsia" w:ascii="宋体" w:hAnsi="宋体" w:eastAsia="宋体" w:cs="宋体"/>
          <w:color w:val="auto"/>
          <w:kern w:val="0"/>
          <w:sz w:val="24"/>
        </w:rPr>
        <w:t>4.7商务条款偏离表 ……………………………………………………………（页码）</w:t>
      </w:r>
    </w:p>
    <w:p w14:paraId="5434FDED">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kern w:val="0"/>
          <w:sz w:val="24"/>
        </w:rPr>
      </w:pPr>
      <w:r>
        <w:rPr>
          <w:rFonts w:hint="eastAsia" w:ascii="宋体" w:hAnsi="宋体" w:eastAsia="宋体" w:cs="宋体"/>
          <w:color w:val="auto"/>
          <w:kern w:val="0"/>
          <w:sz w:val="24"/>
        </w:rPr>
        <w:t>4.8中标供应商澄清函（如有请提供） ………………………………………（页码）</w:t>
      </w:r>
    </w:p>
    <w:p w14:paraId="247A3676">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kern w:val="0"/>
          <w:sz w:val="24"/>
        </w:rPr>
      </w:pPr>
      <w:r>
        <w:rPr>
          <w:rFonts w:hint="eastAsia" w:ascii="宋体" w:hAnsi="宋体" w:eastAsia="宋体" w:cs="宋体"/>
          <w:color w:val="auto"/>
          <w:kern w:val="0"/>
          <w:sz w:val="24"/>
        </w:rPr>
        <w:t>4.9其他与本合同相关的资料（如有请提供） ………………………………（页码）</w:t>
      </w:r>
    </w:p>
    <w:p w14:paraId="1A8D7EC0">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kern w:val="0"/>
          <w:sz w:val="24"/>
        </w:rPr>
      </w:pPr>
    </w:p>
    <w:p w14:paraId="7F568687">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pacing w:val="-4"/>
          <w:sz w:val="18"/>
          <w:szCs w:val="20"/>
        </w:rPr>
        <w:sectPr>
          <w:pgSz w:w="11906" w:h="16838"/>
          <w:pgMar w:top="1134" w:right="1134" w:bottom="1134" w:left="1134" w:header="720" w:footer="720" w:gutter="0"/>
          <w:cols w:space="720" w:num="1"/>
          <w:docGrid w:type="lines" w:linePitch="331" w:charSpace="0"/>
        </w:sectPr>
      </w:pPr>
    </w:p>
    <w:p w14:paraId="6799F034">
      <w:pPr>
        <w:pageBreakBefore w:val="0"/>
        <w:kinsoku/>
        <w:wordWrap/>
        <w:overflowPunct/>
        <w:topLinePunct w:val="0"/>
        <w:autoSpaceDE w:val="0"/>
        <w:autoSpaceDN w:val="0"/>
        <w:bidi w:val="0"/>
        <w:adjustRightInd w:val="0"/>
        <w:snapToGrid w:val="0"/>
        <w:spacing w:beforeAutospacing="0" w:line="360" w:lineRule="auto"/>
        <w:ind w:left="0" w:leftChars="0" w:right="0" w:firstLine="562" w:firstLineChars="20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第一部分 合同书</w:t>
      </w:r>
    </w:p>
    <w:p w14:paraId="23590264">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年</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月</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日</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cs="宋体"/>
          <w:color w:val="auto"/>
          <w:sz w:val="24"/>
          <w:u w:val="single"/>
          <w:lang w:eastAsia="zh-CN"/>
        </w:rPr>
        <w:t>南宁市第二看守所</w:t>
      </w:r>
      <w:r>
        <w:rPr>
          <w:rFonts w:hint="eastAsia" w:ascii="宋体" w:hAnsi="宋体" w:eastAsia="宋体" w:cs="宋体"/>
          <w:color w:val="auto"/>
          <w:sz w:val="24"/>
          <w:u w:val="single"/>
        </w:rPr>
        <w:t xml:space="preserve">  </w:t>
      </w:r>
      <w:r>
        <w:rPr>
          <w:rFonts w:hint="eastAsia" w:ascii="宋体" w:hAnsi="宋体" w:eastAsia="宋体" w:cs="宋体"/>
          <w:color w:val="auto"/>
          <w:sz w:val="24"/>
        </w:rPr>
        <w:t>以</w:t>
      </w:r>
      <w:r>
        <w:rPr>
          <w:rFonts w:hint="eastAsia" w:ascii="宋体" w:hAnsi="宋体" w:eastAsia="宋体" w:cs="宋体"/>
          <w:color w:val="auto"/>
          <w:sz w:val="24"/>
          <w:u w:val="single"/>
        </w:rPr>
        <w:t xml:space="preserve">   公开招标方式  </w:t>
      </w:r>
      <w:r>
        <w:rPr>
          <w:rFonts w:hint="eastAsia" w:ascii="宋体" w:hAnsi="宋体" w:eastAsia="宋体" w:cs="宋体"/>
          <w:color w:val="auto"/>
          <w:sz w:val="24"/>
        </w:rPr>
        <w:t>对</w:t>
      </w:r>
      <w:r>
        <w:rPr>
          <w:rFonts w:hint="eastAsia" w:ascii="宋体" w:hAnsi="宋体" w:cs="宋体"/>
          <w:color w:val="auto"/>
          <w:sz w:val="24"/>
          <w:u w:val="single"/>
          <w:lang w:eastAsia="zh-CN"/>
        </w:rPr>
        <w:t>南宁市第二看守所在押人员伙房食材配送服务采购项目</w:t>
      </w:r>
      <w:r>
        <w:rPr>
          <w:rFonts w:hint="eastAsia" w:ascii="宋体" w:hAnsi="宋体" w:eastAsia="宋体" w:cs="宋体"/>
          <w:color w:val="auto"/>
          <w:sz w:val="24"/>
        </w:rPr>
        <w:t>项目进行了采购。经</w:t>
      </w:r>
      <w:r>
        <w:rPr>
          <w:rFonts w:hint="eastAsia" w:ascii="宋体" w:hAnsi="宋体" w:eastAsia="宋体" w:cs="宋体"/>
          <w:color w:val="auto"/>
          <w:sz w:val="24"/>
          <w:u w:val="single"/>
        </w:rPr>
        <w:t xml:space="preserve">   （相关评定主体名称）   </w:t>
      </w:r>
      <w:r>
        <w:rPr>
          <w:rFonts w:hint="eastAsia" w:ascii="宋体" w:hAnsi="宋体" w:eastAsia="宋体" w:cs="宋体"/>
          <w:color w:val="auto"/>
          <w:sz w:val="24"/>
        </w:rPr>
        <w:t>评定，</w:t>
      </w:r>
      <w:r>
        <w:rPr>
          <w:rFonts w:hint="eastAsia" w:ascii="宋体" w:hAnsi="宋体" w:eastAsia="宋体" w:cs="宋体"/>
          <w:color w:val="auto"/>
          <w:sz w:val="24"/>
          <w:u w:val="single"/>
        </w:rPr>
        <w:t xml:space="preserve">   （中标人名称）</w:t>
      </w:r>
      <w:r>
        <w:rPr>
          <w:rFonts w:hint="eastAsia" w:ascii="宋体" w:hAnsi="宋体" w:eastAsia="宋体" w:cs="宋体"/>
          <w:color w:val="auto"/>
          <w:sz w:val="24"/>
        </w:rPr>
        <w:t>为该项目中标人。现于中标通知书发出之日起</w:t>
      </w:r>
      <w:r>
        <w:rPr>
          <w:rFonts w:hint="eastAsia" w:ascii="宋体" w:hAnsi="宋体" w:eastAsia="宋体" w:cs="宋体"/>
          <w:color w:val="auto"/>
          <w:sz w:val="24"/>
          <w:u w:val="single"/>
        </w:rPr>
        <w:t xml:space="preserve">     </w:t>
      </w:r>
      <w:r>
        <w:rPr>
          <w:rFonts w:hint="eastAsia" w:ascii="宋体" w:hAnsi="宋体" w:eastAsia="宋体" w:cs="宋体"/>
          <w:color w:val="auto"/>
          <w:sz w:val="24"/>
        </w:rPr>
        <w:t>日内（根据项目实际情况填写，不能超过25日），按照采购文件确定的事项签订本合同。</w:t>
      </w:r>
    </w:p>
    <w:p w14:paraId="40826F08">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4"/>
          <w:u w:val="single"/>
        </w:rPr>
        <w:t xml:space="preserve"> </w:t>
      </w:r>
      <w:r>
        <w:rPr>
          <w:rFonts w:hint="eastAsia" w:ascii="宋体" w:hAnsi="宋体" w:cs="宋体"/>
          <w:color w:val="auto"/>
          <w:sz w:val="24"/>
          <w:u w:val="single"/>
          <w:lang w:eastAsia="zh-CN"/>
        </w:rPr>
        <w:t>南宁市第二看守所</w:t>
      </w:r>
      <w:r>
        <w:rPr>
          <w:rFonts w:hint="eastAsia" w:ascii="宋体" w:hAnsi="宋体" w:eastAsia="宋体" w:cs="宋体"/>
          <w:color w:val="auto"/>
          <w:sz w:val="24"/>
          <w:u w:val="single"/>
        </w:rPr>
        <w:t xml:space="preserve"> </w:t>
      </w:r>
      <w:r>
        <w:rPr>
          <w:rFonts w:hint="eastAsia" w:ascii="宋体" w:hAnsi="宋体" w:eastAsia="宋体" w:cs="宋体"/>
          <w:color w:val="auto"/>
          <w:sz w:val="24"/>
          <w:lang w:val="zh-CN"/>
        </w:rPr>
        <w:t>(以下简称：甲方)和</w:t>
      </w:r>
      <w:r>
        <w:rPr>
          <w:rFonts w:hint="eastAsia" w:ascii="宋体" w:hAnsi="宋体" w:eastAsia="宋体" w:cs="宋体"/>
          <w:color w:val="auto"/>
          <w:sz w:val="24"/>
          <w:u w:val="single"/>
        </w:rPr>
        <w:t xml:space="preserve">   （中标人名称）   </w:t>
      </w:r>
      <w:r>
        <w:rPr>
          <w:rFonts w:hint="eastAsia" w:ascii="宋体" w:hAnsi="宋体" w:eastAsia="宋体" w:cs="宋体"/>
          <w:color w:val="auto"/>
          <w:sz w:val="24"/>
          <w:lang w:val="zh-CN"/>
        </w:rPr>
        <w:t>(以下简称：乙方)协商一致，约定以下合同</w:t>
      </w:r>
      <w:r>
        <w:rPr>
          <w:rFonts w:hint="eastAsia" w:ascii="宋体" w:hAnsi="宋体" w:eastAsia="宋体" w:cs="宋体"/>
          <w:color w:val="auto"/>
          <w:sz w:val="24"/>
        </w:rPr>
        <w:t>条款，以兹共同遵守、全面履行。</w:t>
      </w:r>
    </w:p>
    <w:p w14:paraId="4425B93C">
      <w:pPr>
        <w:pageBreakBefore w:val="0"/>
        <w:kinsoku/>
        <w:wordWrap/>
        <w:overflowPunct/>
        <w:topLinePunct w:val="0"/>
        <w:bidi w:val="0"/>
        <w:spacing w:beforeAutospacing="0" w:line="360" w:lineRule="auto"/>
        <w:ind w:left="0" w:leftChars="0" w:right="0" w:firstLine="482" w:firstLineChars="200"/>
        <w:rPr>
          <w:rFonts w:hint="eastAsia" w:ascii="宋体" w:hAnsi="宋体" w:eastAsia="宋体" w:cs="宋体"/>
          <w:b/>
          <w:color w:val="auto"/>
          <w:sz w:val="24"/>
        </w:rPr>
      </w:pPr>
      <w:bookmarkStart w:id="168" w:name="_Toc2232"/>
      <w:bookmarkStart w:id="169" w:name="_Toc3029"/>
      <w:bookmarkStart w:id="170" w:name="_Toc24059"/>
      <w:r>
        <w:rPr>
          <w:rFonts w:hint="eastAsia" w:ascii="宋体" w:hAnsi="宋体" w:eastAsia="宋体" w:cs="宋体"/>
          <w:b/>
          <w:color w:val="auto"/>
          <w:sz w:val="24"/>
        </w:rPr>
        <w:t>1.1 合同组成部分</w:t>
      </w:r>
      <w:bookmarkEnd w:id="168"/>
      <w:bookmarkEnd w:id="169"/>
      <w:bookmarkEnd w:id="170"/>
    </w:p>
    <w:p w14:paraId="72999AEC">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下列文件为本合同的组成部分，并构成一个整体，需综合解释、相互补充。如果下列文件内容出现不一致的情形，在保证按照采购文件确定的事项的前提下，组成本合同的多个文件的优先适用顺序如下：</w:t>
      </w:r>
    </w:p>
    <w:p w14:paraId="5CF3C0C9">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1.1.1 本合同及其补充合同、变更协议；</w:t>
      </w:r>
    </w:p>
    <w:p w14:paraId="4EE7D386">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1.1.2 中标通知书；</w:t>
      </w:r>
    </w:p>
    <w:p w14:paraId="2B4EAE6B">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1.1.3 投标文件及“投标报价”（含澄清或者说明文件）；</w:t>
      </w:r>
    </w:p>
    <w:p w14:paraId="6D248B53">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1.1.4 招标文件（含澄清或者修改文件）；</w:t>
      </w:r>
    </w:p>
    <w:p w14:paraId="186AD141">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1.1.5 其他相关采购文件。</w:t>
      </w:r>
    </w:p>
    <w:p w14:paraId="68469FF5">
      <w:pPr>
        <w:pageBreakBefore w:val="0"/>
        <w:kinsoku/>
        <w:wordWrap/>
        <w:overflowPunct/>
        <w:topLinePunct w:val="0"/>
        <w:bidi w:val="0"/>
        <w:spacing w:beforeAutospacing="0" w:line="360" w:lineRule="auto"/>
        <w:ind w:left="0" w:leftChars="0" w:right="0" w:firstLine="482" w:firstLineChars="200"/>
        <w:rPr>
          <w:rFonts w:hint="eastAsia" w:ascii="宋体" w:hAnsi="宋体" w:eastAsia="宋体" w:cs="宋体"/>
          <w:b/>
          <w:color w:val="auto"/>
          <w:sz w:val="24"/>
        </w:rPr>
      </w:pPr>
      <w:bookmarkStart w:id="171" w:name="_Toc27126"/>
      <w:bookmarkStart w:id="172" w:name="_Toc24300"/>
      <w:bookmarkStart w:id="173" w:name="_Toc21295"/>
      <w:r>
        <w:rPr>
          <w:rFonts w:hint="eastAsia" w:ascii="宋体" w:hAnsi="宋体" w:eastAsia="宋体" w:cs="宋体"/>
          <w:b/>
          <w:color w:val="auto"/>
          <w:sz w:val="24"/>
        </w:rPr>
        <w:t>1.2 标的物</w:t>
      </w:r>
      <w:bookmarkEnd w:id="171"/>
      <w:bookmarkEnd w:id="172"/>
      <w:bookmarkEnd w:id="173"/>
    </w:p>
    <w:p w14:paraId="1051FEE1">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1.2.1 标的物1信息</w:t>
      </w:r>
    </w:p>
    <w:p w14:paraId="08A1791D">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1.2.1.1名称：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136AAEA0">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1.2.1.2数量：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37B7EDCC">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1.2.1.3质量：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81A385D">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w:t>
      </w:r>
    </w:p>
    <w:p w14:paraId="32E420B7">
      <w:pPr>
        <w:pageBreakBefore w:val="0"/>
        <w:kinsoku/>
        <w:wordWrap/>
        <w:overflowPunct/>
        <w:topLinePunct w:val="0"/>
        <w:bidi w:val="0"/>
        <w:spacing w:beforeAutospacing="0" w:line="360" w:lineRule="auto"/>
        <w:ind w:left="0" w:leftChars="0" w:right="0" w:firstLine="482" w:firstLineChars="200"/>
        <w:rPr>
          <w:rFonts w:hint="eastAsia" w:ascii="宋体" w:hAnsi="宋体" w:eastAsia="宋体" w:cs="宋体"/>
          <w:b/>
          <w:color w:val="auto"/>
          <w:sz w:val="24"/>
        </w:rPr>
      </w:pPr>
      <w:bookmarkStart w:id="174" w:name="_Toc23292"/>
      <w:bookmarkStart w:id="175" w:name="_Toc21631"/>
      <w:bookmarkStart w:id="176" w:name="_Toc21551"/>
      <w:r>
        <w:rPr>
          <w:rFonts w:hint="eastAsia" w:ascii="宋体" w:hAnsi="宋体" w:eastAsia="宋体" w:cs="宋体"/>
          <w:b/>
          <w:color w:val="auto"/>
          <w:sz w:val="24"/>
        </w:rPr>
        <w:t>1.3 价款</w:t>
      </w:r>
      <w:bookmarkEnd w:id="174"/>
      <w:bookmarkEnd w:id="175"/>
      <w:bookmarkEnd w:id="176"/>
    </w:p>
    <w:p w14:paraId="7ACF0776">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本合同总价为：人民币</w:t>
      </w:r>
      <w:r>
        <w:rPr>
          <w:rFonts w:hint="eastAsia" w:ascii="宋体" w:hAnsi="宋体" w:eastAsia="宋体" w:cs="宋体"/>
          <w:color w:val="auto"/>
          <w:sz w:val="24"/>
          <w:u w:val="single"/>
        </w:rPr>
        <w:t xml:space="preserve">           </w:t>
      </w:r>
      <w:r>
        <w:rPr>
          <w:rFonts w:hint="eastAsia" w:ascii="宋体" w:hAnsi="宋体" w:eastAsia="宋体" w:cs="宋体"/>
          <w:color w:val="auto"/>
          <w:sz w:val="24"/>
        </w:rPr>
        <w:t>元（大写：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元人民币，含税）。</w:t>
      </w:r>
    </w:p>
    <w:p w14:paraId="066FAE3D">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分项价格：</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2F7D1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42B5CA43">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序号</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3C0CCF0E">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分项名称</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5465D192">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分项价格</w:t>
            </w:r>
          </w:p>
        </w:tc>
      </w:tr>
      <w:tr w14:paraId="0C2D4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25AB1B36">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1C7E465D">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2718ADCB">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p>
        </w:tc>
      </w:tr>
      <w:tr w14:paraId="7D11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7166F035">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7D89C8D6">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40FE5F0F">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p>
        </w:tc>
      </w:tr>
      <w:tr w14:paraId="3A259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478DA1E6">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6D39E52D">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5B57F618">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p>
        </w:tc>
      </w:tr>
      <w:tr w14:paraId="6714B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noWrap w:val="0"/>
            <w:vAlign w:val="center"/>
          </w:tcPr>
          <w:p w14:paraId="6B8EB1FF">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总价</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6608FA1C">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p>
        </w:tc>
      </w:tr>
    </w:tbl>
    <w:p w14:paraId="670910CD">
      <w:pPr>
        <w:pageBreakBefore w:val="0"/>
        <w:kinsoku/>
        <w:wordWrap/>
        <w:overflowPunct/>
        <w:topLinePunct w:val="0"/>
        <w:bidi w:val="0"/>
        <w:spacing w:beforeAutospacing="0" w:line="360" w:lineRule="auto"/>
        <w:ind w:left="0" w:leftChars="0" w:right="0" w:firstLine="482" w:firstLineChars="200"/>
        <w:rPr>
          <w:rFonts w:hint="eastAsia" w:ascii="宋体" w:hAnsi="宋体" w:eastAsia="宋体" w:cs="宋体"/>
          <w:b/>
          <w:color w:val="auto"/>
          <w:sz w:val="24"/>
        </w:rPr>
      </w:pPr>
      <w:bookmarkStart w:id="177" w:name="_Toc22618"/>
      <w:bookmarkStart w:id="178" w:name="_Toc10340"/>
      <w:bookmarkStart w:id="179" w:name="_Toc1814"/>
      <w:r>
        <w:rPr>
          <w:rFonts w:hint="eastAsia" w:ascii="宋体" w:hAnsi="宋体" w:eastAsia="宋体" w:cs="宋体"/>
          <w:b/>
          <w:color w:val="auto"/>
          <w:sz w:val="24"/>
        </w:rPr>
        <w:t>1.4 付款方式和发票开具方式</w:t>
      </w:r>
      <w:bookmarkEnd w:id="177"/>
      <w:bookmarkEnd w:id="178"/>
      <w:bookmarkEnd w:id="179"/>
    </w:p>
    <w:p w14:paraId="6DABE877">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1.4.1 付款方式：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FE7421D">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1.4.2 发票开具方式：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76B4680">
      <w:pPr>
        <w:pageBreakBefore w:val="0"/>
        <w:kinsoku/>
        <w:wordWrap/>
        <w:overflowPunct/>
        <w:topLinePunct w:val="0"/>
        <w:bidi w:val="0"/>
        <w:spacing w:beforeAutospacing="0" w:line="360" w:lineRule="auto"/>
        <w:ind w:left="0" w:leftChars="0" w:right="0" w:firstLine="482" w:firstLineChars="200"/>
        <w:rPr>
          <w:rFonts w:hint="eastAsia" w:ascii="宋体" w:hAnsi="宋体" w:eastAsia="宋体" w:cs="宋体"/>
          <w:b/>
          <w:color w:val="auto"/>
          <w:sz w:val="24"/>
        </w:rPr>
      </w:pPr>
      <w:bookmarkStart w:id="180" w:name="_Toc32071"/>
      <w:bookmarkStart w:id="181" w:name="_Toc19304"/>
      <w:bookmarkStart w:id="182" w:name="_Toc2846"/>
      <w:r>
        <w:rPr>
          <w:rFonts w:hint="eastAsia" w:ascii="宋体" w:hAnsi="宋体" w:eastAsia="宋体" w:cs="宋体"/>
          <w:b/>
          <w:color w:val="auto"/>
          <w:sz w:val="24"/>
        </w:rPr>
        <w:t>1.5 标的物交付期限、地点、方式</w:t>
      </w:r>
      <w:bookmarkEnd w:id="180"/>
      <w:bookmarkEnd w:id="181"/>
      <w:bookmarkEnd w:id="182"/>
      <w:r>
        <w:rPr>
          <w:rFonts w:hint="eastAsia" w:ascii="宋体" w:hAnsi="宋体" w:eastAsia="宋体" w:cs="宋体"/>
          <w:b/>
          <w:color w:val="auto"/>
          <w:sz w:val="24"/>
        </w:rPr>
        <w:t>和服务期限</w:t>
      </w:r>
    </w:p>
    <w:p w14:paraId="3493EC09">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1.5.1 交付期限：</w:t>
      </w:r>
      <w:r>
        <w:rPr>
          <w:rFonts w:hint="eastAsia" w:ascii="宋体" w:hAnsi="宋体" w:eastAsia="宋体" w:cs="宋体"/>
          <w:color w:val="auto"/>
          <w:sz w:val="24"/>
          <w:u w:val="single"/>
        </w:rPr>
        <w:t xml:space="preserve">                                                 ；</w:t>
      </w:r>
    </w:p>
    <w:p w14:paraId="001BA892">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1.5.2 交付地点：</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0F43A6C">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1.5.3 交付方式：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30CF4CA0">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1.5.4 服务及质保期限：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302EF2B">
      <w:pPr>
        <w:pageBreakBefore w:val="0"/>
        <w:kinsoku/>
        <w:wordWrap/>
        <w:overflowPunct/>
        <w:topLinePunct w:val="0"/>
        <w:bidi w:val="0"/>
        <w:spacing w:beforeAutospacing="0" w:line="360" w:lineRule="auto"/>
        <w:ind w:left="0" w:leftChars="0" w:right="0" w:firstLine="482" w:firstLineChars="200"/>
        <w:rPr>
          <w:rFonts w:hint="eastAsia" w:ascii="宋体" w:hAnsi="宋体" w:eastAsia="宋体" w:cs="宋体"/>
          <w:b/>
          <w:color w:val="auto"/>
          <w:sz w:val="24"/>
        </w:rPr>
      </w:pPr>
      <w:bookmarkStart w:id="183" w:name="_Toc21423"/>
      <w:bookmarkStart w:id="184" w:name="_Toc19554"/>
      <w:bookmarkStart w:id="185" w:name="_Toc27250"/>
      <w:r>
        <w:rPr>
          <w:rFonts w:hint="eastAsia" w:ascii="宋体" w:hAnsi="宋体" w:eastAsia="宋体" w:cs="宋体"/>
          <w:b/>
          <w:color w:val="auto"/>
          <w:sz w:val="24"/>
        </w:rPr>
        <w:t>1.6 违约责任</w:t>
      </w:r>
      <w:bookmarkEnd w:id="183"/>
      <w:bookmarkEnd w:id="184"/>
      <w:bookmarkEnd w:id="185"/>
    </w:p>
    <w:p w14:paraId="7E579A3F">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eastAsia="宋体" w:cs="宋体"/>
          <w:color w:val="auto"/>
          <w:sz w:val="24"/>
          <w:u w:val="single"/>
        </w:rPr>
        <w:t xml:space="preserve">       </w:t>
      </w:r>
      <w:r>
        <w:rPr>
          <w:rFonts w:hint="eastAsia" w:ascii="宋体" w:hAnsi="宋体" w:eastAsia="宋体" w:cs="宋体"/>
          <w:color w:val="auto"/>
          <w:sz w:val="24"/>
        </w:rPr>
        <w:t>（根据项目实际填写，一般为万分之五）计算，最高限额为本合同总价的</w:t>
      </w:r>
      <w:r>
        <w:rPr>
          <w:rFonts w:hint="eastAsia" w:ascii="宋体" w:hAnsi="宋体" w:eastAsia="宋体" w:cs="宋体"/>
          <w:color w:val="auto"/>
          <w:sz w:val="24"/>
          <w:u w:val="single"/>
        </w:rPr>
        <w:t xml:space="preserve">     </w:t>
      </w:r>
      <w:r>
        <w:rPr>
          <w:rFonts w:hint="eastAsia" w:ascii="宋体" w:hAnsi="宋体" w:eastAsia="宋体" w:cs="宋体"/>
          <w:color w:val="auto"/>
          <w:sz w:val="24"/>
        </w:rPr>
        <w:t>%（根据项目实际填写，一般为20%）；迟延超过【  】（根据项目实际填写）日的，甲方有权在要求乙方支付违约金的同时，书面通知乙方解除本合同，乙方应退回全部已收取的合同价款并按合同总金额的</w:t>
      </w:r>
      <w:r>
        <w:rPr>
          <w:rFonts w:hint="eastAsia" w:ascii="宋体" w:hAnsi="宋体" w:eastAsia="宋体" w:cs="宋体"/>
          <w:color w:val="auto"/>
          <w:sz w:val="24"/>
          <w:u w:val="single"/>
        </w:rPr>
        <w:t xml:space="preserve">    </w:t>
      </w:r>
      <w:r>
        <w:rPr>
          <w:rFonts w:hint="eastAsia" w:ascii="宋体" w:hAnsi="宋体" w:eastAsia="宋体" w:cs="宋体"/>
          <w:color w:val="auto"/>
          <w:sz w:val="24"/>
        </w:rPr>
        <w:t>（根据项目实际填写，一般为20%）向甲方支付违约金；</w:t>
      </w:r>
    </w:p>
    <w:p w14:paraId="49986D81">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1.6.2 除不可抗力外，如果甲方没有按照本合同约定的付款方式付款，乙方可要求甲方支付违约金，违约金按每迟延付款一日的应付而未付款的</w:t>
      </w:r>
      <w:r>
        <w:rPr>
          <w:rFonts w:hint="eastAsia" w:ascii="宋体" w:hAnsi="宋体" w:eastAsia="宋体" w:cs="宋体"/>
          <w:color w:val="auto"/>
          <w:sz w:val="24"/>
          <w:u w:val="single"/>
        </w:rPr>
        <w:t xml:space="preserve">       </w:t>
      </w:r>
      <w:r>
        <w:rPr>
          <w:rFonts w:hint="eastAsia" w:ascii="宋体" w:hAnsi="宋体" w:eastAsia="宋体" w:cs="宋体"/>
          <w:color w:val="auto"/>
          <w:sz w:val="24"/>
        </w:rPr>
        <w:t>（根据项目实际填写，一般为万分之五）计算，最高限额为欠付金额的</w:t>
      </w:r>
      <w:r>
        <w:rPr>
          <w:rFonts w:hint="eastAsia" w:ascii="宋体" w:hAnsi="宋体" w:eastAsia="宋体" w:cs="宋体"/>
          <w:color w:val="auto"/>
          <w:sz w:val="24"/>
          <w:u w:val="single"/>
        </w:rPr>
        <w:t xml:space="preserve">     </w:t>
      </w:r>
      <w:r>
        <w:rPr>
          <w:rFonts w:hint="eastAsia" w:ascii="宋体" w:hAnsi="宋体" w:eastAsia="宋体" w:cs="宋体"/>
          <w:color w:val="auto"/>
          <w:sz w:val="24"/>
        </w:rPr>
        <w:t>%（根据项目实际填写，一般为20%）；迟延付款的违约金计算数额达到前述最高限额之日起，乙方有权在要求甲方支付违约金的同时，书面通知甲方解除本合同；</w:t>
      </w:r>
    </w:p>
    <w:p w14:paraId="66A5600C">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E18BD59">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1.6.4乙方在质保期内未按承诺提供售后等服务的，每发生一次向甲方支付违约金额</w:t>
      </w:r>
      <w:r>
        <w:rPr>
          <w:rFonts w:hint="eastAsia" w:ascii="宋体" w:hAnsi="宋体" w:eastAsia="宋体" w:cs="宋体"/>
          <w:color w:val="auto"/>
          <w:sz w:val="24"/>
          <w:u w:val="single"/>
        </w:rPr>
        <w:t xml:space="preserve">        </w:t>
      </w:r>
      <w:r>
        <w:rPr>
          <w:rFonts w:hint="eastAsia" w:ascii="宋体" w:hAnsi="宋体" w:eastAsia="宋体" w:cs="宋体"/>
          <w:color w:val="auto"/>
          <w:sz w:val="24"/>
        </w:rPr>
        <w:t>元。（根据项目实际填写）</w:t>
      </w:r>
    </w:p>
    <w:p w14:paraId="5A9FB828">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F963D71">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13B580A">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1.6.7 如果出现政府采购监督管理部门在处理投诉事项期间，书面通知甲方暂停采购活动的情形，或者询问或质疑事项可能影响中标结果的，导致甲方中止履行合同的情形，均不视为甲方违约。</w:t>
      </w:r>
    </w:p>
    <w:p w14:paraId="58DB12FE">
      <w:pPr>
        <w:pageBreakBefore w:val="0"/>
        <w:kinsoku/>
        <w:wordWrap/>
        <w:overflowPunct/>
        <w:topLinePunct w:val="0"/>
        <w:bidi w:val="0"/>
        <w:spacing w:beforeAutospacing="0" w:line="360" w:lineRule="auto"/>
        <w:ind w:left="0" w:leftChars="0" w:right="0" w:firstLine="482" w:firstLineChars="200"/>
        <w:rPr>
          <w:rFonts w:hint="eastAsia" w:ascii="宋体" w:hAnsi="宋体" w:eastAsia="宋体" w:cs="宋体"/>
          <w:b/>
          <w:color w:val="auto"/>
          <w:sz w:val="24"/>
        </w:rPr>
      </w:pPr>
      <w:bookmarkStart w:id="186" w:name="_Toc15583"/>
      <w:bookmarkStart w:id="187" w:name="_Toc16021"/>
      <w:bookmarkStart w:id="188" w:name="_Toc28375"/>
      <w:r>
        <w:rPr>
          <w:rFonts w:hint="eastAsia" w:ascii="宋体" w:hAnsi="宋体" w:eastAsia="宋体" w:cs="宋体"/>
          <w:b/>
          <w:color w:val="auto"/>
          <w:sz w:val="24"/>
        </w:rPr>
        <w:t>1.7 合同争议的解决</w:t>
      </w:r>
      <w:bookmarkEnd w:id="186"/>
      <w:bookmarkEnd w:id="187"/>
      <w:bookmarkEnd w:id="188"/>
    </w:p>
    <w:p w14:paraId="6E2BA85F">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本合同履行过程中发生的任何争议，双方当事人均应通过友好协商的方式和解或者调解解决；不愿和解、调解或者和解、调解不成的，可以选择下列第</w:t>
      </w:r>
      <w:r>
        <w:rPr>
          <w:rFonts w:hint="eastAsia" w:ascii="宋体" w:hAnsi="宋体" w:eastAsia="宋体" w:cs="宋体"/>
          <w:color w:val="auto"/>
          <w:sz w:val="24"/>
          <w:u w:val="single"/>
        </w:rPr>
        <w:t xml:space="preserve">     </w:t>
      </w:r>
      <w:r>
        <w:rPr>
          <w:rFonts w:hint="eastAsia" w:ascii="宋体" w:hAnsi="宋体" w:eastAsia="宋体" w:cs="宋体"/>
          <w:color w:val="auto"/>
          <w:sz w:val="24"/>
        </w:rPr>
        <w:t>种方式解决：</w:t>
      </w:r>
    </w:p>
    <w:p w14:paraId="52EDE596">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1.7.1 将争议提交</w:t>
      </w:r>
      <w:r>
        <w:rPr>
          <w:rFonts w:hint="eastAsia" w:ascii="宋体" w:hAnsi="宋体" w:eastAsia="宋体" w:cs="宋体"/>
          <w:color w:val="auto"/>
          <w:sz w:val="24"/>
          <w:u w:val="single"/>
        </w:rPr>
        <w:t>南宁市</w:t>
      </w:r>
      <w:r>
        <w:rPr>
          <w:rFonts w:hint="eastAsia" w:ascii="宋体" w:hAnsi="宋体" w:eastAsia="宋体" w:cs="宋体"/>
          <w:color w:val="auto"/>
          <w:sz w:val="24"/>
        </w:rPr>
        <w:t>仲裁委员会依申请仲裁时其现行有效的仲裁规则裁决；</w:t>
      </w:r>
    </w:p>
    <w:p w14:paraId="11B0264B">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1.7.2 向</w:t>
      </w:r>
      <w:r>
        <w:rPr>
          <w:rFonts w:hint="eastAsia" w:ascii="宋体" w:hAnsi="宋体" w:eastAsia="宋体" w:cs="宋体"/>
          <w:color w:val="auto"/>
          <w:sz w:val="24"/>
          <w:u w:val="single"/>
        </w:rPr>
        <w:t xml:space="preserve">   甲方所在地    有管辖权的</w:t>
      </w:r>
      <w:r>
        <w:rPr>
          <w:rFonts w:hint="eastAsia" w:ascii="宋体" w:hAnsi="宋体" w:eastAsia="宋体" w:cs="宋体"/>
          <w:color w:val="auto"/>
          <w:sz w:val="24"/>
        </w:rPr>
        <w:t>人民法院起诉。</w:t>
      </w:r>
    </w:p>
    <w:p w14:paraId="6B3CC801">
      <w:pPr>
        <w:pageBreakBefore w:val="0"/>
        <w:kinsoku/>
        <w:wordWrap/>
        <w:overflowPunct/>
        <w:topLinePunct w:val="0"/>
        <w:bidi w:val="0"/>
        <w:spacing w:beforeAutospacing="0" w:line="360" w:lineRule="auto"/>
        <w:ind w:left="0" w:leftChars="0" w:right="0" w:firstLine="482" w:firstLineChars="200"/>
        <w:rPr>
          <w:rFonts w:hint="eastAsia" w:ascii="宋体" w:hAnsi="宋体" w:eastAsia="宋体" w:cs="宋体"/>
          <w:b/>
          <w:color w:val="auto"/>
          <w:sz w:val="24"/>
        </w:rPr>
      </w:pPr>
      <w:bookmarkStart w:id="189" w:name="_Toc11173"/>
      <w:bookmarkStart w:id="190" w:name="_Toc7245"/>
      <w:bookmarkStart w:id="191" w:name="_Toc15322"/>
      <w:r>
        <w:rPr>
          <w:rFonts w:hint="eastAsia" w:ascii="宋体" w:hAnsi="宋体" w:eastAsia="宋体" w:cs="宋体"/>
          <w:b/>
          <w:color w:val="auto"/>
          <w:sz w:val="24"/>
        </w:rPr>
        <w:t>1.8 合同生效</w:t>
      </w:r>
      <w:bookmarkEnd w:id="189"/>
      <w:bookmarkEnd w:id="190"/>
      <w:bookmarkEnd w:id="191"/>
    </w:p>
    <w:p w14:paraId="3FEA6503">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b/>
          <w:color w:val="auto"/>
          <w:sz w:val="24"/>
        </w:rPr>
      </w:pPr>
      <w:r>
        <w:rPr>
          <w:rFonts w:hint="eastAsia" w:ascii="宋体" w:hAnsi="宋体" w:eastAsia="宋体" w:cs="宋体"/>
          <w:color w:val="auto"/>
          <w:sz w:val="24"/>
        </w:rPr>
        <w:t>本合同自双方当事人加盖有效电子公章时生效。</w:t>
      </w:r>
    </w:p>
    <w:p w14:paraId="7E734CD7">
      <w:pPr>
        <w:pageBreakBefore w:val="0"/>
        <w:kinsoku/>
        <w:wordWrap/>
        <w:overflowPunct/>
        <w:topLinePunct w:val="0"/>
        <w:bidi w:val="0"/>
        <w:spacing w:beforeAutospacing="0" w:line="360" w:lineRule="auto"/>
        <w:ind w:left="0" w:leftChars="0" w:right="0" w:firstLine="200"/>
        <w:rPr>
          <w:rFonts w:hint="eastAsia" w:ascii="宋体" w:hAnsi="宋体" w:eastAsia="宋体" w:cs="宋体"/>
          <w:color w:val="auto"/>
          <w:sz w:val="24"/>
          <w:lang w:val="zh-CN"/>
        </w:rPr>
      </w:pPr>
      <w:r>
        <w:rPr>
          <w:rFonts w:hint="eastAsia" w:ascii="宋体" w:hAnsi="宋体" w:eastAsia="宋体" w:cs="宋体"/>
          <w:color w:val="auto"/>
          <w:sz w:val="24"/>
          <w:lang w:val="zh-CN"/>
        </w:rPr>
        <w:t>甲方：                                  乙方：</w:t>
      </w:r>
    </w:p>
    <w:p w14:paraId="7A13DE6A">
      <w:pPr>
        <w:pageBreakBefore w:val="0"/>
        <w:kinsoku/>
        <w:wordWrap/>
        <w:overflowPunct/>
        <w:topLinePunct w:val="0"/>
        <w:bidi w:val="0"/>
        <w:spacing w:beforeAutospacing="0" w:line="360" w:lineRule="auto"/>
        <w:ind w:left="0" w:leftChars="0" w:right="0" w:firstLine="200"/>
        <w:rPr>
          <w:rFonts w:hint="eastAsia" w:ascii="宋体" w:hAnsi="宋体" w:eastAsia="宋体" w:cs="宋体"/>
          <w:color w:val="auto"/>
          <w:sz w:val="24"/>
          <w:lang w:val="zh-CN"/>
        </w:rPr>
      </w:pPr>
      <w:r>
        <w:rPr>
          <w:rFonts w:hint="eastAsia" w:ascii="宋体" w:hAnsi="宋体" w:eastAsia="宋体" w:cs="宋体"/>
          <w:color w:val="auto"/>
          <w:sz w:val="24"/>
          <w:lang w:val="zh-CN"/>
        </w:rPr>
        <w:t>统一社会信用代码：                      统一社会信用代码或身份证号码：</w:t>
      </w:r>
    </w:p>
    <w:p w14:paraId="47348204">
      <w:pPr>
        <w:pageBreakBefore w:val="0"/>
        <w:kinsoku/>
        <w:wordWrap/>
        <w:overflowPunct/>
        <w:topLinePunct w:val="0"/>
        <w:bidi w:val="0"/>
        <w:spacing w:beforeAutospacing="0" w:line="360" w:lineRule="auto"/>
        <w:ind w:left="0" w:leftChars="0" w:right="0" w:firstLine="200"/>
        <w:rPr>
          <w:rFonts w:hint="eastAsia" w:ascii="宋体" w:hAnsi="宋体" w:eastAsia="宋体" w:cs="宋体"/>
          <w:color w:val="auto"/>
          <w:sz w:val="24"/>
          <w:lang w:val="zh-CN"/>
        </w:rPr>
      </w:pPr>
    </w:p>
    <w:p w14:paraId="42ACACEC">
      <w:pPr>
        <w:pageBreakBefore w:val="0"/>
        <w:kinsoku/>
        <w:wordWrap/>
        <w:overflowPunct/>
        <w:topLinePunct w:val="0"/>
        <w:bidi w:val="0"/>
        <w:spacing w:beforeAutospacing="0" w:line="360" w:lineRule="auto"/>
        <w:ind w:left="0" w:leftChars="0" w:right="0" w:firstLine="200"/>
        <w:rPr>
          <w:rFonts w:hint="eastAsia" w:ascii="宋体" w:hAnsi="宋体" w:eastAsia="宋体" w:cs="宋体"/>
          <w:color w:val="auto"/>
          <w:sz w:val="24"/>
          <w:lang w:val="zh-CN"/>
        </w:rPr>
      </w:pPr>
      <w:r>
        <w:rPr>
          <w:rFonts w:hint="eastAsia" w:ascii="宋体" w:hAnsi="宋体" w:eastAsia="宋体" w:cs="宋体"/>
          <w:color w:val="auto"/>
          <w:sz w:val="24"/>
          <w:lang w:val="zh-CN"/>
        </w:rPr>
        <w:t>住所：                                   住所：</w:t>
      </w:r>
    </w:p>
    <w:p w14:paraId="13F99927">
      <w:pPr>
        <w:pageBreakBefore w:val="0"/>
        <w:kinsoku/>
        <w:wordWrap/>
        <w:overflowPunct/>
        <w:topLinePunct w:val="0"/>
        <w:bidi w:val="0"/>
        <w:spacing w:beforeAutospacing="0" w:line="360" w:lineRule="auto"/>
        <w:ind w:left="0" w:leftChars="0" w:right="0" w:firstLine="200"/>
        <w:rPr>
          <w:rFonts w:hint="eastAsia" w:ascii="宋体" w:hAnsi="宋体" w:eastAsia="宋体" w:cs="宋体"/>
          <w:color w:val="auto"/>
          <w:sz w:val="24"/>
          <w:lang w:val="zh-CN"/>
        </w:rPr>
      </w:pPr>
      <w:r>
        <w:rPr>
          <w:rFonts w:hint="eastAsia" w:ascii="宋体" w:hAnsi="宋体" w:eastAsia="宋体" w:cs="宋体"/>
          <w:color w:val="auto"/>
          <w:sz w:val="24"/>
          <w:lang w:val="zh-CN"/>
        </w:rPr>
        <w:t>法定代表人或                             法定代表人</w:t>
      </w:r>
    </w:p>
    <w:p w14:paraId="2478BBFD">
      <w:pPr>
        <w:pageBreakBefore w:val="0"/>
        <w:kinsoku/>
        <w:wordWrap/>
        <w:overflowPunct/>
        <w:topLinePunct w:val="0"/>
        <w:bidi w:val="0"/>
        <w:spacing w:beforeAutospacing="0" w:line="360" w:lineRule="auto"/>
        <w:ind w:left="0" w:leftChars="0" w:right="0" w:firstLine="200"/>
        <w:rPr>
          <w:rFonts w:hint="eastAsia" w:ascii="宋体" w:hAnsi="宋体" w:eastAsia="宋体" w:cs="宋体"/>
          <w:color w:val="auto"/>
          <w:sz w:val="24"/>
          <w:lang w:val="zh-CN"/>
        </w:rPr>
      </w:pPr>
      <w:r>
        <w:rPr>
          <w:rFonts w:hint="eastAsia" w:ascii="宋体" w:hAnsi="宋体" w:eastAsia="宋体" w:cs="宋体"/>
          <w:color w:val="auto"/>
          <w:sz w:val="24"/>
          <w:lang w:val="zh-CN"/>
        </w:rPr>
        <w:t xml:space="preserve">授权代表（签字）：                       或授权代表（签字）: </w:t>
      </w:r>
    </w:p>
    <w:p w14:paraId="25E8C401">
      <w:pPr>
        <w:pageBreakBefore w:val="0"/>
        <w:kinsoku/>
        <w:wordWrap/>
        <w:overflowPunct/>
        <w:topLinePunct w:val="0"/>
        <w:bidi w:val="0"/>
        <w:spacing w:beforeAutospacing="0" w:line="360" w:lineRule="auto"/>
        <w:ind w:left="0" w:leftChars="0" w:right="0" w:firstLine="200"/>
        <w:rPr>
          <w:rFonts w:hint="eastAsia" w:ascii="宋体" w:hAnsi="宋体" w:eastAsia="宋体" w:cs="宋体"/>
          <w:color w:val="auto"/>
          <w:sz w:val="24"/>
          <w:lang w:val="zh-CN"/>
        </w:rPr>
      </w:pPr>
      <w:r>
        <w:rPr>
          <w:rFonts w:hint="eastAsia" w:ascii="宋体" w:hAnsi="宋体" w:eastAsia="宋体" w:cs="宋体"/>
          <w:color w:val="auto"/>
          <w:sz w:val="24"/>
          <w:lang w:val="zh-CN"/>
        </w:rPr>
        <w:t>联系人：                                 联系人：</w:t>
      </w:r>
    </w:p>
    <w:p w14:paraId="0DC7B110">
      <w:pPr>
        <w:pageBreakBefore w:val="0"/>
        <w:kinsoku/>
        <w:wordWrap/>
        <w:overflowPunct/>
        <w:topLinePunct w:val="0"/>
        <w:bidi w:val="0"/>
        <w:spacing w:beforeAutospacing="0" w:line="360" w:lineRule="auto"/>
        <w:ind w:left="0" w:leftChars="0" w:right="0" w:firstLine="200"/>
        <w:rPr>
          <w:rFonts w:hint="eastAsia" w:ascii="宋体" w:hAnsi="宋体" w:eastAsia="宋体" w:cs="宋体"/>
          <w:color w:val="auto"/>
          <w:sz w:val="24"/>
          <w:lang w:val="zh-CN"/>
        </w:rPr>
      </w:pPr>
      <w:r>
        <w:rPr>
          <w:rFonts w:hint="eastAsia" w:ascii="宋体" w:hAnsi="宋体" w:eastAsia="宋体" w:cs="宋体"/>
          <w:color w:val="auto"/>
          <w:sz w:val="24"/>
          <w:lang w:val="zh-CN"/>
        </w:rPr>
        <w:t>约定送达地址：                           约定送达地址：</w:t>
      </w:r>
    </w:p>
    <w:p w14:paraId="7D5058E6">
      <w:pPr>
        <w:pageBreakBefore w:val="0"/>
        <w:kinsoku/>
        <w:wordWrap/>
        <w:overflowPunct/>
        <w:topLinePunct w:val="0"/>
        <w:bidi w:val="0"/>
        <w:spacing w:beforeAutospacing="0" w:line="360" w:lineRule="auto"/>
        <w:ind w:left="0" w:leftChars="0" w:right="0" w:firstLine="200"/>
        <w:rPr>
          <w:rFonts w:hint="eastAsia" w:ascii="宋体" w:hAnsi="宋体" w:eastAsia="宋体" w:cs="宋体"/>
          <w:color w:val="auto"/>
          <w:sz w:val="24"/>
          <w:lang w:val="zh-CN"/>
        </w:rPr>
      </w:pPr>
      <w:r>
        <w:rPr>
          <w:rFonts w:hint="eastAsia" w:ascii="宋体" w:hAnsi="宋体" w:eastAsia="宋体" w:cs="宋体"/>
          <w:color w:val="auto"/>
          <w:sz w:val="24"/>
          <w:lang w:val="zh-CN"/>
        </w:rPr>
        <w:t>邮政编码：                               邮政编码：</w:t>
      </w:r>
    </w:p>
    <w:p w14:paraId="25E3C416">
      <w:pPr>
        <w:pageBreakBefore w:val="0"/>
        <w:kinsoku/>
        <w:wordWrap/>
        <w:overflowPunct/>
        <w:topLinePunct w:val="0"/>
        <w:bidi w:val="0"/>
        <w:spacing w:beforeAutospacing="0" w:line="360" w:lineRule="auto"/>
        <w:ind w:left="0" w:leftChars="0" w:right="0" w:firstLine="200"/>
        <w:rPr>
          <w:rFonts w:hint="eastAsia" w:ascii="宋体" w:hAnsi="宋体" w:eastAsia="宋体" w:cs="宋体"/>
          <w:color w:val="auto"/>
          <w:sz w:val="24"/>
          <w:lang w:val="zh-CN"/>
        </w:rPr>
      </w:pPr>
      <w:r>
        <w:rPr>
          <w:rFonts w:hint="eastAsia" w:ascii="宋体" w:hAnsi="宋体" w:eastAsia="宋体" w:cs="宋体"/>
          <w:color w:val="auto"/>
          <w:sz w:val="24"/>
          <w:lang w:val="zh-CN"/>
        </w:rPr>
        <w:t xml:space="preserve">电话:                                    电话: </w:t>
      </w:r>
    </w:p>
    <w:p w14:paraId="72F3684E">
      <w:pPr>
        <w:pageBreakBefore w:val="0"/>
        <w:kinsoku/>
        <w:wordWrap/>
        <w:overflowPunct/>
        <w:topLinePunct w:val="0"/>
        <w:bidi w:val="0"/>
        <w:spacing w:beforeAutospacing="0" w:line="360" w:lineRule="auto"/>
        <w:ind w:left="0" w:leftChars="0" w:right="0" w:firstLine="200"/>
        <w:rPr>
          <w:rFonts w:hint="eastAsia" w:ascii="宋体" w:hAnsi="宋体" w:eastAsia="宋体" w:cs="宋体"/>
          <w:color w:val="auto"/>
          <w:sz w:val="24"/>
          <w:lang w:val="zh-CN"/>
        </w:rPr>
      </w:pPr>
      <w:r>
        <w:rPr>
          <w:rFonts w:hint="eastAsia" w:ascii="宋体" w:hAnsi="宋体" w:eastAsia="宋体" w:cs="宋体"/>
          <w:color w:val="auto"/>
          <w:sz w:val="24"/>
          <w:lang w:val="zh-CN"/>
        </w:rPr>
        <w:t>传真:                                    传真:</w:t>
      </w:r>
    </w:p>
    <w:p w14:paraId="3855B6CA">
      <w:pPr>
        <w:pageBreakBefore w:val="0"/>
        <w:kinsoku/>
        <w:wordWrap/>
        <w:overflowPunct/>
        <w:topLinePunct w:val="0"/>
        <w:bidi w:val="0"/>
        <w:spacing w:beforeAutospacing="0" w:line="360" w:lineRule="auto"/>
        <w:ind w:left="0" w:leftChars="0" w:right="0" w:firstLine="200"/>
        <w:rPr>
          <w:rFonts w:hint="eastAsia" w:ascii="宋体" w:hAnsi="宋体" w:eastAsia="宋体" w:cs="宋体"/>
          <w:color w:val="auto"/>
          <w:sz w:val="24"/>
        </w:rPr>
      </w:pPr>
      <w:r>
        <w:rPr>
          <w:rFonts w:hint="eastAsia" w:ascii="宋体" w:hAnsi="宋体" w:eastAsia="宋体" w:cs="宋体"/>
          <w:color w:val="auto"/>
          <w:sz w:val="24"/>
          <w:lang w:val="zh-CN"/>
        </w:rPr>
        <w:t>电子邮箱：                               电子邮箱：</w:t>
      </w:r>
    </w:p>
    <w:p w14:paraId="15946F6F">
      <w:pPr>
        <w:pageBreakBefore w:val="0"/>
        <w:kinsoku/>
        <w:wordWrap/>
        <w:overflowPunct/>
        <w:topLinePunct w:val="0"/>
        <w:bidi w:val="0"/>
        <w:spacing w:beforeAutospacing="0" w:line="360" w:lineRule="auto"/>
        <w:ind w:left="0" w:leftChars="0" w:right="0" w:firstLine="200"/>
        <w:rPr>
          <w:rFonts w:hint="eastAsia" w:ascii="宋体" w:hAnsi="宋体" w:eastAsia="宋体" w:cs="宋体"/>
          <w:color w:val="auto"/>
          <w:sz w:val="24"/>
        </w:rPr>
      </w:pPr>
      <w:r>
        <w:rPr>
          <w:rFonts w:hint="eastAsia" w:ascii="宋体" w:hAnsi="宋体" w:eastAsia="宋体" w:cs="宋体"/>
          <w:color w:val="auto"/>
          <w:sz w:val="24"/>
        </w:rPr>
        <w:t xml:space="preserve">开户银行：                               开户银行： </w:t>
      </w:r>
    </w:p>
    <w:p w14:paraId="2F2ED8F8">
      <w:pPr>
        <w:pageBreakBefore w:val="0"/>
        <w:kinsoku/>
        <w:wordWrap/>
        <w:overflowPunct/>
        <w:topLinePunct w:val="0"/>
        <w:bidi w:val="0"/>
        <w:spacing w:beforeAutospacing="0" w:line="360" w:lineRule="auto"/>
        <w:ind w:left="0" w:leftChars="0" w:right="0" w:firstLine="200"/>
        <w:rPr>
          <w:rFonts w:hint="eastAsia" w:ascii="宋体" w:hAnsi="宋体" w:eastAsia="宋体" w:cs="宋体"/>
          <w:color w:val="auto"/>
          <w:sz w:val="24"/>
        </w:rPr>
      </w:pPr>
      <w:r>
        <w:rPr>
          <w:rFonts w:hint="eastAsia" w:ascii="宋体" w:hAnsi="宋体" w:eastAsia="宋体" w:cs="宋体"/>
          <w:color w:val="auto"/>
          <w:sz w:val="24"/>
        </w:rPr>
        <w:t xml:space="preserve">开户名称：                               开户名称： </w:t>
      </w:r>
    </w:p>
    <w:p w14:paraId="626E1CA2">
      <w:pPr>
        <w:pageBreakBefore w:val="0"/>
        <w:kinsoku/>
        <w:wordWrap/>
        <w:overflowPunct/>
        <w:topLinePunct w:val="0"/>
        <w:bidi w:val="0"/>
        <w:spacing w:beforeAutospacing="0" w:line="360" w:lineRule="auto"/>
        <w:ind w:left="0" w:leftChars="0" w:right="0" w:firstLine="200"/>
        <w:rPr>
          <w:rFonts w:hint="eastAsia" w:ascii="宋体" w:hAnsi="宋体" w:eastAsia="宋体" w:cs="宋体"/>
          <w:color w:val="auto"/>
          <w:sz w:val="24"/>
        </w:rPr>
      </w:pPr>
      <w:r>
        <w:rPr>
          <w:rFonts w:hint="eastAsia" w:ascii="宋体" w:hAnsi="宋体" w:eastAsia="宋体" w:cs="宋体"/>
          <w:color w:val="auto"/>
          <w:sz w:val="24"/>
        </w:rPr>
        <w:t>开户账号：</w:t>
      </w:r>
      <w:r>
        <w:rPr>
          <w:rFonts w:hint="eastAsia" w:ascii="宋体" w:hAnsi="宋体" w:eastAsia="宋体" w:cs="宋体"/>
          <w:color w:val="auto"/>
          <w:sz w:val="24"/>
          <w:lang w:val="zh-CN"/>
        </w:rPr>
        <w:t xml:space="preserve">                               </w:t>
      </w:r>
      <w:r>
        <w:rPr>
          <w:rFonts w:hint="eastAsia" w:ascii="宋体" w:hAnsi="宋体" w:eastAsia="宋体" w:cs="宋体"/>
          <w:color w:val="auto"/>
          <w:sz w:val="24"/>
        </w:rPr>
        <w:t>开户账号：</w:t>
      </w:r>
    </w:p>
    <w:p w14:paraId="038916E5">
      <w:pPr>
        <w:pageBreakBefore w:val="0"/>
        <w:kinsoku/>
        <w:wordWrap/>
        <w:overflowPunct/>
        <w:topLinePunct w:val="0"/>
        <w:bidi w:val="0"/>
        <w:spacing w:beforeAutospacing="0" w:line="360" w:lineRule="auto"/>
        <w:ind w:left="0" w:leftChars="0" w:right="0" w:firstLine="200"/>
        <w:jc w:val="center"/>
        <w:rPr>
          <w:rFonts w:hint="eastAsia" w:ascii="宋体" w:hAnsi="宋体" w:eastAsia="宋体" w:cs="宋体"/>
          <w:b/>
          <w:color w:val="auto"/>
          <w:sz w:val="28"/>
          <w:szCs w:val="28"/>
        </w:rPr>
      </w:pPr>
      <w:r>
        <w:rPr>
          <w:rFonts w:hint="eastAsia" w:ascii="宋体" w:hAnsi="宋体" w:eastAsia="宋体" w:cs="宋体"/>
          <w:b/>
          <w:color w:val="auto"/>
        </w:rPr>
        <w:br w:type="page"/>
      </w:r>
      <w:bookmarkStart w:id="192" w:name="_Toc331685783"/>
      <w:r>
        <w:rPr>
          <w:rFonts w:hint="eastAsia" w:ascii="宋体" w:hAnsi="宋体" w:eastAsia="宋体" w:cs="宋体"/>
          <w:b/>
          <w:color w:val="auto"/>
          <w:sz w:val="28"/>
          <w:szCs w:val="28"/>
        </w:rPr>
        <w:t>第二部分 合同一般条款</w:t>
      </w:r>
      <w:bookmarkEnd w:id="192"/>
    </w:p>
    <w:p w14:paraId="491CE14F">
      <w:pPr>
        <w:pageBreakBefore w:val="0"/>
        <w:kinsoku/>
        <w:wordWrap/>
        <w:overflowPunct/>
        <w:topLinePunct w:val="0"/>
        <w:bidi w:val="0"/>
        <w:spacing w:beforeAutospacing="0" w:line="360" w:lineRule="auto"/>
        <w:ind w:left="0" w:leftChars="0" w:right="0" w:firstLine="482" w:firstLineChars="200"/>
        <w:rPr>
          <w:rFonts w:hint="eastAsia" w:ascii="宋体" w:hAnsi="宋体" w:eastAsia="宋体" w:cs="宋体"/>
          <w:b/>
          <w:color w:val="auto"/>
          <w:sz w:val="24"/>
        </w:rPr>
      </w:pPr>
      <w:bookmarkStart w:id="193" w:name="_Ref467379214"/>
      <w:bookmarkStart w:id="194" w:name="_Ref467379195"/>
      <w:bookmarkStart w:id="195" w:name="_Toc19614"/>
      <w:bookmarkStart w:id="196" w:name="_Ref467378463"/>
      <w:bookmarkStart w:id="197" w:name="_Toc279701240"/>
      <w:bookmarkStart w:id="198" w:name="_Toc487900349"/>
      <w:bookmarkStart w:id="199" w:name="_Ref467379205"/>
      <w:bookmarkStart w:id="200" w:name="_Ref467379094"/>
      <w:bookmarkStart w:id="201" w:name="_Ref467379101"/>
      <w:bookmarkStart w:id="202" w:name="_Ref467379109"/>
      <w:bookmarkStart w:id="203" w:name="_Ref467379225"/>
      <w:bookmarkStart w:id="204" w:name="_Toc259093669"/>
      <w:bookmarkStart w:id="205" w:name="_Toc16917"/>
      <w:bookmarkStart w:id="206" w:name="_Toc28763"/>
      <w:bookmarkStart w:id="207" w:name="_Ref467378404"/>
      <w:bookmarkStart w:id="208" w:name="_Ref467378499"/>
      <w:r>
        <w:rPr>
          <w:rFonts w:hint="eastAsia" w:ascii="宋体" w:hAnsi="宋体" w:eastAsia="宋体" w:cs="宋体"/>
          <w:b/>
          <w:color w:val="auto"/>
          <w:sz w:val="24"/>
        </w:rPr>
        <w:t>2.1 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6EF27847">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本合同中的下列词语应按以下内容进行解释：</w:t>
      </w:r>
    </w:p>
    <w:p w14:paraId="25BF54F8">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2.1.1 “合同”系指采购人和中标人签订的载明双方当事人所达成的协议，并包括所有的附件、附录和构成合同的其他文件。</w:t>
      </w:r>
    </w:p>
    <w:p w14:paraId="71D0EAD6">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2.1.2 “合同价”系指根据合同约定，中标人在完全履行合同义务后，采购人应支付给中标人的价格。</w:t>
      </w:r>
    </w:p>
    <w:p w14:paraId="21140907">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60FCFD7F">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bookmarkStart w:id="209" w:name="_Ref467378840"/>
      <w:r>
        <w:rPr>
          <w:rFonts w:hint="eastAsia" w:ascii="宋体" w:hAnsi="宋体" w:eastAsia="宋体" w:cs="宋体"/>
          <w:color w:val="auto"/>
          <w:sz w:val="24"/>
        </w:rPr>
        <w:t>2.1.4 “甲方”系指与中标人签署合同的采购人</w:t>
      </w:r>
      <w:bookmarkEnd w:id="209"/>
      <w:r>
        <w:rPr>
          <w:rFonts w:hint="eastAsia" w:ascii="宋体" w:hAnsi="宋体" w:eastAsia="宋体" w:cs="宋体"/>
          <w:color w:val="auto"/>
          <w:sz w:val="24"/>
        </w:rPr>
        <w:t>；采购人委托采购机构代表其与乙方签订合同的，采购人的授权委托书作为合同附件。</w:t>
      </w:r>
    </w:p>
    <w:p w14:paraId="4B470CEE">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bookmarkStart w:id="210" w:name="_Ref467379400"/>
      <w:r>
        <w:rPr>
          <w:rFonts w:hint="eastAsia" w:ascii="宋体" w:hAnsi="宋体" w:eastAsia="宋体" w:cs="宋体"/>
          <w:color w:val="auto"/>
          <w:sz w:val="24"/>
        </w:rPr>
        <w:t>2.1.5 “乙方”系指根据合同约定交付标的物的</w:t>
      </w:r>
      <w:bookmarkEnd w:id="210"/>
      <w:r>
        <w:rPr>
          <w:rFonts w:hint="eastAsia" w:ascii="宋体" w:hAnsi="宋体" w:eastAsia="宋体" w:cs="宋体"/>
          <w:color w:val="auto"/>
          <w:sz w:val="24"/>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016BC066">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bookmarkStart w:id="211" w:name="_Ref467379436"/>
      <w:r>
        <w:rPr>
          <w:rFonts w:hint="eastAsia" w:ascii="宋体" w:hAnsi="宋体" w:eastAsia="宋体" w:cs="宋体"/>
          <w:color w:val="auto"/>
          <w:sz w:val="24"/>
        </w:rPr>
        <w:t>2.1.6 “现场”系指合同约定标的物将要运至或者实施或者安装的地点。</w:t>
      </w:r>
      <w:bookmarkEnd w:id="211"/>
    </w:p>
    <w:p w14:paraId="024CB6DC">
      <w:pPr>
        <w:pageBreakBefore w:val="0"/>
        <w:kinsoku/>
        <w:wordWrap/>
        <w:overflowPunct/>
        <w:topLinePunct w:val="0"/>
        <w:bidi w:val="0"/>
        <w:spacing w:beforeAutospacing="0" w:line="360" w:lineRule="auto"/>
        <w:ind w:left="0" w:leftChars="0" w:right="0" w:firstLine="482" w:firstLineChars="200"/>
        <w:rPr>
          <w:rFonts w:hint="eastAsia" w:ascii="宋体" w:hAnsi="宋体" w:eastAsia="宋体" w:cs="宋体"/>
          <w:b/>
          <w:color w:val="auto"/>
          <w:sz w:val="24"/>
        </w:rPr>
      </w:pPr>
      <w:bookmarkStart w:id="212" w:name="_Toc259093670"/>
      <w:bookmarkStart w:id="213" w:name="_Toc27635"/>
      <w:bookmarkStart w:id="214" w:name="_Toc32504"/>
      <w:bookmarkStart w:id="215" w:name="_Toc487900350"/>
      <w:bookmarkStart w:id="216" w:name="_Toc279701241"/>
      <w:bookmarkStart w:id="217" w:name="_Toc13336"/>
      <w:r>
        <w:rPr>
          <w:rFonts w:hint="eastAsia" w:ascii="宋体" w:hAnsi="宋体" w:eastAsia="宋体" w:cs="宋体"/>
          <w:b/>
          <w:color w:val="auto"/>
          <w:sz w:val="24"/>
        </w:rPr>
        <w:t>2.2 技术规范</w:t>
      </w:r>
      <w:bookmarkEnd w:id="212"/>
      <w:bookmarkEnd w:id="213"/>
      <w:bookmarkEnd w:id="214"/>
      <w:bookmarkEnd w:id="215"/>
      <w:bookmarkEnd w:id="216"/>
      <w:bookmarkEnd w:id="217"/>
    </w:p>
    <w:p w14:paraId="7ADDCCEC">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352AE94A">
      <w:pPr>
        <w:pageBreakBefore w:val="0"/>
        <w:kinsoku/>
        <w:wordWrap/>
        <w:overflowPunct/>
        <w:topLinePunct w:val="0"/>
        <w:bidi w:val="0"/>
        <w:spacing w:beforeAutospacing="0" w:line="360" w:lineRule="auto"/>
        <w:ind w:left="0" w:leftChars="0" w:right="0" w:firstLine="482" w:firstLineChars="200"/>
        <w:rPr>
          <w:rFonts w:hint="eastAsia" w:ascii="宋体" w:hAnsi="宋体" w:eastAsia="宋体" w:cs="宋体"/>
          <w:b/>
          <w:color w:val="auto"/>
          <w:sz w:val="24"/>
        </w:rPr>
      </w:pPr>
      <w:bookmarkStart w:id="218" w:name="_Toc259093671"/>
      <w:bookmarkStart w:id="219" w:name="_Toc279701242"/>
      <w:bookmarkStart w:id="220" w:name="_Toc487900351"/>
      <w:bookmarkStart w:id="221" w:name="_Toc9829"/>
      <w:bookmarkStart w:id="222" w:name="_Toc27853"/>
      <w:bookmarkStart w:id="223" w:name="_Toc31634"/>
      <w:r>
        <w:rPr>
          <w:rFonts w:hint="eastAsia" w:ascii="宋体" w:hAnsi="宋体" w:eastAsia="宋体" w:cs="宋体"/>
          <w:b/>
          <w:color w:val="auto"/>
          <w:sz w:val="24"/>
        </w:rPr>
        <w:t>2.3 知识产权</w:t>
      </w:r>
      <w:bookmarkEnd w:id="218"/>
      <w:bookmarkEnd w:id="219"/>
      <w:bookmarkEnd w:id="220"/>
      <w:bookmarkEnd w:id="221"/>
      <w:bookmarkEnd w:id="222"/>
      <w:bookmarkEnd w:id="223"/>
    </w:p>
    <w:p w14:paraId="6318DEB9">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408F0A23">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2.3.2具有知识产权的计算机软件等标的物的知识产权归属，详见</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w:t>
      </w:r>
    </w:p>
    <w:p w14:paraId="63FC0BCB">
      <w:pPr>
        <w:pageBreakBefore w:val="0"/>
        <w:kinsoku/>
        <w:wordWrap/>
        <w:overflowPunct/>
        <w:topLinePunct w:val="0"/>
        <w:bidi w:val="0"/>
        <w:spacing w:beforeAutospacing="0" w:line="360" w:lineRule="auto"/>
        <w:ind w:left="0" w:leftChars="0" w:right="0" w:firstLine="482" w:firstLineChars="200"/>
        <w:rPr>
          <w:rFonts w:hint="eastAsia" w:ascii="宋体" w:hAnsi="宋体" w:eastAsia="宋体" w:cs="宋体"/>
          <w:b/>
          <w:color w:val="auto"/>
          <w:sz w:val="24"/>
        </w:rPr>
      </w:pPr>
      <w:bookmarkStart w:id="224" w:name="_Toc11932"/>
      <w:bookmarkStart w:id="225" w:name="_Toc4194"/>
      <w:bookmarkStart w:id="226" w:name="_Toc29149"/>
      <w:r>
        <w:rPr>
          <w:rFonts w:hint="eastAsia" w:ascii="宋体" w:hAnsi="宋体" w:eastAsia="宋体" w:cs="宋体"/>
          <w:b/>
          <w:color w:val="auto"/>
          <w:sz w:val="24"/>
        </w:rPr>
        <w:t>2.4 包装和装运</w:t>
      </w:r>
      <w:bookmarkEnd w:id="224"/>
      <w:bookmarkEnd w:id="225"/>
      <w:bookmarkEnd w:id="226"/>
    </w:p>
    <w:p w14:paraId="6DC4DAFA">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2.4.1除</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424BE90A">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2.4.2 装运标的物的要求和通知，详见</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w:t>
      </w:r>
    </w:p>
    <w:p w14:paraId="2DBE084E">
      <w:pPr>
        <w:pageBreakBefore w:val="0"/>
        <w:kinsoku/>
        <w:wordWrap/>
        <w:overflowPunct/>
        <w:topLinePunct w:val="0"/>
        <w:bidi w:val="0"/>
        <w:spacing w:beforeAutospacing="0" w:line="360" w:lineRule="auto"/>
        <w:ind w:left="0" w:leftChars="0" w:right="0" w:firstLine="482" w:firstLineChars="200"/>
        <w:rPr>
          <w:rFonts w:hint="eastAsia" w:ascii="宋体" w:hAnsi="宋体" w:eastAsia="宋体" w:cs="宋体"/>
          <w:b/>
          <w:color w:val="auto"/>
          <w:sz w:val="24"/>
        </w:rPr>
      </w:pPr>
      <w:bookmarkStart w:id="227" w:name="_Ref467379542"/>
      <w:bookmarkStart w:id="228" w:name="_Toc487900354"/>
      <w:bookmarkStart w:id="229" w:name="_Ref467379527"/>
      <w:bookmarkStart w:id="230" w:name="_Ref467379536"/>
      <w:bookmarkStart w:id="231" w:name="_Toc259093674"/>
      <w:bookmarkStart w:id="232" w:name="_Toc279701245"/>
      <w:bookmarkStart w:id="233" w:name="_Ref467378541"/>
      <w:bookmarkStart w:id="234" w:name="_Ref467378591"/>
      <w:bookmarkStart w:id="235" w:name="_Toc19074"/>
      <w:bookmarkStart w:id="236" w:name="_Toc30272"/>
      <w:bookmarkStart w:id="237" w:name="_Toc26182"/>
      <w:r>
        <w:rPr>
          <w:rFonts w:hint="eastAsia" w:ascii="宋体" w:hAnsi="宋体" w:eastAsia="宋体" w:cs="宋体"/>
          <w:b/>
          <w:color w:val="auto"/>
          <w:sz w:val="24"/>
        </w:rPr>
        <w:t>2.</w:t>
      </w:r>
      <w:bookmarkEnd w:id="227"/>
      <w:bookmarkEnd w:id="228"/>
      <w:bookmarkEnd w:id="229"/>
      <w:bookmarkEnd w:id="230"/>
      <w:bookmarkEnd w:id="231"/>
      <w:bookmarkEnd w:id="232"/>
      <w:bookmarkEnd w:id="233"/>
      <w:bookmarkEnd w:id="234"/>
      <w:r>
        <w:rPr>
          <w:rFonts w:hint="eastAsia" w:ascii="宋体" w:hAnsi="宋体" w:eastAsia="宋体" w:cs="宋体"/>
          <w:b/>
          <w:color w:val="auto"/>
          <w:sz w:val="24"/>
        </w:rPr>
        <w:t>5 履约检查和问题反馈</w:t>
      </w:r>
      <w:bookmarkEnd w:id="235"/>
      <w:bookmarkEnd w:id="236"/>
      <w:bookmarkEnd w:id="237"/>
    </w:p>
    <w:p w14:paraId="1010E6FF">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bookmarkStart w:id="238" w:name="_Ref467379657"/>
      <w:r>
        <w:rPr>
          <w:rFonts w:hint="eastAsia" w:ascii="宋体" w:hAnsi="宋体" w:eastAsia="宋体" w:cs="宋体"/>
          <w:color w:val="auto"/>
          <w:sz w:val="24"/>
        </w:rPr>
        <w:t>2.5.1</w:t>
      </w:r>
      <w:bookmarkEnd w:id="238"/>
      <w:bookmarkStart w:id="239" w:name="_Toc186431854"/>
      <w:bookmarkStart w:id="240" w:name="_Toc487900357"/>
      <w:bookmarkStart w:id="241" w:name="_Toc279701247"/>
      <w:bookmarkStart w:id="242" w:name="_Ref467379793"/>
      <w:bookmarkStart w:id="243" w:name="_Ref467379807"/>
      <w:bookmarkStart w:id="244" w:name="_Toc259093676"/>
      <w:r>
        <w:rPr>
          <w:rFonts w:hint="eastAsia" w:ascii="宋体" w:hAnsi="宋体" w:eastAsia="宋体" w:cs="宋体"/>
          <w:color w:val="auto"/>
          <w:sz w:val="24"/>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479FADF4">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2.5.2 合同履行期间，甲方有权将履行过程中出现的问题反馈给乙方，双方当事人应以书面形式约定需要完善和改进的内容</w:t>
      </w:r>
      <w:bookmarkEnd w:id="239"/>
      <w:bookmarkStart w:id="245" w:name="_Toc186431855"/>
      <w:r>
        <w:rPr>
          <w:rFonts w:hint="eastAsia" w:ascii="宋体" w:hAnsi="宋体" w:eastAsia="宋体" w:cs="宋体"/>
          <w:color w:val="auto"/>
          <w:sz w:val="24"/>
        </w:rPr>
        <w:t>。</w:t>
      </w:r>
    </w:p>
    <w:bookmarkEnd w:id="245"/>
    <w:p w14:paraId="6C4E47D7">
      <w:pPr>
        <w:pageBreakBefore w:val="0"/>
        <w:kinsoku/>
        <w:wordWrap/>
        <w:overflowPunct/>
        <w:topLinePunct w:val="0"/>
        <w:bidi w:val="0"/>
        <w:spacing w:beforeAutospacing="0" w:line="360" w:lineRule="auto"/>
        <w:ind w:left="0" w:leftChars="0" w:right="0" w:firstLine="482" w:firstLineChars="200"/>
        <w:rPr>
          <w:rFonts w:hint="eastAsia" w:ascii="宋体" w:hAnsi="宋体" w:eastAsia="宋体" w:cs="宋体"/>
          <w:b/>
          <w:color w:val="auto"/>
          <w:sz w:val="24"/>
        </w:rPr>
      </w:pPr>
      <w:bookmarkStart w:id="246" w:name="_Toc7836"/>
      <w:bookmarkStart w:id="247" w:name="_Toc28451"/>
      <w:bookmarkStart w:id="248" w:name="_Toc19219"/>
      <w:r>
        <w:rPr>
          <w:rFonts w:hint="eastAsia" w:ascii="宋体" w:hAnsi="宋体" w:eastAsia="宋体" w:cs="宋体"/>
          <w:b/>
          <w:color w:val="auto"/>
          <w:sz w:val="24"/>
        </w:rPr>
        <w:t>2.6 结算方式和付款条件</w:t>
      </w:r>
      <w:bookmarkEnd w:id="240"/>
      <w:bookmarkEnd w:id="241"/>
      <w:bookmarkEnd w:id="242"/>
      <w:bookmarkEnd w:id="243"/>
      <w:bookmarkEnd w:id="244"/>
      <w:bookmarkEnd w:id="246"/>
      <w:bookmarkEnd w:id="247"/>
      <w:bookmarkEnd w:id="248"/>
    </w:p>
    <w:p w14:paraId="3D4DF11C">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详见</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w:t>
      </w:r>
    </w:p>
    <w:p w14:paraId="7AF3746E">
      <w:pPr>
        <w:pageBreakBefore w:val="0"/>
        <w:kinsoku/>
        <w:wordWrap/>
        <w:overflowPunct/>
        <w:topLinePunct w:val="0"/>
        <w:bidi w:val="0"/>
        <w:spacing w:beforeAutospacing="0" w:line="360" w:lineRule="auto"/>
        <w:ind w:left="0" w:leftChars="0" w:right="0" w:firstLine="482" w:firstLineChars="200"/>
        <w:rPr>
          <w:rFonts w:hint="eastAsia" w:ascii="宋体" w:hAnsi="宋体" w:eastAsia="宋体" w:cs="宋体"/>
          <w:b/>
          <w:color w:val="auto"/>
          <w:sz w:val="24"/>
        </w:rPr>
      </w:pPr>
      <w:bookmarkStart w:id="249" w:name="_Toc279701248"/>
      <w:bookmarkStart w:id="250" w:name="_Ref467379863"/>
      <w:bookmarkStart w:id="251" w:name="_Toc259093677"/>
      <w:bookmarkStart w:id="252" w:name="_Ref467379923"/>
      <w:bookmarkStart w:id="253" w:name="_Toc487900358"/>
      <w:bookmarkStart w:id="254" w:name="_Ref467379852"/>
      <w:bookmarkStart w:id="255" w:name="_Toc774"/>
      <w:bookmarkStart w:id="256" w:name="_Toc16110"/>
      <w:bookmarkStart w:id="257" w:name="_Toc3225"/>
      <w:r>
        <w:rPr>
          <w:rFonts w:hint="eastAsia" w:ascii="宋体" w:hAnsi="宋体" w:eastAsia="宋体" w:cs="宋体"/>
          <w:b/>
          <w:color w:val="auto"/>
          <w:sz w:val="24"/>
        </w:rPr>
        <w:t>2.7 技术资料</w:t>
      </w:r>
      <w:bookmarkEnd w:id="249"/>
      <w:bookmarkEnd w:id="250"/>
      <w:bookmarkEnd w:id="251"/>
      <w:bookmarkEnd w:id="252"/>
      <w:bookmarkEnd w:id="253"/>
      <w:bookmarkEnd w:id="254"/>
      <w:r>
        <w:rPr>
          <w:rFonts w:hint="eastAsia" w:ascii="宋体" w:hAnsi="宋体" w:eastAsia="宋体" w:cs="宋体"/>
          <w:b/>
          <w:color w:val="auto"/>
          <w:sz w:val="24"/>
        </w:rPr>
        <w:t>和保密义务</w:t>
      </w:r>
      <w:bookmarkEnd w:id="255"/>
      <w:bookmarkEnd w:id="256"/>
      <w:bookmarkEnd w:id="257"/>
    </w:p>
    <w:p w14:paraId="117107A5">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2.7.1 乙方有权依据合同约定和项目需要，向甲方了解有关情况，调阅有关资料等，甲方应予积极配合；</w:t>
      </w:r>
    </w:p>
    <w:p w14:paraId="33496901">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2.7.2 乙方有义务妥善保管和保护由甲方提供的前款信息和资料等；</w:t>
      </w:r>
    </w:p>
    <w:p w14:paraId="1C349FEE">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56C3DB0F">
      <w:pPr>
        <w:pageBreakBefore w:val="0"/>
        <w:kinsoku/>
        <w:wordWrap/>
        <w:overflowPunct/>
        <w:topLinePunct w:val="0"/>
        <w:bidi w:val="0"/>
        <w:spacing w:beforeAutospacing="0" w:line="360" w:lineRule="auto"/>
        <w:ind w:left="0" w:leftChars="0" w:right="0" w:firstLine="482" w:firstLineChars="200"/>
        <w:rPr>
          <w:rFonts w:hint="eastAsia" w:ascii="宋体" w:hAnsi="宋体" w:eastAsia="宋体" w:cs="宋体"/>
          <w:b/>
          <w:color w:val="auto"/>
          <w:sz w:val="24"/>
        </w:rPr>
      </w:pPr>
      <w:bookmarkStart w:id="258" w:name="_Toc7860"/>
      <w:r>
        <w:rPr>
          <w:rFonts w:hint="eastAsia" w:ascii="宋体" w:hAnsi="宋体" w:eastAsia="宋体" w:cs="宋体"/>
          <w:b/>
          <w:color w:val="auto"/>
          <w:sz w:val="24"/>
        </w:rPr>
        <w:t>2.8 质量保证</w:t>
      </w:r>
      <w:bookmarkEnd w:id="258"/>
    </w:p>
    <w:p w14:paraId="3A1DE3E2">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2.8.1 乙方应建立和完善履行合同的内部质量保证体系，并提供相关内部规章制度给甲方，以便甲方进行监督检查；</w:t>
      </w:r>
    </w:p>
    <w:p w14:paraId="6F75F995">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2.8.2 乙方应保证履行合同的人员数量和素质、软件和硬件设备的配置、场地、环境和设施等满足全面履行合同的要求，并应接受甲方的监督检查。</w:t>
      </w:r>
    </w:p>
    <w:p w14:paraId="279E2E39">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kern w:val="0"/>
          <w:sz w:val="24"/>
        </w:rPr>
      </w:pPr>
      <w:r>
        <w:rPr>
          <w:rFonts w:hint="eastAsia" w:ascii="宋体" w:hAnsi="宋体" w:eastAsia="宋体" w:cs="宋体"/>
          <w:color w:val="auto"/>
          <w:sz w:val="24"/>
        </w:rPr>
        <w:t>2.8.3乙方应确保项目技术人员的数量和水平与投标文件一致。未经甲方书面同意，乙方不得擅自更换投标文件中注明的项目经理和技术负责人。否则</w:t>
      </w:r>
      <w:r>
        <w:rPr>
          <w:rFonts w:hint="eastAsia" w:ascii="宋体" w:hAnsi="宋体" w:eastAsia="宋体" w:cs="宋体"/>
          <w:color w:val="auto"/>
          <w:kern w:val="0"/>
          <w:sz w:val="24"/>
        </w:rPr>
        <w:t>甲方有权放弃或终止合同，并没收履约保证金。</w:t>
      </w:r>
    </w:p>
    <w:p w14:paraId="42384A08">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2.8.4因乙方原因造成甲方其他系统不能正常运行，酿成重大事故（工作日系统中断一天以上）的，乙方应承担全部法律责任，并赔偿经济损失，赔偿金额为项目总价的</w:t>
      </w:r>
      <w:r>
        <w:rPr>
          <w:rFonts w:hint="eastAsia" w:ascii="宋体" w:hAnsi="宋体" w:eastAsia="宋体" w:cs="宋体"/>
          <w:color w:val="auto"/>
          <w:sz w:val="24"/>
          <w:u w:val="single"/>
        </w:rPr>
        <w:t xml:space="preserve">       </w:t>
      </w:r>
      <w:r>
        <w:rPr>
          <w:rFonts w:hint="eastAsia" w:ascii="宋体" w:hAnsi="宋体" w:eastAsia="宋体" w:cs="宋体"/>
          <w:color w:val="auto"/>
          <w:sz w:val="24"/>
        </w:rPr>
        <w:t>（根据项目实际情况填写，一般为30%）。</w:t>
      </w:r>
    </w:p>
    <w:p w14:paraId="0625F38C">
      <w:pPr>
        <w:pageBreakBefore w:val="0"/>
        <w:kinsoku/>
        <w:wordWrap/>
        <w:overflowPunct/>
        <w:topLinePunct w:val="0"/>
        <w:bidi w:val="0"/>
        <w:spacing w:beforeAutospacing="0" w:line="360" w:lineRule="auto"/>
        <w:ind w:left="0" w:leftChars="0" w:right="0" w:firstLine="482" w:firstLineChars="200"/>
        <w:rPr>
          <w:rFonts w:hint="eastAsia" w:ascii="宋体" w:hAnsi="宋体" w:eastAsia="宋体" w:cs="宋体"/>
          <w:b/>
          <w:color w:val="auto"/>
          <w:sz w:val="24"/>
        </w:rPr>
      </w:pPr>
      <w:bookmarkStart w:id="259" w:name="_Toc17244"/>
      <w:bookmarkStart w:id="260" w:name="_Toc487900362"/>
      <w:bookmarkStart w:id="261" w:name="_Toc279701252"/>
      <w:bookmarkStart w:id="262" w:name="_Toc259093681"/>
      <w:r>
        <w:rPr>
          <w:rFonts w:hint="eastAsia" w:ascii="宋体" w:hAnsi="宋体" w:eastAsia="宋体" w:cs="宋体"/>
          <w:b/>
          <w:color w:val="auto"/>
          <w:sz w:val="24"/>
        </w:rPr>
        <w:t>2.9 标的物的风险负担</w:t>
      </w:r>
      <w:bookmarkEnd w:id="259"/>
    </w:p>
    <w:p w14:paraId="7218534D">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b/>
          <w:color w:val="auto"/>
          <w:sz w:val="24"/>
        </w:rPr>
      </w:pPr>
      <w:r>
        <w:rPr>
          <w:rFonts w:hint="eastAsia" w:ascii="宋体" w:hAnsi="宋体" w:eastAsia="宋体" w:cs="宋体"/>
          <w:color w:val="auto"/>
          <w:sz w:val="24"/>
        </w:rPr>
        <w:t>标的物或者在途标的物或者交付给第一承运人后的标的物毁损、灭失的风险负担详见</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w:t>
      </w:r>
    </w:p>
    <w:p w14:paraId="0BFC153B">
      <w:pPr>
        <w:pageBreakBefore w:val="0"/>
        <w:kinsoku/>
        <w:wordWrap/>
        <w:overflowPunct/>
        <w:topLinePunct w:val="0"/>
        <w:bidi w:val="0"/>
        <w:spacing w:beforeAutospacing="0" w:line="360" w:lineRule="auto"/>
        <w:ind w:left="0" w:leftChars="0" w:right="0" w:firstLine="482" w:firstLineChars="200"/>
        <w:rPr>
          <w:rFonts w:hint="eastAsia" w:ascii="宋体" w:hAnsi="宋体" w:eastAsia="宋体" w:cs="宋体"/>
          <w:b/>
          <w:color w:val="auto"/>
          <w:sz w:val="24"/>
        </w:rPr>
      </w:pPr>
      <w:bookmarkStart w:id="263" w:name="_Toc14055"/>
      <w:r>
        <w:rPr>
          <w:rFonts w:hint="eastAsia" w:ascii="宋体" w:hAnsi="宋体" w:eastAsia="宋体" w:cs="宋体"/>
          <w:b/>
          <w:color w:val="auto"/>
          <w:sz w:val="24"/>
        </w:rPr>
        <w:t>2.10 延迟交货</w:t>
      </w:r>
      <w:bookmarkEnd w:id="260"/>
      <w:bookmarkEnd w:id="261"/>
      <w:bookmarkEnd w:id="262"/>
      <w:bookmarkEnd w:id="263"/>
      <w:r>
        <w:rPr>
          <w:rFonts w:hint="eastAsia" w:ascii="宋体" w:hAnsi="宋体" w:eastAsia="宋体" w:cs="宋体"/>
          <w:b/>
          <w:color w:val="auto"/>
          <w:sz w:val="24"/>
        </w:rPr>
        <w:t>/交付</w:t>
      </w:r>
    </w:p>
    <w:p w14:paraId="595ED86A">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5E54402D">
      <w:pPr>
        <w:pageBreakBefore w:val="0"/>
        <w:kinsoku/>
        <w:wordWrap/>
        <w:overflowPunct/>
        <w:topLinePunct w:val="0"/>
        <w:bidi w:val="0"/>
        <w:spacing w:beforeAutospacing="0" w:line="360" w:lineRule="auto"/>
        <w:ind w:left="0" w:leftChars="0" w:right="0" w:firstLine="482" w:firstLineChars="200"/>
        <w:rPr>
          <w:rFonts w:hint="eastAsia" w:ascii="宋体" w:hAnsi="宋体" w:eastAsia="宋体" w:cs="宋体"/>
          <w:b/>
          <w:color w:val="auto"/>
          <w:sz w:val="24"/>
        </w:rPr>
      </w:pPr>
      <w:bookmarkStart w:id="264" w:name="_Toc7502"/>
      <w:bookmarkStart w:id="265" w:name="_Toc487900364"/>
      <w:bookmarkStart w:id="266" w:name="_Toc279701254"/>
      <w:bookmarkStart w:id="267" w:name="_Ref467378121"/>
      <w:bookmarkStart w:id="268" w:name="_Toc259093683"/>
      <w:r>
        <w:rPr>
          <w:rFonts w:hint="eastAsia" w:ascii="宋体" w:hAnsi="宋体" w:eastAsia="宋体" w:cs="宋体"/>
          <w:b/>
          <w:color w:val="auto"/>
          <w:sz w:val="24"/>
        </w:rPr>
        <w:t>2.11 合同变更</w:t>
      </w:r>
      <w:bookmarkEnd w:id="264"/>
    </w:p>
    <w:p w14:paraId="0D93F1D9">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29359905">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2.11.2 合同继续履行将损害国家利益和社会公共利益的，双方当事人应当以书面形式变更合同。有过错的一方应当承担赔偿责任，双方当事人都有过错的，各自承担相应的责任。</w:t>
      </w:r>
      <w:bookmarkStart w:id="269" w:name="_Toc259093688"/>
      <w:bookmarkStart w:id="270" w:name="_Toc487900369"/>
      <w:bookmarkStart w:id="271" w:name="_Toc279701259"/>
    </w:p>
    <w:p w14:paraId="33EDD641">
      <w:pPr>
        <w:pageBreakBefore w:val="0"/>
        <w:kinsoku/>
        <w:wordWrap/>
        <w:overflowPunct/>
        <w:topLinePunct w:val="0"/>
        <w:bidi w:val="0"/>
        <w:spacing w:beforeAutospacing="0" w:line="360" w:lineRule="auto"/>
        <w:ind w:left="0" w:leftChars="0" w:right="0" w:firstLine="482" w:firstLineChars="200"/>
        <w:rPr>
          <w:rFonts w:hint="eastAsia" w:ascii="宋体" w:hAnsi="宋体" w:eastAsia="宋体" w:cs="宋体"/>
          <w:b/>
          <w:color w:val="auto"/>
          <w:sz w:val="24"/>
        </w:rPr>
      </w:pPr>
      <w:bookmarkStart w:id="272" w:name="_Toc22955"/>
      <w:bookmarkStart w:id="273" w:name="_Toc15237"/>
      <w:bookmarkStart w:id="274" w:name="_Toc10366"/>
      <w:r>
        <w:rPr>
          <w:rFonts w:hint="eastAsia" w:ascii="宋体" w:hAnsi="宋体" w:eastAsia="宋体" w:cs="宋体"/>
          <w:b/>
          <w:color w:val="auto"/>
          <w:sz w:val="24"/>
        </w:rPr>
        <w:t>2.12 合同转让</w:t>
      </w:r>
      <w:bookmarkEnd w:id="269"/>
      <w:bookmarkEnd w:id="270"/>
      <w:bookmarkEnd w:id="271"/>
      <w:r>
        <w:rPr>
          <w:rFonts w:hint="eastAsia" w:ascii="宋体" w:hAnsi="宋体" w:eastAsia="宋体" w:cs="宋体"/>
          <w:b/>
          <w:color w:val="auto"/>
          <w:sz w:val="24"/>
        </w:rPr>
        <w:t>和分包</w:t>
      </w:r>
      <w:bookmarkEnd w:id="272"/>
      <w:bookmarkEnd w:id="273"/>
      <w:bookmarkEnd w:id="274"/>
    </w:p>
    <w:p w14:paraId="40687B9B">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4B41D1CE">
      <w:pPr>
        <w:pageBreakBefore w:val="0"/>
        <w:kinsoku/>
        <w:wordWrap/>
        <w:overflowPunct/>
        <w:topLinePunct w:val="0"/>
        <w:bidi w:val="0"/>
        <w:spacing w:beforeAutospacing="0" w:line="360" w:lineRule="auto"/>
        <w:ind w:left="0" w:leftChars="0" w:right="0" w:firstLine="482" w:firstLineChars="200"/>
        <w:rPr>
          <w:rFonts w:hint="eastAsia" w:ascii="宋体" w:hAnsi="宋体" w:eastAsia="宋体" w:cs="宋体"/>
          <w:b/>
          <w:color w:val="auto"/>
          <w:sz w:val="24"/>
        </w:rPr>
      </w:pPr>
      <w:bookmarkStart w:id="275" w:name="_Toc16508"/>
      <w:bookmarkStart w:id="276" w:name="_Toc14066"/>
      <w:bookmarkStart w:id="277" w:name="_Toc13566"/>
      <w:r>
        <w:rPr>
          <w:rFonts w:hint="eastAsia" w:ascii="宋体" w:hAnsi="宋体" w:eastAsia="宋体" w:cs="宋体"/>
          <w:b/>
          <w:color w:val="auto"/>
          <w:sz w:val="24"/>
        </w:rPr>
        <w:t>2.13 不可抗力</w:t>
      </w:r>
      <w:bookmarkEnd w:id="275"/>
      <w:bookmarkEnd w:id="276"/>
      <w:bookmarkEnd w:id="277"/>
    </w:p>
    <w:p w14:paraId="5328E2DC">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2.13.1如果任何一方遭遇法律规定的不可抗力，致使合同履行受阻时，履行合同的期限应予延长，延长的期限应相当于不可抗力所影响的时间；</w:t>
      </w:r>
    </w:p>
    <w:p w14:paraId="6F53A1E3">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2.13.2受不可抗力影响的一方在不可抗力发生后，应在</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约定时间内以书面形式通知对方当事人，并在</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约定时间内，将有关部门出具的证明文件送达对方当事人。</w:t>
      </w:r>
    </w:p>
    <w:p w14:paraId="216DB3EF">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2.13.3 因不可抗力致使不能实现合同目的的，当事人可以解除合同；</w:t>
      </w:r>
    </w:p>
    <w:p w14:paraId="2CD66D3D">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2.13.4 因不可抗力致使合同有变更必要的，双方当事人应在</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约定时间内以书面形式变更合同；</w:t>
      </w:r>
    </w:p>
    <w:p w14:paraId="3DD08248">
      <w:pPr>
        <w:pageBreakBefore w:val="0"/>
        <w:kinsoku/>
        <w:wordWrap/>
        <w:overflowPunct/>
        <w:topLinePunct w:val="0"/>
        <w:bidi w:val="0"/>
        <w:spacing w:beforeAutospacing="0" w:line="360" w:lineRule="auto"/>
        <w:ind w:left="0" w:leftChars="0" w:right="0" w:firstLine="482" w:firstLineChars="200"/>
        <w:rPr>
          <w:rFonts w:hint="eastAsia" w:ascii="宋体" w:hAnsi="宋体" w:eastAsia="宋体" w:cs="宋体"/>
          <w:b/>
          <w:color w:val="auto"/>
          <w:sz w:val="24"/>
        </w:rPr>
      </w:pPr>
      <w:bookmarkStart w:id="278" w:name="_Toc279701255"/>
      <w:bookmarkStart w:id="279" w:name="_Toc689"/>
      <w:bookmarkStart w:id="280" w:name="_Toc259093684"/>
      <w:bookmarkStart w:id="281" w:name="_Toc6969"/>
      <w:bookmarkStart w:id="282" w:name="_Toc487900365"/>
      <w:bookmarkStart w:id="283" w:name="_Toc30676"/>
      <w:r>
        <w:rPr>
          <w:rFonts w:hint="eastAsia" w:ascii="宋体" w:hAnsi="宋体" w:eastAsia="宋体" w:cs="宋体"/>
          <w:b/>
          <w:color w:val="auto"/>
          <w:sz w:val="24"/>
        </w:rPr>
        <w:t>2.14 税费</w:t>
      </w:r>
      <w:bookmarkEnd w:id="278"/>
      <w:bookmarkEnd w:id="279"/>
      <w:bookmarkEnd w:id="280"/>
      <w:bookmarkEnd w:id="281"/>
      <w:bookmarkEnd w:id="282"/>
      <w:bookmarkEnd w:id="283"/>
    </w:p>
    <w:p w14:paraId="51D7D94A">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与合同有关的一切税费，均按照中华人民共和国法律的相关规定执行。</w:t>
      </w:r>
    </w:p>
    <w:p w14:paraId="475B9500">
      <w:pPr>
        <w:pageBreakBefore w:val="0"/>
        <w:kinsoku/>
        <w:wordWrap/>
        <w:overflowPunct/>
        <w:topLinePunct w:val="0"/>
        <w:bidi w:val="0"/>
        <w:spacing w:beforeAutospacing="0" w:line="360" w:lineRule="auto"/>
        <w:ind w:left="0" w:leftChars="0" w:right="0" w:firstLine="482" w:firstLineChars="200"/>
        <w:rPr>
          <w:rFonts w:hint="eastAsia" w:ascii="宋体" w:hAnsi="宋体" w:eastAsia="宋体" w:cs="宋体"/>
          <w:b/>
          <w:color w:val="auto"/>
          <w:sz w:val="24"/>
        </w:rPr>
      </w:pPr>
      <w:bookmarkStart w:id="284" w:name="_Toc487900368"/>
      <w:bookmarkStart w:id="285" w:name="_Toc8298"/>
      <w:bookmarkStart w:id="286" w:name="_Toc279701258"/>
      <w:bookmarkStart w:id="287" w:name="_Toc16959"/>
      <w:bookmarkStart w:id="288" w:name="_Toc259093687"/>
      <w:bookmarkStart w:id="289" w:name="_Toc7102"/>
      <w:r>
        <w:rPr>
          <w:rFonts w:hint="eastAsia" w:ascii="宋体" w:hAnsi="宋体" w:eastAsia="宋体" w:cs="宋体"/>
          <w:b/>
          <w:color w:val="auto"/>
          <w:sz w:val="24"/>
        </w:rPr>
        <w:t>2.15 乙方破产</w:t>
      </w:r>
      <w:bookmarkEnd w:id="284"/>
      <w:bookmarkEnd w:id="285"/>
      <w:bookmarkEnd w:id="286"/>
      <w:bookmarkEnd w:id="287"/>
      <w:bookmarkEnd w:id="288"/>
      <w:bookmarkEnd w:id="289"/>
    </w:p>
    <w:p w14:paraId="540624CD">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BFF0AAA">
      <w:pPr>
        <w:pageBreakBefore w:val="0"/>
        <w:kinsoku/>
        <w:wordWrap/>
        <w:overflowPunct/>
        <w:topLinePunct w:val="0"/>
        <w:bidi w:val="0"/>
        <w:spacing w:beforeAutospacing="0" w:line="360" w:lineRule="auto"/>
        <w:ind w:left="0" w:leftChars="0" w:right="0" w:firstLine="482" w:firstLineChars="200"/>
        <w:rPr>
          <w:rFonts w:hint="eastAsia" w:ascii="宋体" w:hAnsi="宋体" w:eastAsia="宋体" w:cs="宋体"/>
          <w:b/>
          <w:color w:val="auto"/>
          <w:sz w:val="24"/>
        </w:rPr>
      </w:pPr>
      <w:bookmarkStart w:id="290" w:name="_Toc15387"/>
      <w:bookmarkStart w:id="291" w:name="_Toc29333"/>
      <w:bookmarkStart w:id="292" w:name="_Toc6134"/>
      <w:r>
        <w:rPr>
          <w:rFonts w:hint="eastAsia" w:ascii="宋体" w:hAnsi="宋体" w:eastAsia="宋体" w:cs="宋体"/>
          <w:b/>
          <w:color w:val="auto"/>
          <w:sz w:val="24"/>
        </w:rPr>
        <w:t>2.16 合同中止、终止</w:t>
      </w:r>
      <w:bookmarkEnd w:id="290"/>
      <w:bookmarkEnd w:id="291"/>
      <w:bookmarkEnd w:id="292"/>
    </w:p>
    <w:p w14:paraId="27CEF56E">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2.16.1 双方当事人不得擅自中止或者终止合同；</w:t>
      </w:r>
    </w:p>
    <w:p w14:paraId="3EDBE6DA">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2.16.2合同继续履行将损害国家利益和社会公共利益的，双方当事人应当中止或者终止合同。有过错的一方应当承担赔偿责任，双方当事人都有过错的，各自承担相应的责任。</w:t>
      </w:r>
    </w:p>
    <w:p w14:paraId="7081C2BC">
      <w:pPr>
        <w:pageBreakBefore w:val="0"/>
        <w:kinsoku/>
        <w:wordWrap/>
        <w:overflowPunct/>
        <w:topLinePunct w:val="0"/>
        <w:bidi w:val="0"/>
        <w:spacing w:beforeAutospacing="0" w:line="360" w:lineRule="auto"/>
        <w:ind w:left="0" w:leftChars="0" w:right="0" w:firstLine="482" w:firstLineChars="200"/>
        <w:rPr>
          <w:rFonts w:hint="eastAsia" w:ascii="宋体" w:hAnsi="宋体" w:eastAsia="宋体" w:cs="宋体"/>
          <w:b/>
          <w:color w:val="auto"/>
          <w:sz w:val="24"/>
        </w:rPr>
      </w:pPr>
      <w:bookmarkStart w:id="293" w:name="_Toc14563"/>
      <w:bookmarkStart w:id="294" w:name="_Toc1125"/>
      <w:bookmarkStart w:id="295" w:name="_Toc6596"/>
      <w:r>
        <w:rPr>
          <w:rFonts w:hint="eastAsia" w:ascii="宋体" w:hAnsi="宋体" w:eastAsia="宋体" w:cs="宋体"/>
          <w:b/>
          <w:color w:val="auto"/>
          <w:sz w:val="24"/>
        </w:rPr>
        <w:t>2.17 检验和验收</w:t>
      </w:r>
      <w:bookmarkEnd w:id="293"/>
      <w:bookmarkEnd w:id="294"/>
      <w:bookmarkEnd w:id="295"/>
    </w:p>
    <w:p w14:paraId="580851A9">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2.17.1标的物交付前，乙方应对标的物的质量、数量等方面进行详细、全面的检验，并向甲方出具证明标的物符合合同约定的文件；标的物交付时，乙方在</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约定时间内组织验收，并可依法邀请相关方参加，验收应出具验收书。</w:t>
      </w:r>
    </w:p>
    <w:p w14:paraId="27499F24">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1FCF0CFE">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2.17.3 检验和验收标准、程序等具体内容以及前述验收书的效力详见</w:t>
      </w:r>
      <w:r>
        <w:rPr>
          <w:rFonts w:hint="eastAsia" w:ascii="宋体" w:hAnsi="宋体" w:eastAsia="宋体" w:cs="宋体"/>
          <w:b/>
          <w:i/>
          <w:color w:val="auto"/>
          <w:sz w:val="24"/>
          <w:u w:val="single"/>
        </w:rPr>
        <w:t>合同专用条款</w:t>
      </w:r>
      <w:r>
        <w:rPr>
          <w:rFonts w:hint="eastAsia" w:ascii="宋体" w:hAnsi="宋体" w:eastAsia="宋体" w:cs="宋体"/>
          <w:i/>
          <w:color w:val="auto"/>
          <w:sz w:val="24"/>
        </w:rPr>
        <w:t>。</w:t>
      </w:r>
    </w:p>
    <w:bookmarkEnd w:id="265"/>
    <w:bookmarkEnd w:id="266"/>
    <w:bookmarkEnd w:id="267"/>
    <w:bookmarkEnd w:id="268"/>
    <w:p w14:paraId="4A245DE4">
      <w:pPr>
        <w:pageBreakBefore w:val="0"/>
        <w:kinsoku/>
        <w:wordWrap/>
        <w:overflowPunct/>
        <w:topLinePunct w:val="0"/>
        <w:bidi w:val="0"/>
        <w:spacing w:beforeAutospacing="0" w:line="360" w:lineRule="auto"/>
        <w:ind w:left="0" w:leftChars="0" w:right="0" w:firstLine="482" w:firstLineChars="200"/>
        <w:rPr>
          <w:rFonts w:hint="eastAsia" w:ascii="宋体" w:hAnsi="宋体" w:eastAsia="宋体" w:cs="宋体"/>
          <w:b/>
          <w:color w:val="auto"/>
          <w:sz w:val="24"/>
        </w:rPr>
      </w:pPr>
      <w:bookmarkStart w:id="296" w:name="_Toc259093690"/>
      <w:bookmarkStart w:id="297" w:name="_Toc487900371"/>
      <w:bookmarkStart w:id="298" w:name="_Toc279701261"/>
      <w:bookmarkStart w:id="299" w:name="_Toc25182"/>
      <w:bookmarkStart w:id="300" w:name="_Toc11284"/>
      <w:bookmarkStart w:id="301" w:name="_Toc19604"/>
      <w:r>
        <w:rPr>
          <w:rFonts w:hint="eastAsia" w:ascii="宋体" w:hAnsi="宋体" w:eastAsia="宋体" w:cs="宋体"/>
          <w:b/>
          <w:color w:val="auto"/>
          <w:sz w:val="24"/>
        </w:rPr>
        <w:t>2.18 通知</w:t>
      </w:r>
      <w:bookmarkEnd w:id="296"/>
      <w:bookmarkEnd w:id="297"/>
      <w:bookmarkEnd w:id="298"/>
      <w:r>
        <w:rPr>
          <w:rFonts w:hint="eastAsia" w:ascii="宋体" w:hAnsi="宋体" w:eastAsia="宋体" w:cs="宋体"/>
          <w:b/>
          <w:color w:val="auto"/>
          <w:sz w:val="24"/>
        </w:rPr>
        <w:t>和送达</w:t>
      </w:r>
      <w:bookmarkEnd w:id="299"/>
      <w:bookmarkEnd w:id="300"/>
      <w:bookmarkEnd w:id="301"/>
    </w:p>
    <w:p w14:paraId="2095FFF4">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bookmarkStart w:id="302" w:name="_Toc3135"/>
      <w:bookmarkStart w:id="303" w:name="_Toc6698"/>
      <w:bookmarkStart w:id="304" w:name="_Toc279701262"/>
      <w:bookmarkStart w:id="305" w:name="_Toc487900372"/>
      <w:bookmarkStart w:id="306" w:name="_Toc259093691"/>
      <w:r>
        <w:rPr>
          <w:rFonts w:hint="eastAsia" w:ascii="宋体" w:hAnsi="宋体" w:eastAsia="宋体" w:cs="宋体"/>
          <w:color w:val="auto"/>
          <w:sz w:val="24"/>
        </w:rPr>
        <w:t>2.18.1 任何一方因履行合同而以合同第一部分尾部所列明的</w:t>
      </w:r>
      <w:r>
        <w:rPr>
          <w:rFonts w:hint="eastAsia" w:ascii="宋体" w:hAnsi="宋体" w:eastAsia="宋体" w:cs="宋体"/>
          <w:color w:val="auto"/>
          <w:sz w:val="24"/>
          <w:u w:val="single"/>
        </w:rPr>
        <w:t>“约定送达地址”</w:t>
      </w:r>
      <w:r>
        <w:rPr>
          <w:rFonts w:hint="eastAsia" w:ascii="宋体" w:hAnsi="宋体" w:eastAsia="宋体" w:cs="宋体"/>
          <w:color w:val="auto"/>
          <w:sz w:val="24"/>
        </w:rPr>
        <w:t>为收件地址的所有通知、文件、材料，均视为已向对方当事人送达；任何一方变更上述送达方式或者地址的，应于</w:t>
      </w:r>
      <w:r>
        <w:rPr>
          <w:rFonts w:hint="eastAsia" w:ascii="宋体" w:hAnsi="宋体" w:eastAsia="宋体" w:cs="宋体"/>
          <w:color w:val="auto"/>
          <w:sz w:val="24"/>
          <w:u w:val="single"/>
        </w:rPr>
        <w:t xml:space="preserve">    </w:t>
      </w:r>
      <w:r>
        <w:rPr>
          <w:rFonts w:hint="eastAsia" w:ascii="宋体" w:hAnsi="宋体" w:eastAsia="宋体" w:cs="宋体"/>
          <w:color w:val="auto"/>
          <w:sz w:val="24"/>
        </w:rPr>
        <w:t>个工作日（根据项目实际情况填写）内书面通知对方当事人，在对方当事人收到有关变更通知之前，变更前的约定送达方式或者地址仍视为有效。</w:t>
      </w:r>
      <w:bookmarkEnd w:id="302"/>
      <w:bookmarkEnd w:id="303"/>
    </w:p>
    <w:p w14:paraId="43527783">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bookmarkStart w:id="307" w:name="_Toc23294"/>
      <w:bookmarkStart w:id="308" w:name="_Toc23128"/>
      <w:r>
        <w:rPr>
          <w:rFonts w:hint="eastAsia" w:ascii="宋体" w:hAnsi="宋体" w:eastAsia="宋体" w:cs="宋体"/>
          <w:color w:val="auto"/>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307"/>
      <w:bookmarkEnd w:id="308"/>
    </w:p>
    <w:p w14:paraId="0E566D14">
      <w:pPr>
        <w:pageBreakBefore w:val="0"/>
        <w:kinsoku/>
        <w:wordWrap/>
        <w:overflowPunct/>
        <w:topLinePunct w:val="0"/>
        <w:bidi w:val="0"/>
        <w:spacing w:beforeAutospacing="0" w:line="360" w:lineRule="auto"/>
        <w:ind w:left="0" w:leftChars="0" w:right="0" w:firstLine="482" w:firstLineChars="200"/>
        <w:rPr>
          <w:rFonts w:hint="eastAsia" w:ascii="宋体" w:hAnsi="宋体" w:eastAsia="宋体" w:cs="宋体"/>
          <w:b/>
          <w:color w:val="auto"/>
          <w:sz w:val="24"/>
        </w:rPr>
      </w:pPr>
      <w:bookmarkStart w:id="309" w:name="_Toc4355"/>
      <w:bookmarkStart w:id="310" w:name="_Toc18540"/>
      <w:bookmarkStart w:id="311" w:name="_Toc30599"/>
      <w:r>
        <w:rPr>
          <w:rFonts w:hint="eastAsia" w:ascii="宋体" w:hAnsi="宋体" w:eastAsia="宋体" w:cs="宋体"/>
          <w:b/>
          <w:color w:val="auto"/>
          <w:sz w:val="24"/>
        </w:rPr>
        <w:t>2.19 计量单位</w:t>
      </w:r>
      <w:bookmarkEnd w:id="304"/>
      <w:bookmarkEnd w:id="305"/>
      <w:bookmarkEnd w:id="306"/>
      <w:bookmarkEnd w:id="309"/>
      <w:bookmarkEnd w:id="310"/>
      <w:bookmarkEnd w:id="311"/>
    </w:p>
    <w:p w14:paraId="0DAA4E4A">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除技术规范中另有规定外,合同的计量单位均使用国家法定计量单位。</w:t>
      </w:r>
    </w:p>
    <w:p w14:paraId="2E875A16">
      <w:pPr>
        <w:pageBreakBefore w:val="0"/>
        <w:kinsoku/>
        <w:wordWrap/>
        <w:overflowPunct/>
        <w:topLinePunct w:val="0"/>
        <w:bidi w:val="0"/>
        <w:spacing w:beforeAutospacing="0" w:line="360" w:lineRule="auto"/>
        <w:ind w:left="0" w:leftChars="0" w:right="0" w:firstLine="482" w:firstLineChars="200"/>
        <w:rPr>
          <w:rFonts w:hint="eastAsia" w:ascii="宋体" w:hAnsi="宋体" w:eastAsia="宋体" w:cs="宋体"/>
          <w:b/>
          <w:color w:val="auto"/>
          <w:sz w:val="24"/>
        </w:rPr>
      </w:pPr>
      <w:bookmarkStart w:id="312" w:name="_Toc279701263"/>
      <w:bookmarkStart w:id="313" w:name="_Toc259093692"/>
      <w:bookmarkStart w:id="314" w:name="_Toc18567"/>
      <w:bookmarkStart w:id="315" w:name="_Toc487900373"/>
      <w:bookmarkStart w:id="316" w:name="_Toc12773"/>
      <w:bookmarkStart w:id="317" w:name="_Toc10330"/>
      <w:r>
        <w:rPr>
          <w:rFonts w:hint="eastAsia" w:ascii="宋体" w:hAnsi="宋体" w:eastAsia="宋体" w:cs="宋体"/>
          <w:b/>
          <w:color w:val="auto"/>
          <w:sz w:val="24"/>
        </w:rPr>
        <w:t>2.20 合同使用的文字和适用的法律</w:t>
      </w:r>
      <w:bookmarkEnd w:id="312"/>
      <w:bookmarkEnd w:id="313"/>
      <w:bookmarkEnd w:id="314"/>
      <w:bookmarkEnd w:id="315"/>
      <w:bookmarkEnd w:id="316"/>
      <w:bookmarkEnd w:id="317"/>
    </w:p>
    <w:p w14:paraId="0372446E">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2.20.1 合同使用汉语书就、变更和解释；</w:t>
      </w:r>
    </w:p>
    <w:p w14:paraId="5931EB77">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2.20.2 合同适用中华人民共和国法律。</w:t>
      </w:r>
    </w:p>
    <w:p w14:paraId="4F206420">
      <w:pPr>
        <w:pageBreakBefore w:val="0"/>
        <w:kinsoku/>
        <w:wordWrap/>
        <w:overflowPunct/>
        <w:topLinePunct w:val="0"/>
        <w:bidi w:val="0"/>
        <w:spacing w:beforeAutospacing="0" w:line="360" w:lineRule="auto"/>
        <w:ind w:left="0" w:leftChars="0" w:right="0" w:firstLine="482" w:firstLineChars="200"/>
        <w:rPr>
          <w:rFonts w:hint="eastAsia" w:ascii="宋体" w:hAnsi="宋体" w:eastAsia="宋体" w:cs="宋体"/>
          <w:b/>
          <w:color w:val="auto"/>
          <w:sz w:val="24"/>
        </w:rPr>
      </w:pPr>
      <w:bookmarkStart w:id="318" w:name="_Toc12004"/>
      <w:bookmarkStart w:id="319" w:name="_Toc259093693"/>
      <w:bookmarkStart w:id="320" w:name="_Toc279701264"/>
      <w:bookmarkStart w:id="321" w:name="_Toc3148"/>
      <w:bookmarkStart w:id="322" w:name="_Toc16673"/>
      <w:bookmarkStart w:id="323" w:name="_Toc487900374"/>
      <w:r>
        <w:rPr>
          <w:rFonts w:hint="eastAsia" w:ascii="宋体" w:hAnsi="宋体" w:eastAsia="宋体" w:cs="宋体"/>
          <w:b/>
          <w:color w:val="auto"/>
          <w:sz w:val="24"/>
        </w:rPr>
        <w:t>2.21 履约保证金</w:t>
      </w:r>
      <w:bookmarkEnd w:id="318"/>
      <w:bookmarkEnd w:id="319"/>
      <w:bookmarkEnd w:id="320"/>
      <w:bookmarkEnd w:id="321"/>
      <w:bookmarkEnd w:id="322"/>
    </w:p>
    <w:p w14:paraId="28460DA0">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snapToGrid w:val="0"/>
          <w:color w:val="auto"/>
          <w:kern w:val="0"/>
          <w:sz w:val="24"/>
        </w:rPr>
      </w:pPr>
      <w:r>
        <w:rPr>
          <w:rFonts w:hint="eastAsia" w:ascii="宋体" w:hAnsi="宋体" w:eastAsia="宋体" w:cs="宋体"/>
          <w:color w:val="auto"/>
          <w:sz w:val="24"/>
        </w:rPr>
        <w:t>本项目不收取履约保证金</w:t>
      </w:r>
    </w:p>
    <w:p w14:paraId="3F083AE5">
      <w:pPr>
        <w:pageBreakBefore w:val="0"/>
        <w:kinsoku/>
        <w:wordWrap/>
        <w:overflowPunct/>
        <w:topLinePunct w:val="0"/>
        <w:bidi w:val="0"/>
        <w:spacing w:beforeAutospacing="0" w:line="360" w:lineRule="auto"/>
        <w:ind w:left="0" w:leftChars="0" w:right="0" w:firstLine="482" w:firstLineChars="200"/>
        <w:rPr>
          <w:rFonts w:hint="eastAsia" w:ascii="宋体" w:hAnsi="宋体" w:eastAsia="宋体" w:cs="宋体"/>
          <w:color w:val="auto"/>
          <w:kern w:val="0"/>
          <w:sz w:val="24"/>
          <w:lang w:val="zh-CN"/>
        </w:rPr>
      </w:pPr>
      <w:r>
        <w:rPr>
          <w:rFonts w:hint="eastAsia" w:ascii="宋体" w:hAnsi="宋体" w:eastAsia="宋体" w:cs="宋体"/>
          <w:b/>
          <w:color w:val="auto"/>
          <w:sz w:val="24"/>
        </w:rPr>
        <w:t>2.22 中小企业政策</w:t>
      </w:r>
    </w:p>
    <w:p w14:paraId="3EB4B4E9">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2.22.1本合同（□是  □否）为中小企业“政采贷”可融资合同，关于中小企业信用融资事项见采购文件“投标人须知正文”。</w:t>
      </w:r>
    </w:p>
    <w:p w14:paraId="20BB71A7">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2.22.2本合同（□是  □否）为中小企业预留合同。</w:t>
      </w:r>
    </w:p>
    <w:bookmarkEnd w:id="323"/>
    <w:p w14:paraId="6916AC85">
      <w:pPr>
        <w:pageBreakBefore w:val="0"/>
        <w:kinsoku/>
        <w:wordWrap/>
        <w:overflowPunct/>
        <w:topLinePunct w:val="0"/>
        <w:bidi w:val="0"/>
        <w:spacing w:beforeAutospacing="0" w:line="360" w:lineRule="auto"/>
        <w:ind w:left="0" w:leftChars="0" w:right="0" w:firstLine="482" w:firstLineChars="200"/>
        <w:rPr>
          <w:rFonts w:hint="eastAsia" w:ascii="宋体" w:hAnsi="宋体" w:eastAsia="宋体" w:cs="宋体"/>
          <w:b/>
          <w:color w:val="auto"/>
          <w:sz w:val="24"/>
        </w:rPr>
      </w:pPr>
      <w:bookmarkStart w:id="324" w:name="_Toc14001"/>
      <w:bookmarkStart w:id="325" w:name="_Toc6885"/>
      <w:bookmarkStart w:id="326" w:name="_Toc19890"/>
      <w:r>
        <w:rPr>
          <w:rFonts w:hint="eastAsia" w:ascii="宋体" w:hAnsi="宋体" w:eastAsia="宋体" w:cs="宋体"/>
          <w:b/>
          <w:color w:val="auto"/>
          <w:sz w:val="24"/>
        </w:rPr>
        <w:t>2.23 合同份数</w:t>
      </w:r>
      <w:bookmarkEnd w:id="324"/>
      <w:bookmarkEnd w:id="325"/>
      <w:bookmarkEnd w:id="326"/>
    </w:p>
    <w:p w14:paraId="0ED8241C">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本合同壹式</w:t>
      </w:r>
      <w:r>
        <w:rPr>
          <w:rFonts w:hint="eastAsia" w:ascii="宋体" w:hAnsi="宋体" w:eastAsia="宋体" w:cs="宋体"/>
          <w:color w:val="auto"/>
          <w:sz w:val="24"/>
          <w:u w:val="single"/>
        </w:rPr>
        <w:t xml:space="preserve">   </w:t>
      </w:r>
      <w:r>
        <w:rPr>
          <w:rFonts w:hint="eastAsia" w:ascii="宋体" w:hAnsi="宋体" w:eastAsia="宋体" w:cs="宋体"/>
          <w:color w:val="auto"/>
          <w:sz w:val="24"/>
        </w:rPr>
        <w:t>份，甲方执</w:t>
      </w:r>
      <w:r>
        <w:rPr>
          <w:rFonts w:hint="eastAsia" w:ascii="宋体" w:hAnsi="宋体" w:eastAsia="宋体" w:cs="宋体"/>
          <w:color w:val="auto"/>
          <w:sz w:val="24"/>
          <w:u w:val="single"/>
        </w:rPr>
        <w:t xml:space="preserve">   </w:t>
      </w:r>
      <w:r>
        <w:rPr>
          <w:rFonts w:hint="eastAsia" w:ascii="宋体" w:hAnsi="宋体" w:eastAsia="宋体" w:cs="宋体"/>
          <w:color w:val="auto"/>
          <w:sz w:val="24"/>
        </w:rPr>
        <w:t>份，乙方执</w:t>
      </w:r>
      <w:r>
        <w:rPr>
          <w:rFonts w:hint="eastAsia" w:ascii="宋体" w:hAnsi="宋体" w:eastAsia="宋体" w:cs="宋体"/>
          <w:color w:val="auto"/>
          <w:sz w:val="24"/>
          <w:u w:val="single"/>
        </w:rPr>
        <w:t xml:space="preserve">   </w:t>
      </w:r>
      <w:r>
        <w:rPr>
          <w:rFonts w:hint="eastAsia" w:ascii="宋体" w:hAnsi="宋体" w:eastAsia="宋体" w:cs="宋体"/>
          <w:color w:val="auto"/>
          <w:sz w:val="24"/>
        </w:rPr>
        <w:t>份。每份均具有同等法律效力。</w:t>
      </w:r>
    </w:p>
    <w:p w14:paraId="491323C1">
      <w:pPr>
        <w:pageBreakBefore w:val="0"/>
        <w:kinsoku/>
        <w:wordWrap/>
        <w:overflowPunct/>
        <w:topLinePunct w:val="0"/>
        <w:bidi w:val="0"/>
        <w:spacing w:beforeAutospacing="0" w:line="360" w:lineRule="auto"/>
        <w:ind w:left="0" w:leftChars="0" w:right="0"/>
        <w:jc w:val="center"/>
        <w:rPr>
          <w:rFonts w:hint="eastAsia" w:ascii="宋体" w:hAnsi="宋体" w:eastAsia="宋体" w:cs="宋体"/>
          <w:b/>
          <w:color w:val="auto"/>
          <w:sz w:val="28"/>
          <w:szCs w:val="28"/>
        </w:rPr>
      </w:pPr>
      <w:r>
        <w:rPr>
          <w:rFonts w:hint="eastAsia" w:ascii="宋体" w:hAnsi="宋体" w:eastAsia="宋体" w:cs="宋体"/>
          <w:color w:val="auto"/>
        </w:rPr>
        <w:br w:type="page"/>
      </w:r>
      <w:bookmarkStart w:id="327" w:name="_Toc331685784"/>
      <w:r>
        <w:rPr>
          <w:rFonts w:hint="eastAsia" w:ascii="宋体" w:hAnsi="宋体" w:eastAsia="宋体" w:cs="宋体"/>
          <w:b/>
          <w:color w:val="auto"/>
          <w:sz w:val="28"/>
          <w:szCs w:val="28"/>
        </w:rPr>
        <w:t>第三部分  合同专用条款</w:t>
      </w:r>
      <w:bookmarkEnd w:id="327"/>
    </w:p>
    <w:p w14:paraId="178A5043">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3AAEAB70">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3.1具有知识产权的标的物知识产权归属：</w:t>
      </w:r>
    </w:p>
    <w:p w14:paraId="46D0BAFD">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p>
    <w:p w14:paraId="7B8B990E">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3.2包装和装运专用条款（如果有）：</w:t>
      </w:r>
    </w:p>
    <w:p w14:paraId="585F47C1">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p>
    <w:p w14:paraId="143F022B">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3.3装运标的物的要求和通知：</w:t>
      </w:r>
    </w:p>
    <w:p w14:paraId="39A8B461">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p>
    <w:p w14:paraId="639CFD87">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b/>
          <w:color w:val="auto"/>
          <w:sz w:val="24"/>
        </w:rPr>
      </w:pPr>
      <w:r>
        <w:rPr>
          <w:rFonts w:hint="eastAsia" w:ascii="宋体" w:hAnsi="宋体" w:eastAsia="宋体" w:cs="宋体"/>
          <w:color w:val="auto"/>
          <w:sz w:val="24"/>
        </w:rPr>
        <w:t>3.4</w:t>
      </w:r>
      <w:r>
        <w:rPr>
          <w:rFonts w:hint="eastAsia" w:ascii="宋体" w:hAnsi="宋体" w:eastAsia="宋体" w:cs="宋体"/>
          <w:b/>
          <w:color w:val="auto"/>
          <w:sz w:val="24"/>
        </w:rPr>
        <w:t>结算方式和付款条件</w:t>
      </w:r>
    </w:p>
    <w:p w14:paraId="208415AC">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本次项目合同总价为大写人民币</w:t>
      </w:r>
      <w:r>
        <w:rPr>
          <w:rFonts w:hint="eastAsia" w:ascii="宋体" w:hAnsi="宋体" w:eastAsia="宋体" w:cs="宋体"/>
          <w:color w:val="auto"/>
          <w:kern w:val="0"/>
          <w:sz w:val="24"/>
          <w:u w:val="single"/>
          <w:lang w:val="zh-CN"/>
        </w:rPr>
        <w:t xml:space="preserve">            （</w:t>
      </w:r>
      <w:r>
        <w:rPr>
          <w:rFonts w:hint="eastAsia" w:ascii="宋体" w:hAnsi="宋体" w:eastAsia="宋体" w:cs="宋体"/>
          <w:color w:val="auto"/>
          <w:kern w:val="0"/>
          <w:sz w:val="24"/>
          <w:lang w:val="zh-CN"/>
        </w:rPr>
        <w:t>￥    元）。本项目采用以下勾选结算方式进行支付：</w:t>
      </w:r>
    </w:p>
    <w:p w14:paraId="77AC5F4B">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□采用一次性支付方式，付款条件为：</w:t>
      </w:r>
      <w:r>
        <w:rPr>
          <w:rFonts w:hint="eastAsia" w:ascii="宋体" w:hAnsi="宋体" w:eastAsia="宋体" w:cs="宋体"/>
          <w:color w:val="auto"/>
          <w:kern w:val="0"/>
          <w:sz w:val="24"/>
          <w:u w:val="single"/>
        </w:rPr>
        <w:t xml:space="preserve">           </w:t>
      </w:r>
    </w:p>
    <w:p w14:paraId="10C519BE">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lang w:val="zh-CN"/>
        </w:rPr>
        <w:t>□采用分期付款方式，付款条件为</w:t>
      </w:r>
      <w:r>
        <w:rPr>
          <w:rFonts w:hint="eastAsia" w:ascii="宋体" w:hAnsi="宋体" w:eastAsia="宋体" w:cs="宋体"/>
          <w:color w:val="auto"/>
          <w:kern w:val="0"/>
          <w:sz w:val="24"/>
        </w:rPr>
        <w:t>：</w:t>
      </w:r>
    </w:p>
    <w:p w14:paraId="4F754E9B">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lang w:val="zh-CN"/>
        </w:rPr>
        <w:t>第一期付款</w:t>
      </w:r>
      <w:r>
        <w:rPr>
          <w:rFonts w:hint="eastAsia" w:ascii="宋体" w:hAnsi="宋体" w:eastAsia="宋体" w:cs="宋体"/>
          <w:color w:val="auto"/>
          <w:kern w:val="0"/>
          <w:sz w:val="24"/>
        </w:rPr>
        <w:t>：</w:t>
      </w:r>
      <w:r>
        <w:rPr>
          <w:rFonts w:hint="eastAsia" w:ascii="宋体" w:hAnsi="宋体" w:eastAsia="宋体" w:cs="宋体"/>
          <w:color w:val="auto"/>
          <w:kern w:val="0"/>
          <w:sz w:val="24"/>
          <w:u w:val="single"/>
        </w:rPr>
        <w:t xml:space="preserve">                                        </w:t>
      </w:r>
    </w:p>
    <w:p w14:paraId="4D29BE94">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kern w:val="0"/>
          <w:sz w:val="24"/>
          <w:u w:val="single"/>
        </w:rPr>
      </w:pPr>
      <w:r>
        <w:rPr>
          <w:rFonts w:hint="eastAsia" w:ascii="宋体" w:hAnsi="宋体" w:eastAsia="宋体" w:cs="宋体"/>
          <w:color w:val="auto"/>
          <w:kern w:val="0"/>
          <w:sz w:val="24"/>
          <w:lang w:val="zh-CN"/>
        </w:rPr>
        <w:t>第</w:t>
      </w:r>
      <w:r>
        <w:rPr>
          <w:rFonts w:hint="eastAsia" w:ascii="宋体" w:hAnsi="宋体" w:eastAsia="宋体" w:cs="宋体"/>
          <w:color w:val="auto"/>
          <w:kern w:val="0"/>
          <w:sz w:val="24"/>
        </w:rPr>
        <w:t>二</w:t>
      </w:r>
      <w:r>
        <w:rPr>
          <w:rFonts w:hint="eastAsia" w:ascii="宋体" w:hAnsi="宋体" w:eastAsia="宋体" w:cs="宋体"/>
          <w:color w:val="auto"/>
          <w:kern w:val="0"/>
          <w:sz w:val="24"/>
          <w:lang w:val="zh-CN"/>
        </w:rPr>
        <w:t>期付款</w:t>
      </w:r>
      <w:r>
        <w:rPr>
          <w:rFonts w:hint="eastAsia" w:ascii="宋体" w:hAnsi="宋体" w:eastAsia="宋体" w:cs="宋体"/>
          <w:color w:val="auto"/>
          <w:kern w:val="0"/>
          <w:sz w:val="24"/>
        </w:rPr>
        <w:t>：</w:t>
      </w:r>
      <w:r>
        <w:rPr>
          <w:rFonts w:hint="eastAsia" w:ascii="宋体" w:hAnsi="宋体" w:eastAsia="宋体" w:cs="宋体"/>
          <w:color w:val="auto"/>
          <w:kern w:val="0"/>
          <w:sz w:val="24"/>
          <w:u w:val="single"/>
        </w:rPr>
        <w:t xml:space="preserve">                                        </w:t>
      </w:r>
    </w:p>
    <w:p w14:paraId="04F705E5">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w:t>
      </w:r>
    </w:p>
    <w:p w14:paraId="6A87732C">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甲方无故逾期支付服务费用的，按照每逾期一日支付欠付服务费额度的（根据项目实际填写，一般为万分之五）</w:t>
      </w:r>
      <w:r>
        <w:rPr>
          <w:rFonts w:hint="eastAsia" w:ascii="宋体" w:hAnsi="宋体" w:eastAsia="宋体" w:cs="宋体"/>
          <w:color w:val="auto"/>
          <w:sz w:val="24"/>
          <w:u w:val="single"/>
        </w:rPr>
        <w:t xml:space="preserve">     </w:t>
      </w:r>
      <w:r>
        <w:rPr>
          <w:rFonts w:hint="eastAsia" w:ascii="宋体" w:hAnsi="宋体" w:eastAsia="宋体" w:cs="宋体"/>
          <w:color w:val="auto"/>
          <w:sz w:val="24"/>
        </w:rPr>
        <w:t>承担违约责任，违约金上限按照《合同书》约定执行。</w:t>
      </w:r>
    </w:p>
    <w:p w14:paraId="2777A5D2">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温馨提示：根据《广西壮族自治区财政厅关于进一步发挥政府采购政策功能促进企业发展的通知》（桂财采〔2022〕30号）规定，政府采购货物和服务的采购人在政府采购合同中约定预付款比例的，对中小企业合同预付款比例原则上不低于合同金额的30％，不高于合同金额的50%；项目分年度安排预算的，每年预付款比例不低于项目年度计划支付金额的30％；采购项目以人工投入为主的，可降低预付款比例，但不得低于10%。采购文件和采购合同没有约定预付款的，经供应商申请采购人可支付预付款。对于未实行预付款的政府采购项目，鼓励采购人在合同中明确首付款支付比例。）</w:t>
      </w:r>
    </w:p>
    <w:p w14:paraId="1274DC2B">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b/>
          <w:color w:val="auto"/>
          <w:sz w:val="24"/>
        </w:rPr>
      </w:pPr>
      <w:r>
        <w:rPr>
          <w:rFonts w:hint="eastAsia" w:ascii="宋体" w:hAnsi="宋体" w:eastAsia="宋体" w:cs="宋体"/>
          <w:color w:val="auto"/>
          <w:sz w:val="24"/>
        </w:rPr>
        <w:t>3.5</w:t>
      </w:r>
      <w:r>
        <w:rPr>
          <w:rFonts w:hint="eastAsia" w:ascii="宋体" w:hAnsi="宋体" w:eastAsia="宋体" w:cs="宋体"/>
          <w:b/>
          <w:color w:val="auto"/>
          <w:sz w:val="24"/>
        </w:rPr>
        <w:t>标的物的风险负担</w:t>
      </w:r>
    </w:p>
    <w:p w14:paraId="30D55D97">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标的物或者在途标的物或者交付给第一承运人后的标的物毁损、灭失的风险负担：</w:t>
      </w:r>
    </w:p>
    <w:p w14:paraId="2EDF043A">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u w:val="single"/>
        </w:rPr>
      </w:pPr>
      <w:r>
        <w:rPr>
          <w:rFonts w:hint="eastAsia" w:ascii="宋体" w:hAnsi="宋体" w:eastAsia="宋体" w:cs="宋体"/>
          <w:color w:val="auto"/>
          <w:sz w:val="24"/>
          <w:u w:val="single"/>
        </w:rPr>
        <w:t xml:space="preserve">乙方 </w:t>
      </w:r>
    </w:p>
    <w:p w14:paraId="13A365BA">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3.5.1受不可抗力影响的一方在不可抗力发生后，应在日内（根据项目实际填写）以书面形式通知对方当事人，并在日内，将有关部门出具的证明文件送达对方当事人。</w:t>
      </w:r>
    </w:p>
    <w:p w14:paraId="6317AFEC">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3.5.2因不可抗力致使合同有变更必要的，双方当事人应在日内（根据项目实际填写）以书面形式变更合同；</w:t>
      </w:r>
    </w:p>
    <w:p w14:paraId="1C1A8365">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3.5.3标的物交付前，乙方应对标的物的质量、数量等方面进行详细、全面的检验，并向甲方出具证明标的物符合合同约定的文件；标的物交付时，乙方在日内发（根据项目实际填写）起验收，并可依法邀请相关方参加，验收应出具验收书。</w:t>
      </w:r>
    </w:p>
    <w:p w14:paraId="6ABF146B">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3.5.4 检验和验收标准、程序等具体内容以及前述验收书的效力：</w:t>
      </w:r>
    </w:p>
    <w:p w14:paraId="6FC14B57">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p>
    <w:p w14:paraId="5A03C7AA">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3.5.5 其他：</w:t>
      </w:r>
    </w:p>
    <w:p w14:paraId="3D20C108">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b/>
          <w:color w:val="auto"/>
          <w:sz w:val="24"/>
        </w:rPr>
      </w:pPr>
      <w:r>
        <w:rPr>
          <w:rFonts w:hint="eastAsia" w:ascii="宋体" w:hAnsi="宋体" w:eastAsia="宋体" w:cs="宋体"/>
          <w:color w:val="auto"/>
          <w:sz w:val="24"/>
        </w:rPr>
        <w:t>3.6</w:t>
      </w:r>
      <w:r>
        <w:rPr>
          <w:rFonts w:hint="eastAsia" w:ascii="宋体" w:hAnsi="宋体" w:eastAsia="宋体" w:cs="宋体"/>
          <w:b/>
          <w:color w:val="auto"/>
          <w:sz w:val="24"/>
        </w:rPr>
        <w:t>项目验收：</w:t>
      </w:r>
    </w:p>
    <w:p w14:paraId="4A42CC91">
      <w:pPr>
        <w:pageBreakBefore w:val="0"/>
        <w:tabs>
          <w:tab w:val="left" w:pos="904"/>
        </w:tabs>
        <w:kinsoku/>
        <w:wordWrap/>
        <w:overflowPunct/>
        <w:topLinePunct w:val="0"/>
        <w:bidi w:val="0"/>
        <w:snapToGrid w:val="0"/>
        <w:spacing w:beforeAutospacing="0" w:line="360" w:lineRule="auto"/>
        <w:ind w:left="0" w:leftChars="0" w:right="0"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5256EBB8">
      <w:pPr>
        <w:pageBreakBefore w:val="0"/>
        <w:tabs>
          <w:tab w:val="left" w:pos="904"/>
        </w:tabs>
        <w:kinsoku/>
        <w:wordWrap/>
        <w:overflowPunct/>
        <w:topLinePunct w:val="0"/>
        <w:bidi w:val="0"/>
        <w:snapToGrid w:val="0"/>
        <w:spacing w:beforeAutospacing="0" w:line="360" w:lineRule="auto"/>
        <w:ind w:left="0" w:leftChars="0" w:right="0"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49C720CA">
      <w:pPr>
        <w:pageBreakBefore w:val="0"/>
        <w:tabs>
          <w:tab w:val="left" w:pos="904"/>
        </w:tabs>
        <w:kinsoku/>
        <w:wordWrap/>
        <w:overflowPunct/>
        <w:topLinePunct w:val="0"/>
        <w:bidi w:val="0"/>
        <w:snapToGrid w:val="0"/>
        <w:spacing w:beforeAutospacing="0" w:line="360" w:lineRule="auto"/>
        <w:ind w:left="0" w:leftChars="0" w:right="0"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086278F1">
      <w:pPr>
        <w:pageBreakBefore w:val="0"/>
        <w:tabs>
          <w:tab w:val="left" w:pos="904"/>
        </w:tabs>
        <w:kinsoku/>
        <w:wordWrap/>
        <w:overflowPunct/>
        <w:topLinePunct w:val="0"/>
        <w:bidi w:val="0"/>
        <w:snapToGrid w:val="0"/>
        <w:spacing w:beforeAutospacing="0" w:line="360" w:lineRule="auto"/>
        <w:ind w:left="0" w:leftChars="0" w:right="0"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3.6.4验收产生的费用首次验收费用由甲方承担，如首次验收不合格，后续验收费用由乙方支付。</w:t>
      </w:r>
    </w:p>
    <w:p w14:paraId="6BD54C2D">
      <w:pPr>
        <w:pageBreakBefore w:val="0"/>
        <w:tabs>
          <w:tab w:val="left" w:pos="904"/>
        </w:tabs>
        <w:kinsoku/>
        <w:wordWrap/>
        <w:overflowPunct/>
        <w:topLinePunct w:val="0"/>
        <w:bidi w:val="0"/>
        <w:snapToGrid w:val="0"/>
        <w:spacing w:beforeAutospacing="0" w:line="360" w:lineRule="auto"/>
        <w:ind w:left="0" w:leftChars="0" w:right="0"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3.6.5验收内容及资料要求：</w:t>
      </w:r>
    </w:p>
    <w:p w14:paraId="6D62E7E4">
      <w:pPr>
        <w:pageBreakBefore w:val="0"/>
        <w:tabs>
          <w:tab w:val="left" w:pos="904"/>
        </w:tabs>
        <w:kinsoku/>
        <w:wordWrap/>
        <w:overflowPunct/>
        <w:topLinePunct w:val="0"/>
        <w:bidi w:val="0"/>
        <w:snapToGrid w:val="0"/>
        <w:spacing w:beforeAutospacing="0" w:line="360" w:lineRule="auto"/>
        <w:ind w:left="0" w:leftChars="0" w:right="0"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根根据采购文件确定的技术指标或者服务要求确定验收指标和标准。未进行相应约定的，应当符合国家强制性规定、政策要求、安全标准、行业或企业有关标准等。</w:t>
      </w:r>
    </w:p>
    <w:p w14:paraId="1BF76D7E">
      <w:pPr>
        <w:pageBreakBefore w:val="0"/>
        <w:tabs>
          <w:tab w:val="left" w:pos="904"/>
        </w:tabs>
        <w:kinsoku/>
        <w:wordWrap/>
        <w:overflowPunct/>
        <w:topLinePunct w:val="0"/>
        <w:bidi w:val="0"/>
        <w:snapToGrid w:val="0"/>
        <w:spacing w:beforeAutospacing="0" w:line="360" w:lineRule="auto"/>
        <w:ind w:left="0" w:leftChars="0" w:right="0" w:firstLine="480" w:firstLineChars="200"/>
        <w:jc w:val="left"/>
        <w:rPr>
          <w:rFonts w:hint="eastAsia" w:ascii="宋体" w:hAnsi="宋体" w:eastAsia="宋体" w:cs="宋体"/>
          <w:color w:val="auto"/>
          <w:sz w:val="24"/>
        </w:rPr>
      </w:pPr>
      <w:r>
        <w:rPr>
          <w:rFonts w:hint="eastAsia" w:ascii="宋体" w:hAnsi="宋体" w:eastAsia="宋体" w:cs="宋体"/>
          <w:color w:val="auto"/>
          <w:kern w:val="0"/>
          <w:sz w:val="24"/>
        </w:rPr>
        <w:t>3.6.6</w:t>
      </w:r>
      <w:r>
        <w:rPr>
          <w:rFonts w:hint="eastAsia" w:ascii="宋体" w:hAnsi="宋体" w:eastAsia="宋体" w:cs="宋体"/>
          <w:color w:val="auto"/>
          <w:sz w:val="24"/>
        </w:rPr>
        <w:t>验收内容</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22C99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0E0A9D2A">
            <w:pPr>
              <w:pageBreakBefore w:val="0"/>
              <w:widowControl/>
              <w:kinsoku/>
              <w:wordWrap/>
              <w:overflowPunct/>
              <w:topLinePunct w:val="0"/>
              <w:bidi w:val="0"/>
              <w:spacing w:beforeAutospacing="0" w:line="360" w:lineRule="auto"/>
              <w:ind w:left="0" w:leftChars="0" w:right="0" w:firstLine="200"/>
              <w:jc w:val="center"/>
              <w:rPr>
                <w:rFonts w:hint="eastAsia" w:ascii="宋体" w:hAnsi="宋体" w:eastAsia="宋体" w:cs="宋体"/>
                <w:bCs/>
                <w:color w:val="auto"/>
                <w:kern w:val="0"/>
                <w:sz w:val="24"/>
              </w:rPr>
            </w:pPr>
            <w:r>
              <w:rPr>
                <w:rFonts w:hint="eastAsia" w:ascii="宋体" w:hAnsi="宋体" w:eastAsia="宋体" w:cs="宋体"/>
                <w:bCs/>
                <w:color w:val="auto"/>
                <w:kern w:val="0"/>
                <w:sz w:val="24"/>
              </w:rPr>
              <w:t>序号</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3F40A79F">
            <w:pPr>
              <w:pageBreakBefore w:val="0"/>
              <w:widowControl/>
              <w:kinsoku/>
              <w:wordWrap/>
              <w:overflowPunct/>
              <w:topLinePunct w:val="0"/>
              <w:bidi w:val="0"/>
              <w:spacing w:beforeAutospacing="0" w:line="360" w:lineRule="auto"/>
              <w:ind w:left="0" w:leftChars="0" w:right="0" w:firstLine="200"/>
              <w:jc w:val="center"/>
              <w:rPr>
                <w:rFonts w:hint="eastAsia" w:ascii="宋体" w:hAnsi="宋体" w:eastAsia="宋体" w:cs="宋体"/>
                <w:bCs/>
                <w:color w:val="auto"/>
                <w:kern w:val="0"/>
                <w:sz w:val="24"/>
              </w:rPr>
            </w:pPr>
            <w:r>
              <w:rPr>
                <w:rFonts w:hint="eastAsia" w:ascii="宋体" w:hAnsi="宋体" w:eastAsia="宋体" w:cs="宋体"/>
                <w:bCs/>
                <w:color w:val="auto"/>
                <w:kern w:val="0"/>
                <w:sz w:val="24"/>
              </w:rPr>
              <w:t>验收内容</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4E7B2642">
            <w:pPr>
              <w:pageBreakBefore w:val="0"/>
              <w:widowControl/>
              <w:kinsoku/>
              <w:wordWrap/>
              <w:overflowPunct/>
              <w:topLinePunct w:val="0"/>
              <w:bidi w:val="0"/>
              <w:spacing w:beforeAutospacing="0" w:line="360" w:lineRule="auto"/>
              <w:ind w:left="0" w:leftChars="0" w:right="0" w:firstLine="200"/>
              <w:jc w:val="center"/>
              <w:rPr>
                <w:rFonts w:hint="eastAsia" w:ascii="宋体" w:hAnsi="宋体" w:eastAsia="宋体" w:cs="宋体"/>
                <w:bCs/>
                <w:color w:val="auto"/>
                <w:kern w:val="0"/>
                <w:sz w:val="24"/>
              </w:rPr>
            </w:pPr>
            <w:r>
              <w:rPr>
                <w:rFonts w:hint="eastAsia" w:ascii="宋体" w:hAnsi="宋体" w:eastAsia="宋体" w:cs="宋体"/>
                <w:bCs/>
                <w:color w:val="auto"/>
                <w:kern w:val="0"/>
                <w:sz w:val="24"/>
              </w:rPr>
              <w:t xml:space="preserve"> 验收标准</w:t>
            </w:r>
          </w:p>
        </w:tc>
      </w:tr>
      <w:tr w14:paraId="7752C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6B63E4CD">
            <w:pPr>
              <w:pageBreakBefore w:val="0"/>
              <w:widowControl/>
              <w:kinsoku/>
              <w:wordWrap/>
              <w:overflowPunct/>
              <w:topLinePunct w:val="0"/>
              <w:bidi w:val="0"/>
              <w:spacing w:beforeAutospacing="0" w:line="360" w:lineRule="auto"/>
              <w:ind w:left="0" w:leftChars="0" w:right="0" w:firstLine="200"/>
              <w:jc w:val="center"/>
              <w:rPr>
                <w:rFonts w:hint="eastAsia" w:ascii="宋体" w:hAnsi="宋体" w:eastAsia="宋体" w:cs="宋体"/>
                <w:bCs/>
                <w:color w:val="auto"/>
                <w:kern w:val="0"/>
                <w:sz w:val="24"/>
              </w:rPr>
            </w:pPr>
            <w:r>
              <w:rPr>
                <w:rFonts w:hint="eastAsia" w:ascii="宋体" w:hAnsi="宋体" w:eastAsia="宋体" w:cs="宋体"/>
                <w:bCs/>
                <w:color w:val="auto"/>
                <w:kern w:val="0"/>
                <w:sz w:val="24"/>
              </w:rPr>
              <w:t>1</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498AD3DA">
            <w:pPr>
              <w:pageBreakBefore w:val="0"/>
              <w:widowControl/>
              <w:kinsoku/>
              <w:wordWrap/>
              <w:overflowPunct/>
              <w:topLinePunct w:val="0"/>
              <w:bidi w:val="0"/>
              <w:spacing w:beforeAutospacing="0" w:line="360" w:lineRule="auto"/>
              <w:ind w:left="0" w:leftChars="0" w:right="0"/>
              <w:rPr>
                <w:rFonts w:hint="eastAsia" w:ascii="宋体" w:hAnsi="宋体" w:eastAsia="宋体" w:cs="宋体"/>
                <w:bCs/>
                <w:color w:val="auto"/>
                <w:kern w:val="0"/>
                <w:sz w:val="24"/>
              </w:rPr>
            </w:pPr>
            <w:r>
              <w:rPr>
                <w:rFonts w:hint="eastAsia" w:ascii="宋体" w:hAnsi="宋体" w:eastAsia="宋体" w:cs="宋体"/>
                <w:bCs/>
                <w:color w:val="auto"/>
                <w:kern w:val="0"/>
                <w:sz w:val="24"/>
              </w:rPr>
              <w:t>交付标的物数量</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6AF7B1EF">
            <w:pPr>
              <w:pageBreakBefore w:val="0"/>
              <w:widowControl/>
              <w:kinsoku/>
              <w:wordWrap/>
              <w:overflowPunct/>
              <w:topLinePunct w:val="0"/>
              <w:bidi w:val="0"/>
              <w:spacing w:beforeAutospacing="0" w:line="360" w:lineRule="auto"/>
              <w:ind w:left="0" w:leftChars="0" w:right="0" w:firstLine="200"/>
              <w:jc w:val="center"/>
              <w:rPr>
                <w:rFonts w:hint="eastAsia" w:ascii="宋体" w:hAnsi="宋体" w:eastAsia="宋体" w:cs="宋体"/>
                <w:color w:val="auto"/>
                <w:kern w:val="0"/>
                <w:sz w:val="24"/>
              </w:rPr>
            </w:pPr>
          </w:p>
        </w:tc>
      </w:tr>
      <w:tr w14:paraId="30BE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14033357">
            <w:pPr>
              <w:pageBreakBefore w:val="0"/>
              <w:widowControl/>
              <w:kinsoku/>
              <w:wordWrap/>
              <w:overflowPunct/>
              <w:topLinePunct w:val="0"/>
              <w:bidi w:val="0"/>
              <w:spacing w:beforeAutospacing="0" w:line="360" w:lineRule="auto"/>
              <w:ind w:left="0" w:leftChars="0" w:right="0" w:firstLine="200"/>
              <w:jc w:val="center"/>
              <w:rPr>
                <w:rFonts w:hint="eastAsia" w:ascii="宋体" w:hAnsi="宋体" w:eastAsia="宋体" w:cs="宋体"/>
                <w:bCs/>
                <w:color w:val="auto"/>
                <w:kern w:val="0"/>
                <w:sz w:val="24"/>
              </w:rPr>
            </w:pPr>
            <w:r>
              <w:rPr>
                <w:rFonts w:hint="eastAsia" w:ascii="宋体" w:hAnsi="宋体" w:eastAsia="宋体" w:cs="宋体"/>
                <w:bCs/>
                <w:color w:val="auto"/>
                <w:kern w:val="0"/>
                <w:sz w:val="24"/>
              </w:rPr>
              <w:t>2</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3DF1A4E3">
            <w:pPr>
              <w:pageBreakBefore w:val="0"/>
              <w:widowControl/>
              <w:kinsoku/>
              <w:wordWrap/>
              <w:overflowPunct/>
              <w:topLinePunct w:val="0"/>
              <w:bidi w:val="0"/>
              <w:spacing w:beforeAutospacing="0" w:line="360" w:lineRule="auto"/>
              <w:ind w:left="0" w:leftChars="0" w:right="0"/>
              <w:rPr>
                <w:rFonts w:hint="eastAsia" w:ascii="宋体" w:hAnsi="宋体" w:eastAsia="宋体" w:cs="宋体"/>
                <w:bCs/>
                <w:color w:val="auto"/>
                <w:kern w:val="0"/>
                <w:sz w:val="24"/>
              </w:rPr>
            </w:pPr>
            <w:r>
              <w:rPr>
                <w:rFonts w:hint="eastAsia" w:ascii="宋体" w:hAnsi="宋体" w:eastAsia="宋体" w:cs="宋体"/>
                <w:bCs/>
                <w:color w:val="auto"/>
                <w:kern w:val="0"/>
                <w:sz w:val="24"/>
              </w:rPr>
              <w:t>交付标的物质量文件</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7856A7FE">
            <w:pPr>
              <w:pageBreakBefore w:val="0"/>
              <w:widowControl/>
              <w:kinsoku/>
              <w:wordWrap/>
              <w:overflowPunct/>
              <w:topLinePunct w:val="0"/>
              <w:bidi w:val="0"/>
              <w:spacing w:beforeAutospacing="0" w:line="360" w:lineRule="auto"/>
              <w:ind w:left="0" w:leftChars="0" w:right="0" w:firstLine="200"/>
              <w:jc w:val="center"/>
              <w:rPr>
                <w:rFonts w:hint="eastAsia" w:ascii="宋体" w:hAnsi="宋体" w:eastAsia="宋体" w:cs="宋体"/>
                <w:color w:val="auto"/>
                <w:kern w:val="0"/>
                <w:sz w:val="24"/>
              </w:rPr>
            </w:pPr>
          </w:p>
        </w:tc>
      </w:tr>
      <w:tr w14:paraId="08AF8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271C0277">
            <w:pPr>
              <w:pageBreakBefore w:val="0"/>
              <w:widowControl/>
              <w:kinsoku/>
              <w:wordWrap/>
              <w:overflowPunct/>
              <w:topLinePunct w:val="0"/>
              <w:bidi w:val="0"/>
              <w:spacing w:beforeAutospacing="0" w:line="360" w:lineRule="auto"/>
              <w:ind w:left="0" w:leftChars="0" w:right="0" w:firstLine="200"/>
              <w:jc w:val="center"/>
              <w:rPr>
                <w:rFonts w:hint="eastAsia" w:ascii="宋体" w:hAnsi="宋体" w:eastAsia="宋体" w:cs="宋体"/>
                <w:bCs/>
                <w:color w:val="auto"/>
                <w:kern w:val="0"/>
                <w:sz w:val="24"/>
              </w:rPr>
            </w:pPr>
            <w:r>
              <w:rPr>
                <w:rFonts w:hint="eastAsia" w:ascii="宋体" w:hAnsi="宋体" w:eastAsia="宋体" w:cs="宋体"/>
                <w:bCs/>
                <w:color w:val="auto"/>
                <w:kern w:val="0"/>
                <w:sz w:val="24"/>
              </w:rPr>
              <w:t>4</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11BC6908">
            <w:pPr>
              <w:pageBreakBefore w:val="0"/>
              <w:kinsoku/>
              <w:wordWrap/>
              <w:overflowPunct/>
              <w:topLinePunct w:val="0"/>
              <w:bidi w:val="0"/>
              <w:spacing w:beforeAutospacing="0" w:line="360" w:lineRule="auto"/>
              <w:ind w:left="0" w:leftChars="0" w:right="0"/>
              <w:rPr>
                <w:rFonts w:hint="eastAsia" w:ascii="宋体" w:hAnsi="宋体" w:eastAsia="宋体" w:cs="宋体"/>
                <w:bCs/>
                <w:color w:val="auto"/>
                <w:kern w:val="0"/>
                <w:sz w:val="24"/>
              </w:rPr>
            </w:pPr>
            <w:r>
              <w:rPr>
                <w:rFonts w:hint="eastAsia" w:ascii="宋体" w:hAnsi="宋体" w:eastAsia="宋体" w:cs="宋体"/>
                <w:bCs/>
                <w:color w:val="auto"/>
                <w:kern w:val="0"/>
                <w:sz w:val="24"/>
              </w:rPr>
              <w:t xml:space="preserve">交付标的物技术、性能指标 </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519D3281">
            <w:pPr>
              <w:pageBreakBefore w:val="0"/>
              <w:kinsoku/>
              <w:wordWrap/>
              <w:overflowPunct/>
              <w:topLinePunct w:val="0"/>
              <w:bidi w:val="0"/>
              <w:spacing w:beforeAutospacing="0" w:line="360" w:lineRule="auto"/>
              <w:ind w:left="0" w:leftChars="0" w:right="0" w:firstLine="200"/>
              <w:jc w:val="left"/>
              <w:rPr>
                <w:rFonts w:hint="eastAsia" w:ascii="宋体" w:hAnsi="宋体" w:eastAsia="宋体" w:cs="宋体"/>
                <w:color w:val="auto"/>
              </w:rPr>
            </w:pPr>
          </w:p>
        </w:tc>
      </w:tr>
      <w:tr w14:paraId="4BF48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5FF62992">
            <w:pPr>
              <w:pageBreakBefore w:val="0"/>
              <w:widowControl/>
              <w:kinsoku/>
              <w:wordWrap/>
              <w:overflowPunct/>
              <w:topLinePunct w:val="0"/>
              <w:bidi w:val="0"/>
              <w:spacing w:beforeAutospacing="0" w:line="360" w:lineRule="auto"/>
              <w:ind w:left="0" w:leftChars="0" w:right="0" w:firstLine="200"/>
              <w:jc w:val="center"/>
              <w:rPr>
                <w:rFonts w:hint="eastAsia" w:ascii="宋体" w:hAnsi="宋体" w:eastAsia="宋体" w:cs="宋体"/>
                <w:color w:val="auto"/>
                <w:kern w:val="0"/>
                <w:sz w:val="24"/>
              </w:rPr>
            </w:pPr>
            <w:r>
              <w:rPr>
                <w:rFonts w:hint="eastAsia" w:ascii="宋体" w:hAnsi="宋体" w:eastAsia="宋体" w:cs="宋体"/>
                <w:color w:val="auto"/>
                <w:kern w:val="0"/>
                <w:sz w:val="24"/>
              </w:rPr>
              <w:t>5</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5900D8D8">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rPr>
            </w:pPr>
            <w:r>
              <w:rPr>
                <w:rFonts w:hint="eastAsia" w:ascii="宋体" w:hAnsi="宋体" w:eastAsia="宋体" w:cs="宋体"/>
                <w:color w:val="auto"/>
                <w:sz w:val="24"/>
              </w:rPr>
              <w:t>售后服务承诺</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75491FDC">
            <w:pPr>
              <w:pageBreakBefore w:val="0"/>
              <w:widowControl/>
              <w:kinsoku/>
              <w:wordWrap/>
              <w:overflowPunct/>
              <w:topLinePunct w:val="0"/>
              <w:bidi w:val="0"/>
              <w:spacing w:beforeAutospacing="0" w:line="360" w:lineRule="auto"/>
              <w:ind w:left="0" w:leftChars="0" w:right="0" w:firstLine="200"/>
              <w:jc w:val="center"/>
              <w:rPr>
                <w:rFonts w:hint="eastAsia" w:ascii="宋体" w:hAnsi="宋体" w:eastAsia="宋体" w:cs="宋体"/>
                <w:color w:val="auto"/>
                <w:kern w:val="0"/>
                <w:sz w:val="24"/>
              </w:rPr>
            </w:pPr>
          </w:p>
        </w:tc>
      </w:tr>
      <w:tr w14:paraId="4040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63DD615C">
            <w:pPr>
              <w:pageBreakBefore w:val="0"/>
              <w:widowControl/>
              <w:kinsoku/>
              <w:wordWrap/>
              <w:overflowPunct/>
              <w:topLinePunct w:val="0"/>
              <w:bidi w:val="0"/>
              <w:spacing w:beforeAutospacing="0" w:line="360" w:lineRule="auto"/>
              <w:ind w:left="0" w:leftChars="0" w:right="0" w:firstLine="200"/>
              <w:jc w:val="center"/>
              <w:rPr>
                <w:rFonts w:hint="eastAsia" w:ascii="宋体" w:hAnsi="宋体" w:eastAsia="宋体" w:cs="宋体"/>
                <w:bCs/>
                <w:color w:val="auto"/>
                <w:kern w:val="0"/>
                <w:sz w:val="24"/>
              </w:rPr>
            </w:pPr>
            <w:r>
              <w:rPr>
                <w:rFonts w:hint="eastAsia" w:ascii="宋体" w:hAnsi="宋体" w:eastAsia="宋体" w:cs="宋体"/>
                <w:bCs/>
                <w:color w:val="auto"/>
                <w:kern w:val="0"/>
                <w:sz w:val="24"/>
              </w:rPr>
              <w:t>6</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1E58D678">
            <w:pPr>
              <w:pageBreakBefore w:val="0"/>
              <w:widowControl/>
              <w:kinsoku/>
              <w:wordWrap/>
              <w:overflowPunct/>
              <w:topLinePunct w:val="0"/>
              <w:bidi w:val="0"/>
              <w:spacing w:beforeAutospacing="0" w:line="360" w:lineRule="auto"/>
              <w:ind w:left="0" w:leftChars="0" w:right="0"/>
              <w:rPr>
                <w:rFonts w:hint="eastAsia" w:ascii="宋体" w:hAnsi="宋体" w:eastAsia="宋体" w:cs="宋体"/>
                <w:bCs/>
                <w:color w:val="auto"/>
                <w:kern w:val="0"/>
                <w:sz w:val="24"/>
              </w:rPr>
            </w:pPr>
            <w:r>
              <w:rPr>
                <w:rFonts w:hint="eastAsia" w:ascii="宋体" w:hAnsi="宋体" w:eastAsia="宋体" w:cs="宋体"/>
                <w:bCs/>
                <w:color w:val="auto"/>
                <w:kern w:val="0"/>
                <w:sz w:val="24"/>
              </w:rPr>
              <w:t>其他工作</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102BAE55">
            <w:pPr>
              <w:pageBreakBefore w:val="0"/>
              <w:widowControl/>
              <w:kinsoku/>
              <w:wordWrap/>
              <w:overflowPunct/>
              <w:topLinePunct w:val="0"/>
              <w:bidi w:val="0"/>
              <w:spacing w:beforeAutospacing="0" w:line="360" w:lineRule="auto"/>
              <w:ind w:left="0" w:leftChars="0" w:right="0" w:firstLine="200"/>
              <w:jc w:val="left"/>
              <w:rPr>
                <w:rFonts w:hint="eastAsia" w:ascii="宋体" w:hAnsi="宋体" w:eastAsia="宋体" w:cs="宋体"/>
                <w:color w:val="auto"/>
                <w:kern w:val="0"/>
                <w:sz w:val="24"/>
              </w:rPr>
            </w:pPr>
          </w:p>
        </w:tc>
      </w:tr>
    </w:tbl>
    <w:p w14:paraId="4E68742D">
      <w:pPr>
        <w:pageBreakBefore w:val="0"/>
        <w:tabs>
          <w:tab w:val="left" w:pos="904"/>
        </w:tabs>
        <w:kinsoku/>
        <w:wordWrap/>
        <w:overflowPunct/>
        <w:topLinePunct w:val="0"/>
        <w:bidi w:val="0"/>
        <w:snapToGrid w:val="0"/>
        <w:spacing w:beforeAutospacing="0" w:line="360" w:lineRule="auto"/>
        <w:ind w:left="0" w:leftChars="0" w:right="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温馨提示：根据《广西壮族自治区财政厅关于进一步发挥政府采购政策功能促进企业发展的通知》（桂财采〔2022〕30号）规定，采购人应当在项目完成且收到供应商验收申请后5个工作日内组织开展履约验收；对于满足合同约定支付条件的项目，应在收到发票后30日内将资金支付到合同约定的供应商账户，不得以进行审计作为支付供应商款项的条件。加快采购资金支付进度，对于200万元以下的货物和服务项目，鼓励采购人一次性全额支付给供应商。采购人不得以机构变动、人员更替、政策调整、履行内部付款流程等为由延迟付款。）</w:t>
      </w:r>
    </w:p>
    <w:p w14:paraId="1902EB29">
      <w:pPr>
        <w:pageBreakBefore w:val="0"/>
        <w:tabs>
          <w:tab w:val="left" w:pos="904"/>
        </w:tabs>
        <w:kinsoku/>
        <w:wordWrap/>
        <w:overflowPunct/>
        <w:topLinePunct w:val="0"/>
        <w:bidi w:val="0"/>
        <w:snapToGrid w:val="0"/>
        <w:spacing w:beforeAutospacing="0" w:line="360" w:lineRule="auto"/>
        <w:ind w:left="0" w:leftChars="0" w:right="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3.6.7验收资料要求</w:t>
      </w:r>
    </w:p>
    <w:p w14:paraId="73CDA10F">
      <w:pPr>
        <w:pageBreakBefore w:val="0"/>
        <w:tabs>
          <w:tab w:val="left" w:pos="904"/>
        </w:tabs>
        <w:kinsoku/>
        <w:wordWrap/>
        <w:overflowPunct/>
        <w:topLinePunct w:val="0"/>
        <w:bidi w:val="0"/>
        <w:snapToGrid w:val="0"/>
        <w:spacing w:beforeAutospacing="0" w:line="360" w:lineRule="auto"/>
        <w:ind w:left="0" w:leftChars="0" w:right="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验收资料要求包括（不限于）以下内容：</w:t>
      </w:r>
    </w:p>
    <w:p w14:paraId="5A48EE10">
      <w:pPr>
        <w:pageBreakBefore w:val="0"/>
        <w:tabs>
          <w:tab w:val="left" w:pos="904"/>
        </w:tabs>
        <w:kinsoku/>
        <w:wordWrap/>
        <w:overflowPunct/>
        <w:topLinePunct w:val="0"/>
        <w:bidi w:val="0"/>
        <w:adjustRightInd w:val="0"/>
        <w:snapToGrid w:val="0"/>
        <w:spacing w:beforeAutospacing="0" w:line="360" w:lineRule="auto"/>
        <w:ind w:left="0" w:leftChars="0" w:right="0" w:firstLine="240" w:firstLineChars="100"/>
        <w:jc w:val="left"/>
        <w:rPr>
          <w:rFonts w:hint="eastAsia" w:ascii="宋体" w:hAnsi="宋体" w:eastAsia="宋体" w:cs="宋体"/>
          <w:color w:val="auto"/>
          <w:sz w:val="24"/>
        </w:rPr>
      </w:pPr>
      <w:r>
        <w:rPr>
          <w:rFonts w:hint="eastAsia" w:ascii="宋体" w:hAnsi="宋体" w:eastAsia="宋体" w:cs="宋体"/>
          <w:color w:val="auto"/>
          <w:sz w:val="24"/>
        </w:rPr>
        <w:t>（1）采购文件；</w:t>
      </w:r>
    </w:p>
    <w:p w14:paraId="46342F8B">
      <w:pPr>
        <w:pageBreakBefore w:val="0"/>
        <w:tabs>
          <w:tab w:val="left" w:pos="904"/>
        </w:tabs>
        <w:kinsoku/>
        <w:wordWrap/>
        <w:overflowPunct/>
        <w:topLinePunct w:val="0"/>
        <w:bidi w:val="0"/>
        <w:adjustRightInd w:val="0"/>
        <w:snapToGrid w:val="0"/>
        <w:spacing w:beforeAutospacing="0" w:line="360" w:lineRule="auto"/>
        <w:ind w:left="0" w:leftChars="0" w:right="0" w:firstLine="240" w:firstLineChars="100"/>
        <w:jc w:val="left"/>
        <w:rPr>
          <w:rFonts w:hint="eastAsia" w:ascii="宋体" w:hAnsi="宋体" w:eastAsia="宋体" w:cs="宋体"/>
          <w:color w:val="auto"/>
          <w:sz w:val="24"/>
        </w:rPr>
      </w:pPr>
      <w:r>
        <w:rPr>
          <w:rFonts w:hint="eastAsia" w:ascii="宋体" w:hAnsi="宋体" w:eastAsia="宋体" w:cs="宋体"/>
          <w:color w:val="auto"/>
          <w:sz w:val="24"/>
        </w:rPr>
        <w:t>（2）投标文件；</w:t>
      </w:r>
    </w:p>
    <w:p w14:paraId="63F2D155">
      <w:pPr>
        <w:pageBreakBefore w:val="0"/>
        <w:tabs>
          <w:tab w:val="left" w:pos="904"/>
        </w:tabs>
        <w:kinsoku/>
        <w:wordWrap/>
        <w:overflowPunct/>
        <w:topLinePunct w:val="0"/>
        <w:bidi w:val="0"/>
        <w:adjustRightInd w:val="0"/>
        <w:snapToGrid w:val="0"/>
        <w:spacing w:beforeAutospacing="0" w:line="360" w:lineRule="auto"/>
        <w:ind w:left="0" w:leftChars="0" w:right="0" w:firstLine="240" w:firstLineChars="100"/>
        <w:jc w:val="left"/>
        <w:rPr>
          <w:rFonts w:hint="eastAsia" w:ascii="宋体" w:hAnsi="宋体" w:eastAsia="宋体" w:cs="宋体"/>
          <w:color w:val="auto"/>
          <w:sz w:val="24"/>
        </w:rPr>
      </w:pPr>
      <w:r>
        <w:rPr>
          <w:rFonts w:hint="eastAsia" w:ascii="宋体" w:hAnsi="宋体" w:eastAsia="宋体" w:cs="宋体"/>
          <w:color w:val="auto"/>
          <w:sz w:val="24"/>
        </w:rPr>
        <w:t>（3）采购合同；</w:t>
      </w:r>
    </w:p>
    <w:p w14:paraId="2B3BF5FD">
      <w:pPr>
        <w:pageBreakBefore w:val="0"/>
        <w:tabs>
          <w:tab w:val="left" w:pos="904"/>
        </w:tabs>
        <w:kinsoku/>
        <w:wordWrap/>
        <w:overflowPunct/>
        <w:topLinePunct w:val="0"/>
        <w:bidi w:val="0"/>
        <w:adjustRightInd w:val="0"/>
        <w:snapToGrid w:val="0"/>
        <w:spacing w:beforeAutospacing="0" w:line="360" w:lineRule="auto"/>
        <w:ind w:left="0" w:leftChars="0" w:right="0" w:firstLine="240" w:firstLineChars="100"/>
        <w:jc w:val="left"/>
        <w:rPr>
          <w:rFonts w:hint="eastAsia" w:ascii="宋体" w:hAnsi="宋体" w:eastAsia="宋体" w:cs="宋体"/>
          <w:b/>
          <w:color w:val="auto"/>
          <w:sz w:val="36"/>
          <w:szCs w:val="20"/>
        </w:rPr>
      </w:pPr>
      <w:r>
        <w:rPr>
          <w:rFonts w:hint="eastAsia" w:ascii="宋体" w:hAnsi="宋体" w:eastAsia="宋体" w:cs="宋体"/>
          <w:color w:val="auto"/>
          <w:sz w:val="24"/>
        </w:rPr>
        <w:t>（4）其他需提供的相关材料。</w:t>
      </w:r>
    </w:p>
    <w:p w14:paraId="25487B22">
      <w:pPr>
        <w:pageBreakBefore w:val="0"/>
        <w:kinsoku/>
        <w:wordWrap/>
        <w:overflowPunct/>
        <w:topLinePunct w:val="0"/>
        <w:bidi w:val="0"/>
        <w:spacing w:beforeAutospacing="0" w:line="360" w:lineRule="auto"/>
        <w:ind w:left="0" w:leftChars="0" w:right="0"/>
        <w:rPr>
          <w:rFonts w:hint="eastAsia" w:ascii="宋体" w:hAnsi="宋体" w:eastAsia="宋体" w:cs="宋体"/>
          <w:color w:val="auto"/>
        </w:rPr>
      </w:pPr>
    </w:p>
    <w:p w14:paraId="77ACD70F">
      <w:pPr>
        <w:pageBreakBefore w:val="0"/>
        <w:kinsoku/>
        <w:wordWrap/>
        <w:overflowPunct/>
        <w:topLinePunct w:val="0"/>
        <w:bidi w:val="0"/>
        <w:spacing w:beforeAutospacing="0" w:line="360" w:lineRule="auto"/>
        <w:ind w:left="0" w:leftChars="0" w:right="0" w:firstLine="723" w:firstLineChars="200"/>
        <w:rPr>
          <w:rFonts w:hint="eastAsia" w:ascii="宋体" w:hAnsi="宋体" w:eastAsia="宋体" w:cs="宋体"/>
          <w:b/>
          <w:color w:val="auto"/>
          <w:sz w:val="36"/>
          <w:szCs w:val="20"/>
        </w:rPr>
      </w:pPr>
    </w:p>
    <w:p w14:paraId="427C5442">
      <w:pPr>
        <w:pageBreakBefore w:val="0"/>
        <w:kinsoku/>
        <w:wordWrap/>
        <w:overflowPunct/>
        <w:topLinePunct w:val="0"/>
        <w:bidi w:val="0"/>
        <w:spacing w:beforeAutospacing="0" w:line="360" w:lineRule="auto"/>
        <w:ind w:left="0" w:leftChars="0" w:right="0" w:firstLine="723" w:firstLineChars="200"/>
        <w:rPr>
          <w:rFonts w:hint="eastAsia" w:ascii="宋体" w:hAnsi="宋体" w:eastAsia="宋体" w:cs="宋体"/>
          <w:b/>
          <w:color w:val="auto"/>
          <w:sz w:val="36"/>
          <w:szCs w:val="20"/>
        </w:rPr>
      </w:pPr>
    </w:p>
    <w:p w14:paraId="643F9442">
      <w:pPr>
        <w:pageBreakBefore w:val="0"/>
        <w:kinsoku/>
        <w:wordWrap/>
        <w:overflowPunct/>
        <w:topLinePunct w:val="0"/>
        <w:bidi w:val="0"/>
        <w:spacing w:beforeAutospacing="0" w:line="360" w:lineRule="auto"/>
        <w:ind w:left="0" w:leftChars="0" w:right="0" w:firstLine="723" w:firstLineChars="200"/>
        <w:rPr>
          <w:rFonts w:hint="eastAsia" w:ascii="宋体" w:hAnsi="宋体" w:eastAsia="宋体" w:cs="宋体"/>
          <w:b/>
          <w:color w:val="auto"/>
          <w:sz w:val="36"/>
          <w:szCs w:val="20"/>
        </w:rPr>
      </w:pPr>
    </w:p>
    <w:p w14:paraId="42D49F2B">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rPr>
        <w:sectPr>
          <w:pgSz w:w="11906" w:h="16838"/>
          <w:pgMar w:top="1134" w:right="1134" w:bottom="1134" w:left="1134" w:header="720" w:footer="720" w:gutter="0"/>
          <w:cols w:space="720" w:num="1"/>
          <w:docGrid w:type="lines" w:linePitch="331" w:charSpace="0"/>
        </w:sectPr>
      </w:pPr>
    </w:p>
    <w:p w14:paraId="028E4824">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0"/>
        </w:rPr>
      </w:pPr>
    </w:p>
    <w:p w14:paraId="070F4D09">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rPr>
      </w:pPr>
    </w:p>
    <w:p w14:paraId="50ACA138">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rPr>
      </w:pPr>
    </w:p>
    <w:p w14:paraId="4F9D3622">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rPr>
      </w:pPr>
    </w:p>
    <w:p w14:paraId="3C4F075F">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rPr>
      </w:pPr>
    </w:p>
    <w:p w14:paraId="43AED0A9">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rPr>
      </w:pPr>
    </w:p>
    <w:p w14:paraId="46E3C96A">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rPr>
      </w:pPr>
    </w:p>
    <w:p w14:paraId="145B77A4">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rPr>
      </w:pPr>
    </w:p>
    <w:p w14:paraId="37C4CE2B">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rPr>
      </w:pPr>
    </w:p>
    <w:p w14:paraId="7FD7C4D9">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rPr>
      </w:pPr>
    </w:p>
    <w:p w14:paraId="60859801">
      <w:pPr>
        <w:pageBreakBefore w:val="0"/>
        <w:tabs>
          <w:tab w:val="left" w:pos="2472"/>
        </w:tabs>
        <w:kinsoku/>
        <w:wordWrap/>
        <w:overflowPunct/>
        <w:topLinePunct w:val="0"/>
        <w:bidi w:val="0"/>
        <w:spacing w:beforeAutospacing="0" w:line="360" w:lineRule="auto"/>
        <w:ind w:left="0" w:leftChars="0" w:right="0"/>
        <w:jc w:val="center"/>
        <w:outlineLvl w:val="0"/>
        <w:rPr>
          <w:rFonts w:hint="eastAsia" w:ascii="宋体" w:hAnsi="宋体" w:eastAsia="宋体" w:cs="宋体"/>
          <w:b/>
          <w:color w:val="auto"/>
          <w:sz w:val="36"/>
          <w:szCs w:val="20"/>
        </w:rPr>
      </w:pPr>
      <w:bookmarkStart w:id="328" w:name="_Toc10999"/>
      <w:r>
        <w:rPr>
          <w:rFonts w:hint="eastAsia" w:ascii="宋体" w:hAnsi="宋体" w:eastAsia="宋体" w:cs="宋体"/>
          <w:b/>
          <w:color w:val="auto"/>
          <w:sz w:val="36"/>
          <w:szCs w:val="20"/>
        </w:rPr>
        <w:t>第六章 投标文件格式</w:t>
      </w:r>
      <w:bookmarkEnd w:id="328"/>
    </w:p>
    <w:p w14:paraId="51B68A58">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Cs w:val="20"/>
        </w:rPr>
        <w:sectPr>
          <w:pgSz w:w="11906" w:h="16838"/>
          <w:pgMar w:top="1134" w:right="1134" w:bottom="1134" w:left="1134" w:header="720" w:footer="720" w:gutter="0"/>
          <w:cols w:space="720" w:num="1"/>
          <w:docGrid w:type="lines" w:linePitch="331" w:charSpace="0"/>
        </w:sectPr>
      </w:pPr>
    </w:p>
    <w:p w14:paraId="2C0569F4">
      <w:pPr>
        <w:pageBreakBefore w:val="0"/>
        <w:kinsoku/>
        <w:wordWrap/>
        <w:overflowPunct/>
        <w:topLinePunct w:val="0"/>
        <w:bidi w:val="0"/>
        <w:spacing w:beforeAutospacing="0" w:line="360" w:lineRule="auto"/>
        <w:ind w:left="0" w:leftChars="0" w:right="0" w:firstLine="551" w:firstLineChars="196"/>
        <w:jc w:val="center"/>
        <w:outlineLvl w:val="1"/>
        <w:rPr>
          <w:rFonts w:hint="eastAsia" w:ascii="宋体" w:hAnsi="宋体" w:eastAsia="宋体" w:cs="宋体"/>
          <w:b/>
          <w:bCs/>
          <w:color w:val="auto"/>
          <w:sz w:val="28"/>
          <w:szCs w:val="28"/>
        </w:rPr>
      </w:pPr>
      <w:bookmarkStart w:id="329" w:name="_Toc8302"/>
      <w:r>
        <w:rPr>
          <w:rFonts w:hint="eastAsia" w:ascii="宋体" w:hAnsi="宋体" w:eastAsia="宋体" w:cs="宋体"/>
          <w:b/>
          <w:bCs/>
          <w:color w:val="auto"/>
          <w:sz w:val="28"/>
          <w:szCs w:val="28"/>
        </w:rPr>
        <w:t>第一节 投标文件外层包装封面</w:t>
      </w:r>
      <w:bookmarkEnd w:id="329"/>
    </w:p>
    <w:p w14:paraId="4248B87D">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pacing w:val="20"/>
          <w:sz w:val="44"/>
          <w:szCs w:val="44"/>
        </w:rPr>
      </w:pPr>
    </w:p>
    <w:p w14:paraId="6D91952F">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pacing w:val="20"/>
          <w:sz w:val="44"/>
          <w:szCs w:val="44"/>
        </w:rPr>
      </w:pPr>
    </w:p>
    <w:p w14:paraId="44DAED49">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pacing w:val="20"/>
          <w:sz w:val="44"/>
          <w:szCs w:val="44"/>
        </w:rPr>
      </w:pPr>
    </w:p>
    <w:p w14:paraId="1438A063">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pacing w:val="20"/>
          <w:sz w:val="44"/>
          <w:szCs w:val="44"/>
        </w:rPr>
      </w:pPr>
    </w:p>
    <w:p w14:paraId="05EAAB03">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pacing w:val="20"/>
          <w:sz w:val="44"/>
          <w:szCs w:val="44"/>
          <w:lang w:eastAsia="zh-CN"/>
        </w:rPr>
      </w:pPr>
      <w:r>
        <w:rPr>
          <w:rFonts w:hint="eastAsia" w:ascii="宋体" w:hAnsi="宋体" w:cs="宋体"/>
          <w:color w:val="auto"/>
          <w:spacing w:val="20"/>
          <w:sz w:val="44"/>
          <w:szCs w:val="44"/>
          <w:lang w:eastAsia="zh-CN"/>
        </w:rPr>
        <w:t>南宁市第二看守所在押人员伙房食材配送服务采购项目</w:t>
      </w:r>
    </w:p>
    <w:p w14:paraId="6E459D7C">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pacing w:val="40"/>
          <w:w w:val="110"/>
          <w:sz w:val="44"/>
          <w:szCs w:val="44"/>
        </w:rPr>
      </w:pPr>
      <w:r>
        <w:rPr>
          <w:rFonts w:hint="eastAsia" w:ascii="宋体" w:hAnsi="宋体" w:eastAsia="宋体" w:cs="宋体"/>
          <w:color w:val="auto"/>
          <w:spacing w:val="40"/>
          <w:w w:val="110"/>
          <w:sz w:val="44"/>
          <w:szCs w:val="44"/>
        </w:rPr>
        <w:t>投标文件</w:t>
      </w:r>
    </w:p>
    <w:p w14:paraId="256A01EB">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（电子投标文件）</w:t>
      </w:r>
    </w:p>
    <w:tbl>
      <w:tblPr>
        <w:tblStyle w:val="15"/>
        <w:tblW w:w="0" w:type="auto"/>
        <w:jc w:val="center"/>
        <w:tblLayout w:type="fixed"/>
        <w:tblCellMar>
          <w:top w:w="0" w:type="dxa"/>
          <w:left w:w="108" w:type="dxa"/>
          <w:bottom w:w="0" w:type="dxa"/>
          <w:right w:w="108" w:type="dxa"/>
        </w:tblCellMar>
      </w:tblPr>
      <w:tblGrid>
        <w:gridCol w:w="1601"/>
        <w:gridCol w:w="6172"/>
      </w:tblGrid>
      <w:tr w14:paraId="258FE30C">
        <w:tblPrEx>
          <w:tblCellMar>
            <w:top w:w="0" w:type="dxa"/>
            <w:left w:w="108" w:type="dxa"/>
            <w:bottom w:w="0" w:type="dxa"/>
            <w:right w:w="108" w:type="dxa"/>
          </w:tblCellMar>
        </w:tblPrEx>
        <w:trPr>
          <w:jc w:val="center"/>
        </w:trPr>
        <w:tc>
          <w:tcPr>
            <w:tcW w:w="1601" w:type="dxa"/>
            <w:noWrap w:val="0"/>
            <w:vAlign w:val="bottom"/>
          </w:tcPr>
          <w:p w14:paraId="19171045">
            <w:pPr>
              <w:pageBreakBefore w:val="0"/>
              <w:kinsoku/>
              <w:wordWrap/>
              <w:overflowPunct/>
              <w:topLinePunct w:val="0"/>
              <w:bidi w:val="0"/>
              <w:spacing w:beforeAutospacing="0" w:line="360" w:lineRule="auto"/>
              <w:ind w:left="0" w:leftChars="0" w:right="0"/>
              <w:jc w:val="distribute"/>
              <w:rPr>
                <w:rFonts w:hint="eastAsia" w:ascii="宋体" w:hAnsi="宋体" w:eastAsia="宋体" w:cs="宋体"/>
                <w:color w:val="auto"/>
                <w:sz w:val="24"/>
              </w:rPr>
            </w:pPr>
            <w:r>
              <w:rPr>
                <w:rFonts w:hint="eastAsia" w:ascii="宋体" w:hAnsi="宋体" w:eastAsia="宋体" w:cs="宋体"/>
                <w:color w:val="auto"/>
                <w:sz w:val="24"/>
              </w:rPr>
              <w:t>项目名称：</w:t>
            </w:r>
          </w:p>
        </w:tc>
        <w:tc>
          <w:tcPr>
            <w:tcW w:w="6172" w:type="dxa"/>
            <w:tcBorders>
              <w:top w:val="nil"/>
              <w:left w:val="nil"/>
              <w:bottom w:val="single" w:color="000000" w:sz="4" w:space="0"/>
              <w:right w:val="nil"/>
            </w:tcBorders>
            <w:noWrap w:val="0"/>
            <w:vAlign w:val="bottom"/>
          </w:tcPr>
          <w:p w14:paraId="0940DA6F">
            <w:pPr>
              <w:pageBreakBefore w:val="0"/>
              <w:kinsoku/>
              <w:wordWrap/>
              <w:overflowPunct/>
              <w:topLinePunct w:val="0"/>
              <w:bidi w:val="0"/>
              <w:spacing w:beforeAutospacing="0" w:line="360" w:lineRule="auto"/>
              <w:ind w:left="0" w:leftChars="0" w:right="0"/>
              <w:jc w:val="left"/>
              <w:rPr>
                <w:rFonts w:hint="eastAsia" w:ascii="宋体" w:hAnsi="宋体" w:eastAsia="宋体" w:cs="宋体"/>
                <w:color w:val="auto"/>
                <w:sz w:val="24"/>
                <w:lang w:eastAsia="zh-CN"/>
              </w:rPr>
            </w:pPr>
            <w:r>
              <w:rPr>
                <w:rFonts w:hint="eastAsia" w:ascii="宋体" w:hAnsi="宋体" w:cs="宋体"/>
                <w:color w:val="auto"/>
                <w:sz w:val="24"/>
                <w:lang w:eastAsia="zh-CN"/>
              </w:rPr>
              <w:t>南宁市第二看守所在押人员伙房食材配送服务采购项目</w:t>
            </w:r>
          </w:p>
        </w:tc>
      </w:tr>
      <w:tr w14:paraId="29CEDED4">
        <w:tblPrEx>
          <w:tblCellMar>
            <w:top w:w="0" w:type="dxa"/>
            <w:left w:w="108" w:type="dxa"/>
            <w:bottom w:w="0" w:type="dxa"/>
            <w:right w:w="108" w:type="dxa"/>
          </w:tblCellMar>
        </w:tblPrEx>
        <w:trPr>
          <w:jc w:val="center"/>
        </w:trPr>
        <w:tc>
          <w:tcPr>
            <w:tcW w:w="1601" w:type="dxa"/>
            <w:noWrap w:val="0"/>
            <w:vAlign w:val="bottom"/>
          </w:tcPr>
          <w:p w14:paraId="3C4C1FB3">
            <w:pPr>
              <w:pageBreakBefore w:val="0"/>
              <w:kinsoku/>
              <w:wordWrap/>
              <w:overflowPunct/>
              <w:topLinePunct w:val="0"/>
              <w:bidi w:val="0"/>
              <w:spacing w:beforeAutospacing="0" w:line="360" w:lineRule="auto"/>
              <w:ind w:left="0" w:leftChars="0" w:right="0"/>
              <w:jc w:val="distribute"/>
              <w:rPr>
                <w:rFonts w:hint="eastAsia" w:ascii="宋体" w:hAnsi="宋体" w:eastAsia="宋体" w:cs="宋体"/>
                <w:color w:val="auto"/>
                <w:sz w:val="24"/>
              </w:rPr>
            </w:pPr>
            <w:r>
              <w:rPr>
                <w:rFonts w:hint="eastAsia" w:ascii="宋体" w:hAnsi="宋体" w:eastAsia="宋体" w:cs="宋体"/>
                <w:color w:val="auto"/>
                <w:sz w:val="24"/>
              </w:rPr>
              <w:t>采购方式：</w:t>
            </w:r>
          </w:p>
        </w:tc>
        <w:tc>
          <w:tcPr>
            <w:tcW w:w="6172" w:type="dxa"/>
            <w:tcBorders>
              <w:top w:val="single" w:color="000000" w:sz="4" w:space="0"/>
              <w:left w:val="nil"/>
              <w:bottom w:val="single" w:color="000000" w:sz="4" w:space="0"/>
              <w:right w:val="nil"/>
            </w:tcBorders>
            <w:noWrap w:val="0"/>
            <w:vAlign w:val="bottom"/>
          </w:tcPr>
          <w:p w14:paraId="39B18A2A">
            <w:pPr>
              <w:pageBreakBefore w:val="0"/>
              <w:kinsoku/>
              <w:wordWrap/>
              <w:overflowPunct/>
              <w:topLinePunct w:val="0"/>
              <w:bidi w:val="0"/>
              <w:spacing w:beforeAutospacing="0" w:line="360" w:lineRule="auto"/>
              <w:ind w:left="0" w:leftChars="0" w:right="0"/>
              <w:jc w:val="left"/>
              <w:rPr>
                <w:rFonts w:hint="eastAsia" w:ascii="宋体" w:hAnsi="宋体" w:eastAsia="宋体" w:cs="宋体"/>
                <w:color w:val="auto"/>
                <w:sz w:val="24"/>
              </w:rPr>
            </w:pPr>
            <w:bookmarkStart w:id="330" w:name="PO_3000001866_PM003"/>
            <w:r>
              <w:rPr>
                <w:rFonts w:hint="eastAsia" w:ascii="宋体" w:hAnsi="宋体" w:eastAsia="宋体" w:cs="宋体"/>
                <w:color w:val="auto"/>
                <w:sz w:val="24"/>
              </w:rPr>
              <w:t>在线投标响应</w:t>
            </w:r>
            <w:bookmarkEnd w:id="330"/>
          </w:p>
        </w:tc>
      </w:tr>
      <w:tr w14:paraId="7B05B175">
        <w:tblPrEx>
          <w:tblCellMar>
            <w:top w:w="0" w:type="dxa"/>
            <w:left w:w="108" w:type="dxa"/>
            <w:bottom w:w="0" w:type="dxa"/>
            <w:right w:w="108" w:type="dxa"/>
          </w:tblCellMar>
        </w:tblPrEx>
        <w:trPr>
          <w:jc w:val="center"/>
        </w:trPr>
        <w:tc>
          <w:tcPr>
            <w:tcW w:w="1601" w:type="dxa"/>
            <w:noWrap w:val="0"/>
            <w:vAlign w:val="bottom"/>
          </w:tcPr>
          <w:p w14:paraId="780A0CBF">
            <w:pPr>
              <w:pageBreakBefore w:val="0"/>
              <w:kinsoku/>
              <w:wordWrap/>
              <w:overflowPunct/>
              <w:topLinePunct w:val="0"/>
              <w:bidi w:val="0"/>
              <w:spacing w:beforeAutospacing="0" w:line="360" w:lineRule="auto"/>
              <w:ind w:left="0" w:leftChars="0" w:right="0"/>
              <w:jc w:val="distribute"/>
              <w:rPr>
                <w:rFonts w:hint="eastAsia" w:ascii="宋体" w:hAnsi="宋体" w:eastAsia="宋体" w:cs="宋体"/>
                <w:color w:val="auto"/>
                <w:sz w:val="24"/>
              </w:rPr>
            </w:pPr>
            <w:r>
              <w:rPr>
                <w:rFonts w:hint="eastAsia" w:ascii="宋体" w:hAnsi="宋体" w:eastAsia="宋体" w:cs="宋体"/>
                <w:color w:val="auto"/>
                <w:sz w:val="24"/>
              </w:rPr>
              <w:t>项目编号：</w:t>
            </w:r>
          </w:p>
        </w:tc>
        <w:tc>
          <w:tcPr>
            <w:tcW w:w="6172" w:type="dxa"/>
            <w:tcBorders>
              <w:top w:val="single" w:color="000000" w:sz="4" w:space="0"/>
              <w:left w:val="nil"/>
              <w:bottom w:val="single" w:color="000000" w:sz="4" w:space="0"/>
              <w:right w:val="nil"/>
            </w:tcBorders>
            <w:noWrap w:val="0"/>
            <w:vAlign w:val="bottom"/>
          </w:tcPr>
          <w:p w14:paraId="7CCA77B6">
            <w:pPr>
              <w:pageBreakBefore w:val="0"/>
              <w:kinsoku/>
              <w:wordWrap/>
              <w:overflowPunct/>
              <w:topLinePunct w:val="0"/>
              <w:bidi w:val="0"/>
              <w:spacing w:beforeAutospacing="0" w:line="360" w:lineRule="auto"/>
              <w:ind w:left="0" w:leftChars="0" w:right="0"/>
              <w:jc w:val="left"/>
              <w:rPr>
                <w:rFonts w:hint="eastAsia" w:ascii="宋体" w:hAnsi="宋体" w:eastAsia="宋体" w:cs="宋体"/>
                <w:color w:val="auto"/>
                <w:sz w:val="24"/>
                <w:lang w:eastAsia="zh-CN"/>
              </w:rPr>
            </w:pPr>
            <w:r>
              <w:rPr>
                <w:rFonts w:hint="eastAsia" w:ascii="宋体" w:hAnsi="宋体" w:cs="宋体"/>
                <w:color w:val="auto"/>
                <w:sz w:val="24"/>
                <w:lang w:eastAsia="zh-CN"/>
              </w:rPr>
              <w:t>NNZC2024-G3-990896-GXJZ</w:t>
            </w:r>
          </w:p>
        </w:tc>
      </w:tr>
      <w:tr w14:paraId="65612C48">
        <w:tblPrEx>
          <w:tblCellMar>
            <w:top w:w="0" w:type="dxa"/>
            <w:left w:w="108" w:type="dxa"/>
            <w:bottom w:w="0" w:type="dxa"/>
            <w:right w:w="108" w:type="dxa"/>
          </w:tblCellMar>
        </w:tblPrEx>
        <w:trPr>
          <w:jc w:val="center"/>
        </w:trPr>
        <w:tc>
          <w:tcPr>
            <w:tcW w:w="1601" w:type="dxa"/>
            <w:noWrap w:val="0"/>
            <w:vAlign w:val="bottom"/>
          </w:tcPr>
          <w:p w14:paraId="6A0D52B0">
            <w:pPr>
              <w:pageBreakBefore w:val="0"/>
              <w:kinsoku/>
              <w:wordWrap/>
              <w:overflowPunct/>
              <w:topLinePunct w:val="0"/>
              <w:bidi w:val="0"/>
              <w:spacing w:beforeAutospacing="0" w:line="360" w:lineRule="auto"/>
              <w:ind w:left="0" w:leftChars="0" w:right="0"/>
              <w:jc w:val="distribute"/>
              <w:rPr>
                <w:rFonts w:hint="eastAsia" w:ascii="宋体" w:hAnsi="宋体" w:eastAsia="宋体" w:cs="宋体"/>
                <w:color w:val="auto"/>
                <w:sz w:val="24"/>
              </w:rPr>
            </w:pPr>
            <w:r>
              <w:rPr>
                <w:rFonts w:hint="eastAsia" w:ascii="宋体" w:hAnsi="宋体" w:eastAsia="宋体" w:cs="宋体"/>
                <w:color w:val="auto"/>
                <w:sz w:val="24"/>
              </w:rPr>
              <w:t>所投分标：</w:t>
            </w:r>
          </w:p>
        </w:tc>
        <w:tc>
          <w:tcPr>
            <w:tcW w:w="6172" w:type="dxa"/>
            <w:tcBorders>
              <w:top w:val="single" w:color="000000" w:sz="4" w:space="0"/>
              <w:left w:val="nil"/>
              <w:bottom w:val="single" w:color="000000" w:sz="4" w:space="0"/>
              <w:right w:val="nil"/>
            </w:tcBorders>
            <w:noWrap w:val="0"/>
            <w:vAlign w:val="bottom"/>
          </w:tcPr>
          <w:p w14:paraId="69AB4F45">
            <w:pPr>
              <w:pageBreakBefore w:val="0"/>
              <w:kinsoku/>
              <w:wordWrap/>
              <w:overflowPunct/>
              <w:topLinePunct w:val="0"/>
              <w:bidi w:val="0"/>
              <w:spacing w:beforeAutospacing="0" w:line="360" w:lineRule="auto"/>
              <w:ind w:left="0" w:leftChars="0" w:right="0"/>
              <w:jc w:val="left"/>
              <w:rPr>
                <w:rFonts w:hint="eastAsia" w:ascii="宋体" w:hAnsi="宋体" w:eastAsia="宋体" w:cs="宋体"/>
                <w:color w:val="auto"/>
                <w:sz w:val="24"/>
              </w:rPr>
            </w:pPr>
          </w:p>
        </w:tc>
      </w:tr>
      <w:tr w14:paraId="6A1B90DC">
        <w:tblPrEx>
          <w:tblCellMar>
            <w:top w:w="0" w:type="dxa"/>
            <w:left w:w="108" w:type="dxa"/>
            <w:bottom w:w="0" w:type="dxa"/>
            <w:right w:w="108" w:type="dxa"/>
          </w:tblCellMar>
        </w:tblPrEx>
        <w:trPr>
          <w:jc w:val="center"/>
        </w:trPr>
        <w:tc>
          <w:tcPr>
            <w:tcW w:w="1601" w:type="dxa"/>
            <w:noWrap w:val="0"/>
            <w:vAlign w:val="bottom"/>
          </w:tcPr>
          <w:p w14:paraId="2BF6F8E2">
            <w:pPr>
              <w:pageBreakBefore w:val="0"/>
              <w:kinsoku/>
              <w:wordWrap/>
              <w:overflowPunct/>
              <w:topLinePunct w:val="0"/>
              <w:bidi w:val="0"/>
              <w:spacing w:beforeAutospacing="0" w:line="360" w:lineRule="auto"/>
              <w:ind w:left="0" w:leftChars="0" w:right="0"/>
              <w:jc w:val="distribute"/>
              <w:rPr>
                <w:rFonts w:hint="eastAsia" w:ascii="宋体" w:hAnsi="宋体" w:eastAsia="宋体" w:cs="宋体"/>
                <w:color w:val="auto"/>
                <w:sz w:val="24"/>
              </w:rPr>
            </w:pPr>
            <w:r>
              <w:rPr>
                <w:rFonts w:hint="eastAsia" w:ascii="宋体" w:hAnsi="宋体" w:eastAsia="宋体" w:cs="宋体"/>
                <w:color w:val="auto"/>
                <w:sz w:val="24"/>
              </w:rPr>
              <w:t>投标人名称：</w:t>
            </w:r>
          </w:p>
        </w:tc>
        <w:tc>
          <w:tcPr>
            <w:tcW w:w="6172" w:type="dxa"/>
            <w:tcBorders>
              <w:top w:val="single" w:color="000000" w:sz="4" w:space="0"/>
              <w:left w:val="nil"/>
              <w:bottom w:val="single" w:color="000000" w:sz="4" w:space="0"/>
              <w:right w:val="nil"/>
            </w:tcBorders>
            <w:noWrap w:val="0"/>
            <w:vAlign w:val="bottom"/>
          </w:tcPr>
          <w:p w14:paraId="218008FF">
            <w:pPr>
              <w:pageBreakBefore w:val="0"/>
              <w:kinsoku/>
              <w:wordWrap/>
              <w:overflowPunct/>
              <w:topLinePunct w:val="0"/>
              <w:bidi w:val="0"/>
              <w:spacing w:beforeAutospacing="0" w:line="360" w:lineRule="auto"/>
              <w:ind w:left="0" w:leftChars="0" w:right="0"/>
              <w:jc w:val="left"/>
              <w:rPr>
                <w:rFonts w:hint="eastAsia" w:ascii="宋体" w:hAnsi="宋体" w:eastAsia="宋体" w:cs="宋体"/>
                <w:color w:val="auto"/>
                <w:sz w:val="24"/>
              </w:rPr>
            </w:pPr>
          </w:p>
        </w:tc>
      </w:tr>
      <w:tr w14:paraId="42F1465A">
        <w:tblPrEx>
          <w:tblCellMar>
            <w:top w:w="0" w:type="dxa"/>
            <w:left w:w="108" w:type="dxa"/>
            <w:bottom w:w="0" w:type="dxa"/>
            <w:right w:w="108" w:type="dxa"/>
          </w:tblCellMar>
        </w:tblPrEx>
        <w:trPr>
          <w:jc w:val="center"/>
        </w:trPr>
        <w:tc>
          <w:tcPr>
            <w:tcW w:w="1601" w:type="dxa"/>
            <w:noWrap w:val="0"/>
            <w:vAlign w:val="bottom"/>
          </w:tcPr>
          <w:p w14:paraId="34BFE4DC">
            <w:pPr>
              <w:pageBreakBefore w:val="0"/>
              <w:kinsoku/>
              <w:wordWrap/>
              <w:overflowPunct/>
              <w:topLinePunct w:val="0"/>
              <w:bidi w:val="0"/>
              <w:spacing w:beforeAutospacing="0" w:line="360" w:lineRule="auto"/>
              <w:ind w:left="0" w:leftChars="0" w:right="0"/>
              <w:jc w:val="distribute"/>
              <w:rPr>
                <w:rFonts w:hint="eastAsia" w:ascii="宋体" w:hAnsi="宋体" w:eastAsia="宋体" w:cs="宋体"/>
                <w:color w:val="auto"/>
                <w:sz w:val="24"/>
              </w:rPr>
            </w:pPr>
            <w:r>
              <w:rPr>
                <w:rFonts w:hint="eastAsia" w:ascii="宋体" w:hAnsi="宋体" w:eastAsia="宋体" w:cs="宋体"/>
                <w:color w:val="auto"/>
                <w:sz w:val="24"/>
              </w:rPr>
              <w:t>投标人地址：</w:t>
            </w:r>
          </w:p>
        </w:tc>
        <w:tc>
          <w:tcPr>
            <w:tcW w:w="6172" w:type="dxa"/>
            <w:tcBorders>
              <w:top w:val="single" w:color="000000" w:sz="4" w:space="0"/>
              <w:left w:val="nil"/>
              <w:bottom w:val="single" w:color="000000" w:sz="4" w:space="0"/>
              <w:right w:val="nil"/>
            </w:tcBorders>
            <w:noWrap w:val="0"/>
            <w:vAlign w:val="bottom"/>
          </w:tcPr>
          <w:p w14:paraId="69A9062D">
            <w:pPr>
              <w:pageBreakBefore w:val="0"/>
              <w:kinsoku/>
              <w:wordWrap/>
              <w:overflowPunct/>
              <w:topLinePunct w:val="0"/>
              <w:bidi w:val="0"/>
              <w:spacing w:beforeAutospacing="0" w:line="360" w:lineRule="auto"/>
              <w:ind w:left="0" w:leftChars="0" w:right="0"/>
              <w:jc w:val="left"/>
              <w:rPr>
                <w:rFonts w:hint="eastAsia" w:ascii="宋体" w:hAnsi="宋体" w:eastAsia="宋体" w:cs="宋体"/>
                <w:color w:val="auto"/>
                <w:sz w:val="24"/>
              </w:rPr>
            </w:pPr>
          </w:p>
        </w:tc>
      </w:tr>
    </w:tbl>
    <w:p w14:paraId="30A58DB6">
      <w:pPr>
        <w:pageBreakBefore w:val="0"/>
        <w:kinsoku/>
        <w:wordWrap/>
        <w:overflowPunct/>
        <w:topLinePunct w:val="0"/>
        <w:bidi w:val="0"/>
        <w:spacing w:beforeAutospacing="0" w:line="360" w:lineRule="auto"/>
        <w:ind w:left="0" w:leftChars="0" w:right="0" w:firstLine="4200" w:firstLineChars="1750"/>
        <w:rPr>
          <w:rFonts w:hint="eastAsia" w:ascii="宋体" w:hAnsi="宋体" w:eastAsia="宋体" w:cs="宋体"/>
          <w:color w:val="auto"/>
          <w:sz w:val="24"/>
        </w:rPr>
      </w:pPr>
    </w:p>
    <w:p w14:paraId="0F0B00DC">
      <w:pPr>
        <w:pageBreakBefore w:val="0"/>
        <w:kinsoku/>
        <w:wordWrap/>
        <w:overflowPunct/>
        <w:topLinePunct w:val="0"/>
        <w:bidi w:val="0"/>
        <w:spacing w:beforeAutospacing="0" w:line="360" w:lineRule="auto"/>
        <w:ind w:left="0" w:leftChars="0" w:right="0" w:firstLine="4200" w:firstLineChars="1750"/>
        <w:rPr>
          <w:rFonts w:hint="eastAsia" w:ascii="宋体" w:hAnsi="宋体" w:eastAsia="宋体" w:cs="宋体"/>
          <w:color w:val="auto"/>
          <w:sz w:val="24"/>
        </w:rPr>
      </w:pPr>
    </w:p>
    <w:p w14:paraId="5BC7A3A6">
      <w:pPr>
        <w:pageBreakBefore w:val="0"/>
        <w:kinsoku/>
        <w:wordWrap/>
        <w:overflowPunct/>
        <w:topLinePunct w:val="0"/>
        <w:bidi w:val="0"/>
        <w:spacing w:beforeAutospacing="0" w:line="360" w:lineRule="auto"/>
        <w:ind w:left="0" w:leftChars="0" w:right="0" w:firstLine="4200" w:firstLineChars="1750"/>
        <w:rPr>
          <w:rFonts w:hint="eastAsia" w:ascii="宋体" w:hAnsi="宋体" w:eastAsia="宋体" w:cs="宋体"/>
          <w:color w:val="auto"/>
          <w:sz w:val="24"/>
        </w:rPr>
      </w:pPr>
    </w:p>
    <w:p w14:paraId="3E2B187D">
      <w:pPr>
        <w:pageBreakBefore w:val="0"/>
        <w:kinsoku/>
        <w:wordWrap/>
        <w:overflowPunct/>
        <w:topLinePunct w:val="0"/>
        <w:bidi w:val="0"/>
        <w:spacing w:beforeAutospacing="0" w:line="360" w:lineRule="auto"/>
        <w:ind w:left="0" w:leftChars="0" w:right="0" w:firstLine="5880" w:firstLineChars="2450"/>
        <w:rPr>
          <w:rFonts w:hint="eastAsia" w:ascii="宋体" w:hAnsi="宋体" w:eastAsia="宋体" w:cs="宋体"/>
          <w:color w:val="auto"/>
          <w:sz w:val="24"/>
        </w:rPr>
      </w:pPr>
      <w:r>
        <w:rPr>
          <w:rFonts w:hint="eastAsia" w:ascii="宋体" w:hAnsi="宋体" w:eastAsia="宋体" w:cs="宋体"/>
          <w:color w:val="auto"/>
          <w:sz w:val="24"/>
        </w:rPr>
        <w:t>投标截止时间前不得解密</w:t>
      </w:r>
    </w:p>
    <w:p w14:paraId="145C0AE7">
      <w:pPr>
        <w:pageBreakBefore w:val="0"/>
        <w:kinsoku/>
        <w:wordWrap/>
        <w:overflowPunct/>
        <w:topLinePunct w:val="0"/>
        <w:bidi w:val="0"/>
        <w:spacing w:beforeAutospacing="0" w:line="360" w:lineRule="auto"/>
        <w:ind w:left="0" w:leftChars="0" w:right="0" w:firstLine="6480" w:firstLineChars="2700"/>
        <w:rPr>
          <w:rFonts w:hint="eastAsia" w:ascii="宋体" w:hAnsi="宋体" w:eastAsia="宋体" w:cs="宋体"/>
          <w:color w:val="auto"/>
          <w:sz w:val="24"/>
        </w:rPr>
      </w:pPr>
      <w:r>
        <w:rPr>
          <w:rFonts w:hint="eastAsia" w:ascii="宋体" w:hAnsi="宋体" w:eastAsia="宋体" w:cs="宋体"/>
          <w:color w:val="auto"/>
          <w:sz w:val="24"/>
        </w:rPr>
        <w:t>年   月   日</w:t>
      </w:r>
    </w:p>
    <w:p w14:paraId="14D7D9BF">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 w:val="24"/>
        </w:rPr>
        <w:sectPr>
          <w:pgSz w:w="11907" w:h="16840"/>
          <w:pgMar w:top="1531" w:right="1418" w:bottom="1361" w:left="1418" w:header="720" w:footer="720" w:gutter="0"/>
          <w:cols w:space="720" w:num="1"/>
        </w:sectPr>
      </w:pPr>
    </w:p>
    <w:p w14:paraId="22CE177C">
      <w:pPr>
        <w:pageBreakBefore w:val="0"/>
        <w:kinsoku/>
        <w:wordWrap/>
        <w:overflowPunct/>
        <w:topLinePunct w:val="0"/>
        <w:bidi w:val="0"/>
        <w:spacing w:beforeAutospacing="0" w:line="360" w:lineRule="auto"/>
        <w:ind w:left="0" w:leftChars="0" w:right="0"/>
        <w:jc w:val="center"/>
        <w:outlineLvl w:val="1"/>
        <w:rPr>
          <w:rFonts w:hint="eastAsia" w:ascii="宋体" w:hAnsi="宋体" w:eastAsia="宋体" w:cs="宋体"/>
          <w:b/>
          <w:bCs/>
          <w:color w:val="auto"/>
          <w:sz w:val="28"/>
          <w:szCs w:val="28"/>
        </w:rPr>
      </w:pPr>
      <w:bookmarkStart w:id="331" w:name="_Toc19966"/>
      <w:r>
        <w:rPr>
          <w:rFonts w:hint="eastAsia" w:ascii="宋体" w:hAnsi="宋体" w:eastAsia="宋体" w:cs="宋体"/>
          <w:b/>
          <w:bCs/>
          <w:color w:val="auto"/>
          <w:sz w:val="28"/>
          <w:szCs w:val="28"/>
        </w:rPr>
        <w:t>第二节 资格证明文件格式</w:t>
      </w:r>
      <w:bookmarkEnd w:id="331"/>
    </w:p>
    <w:p w14:paraId="039F4744">
      <w:pPr>
        <w:pageBreakBefore w:val="0"/>
        <w:kinsoku/>
        <w:wordWrap/>
        <w:overflowPunct/>
        <w:topLinePunct w:val="0"/>
        <w:bidi w:val="0"/>
        <w:spacing w:beforeAutospacing="0" w:line="360" w:lineRule="auto"/>
        <w:ind w:left="0" w:leftChars="0" w:right="0" w:firstLine="420"/>
        <w:rPr>
          <w:rFonts w:hint="eastAsia" w:ascii="宋体" w:hAnsi="宋体" w:eastAsia="宋体" w:cs="宋体"/>
          <w:color w:val="auto"/>
          <w:sz w:val="30"/>
          <w:szCs w:val="20"/>
        </w:rPr>
      </w:pPr>
    </w:p>
    <w:p w14:paraId="6CE13B70">
      <w:pPr>
        <w:pageBreakBefore w:val="0"/>
        <w:kinsoku/>
        <w:wordWrap/>
        <w:overflowPunct/>
        <w:topLinePunct w:val="0"/>
        <w:bidi w:val="0"/>
        <w:snapToGrid w:val="0"/>
        <w:spacing w:beforeAutospacing="0" w:line="360" w:lineRule="auto"/>
        <w:ind w:left="0" w:leftChars="0" w:right="0"/>
        <w:rPr>
          <w:rFonts w:hint="eastAsia" w:ascii="宋体" w:hAnsi="宋体" w:eastAsia="宋体" w:cs="宋体"/>
          <w:bCs/>
          <w:color w:val="auto"/>
          <w:sz w:val="32"/>
          <w:szCs w:val="20"/>
        </w:rPr>
      </w:pPr>
      <w:r>
        <w:rPr>
          <w:rFonts w:hint="eastAsia" w:ascii="宋体" w:hAnsi="宋体" w:eastAsia="宋体" w:cs="宋体"/>
          <w:color w:val="auto"/>
          <w:sz w:val="24"/>
        </w:rPr>
        <w:t xml:space="preserve">                                                         </w:t>
      </w:r>
      <w:r>
        <w:rPr>
          <w:rFonts w:hint="eastAsia" w:ascii="宋体" w:hAnsi="宋体" w:eastAsia="宋体" w:cs="宋体"/>
          <w:bCs/>
          <w:color w:val="auto"/>
        </w:rPr>
        <w:t>电子投标文件</w:t>
      </w:r>
    </w:p>
    <w:p w14:paraId="183E85CB">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 w:val="24"/>
          <w:szCs w:val="20"/>
        </w:rPr>
      </w:pPr>
    </w:p>
    <w:p w14:paraId="5B50A61A">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b/>
          <w:color w:val="auto"/>
          <w:sz w:val="24"/>
          <w:szCs w:val="20"/>
        </w:rPr>
      </w:pPr>
      <w:r>
        <w:rPr>
          <w:rFonts w:hint="eastAsia" w:ascii="宋体" w:hAnsi="宋体" w:eastAsia="宋体" w:cs="宋体"/>
          <w:b/>
          <w:color w:val="auto"/>
          <w:sz w:val="32"/>
          <w:szCs w:val="32"/>
        </w:rPr>
        <w:t>资格证明文件（封面）</w:t>
      </w:r>
    </w:p>
    <w:p w14:paraId="4FA4BEA7">
      <w:pPr>
        <w:pageBreakBefore w:val="0"/>
        <w:kinsoku/>
        <w:wordWrap/>
        <w:overflowPunct/>
        <w:topLinePunct w:val="0"/>
        <w:bidi w:val="0"/>
        <w:snapToGrid w:val="0"/>
        <w:spacing w:beforeAutospacing="0" w:line="360" w:lineRule="auto"/>
        <w:ind w:left="0" w:leftChars="0" w:right="0"/>
        <w:rPr>
          <w:rFonts w:hint="eastAsia" w:ascii="宋体" w:hAnsi="宋体" w:eastAsia="宋体" w:cs="宋体"/>
          <w:bCs/>
          <w:color w:val="auto"/>
          <w:sz w:val="24"/>
          <w:szCs w:val="20"/>
        </w:rPr>
      </w:pPr>
    </w:p>
    <w:p w14:paraId="2E6AB4A4">
      <w:pPr>
        <w:pageBreakBefore w:val="0"/>
        <w:kinsoku/>
        <w:wordWrap/>
        <w:overflowPunct/>
        <w:topLinePunct w:val="0"/>
        <w:bidi w:val="0"/>
        <w:snapToGrid w:val="0"/>
        <w:spacing w:beforeAutospacing="0" w:line="360" w:lineRule="auto"/>
        <w:ind w:left="0" w:leftChars="0" w:right="0"/>
        <w:rPr>
          <w:rFonts w:hint="eastAsia" w:ascii="宋体" w:hAnsi="宋体" w:eastAsia="宋体" w:cs="宋体"/>
          <w:bCs/>
          <w:color w:val="auto"/>
          <w:sz w:val="24"/>
          <w:szCs w:val="20"/>
        </w:rPr>
      </w:pPr>
    </w:p>
    <w:p w14:paraId="225E074B">
      <w:pPr>
        <w:pageBreakBefore w:val="0"/>
        <w:kinsoku/>
        <w:wordWrap/>
        <w:overflowPunct/>
        <w:topLinePunct w:val="0"/>
        <w:bidi w:val="0"/>
        <w:snapToGrid w:val="0"/>
        <w:spacing w:beforeAutospacing="0" w:line="360" w:lineRule="auto"/>
        <w:ind w:left="0" w:leftChars="0" w:right="0"/>
        <w:rPr>
          <w:rFonts w:hint="eastAsia" w:ascii="宋体" w:hAnsi="宋体" w:eastAsia="宋体" w:cs="宋体"/>
          <w:bCs/>
          <w:color w:val="auto"/>
          <w:sz w:val="24"/>
          <w:szCs w:val="20"/>
        </w:rPr>
      </w:pPr>
    </w:p>
    <w:p w14:paraId="61F09FAD">
      <w:pPr>
        <w:pageBreakBefore w:val="0"/>
        <w:kinsoku/>
        <w:wordWrap/>
        <w:overflowPunct/>
        <w:topLinePunct w:val="0"/>
        <w:bidi w:val="0"/>
        <w:snapToGrid w:val="0"/>
        <w:spacing w:beforeAutospacing="0" w:line="360" w:lineRule="auto"/>
        <w:ind w:left="0" w:leftChars="0" w:right="0"/>
        <w:rPr>
          <w:rFonts w:hint="eastAsia" w:ascii="宋体" w:hAnsi="宋体" w:eastAsia="宋体" w:cs="宋体"/>
          <w:bCs/>
          <w:color w:val="auto"/>
          <w:sz w:val="24"/>
          <w:szCs w:val="20"/>
        </w:rPr>
      </w:pPr>
    </w:p>
    <w:p w14:paraId="13B26646">
      <w:pPr>
        <w:pageBreakBefore w:val="0"/>
        <w:kinsoku/>
        <w:wordWrap/>
        <w:overflowPunct/>
        <w:topLinePunct w:val="0"/>
        <w:bidi w:val="0"/>
        <w:snapToGrid w:val="0"/>
        <w:spacing w:beforeAutospacing="0" w:line="360" w:lineRule="auto"/>
        <w:ind w:left="0" w:leftChars="0" w:right="0"/>
        <w:rPr>
          <w:rFonts w:hint="eastAsia" w:ascii="宋体" w:hAnsi="宋体" w:eastAsia="宋体" w:cs="宋体"/>
          <w:bCs/>
          <w:color w:val="auto"/>
          <w:sz w:val="24"/>
          <w:szCs w:val="20"/>
        </w:rPr>
      </w:pPr>
    </w:p>
    <w:p w14:paraId="4FB4E9A8">
      <w:pPr>
        <w:pageBreakBefore w:val="0"/>
        <w:kinsoku/>
        <w:wordWrap/>
        <w:overflowPunct/>
        <w:topLinePunct w:val="0"/>
        <w:bidi w:val="0"/>
        <w:snapToGrid w:val="0"/>
        <w:spacing w:beforeAutospacing="0" w:line="360" w:lineRule="auto"/>
        <w:ind w:left="0" w:leftChars="0" w:right="0"/>
        <w:rPr>
          <w:rFonts w:hint="eastAsia" w:ascii="宋体" w:hAnsi="宋体" w:eastAsia="宋体" w:cs="宋体"/>
          <w:bCs/>
          <w:color w:val="auto"/>
          <w:sz w:val="24"/>
          <w:szCs w:val="20"/>
        </w:rPr>
      </w:pPr>
    </w:p>
    <w:p w14:paraId="4A2504DE">
      <w:pPr>
        <w:pageBreakBefore w:val="0"/>
        <w:kinsoku/>
        <w:wordWrap/>
        <w:overflowPunct/>
        <w:topLinePunct w:val="0"/>
        <w:bidi w:val="0"/>
        <w:snapToGrid w:val="0"/>
        <w:spacing w:beforeAutospacing="0" w:line="360" w:lineRule="auto"/>
        <w:ind w:left="0" w:leftChars="0" w:right="0"/>
        <w:rPr>
          <w:rFonts w:hint="eastAsia" w:ascii="宋体" w:hAnsi="宋体" w:eastAsia="宋体" w:cs="宋体"/>
          <w:bCs/>
          <w:color w:val="auto"/>
          <w:sz w:val="24"/>
          <w:szCs w:val="20"/>
        </w:rPr>
      </w:pPr>
    </w:p>
    <w:p w14:paraId="4F3AAAD1">
      <w:pPr>
        <w:pageBreakBefore w:val="0"/>
        <w:kinsoku/>
        <w:wordWrap/>
        <w:overflowPunct/>
        <w:topLinePunct w:val="0"/>
        <w:bidi w:val="0"/>
        <w:snapToGrid w:val="0"/>
        <w:spacing w:beforeAutospacing="0" w:line="360" w:lineRule="auto"/>
        <w:ind w:left="0" w:leftChars="0" w:right="0" w:firstLine="540" w:firstLineChars="225"/>
        <w:rPr>
          <w:rFonts w:hint="eastAsia" w:ascii="宋体" w:hAnsi="宋体" w:eastAsia="宋体" w:cs="宋体"/>
          <w:bCs/>
          <w:color w:val="auto"/>
          <w:sz w:val="24"/>
          <w:lang w:eastAsia="zh-CN"/>
        </w:rPr>
      </w:pPr>
      <w:r>
        <w:rPr>
          <w:rFonts w:hint="eastAsia" w:ascii="宋体" w:hAnsi="宋体" w:eastAsia="宋体" w:cs="宋体"/>
          <w:bCs/>
          <w:color w:val="auto"/>
          <w:sz w:val="24"/>
        </w:rPr>
        <w:t>项目名称</w:t>
      </w:r>
      <w:r>
        <w:rPr>
          <w:rFonts w:hint="eastAsia" w:ascii="宋体" w:hAnsi="宋体" w:cs="宋体"/>
          <w:bCs/>
          <w:color w:val="auto"/>
          <w:sz w:val="24"/>
          <w:lang w:eastAsia="zh-CN"/>
        </w:rPr>
        <w:t>南宁市第二看守所在押人员伙房食材配送服务采购项目</w:t>
      </w:r>
    </w:p>
    <w:p w14:paraId="725FB3FC">
      <w:pPr>
        <w:pageBreakBefore w:val="0"/>
        <w:kinsoku/>
        <w:wordWrap/>
        <w:overflowPunct/>
        <w:topLinePunct w:val="0"/>
        <w:bidi w:val="0"/>
        <w:snapToGrid w:val="0"/>
        <w:spacing w:beforeAutospacing="0" w:line="360" w:lineRule="auto"/>
        <w:ind w:left="0" w:leftChars="0" w:right="0" w:firstLine="540" w:firstLineChars="225"/>
        <w:rPr>
          <w:rFonts w:hint="eastAsia" w:ascii="宋体" w:hAnsi="宋体" w:eastAsia="宋体" w:cs="宋体"/>
          <w:bCs/>
          <w:color w:val="auto"/>
          <w:sz w:val="24"/>
          <w:szCs w:val="20"/>
        </w:rPr>
      </w:pPr>
    </w:p>
    <w:p w14:paraId="42C8BFA9">
      <w:pPr>
        <w:pageBreakBefore w:val="0"/>
        <w:kinsoku/>
        <w:wordWrap/>
        <w:overflowPunct/>
        <w:topLinePunct w:val="0"/>
        <w:bidi w:val="0"/>
        <w:snapToGrid w:val="0"/>
        <w:spacing w:beforeAutospacing="0" w:line="360" w:lineRule="auto"/>
        <w:ind w:left="0" w:leftChars="0" w:right="0" w:firstLine="540" w:firstLineChars="225"/>
        <w:rPr>
          <w:rFonts w:hint="eastAsia" w:ascii="宋体" w:hAnsi="宋体" w:eastAsia="宋体" w:cs="宋体"/>
          <w:bCs/>
          <w:color w:val="auto"/>
          <w:sz w:val="24"/>
          <w:lang w:eastAsia="zh-CN"/>
        </w:rPr>
      </w:pPr>
      <w:r>
        <w:rPr>
          <w:rFonts w:hint="eastAsia" w:ascii="宋体" w:hAnsi="宋体" w:eastAsia="宋体" w:cs="宋体"/>
          <w:bCs/>
          <w:color w:val="auto"/>
          <w:sz w:val="24"/>
        </w:rPr>
        <w:t>项目编号：</w:t>
      </w:r>
      <w:r>
        <w:rPr>
          <w:rFonts w:hint="eastAsia" w:ascii="宋体" w:hAnsi="宋体" w:cs="宋体"/>
          <w:bCs/>
          <w:color w:val="auto"/>
          <w:sz w:val="24"/>
          <w:lang w:eastAsia="zh-CN"/>
        </w:rPr>
        <w:t>NNZC2024-G3-990896-GXJZ</w:t>
      </w:r>
    </w:p>
    <w:p w14:paraId="5CADBFD3">
      <w:pPr>
        <w:pageBreakBefore w:val="0"/>
        <w:kinsoku/>
        <w:wordWrap/>
        <w:overflowPunct/>
        <w:topLinePunct w:val="0"/>
        <w:bidi w:val="0"/>
        <w:snapToGrid w:val="0"/>
        <w:spacing w:beforeAutospacing="0" w:line="360" w:lineRule="auto"/>
        <w:ind w:left="0" w:leftChars="0" w:right="0" w:firstLine="540" w:firstLineChars="225"/>
        <w:rPr>
          <w:rFonts w:hint="eastAsia" w:ascii="宋体" w:hAnsi="宋体" w:eastAsia="宋体" w:cs="宋体"/>
          <w:bCs/>
          <w:color w:val="auto"/>
          <w:sz w:val="24"/>
          <w:szCs w:val="20"/>
        </w:rPr>
      </w:pPr>
      <w:r>
        <w:rPr>
          <w:rFonts w:hint="eastAsia" w:ascii="宋体" w:hAnsi="宋体" w:eastAsia="宋体" w:cs="宋体"/>
          <w:bCs/>
          <w:color w:val="auto"/>
          <w:sz w:val="24"/>
        </w:rPr>
        <w:t xml:space="preserve"> </w:t>
      </w:r>
    </w:p>
    <w:p w14:paraId="4058A3EE">
      <w:pPr>
        <w:pageBreakBefore w:val="0"/>
        <w:kinsoku/>
        <w:wordWrap/>
        <w:overflowPunct/>
        <w:topLinePunct w:val="0"/>
        <w:bidi w:val="0"/>
        <w:snapToGrid w:val="0"/>
        <w:spacing w:beforeAutospacing="0" w:line="360" w:lineRule="auto"/>
        <w:ind w:left="0" w:leftChars="0" w:right="0" w:firstLine="540" w:firstLineChars="225"/>
        <w:rPr>
          <w:rFonts w:hint="eastAsia" w:ascii="宋体" w:hAnsi="宋体" w:eastAsia="宋体" w:cs="宋体"/>
          <w:bCs/>
          <w:color w:val="auto"/>
          <w:sz w:val="24"/>
        </w:rPr>
      </w:pPr>
      <w:r>
        <w:rPr>
          <w:rFonts w:hint="eastAsia" w:ascii="宋体" w:hAnsi="宋体" w:eastAsia="宋体" w:cs="宋体"/>
          <w:bCs/>
          <w:color w:val="auto"/>
          <w:sz w:val="24"/>
        </w:rPr>
        <w:t>所投分标：</w:t>
      </w:r>
    </w:p>
    <w:p w14:paraId="4E7FE6D5">
      <w:pPr>
        <w:pageBreakBefore w:val="0"/>
        <w:kinsoku/>
        <w:wordWrap/>
        <w:overflowPunct/>
        <w:topLinePunct w:val="0"/>
        <w:bidi w:val="0"/>
        <w:snapToGrid w:val="0"/>
        <w:spacing w:beforeAutospacing="0" w:line="360" w:lineRule="auto"/>
        <w:ind w:left="0" w:leftChars="0" w:right="0" w:firstLine="540" w:firstLineChars="225"/>
        <w:rPr>
          <w:rFonts w:hint="eastAsia" w:ascii="宋体" w:hAnsi="宋体" w:eastAsia="宋体" w:cs="宋体"/>
          <w:bCs/>
          <w:color w:val="auto"/>
          <w:sz w:val="24"/>
        </w:rPr>
      </w:pPr>
    </w:p>
    <w:p w14:paraId="3E148EAC">
      <w:pPr>
        <w:pageBreakBefore w:val="0"/>
        <w:kinsoku/>
        <w:wordWrap/>
        <w:overflowPunct/>
        <w:topLinePunct w:val="0"/>
        <w:bidi w:val="0"/>
        <w:snapToGrid w:val="0"/>
        <w:spacing w:beforeAutospacing="0" w:line="360" w:lineRule="auto"/>
        <w:ind w:left="0" w:leftChars="0" w:right="0" w:firstLine="540" w:firstLineChars="225"/>
        <w:rPr>
          <w:rFonts w:hint="eastAsia" w:ascii="宋体" w:hAnsi="宋体" w:eastAsia="宋体" w:cs="宋体"/>
          <w:bCs/>
          <w:color w:val="auto"/>
          <w:sz w:val="24"/>
        </w:rPr>
      </w:pPr>
      <w:r>
        <w:rPr>
          <w:rFonts w:hint="eastAsia" w:ascii="宋体" w:hAnsi="宋体" w:eastAsia="宋体" w:cs="宋体"/>
          <w:bCs/>
          <w:color w:val="auto"/>
          <w:sz w:val="24"/>
        </w:rPr>
        <w:t>投标人名称：</w:t>
      </w:r>
    </w:p>
    <w:p w14:paraId="56E3F1FA">
      <w:pPr>
        <w:pageBreakBefore w:val="0"/>
        <w:kinsoku/>
        <w:wordWrap/>
        <w:overflowPunct/>
        <w:topLinePunct w:val="0"/>
        <w:bidi w:val="0"/>
        <w:snapToGrid w:val="0"/>
        <w:spacing w:beforeAutospacing="0" w:line="360" w:lineRule="auto"/>
        <w:ind w:left="0" w:leftChars="0" w:right="0" w:firstLine="540" w:firstLineChars="225"/>
        <w:rPr>
          <w:rFonts w:hint="eastAsia" w:ascii="宋体" w:hAnsi="宋体" w:eastAsia="宋体" w:cs="宋体"/>
          <w:bCs/>
          <w:color w:val="auto"/>
          <w:sz w:val="24"/>
        </w:rPr>
      </w:pPr>
    </w:p>
    <w:p w14:paraId="4265BAA6">
      <w:pPr>
        <w:pageBreakBefore w:val="0"/>
        <w:kinsoku/>
        <w:wordWrap/>
        <w:overflowPunct/>
        <w:topLinePunct w:val="0"/>
        <w:bidi w:val="0"/>
        <w:snapToGrid w:val="0"/>
        <w:spacing w:beforeAutospacing="0" w:line="360" w:lineRule="auto"/>
        <w:ind w:left="0" w:leftChars="0" w:right="0" w:firstLine="960" w:firstLineChars="400"/>
        <w:rPr>
          <w:rFonts w:hint="eastAsia" w:ascii="宋体" w:hAnsi="宋体" w:eastAsia="宋体" w:cs="宋体"/>
          <w:bCs/>
          <w:color w:val="auto"/>
          <w:sz w:val="24"/>
        </w:rPr>
      </w:pPr>
    </w:p>
    <w:p w14:paraId="17C767F7">
      <w:pPr>
        <w:pageBreakBefore w:val="0"/>
        <w:kinsoku/>
        <w:wordWrap/>
        <w:overflowPunct/>
        <w:topLinePunct w:val="0"/>
        <w:bidi w:val="0"/>
        <w:snapToGrid w:val="0"/>
        <w:spacing w:beforeAutospacing="0" w:line="360" w:lineRule="auto"/>
        <w:ind w:left="0" w:leftChars="0" w:right="0" w:firstLine="645"/>
        <w:jc w:val="center"/>
        <w:rPr>
          <w:rFonts w:hint="eastAsia" w:ascii="宋体" w:hAnsi="宋体" w:eastAsia="宋体" w:cs="宋体"/>
          <w:color w:val="auto"/>
          <w:sz w:val="24"/>
        </w:rPr>
      </w:pPr>
      <w:r>
        <w:rPr>
          <w:rFonts w:hint="eastAsia" w:ascii="宋体" w:hAnsi="宋体" w:eastAsia="宋体" w:cs="宋体"/>
          <w:color w:val="auto"/>
          <w:sz w:val="24"/>
        </w:rPr>
        <w:t>年  月  日</w:t>
      </w:r>
    </w:p>
    <w:p w14:paraId="6EF87EF8">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 w:val="30"/>
          <w:szCs w:val="20"/>
        </w:rPr>
        <w:sectPr>
          <w:pgSz w:w="11906" w:h="16838"/>
          <w:pgMar w:top="1134" w:right="1134" w:bottom="1134" w:left="1134" w:header="720" w:footer="720" w:gutter="0"/>
          <w:cols w:space="720" w:num="1"/>
          <w:docGrid w:type="lines" w:linePitch="331" w:charSpace="0"/>
        </w:sectPr>
      </w:pPr>
    </w:p>
    <w:p w14:paraId="4863A435">
      <w:pPr>
        <w:pageBreakBefore w:val="0"/>
        <w:kinsoku/>
        <w:wordWrap/>
        <w:overflowPunct/>
        <w:topLinePunct w:val="0"/>
        <w:bidi w:val="0"/>
        <w:spacing w:beforeAutospacing="0" w:line="360" w:lineRule="auto"/>
        <w:ind w:left="0" w:leftChars="0" w:right="0"/>
        <w:jc w:val="center"/>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资格证明文件目录</w:t>
      </w:r>
    </w:p>
    <w:p w14:paraId="4ABB6823">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kern w:val="0"/>
          <w:sz w:val="24"/>
        </w:rPr>
      </w:pPr>
    </w:p>
    <w:p w14:paraId="2E1B563B">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kern w:val="0"/>
          <w:sz w:val="24"/>
        </w:rPr>
      </w:pPr>
      <w:r>
        <w:rPr>
          <w:rFonts w:hint="eastAsia" w:ascii="宋体" w:hAnsi="宋体" w:eastAsia="宋体" w:cs="宋体"/>
          <w:color w:val="auto"/>
          <w:kern w:val="0"/>
          <w:sz w:val="24"/>
        </w:rPr>
        <w:t>一、</w:t>
      </w:r>
      <w:r>
        <w:rPr>
          <w:rFonts w:hint="eastAsia" w:ascii="宋体" w:hAnsi="宋体" w:eastAsia="宋体" w:cs="宋体"/>
          <w:color w:val="auto"/>
          <w:sz w:val="24"/>
        </w:rPr>
        <w:t>营业执照(或事业法人登记证或其他工商等登记证明材料)原件扫描件（投标人为自然人的，须提供</w:t>
      </w:r>
      <w:r>
        <w:rPr>
          <w:rFonts w:hint="eastAsia" w:ascii="宋体" w:hAnsi="宋体" w:eastAsia="宋体" w:cs="宋体"/>
          <w:color w:val="auto"/>
          <w:kern w:val="0"/>
          <w:sz w:val="24"/>
        </w:rPr>
        <w:t>自然人的身份证明</w:t>
      </w:r>
      <w:r>
        <w:rPr>
          <w:rFonts w:hint="eastAsia" w:ascii="宋体" w:hAnsi="宋体" w:eastAsia="宋体" w:cs="宋体"/>
          <w:color w:val="auto"/>
          <w:sz w:val="24"/>
        </w:rPr>
        <w:t>）</w:t>
      </w:r>
      <w:r>
        <w:rPr>
          <w:rFonts w:hint="eastAsia" w:ascii="宋体" w:hAnsi="宋体" w:eastAsia="宋体" w:cs="宋体"/>
          <w:color w:val="auto"/>
          <w:kern w:val="0"/>
          <w:sz w:val="24"/>
        </w:rPr>
        <w:t>……………………………………………………………（页码）</w:t>
      </w:r>
    </w:p>
    <w:p w14:paraId="7B4B2DE4">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kern w:val="0"/>
          <w:sz w:val="24"/>
        </w:rPr>
      </w:pPr>
      <w:r>
        <w:rPr>
          <w:rFonts w:hint="eastAsia" w:ascii="宋体" w:hAnsi="宋体" w:eastAsia="宋体" w:cs="宋体"/>
          <w:color w:val="auto"/>
          <w:kern w:val="0"/>
          <w:sz w:val="24"/>
        </w:rPr>
        <w:t>二、符合参与政府采购活动的资格条件依法缴纳税收、社会保障资金等方面的材料…………………………………………………………………………………………（页码）</w:t>
      </w:r>
    </w:p>
    <w:p w14:paraId="707C1D27">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kern w:val="0"/>
          <w:sz w:val="24"/>
        </w:rPr>
      </w:pPr>
      <w:r>
        <w:rPr>
          <w:rFonts w:hint="eastAsia" w:ascii="宋体" w:hAnsi="宋体" w:eastAsia="宋体" w:cs="宋体"/>
          <w:color w:val="auto"/>
          <w:kern w:val="0"/>
          <w:sz w:val="24"/>
        </w:rPr>
        <w:t>三、财务状况报告方面的材料…………………………………………………………（页码）</w:t>
      </w:r>
    </w:p>
    <w:p w14:paraId="170E3179">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kern w:val="0"/>
          <w:sz w:val="24"/>
        </w:rPr>
      </w:pPr>
      <w:r>
        <w:rPr>
          <w:rFonts w:hint="eastAsia" w:ascii="宋体" w:hAnsi="宋体" w:eastAsia="宋体" w:cs="宋体"/>
          <w:color w:val="auto"/>
          <w:sz w:val="24"/>
        </w:rPr>
        <w:t>四、投标人直接控股股东信息</w:t>
      </w:r>
      <w:r>
        <w:rPr>
          <w:rFonts w:hint="eastAsia" w:ascii="宋体" w:hAnsi="宋体" w:eastAsia="宋体" w:cs="宋体"/>
          <w:color w:val="auto"/>
          <w:kern w:val="0"/>
          <w:sz w:val="24"/>
        </w:rPr>
        <w:t>…………………………………………………………（页码）</w:t>
      </w:r>
    </w:p>
    <w:p w14:paraId="5066C268">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kern w:val="0"/>
          <w:sz w:val="24"/>
        </w:rPr>
      </w:pPr>
      <w:r>
        <w:rPr>
          <w:rFonts w:hint="eastAsia" w:ascii="宋体" w:hAnsi="宋体" w:eastAsia="宋体" w:cs="宋体"/>
          <w:color w:val="auto"/>
          <w:sz w:val="24"/>
        </w:rPr>
        <w:t>五、投标人直接关联关系信息表</w:t>
      </w:r>
      <w:r>
        <w:rPr>
          <w:rFonts w:hint="eastAsia" w:ascii="宋体" w:hAnsi="宋体" w:eastAsia="宋体" w:cs="宋体"/>
          <w:color w:val="auto"/>
          <w:kern w:val="0"/>
          <w:sz w:val="24"/>
        </w:rPr>
        <w:t>………………………………………………………（页码）</w:t>
      </w:r>
    </w:p>
    <w:p w14:paraId="5A34366E">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kern w:val="0"/>
          <w:sz w:val="24"/>
        </w:rPr>
      </w:pPr>
      <w:r>
        <w:rPr>
          <w:rFonts w:hint="eastAsia" w:ascii="宋体" w:hAnsi="宋体" w:eastAsia="宋体" w:cs="宋体"/>
          <w:color w:val="auto"/>
          <w:kern w:val="0"/>
          <w:sz w:val="24"/>
        </w:rPr>
        <w:t>六、投标资格声明函……………………………………………………………………（页码）</w:t>
      </w:r>
    </w:p>
    <w:p w14:paraId="68663050">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kern w:val="0"/>
          <w:sz w:val="24"/>
        </w:rPr>
      </w:pPr>
      <w:r>
        <w:rPr>
          <w:rFonts w:hint="eastAsia" w:ascii="宋体" w:hAnsi="宋体" w:eastAsia="宋体" w:cs="宋体"/>
          <w:color w:val="auto"/>
          <w:kern w:val="0"/>
          <w:sz w:val="24"/>
        </w:rPr>
        <w:t>七、联合体协议书（</w:t>
      </w:r>
      <w:r>
        <w:rPr>
          <w:rFonts w:hint="eastAsia" w:ascii="宋体" w:hAnsi="宋体" w:eastAsia="宋体" w:cs="宋体"/>
          <w:color w:val="auto"/>
          <w:sz w:val="24"/>
        </w:rPr>
        <w:t>以联合体形式投标的，提供联合体协议；本项目不接受联合体投标或者投标人不以联合体形式投标的，则不需要提供</w:t>
      </w:r>
      <w:r>
        <w:rPr>
          <w:rFonts w:hint="eastAsia" w:ascii="宋体" w:hAnsi="宋体" w:eastAsia="宋体" w:cs="宋体"/>
          <w:color w:val="auto"/>
          <w:kern w:val="0"/>
          <w:sz w:val="24"/>
        </w:rPr>
        <w:t>）……………………………………（页码）</w:t>
      </w:r>
    </w:p>
    <w:p w14:paraId="187B0283">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kern w:val="0"/>
          <w:sz w:val="24"/>
        </w:rPr>
      </w:pPr>
      <w:r>
        <w:rPr>
          <w:rFonts w:hint="eastAsia" w:ascii="宋体" w:hAnsi="宋体" w:eastAsia="宋体" w:cs="宋体"/>
          <w:color w:val="auto"/>
          <w:sz w:val="24"/>
        </w:rPr>
        <w:t>八、符合特定资格条件（如有）的有关证明材料（原件扫描件）</w:t>
      </w:r>
      <w:r>
        <w:rPr>
          <w:rFonts w:hint="eastAsia" w:ascii="宋体" w:hAnsi="宋体" w:eastAsia="宋体" w:cs="宋体"/>
          <w:color w:val="auto"/>
          <w:kern w:val="0"/>
          <w:sz w:val="24"/>
        </w:rPr>
        <w:t>………………………（页码）</w:t>
      </w:r>
    </w:p>
    <w:p w14:paraId="3A18553C">
      <w:pPr>
        <w:pageBreakBefore w:val="0"/>
        <w:kinsoku/>
        <w:wordWrap/>
        <w:overflowPunct/>
        <w:topLinePunct w:val="0"/>
        <w:bidi w:val="0"/>
        <w:spacing w:beforeAutospacing="0" w:line="360" w:lineRule="auto"/>
        <w:ind w:left="0" w:leftChars="0" w:right="0"/>
        <w:rPr>
          <w:rFonts w:hint="eastAsia" w:ascii="宋体" w:hAnsi="宋体" w:eastAsia="宋体" w:cs="宋体"/>
          <w:b/>
          <w:bCs/>
          <w:color w:val="auto"/>
          <w:sz w:val="24"/>
        </w:rPr>
      </w:pPr>
      <w:r>
        <w:rPr>
          <w:rFonts w:hint="eastAsia" w:ascii="宋体" w:hAnsi="宋体" w:eastAsia="宋体" w:cs="宋体"/>
          <w:b/>
          <w:bCs/>
          <w:color w:val="auto"/>
          <w:sz w:val="24"/>
        </w:rPr>
        <w:t>注：以上目录是基本格式要求，各投标人可根据自身情况进一步向下增加内容或细化。</w:t>
      </w:r>
    </w:p>
    <w:p w14:paraId="0E621FEA">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 w:val="30"/>
          <w:szCs w:val="20"/>
        </w:rPr>
        <w:sectPr>
          <w:pgSz w:w="11906" w:h="16838"/>
          <w:pgMar w:top="1134" w:right="1134" w:bottom="1134" w:left="1134" w:header="720" w:footer="720" w:gutter="0"/>
          <w:cols w:space="720" w:num="1"/>
          <w:docGrid w:type="lines" w:linePitch="331" w:charSpace="0"/>
        </w:sectPr>
      </w:pPr>
    </w:p>
    <w:p w14:paraId="25D27BF8">
      <w:pPr>
        <w:pageBreakBefore w:val="0"/>
        <w:kinsoku/>
        <w:wordWrap/>
        <w:overflowPunct/>
        <w:topLinePunct w:val="0"/>
        <w:bidi w:val="0"/>
        <w:snapToGrid w:val="0"/>
        <w:spacing w:beforeAutospacing="0" w:line="360" w:lineRule="auto"/>
        <w:ind w:left="0" w:leftChars="0" w:right="0"/>
        <w:rPr>
          <w:rFonts w:hint="eastAsia" w:ascii="宋体" w:hAnsi="宋体" w:eastAsia="宋体" w:cs="宋体"/>
          <w:b/>
          <w:color w:val="auto"/>
          <w:kern w:val="0"/>
          <w:sz w:val="32"/>
          <w:szCs w:val="32"/>
          <w:lang w:val="zh-CN"/>
        </w:rPr>
      </w:pPr>
    </w:p>
    <w:p w14:paraId="61B90334">
      <w:pPr>
        <w:pageBreakBefore w:val="0"/>
        <w:kinsoku/>
        <w:wordWrap/>
        <w:overflowPunct/>
        <w:topLinePunct w:val="0"/>
        <w:bidi w:val="0"/>
        <w:spacing w:beforeAutospacing="0" w:line="360" w:lineRule="auto"/>
        <w:ind w:left="0" w:leftChars="0" w:right="0"/>
        <w:jc w:val="center"/>
        <w:rPr>
          <w:rFonts w:hint="eastAsia" w:ascii="宋体" w:hAnsi="宋体" w:eastAsia="宋体" w:cs="宋体"/>
          <w:b/>
          <w:color w:val="auto"/>
          <w:sz w:val="30"/>
          <w:szCs w:val="30"/>
        </w:rPr>
      </w:pPr>
      <w:r>
        <w:rPr>
          <w:rFonts w:hint="eastAsia" w:ascii="宋体" w:hAnsi="宋体" w:eastAsia="宋体" w:cs="宋体"/>
          <w:b/>
          <w:color w:val="auto"/>
          <w:kern w:val="0"/>
          <w:sz w:val="32"/>
          <w:szCs w:val="32"/>
          <w:lang w:val="zh-CN"/>
        </w:rPr>
        <w:t>一、</w:t>
      </w:r>
      <w:r>
        <w:rPr>
          <w:rFonts w:hint="eastAsia" w:ascii="宋体" w:hAnsi="宋体" w:eastAsia="宋体" w:cs="宋体"/>
          <w:b/>
          <w:color w:val="auto"/>
          <w:sz w:val="30"/>
          <w:szCs w:val="30"/>
        </w:rPr>
        <w:t>营业执照(或事业法人登记证或其他工商等登记证明材料)原件扫描件（投标人为自然人的，提供自然人的身份证明）</w:t>
      </w:r>
    </w:p>
    <w:p w14:paraId="2B6A3CB3">
      <w:pPr>
        <w:pageBreakBefore w:val="0"/>
        <w:kinsoku/>
        <w:wordWrap/>
        <w:overflowPunct/>
        <w:topLinePunct w:val="0"/>
        <w:bidi w:val="0"/>
        <w:spacing w:beforeAutospacing="0" w:line="360" w:lineRule="auto"/>
        <w:ind w:left="0" w:leftChars="0" w:right="0"/>
        <w:rPr>
          <w:rFonts w:hint="eastAsia" w:ascii="宋体" w:hAnsi="宋体" w:eastAsia="宋体" w:cs="宋体"/>
          <w:b/>
          <w:color w:val="auto"/>
          <w:sz w:val="30"/>
          <w:szCs w:val="30"/>
        </w:rPr>
      </w:pPr>
    </w:p>
    <w:p w14:paraId="29AF8923">
      <w:pPr>
        <w:pageBreakBefore w:val="0"/>
        <w:kinsoku/>
        <w:wordWrap/>
        <w:overflowPunct/>
        <w:topLinePunct w:val="0"/>
        <w:bidi w:val="0"/>
        <w:snapToGrid w:val="0"/>
        <w:spacing w:beforeAutospacing="0" w:line="360" w:lineRule="auto"/>
        <w:ind w:left="0" w:leftChars="0" w:right="0" w:firstLine="576"/>
        <w:jc w:val="center"/>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投标人名称(电子签章)：                              </w:t>
      </w:r>
    </w:p>
    <w:p w14:paraId="0F21D984">
      <w:pPr>
        <w:pageBreakBefore w:val="0"/>
        <w:kinsoku/>
        <w:wordWrap/>
        <w:overflowPunct/>
        <w:topLinePunct w:val="0"/>
        <w:bidi w:val="0"/>
        <w:spacing w:beforeAutospacing="0" w:line="360" w:lineRule="auto"/>
        <w:ind w:left="0" w:leftChars="0" w:right="0"/>
        <w:jc w:val="center"/>
        <w:rPr>
          <w:rFonts w:hint="eastAsia" w:ascii="宋体" w:hAnsi="宋体" w:eastAsia="宋体" w:cs="宋体"/>
          <w:b/>
          <w:color w:val="auto"/>
          <w:sz w:val="30"/>
          <w:szCs w:val="30"/>
        </w:rPr>
      </w:pPr>
      <w:r>
        <w:rPr>
          <w:rFonts w:hint="eastAsia" w:ascii="宋体" w:hAnsi="宋体" w:eastAsia="宋体" w:cs="宋体"/>
          <w:color w:val="auto"/>
          <w:kern w:val="0"/>
          <w:sz w:val="24"/>
          <w:lang w:val="zh-CN"/>
        </w:rPr>
        <w:t xml:space="preserve">                   日期：  年  月</w:t>
      </w:r>
    </w:p>
    <w:p w14:paraId="5B696355">
      <w:pPr>
        <w:pageBreakBefore w:val="0"/>
        <w:kinsoku/>
        <w:wordWrap/>
        <w:overflowPunct/>
        <w:topLinePunct w:val="0"/>
        <w:bidi w:val="0"/>
        <w:spacing w:beforeAutospacing="0" w:line="360" w:lineRule="auto"/>
        <w:ind w:left="0" w:leftChars="0" w:right="0"/>
        <w:jc w:val="center"/>
        <w:rPr>
          <w:rFonts w:hint="eastAsia" w:ascii="宋体" w:hAnsi="宋体" w:eastAsia="宋体" w:cs="宋体"/>
          <w:b/>
          <w:color w:val="auto"/>
          <w:sz w:val="30"/>
          <w:szCs w:val="30"/>
        </w:rPr>
      </w:pPr>
    </w:p>
    <w:p w14:paraId="64CA08ED">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b/>
          <w:color w:val="auto"/>
          <w:kern w:val="0"/>
          <w:sz w:val="32"/>
          <w:szCs w:val="32"/>
        </w:rPr>
      </w:pPr>
      <w:r>
        <w:rPr>
          <w:rFonts w:hint="eastAsia" w:ascii="宋体" w:hAnsi="宋体" w:eastAsia="宋体" w:cs="宋体"/>
          <w:b/>
          <w:color w:val="auto"/>
          <w:sz w:val="30"/>
          <w:szCs w:val="30"/>
        </w:rPr>
        <w:t>二、</w:t>
      </w:r>
      <w:r>
        <w:rPr>
          <w:rFonts w:hint="eastAsia" w:ascii="宋体" w:hAnsi="宋体" w:eastAsia="宋体" w:cs="宋体"/>
          <w:b/>
          <w:color w:val="auto"/>
          <w:kern w:val="0"/>
          <w:sz w:val="32"/>
          <w:szCs w:val="32"/>
        </w:rPr>
        <w:t>符合参与政府采购活动的资格条件依法缴纳税收、社会保障资金等方面的材料</w:t>
      </w:r>
    </w:p>
    <w:p w14:paraId="1BD7DE98">
      <w:pPr>
        <w:pageBreakBefore w:val="0"/>
        <w:kinsoku/>
        <w:wordWrap/>
        <w:overflowPunct/>
        <w:topLinePunct w:val="0"/>
        <w:bidi w:val="0"/>
        <w:snapToGrid w:val="0"/>
        <w:spacing w:beforeAutospacing="0" w:line="360" w:lineRule="auto"/>
        <w:ind w:left="0" w:leftChars="0" w:right="0" w:firstLine="480" w:firstLineChars="200"/>
        <w:rPr>
          <w:rFonts w:hint="eastAsia" w:ascii="宋体" w:hAnsi="宋体" w:eastAsia="宋体" w:cs="宋体"/>
          <w:color w:val="auto"/>
          <w:sz w:val="24"/>
        </w:rPr>
      </w:pPr>
    </w:p>
    <w:p w14:paraId="1AE14A68">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w:t>
      </w:r>
    </w:p>
    <w:p w14:paraId="73529BCC">
      <w:pPr>
        <w:pageBreakBefore w:val="0"/>
        <w:kinsoku/>
        <w:wordWrap/>
        <w:overflowPunct/>
        <w:topLinePunct w:val="0"/>
        <w:bidi w:val="0"/>
        <w:snapToGrid w:val="0"/>
        <w:spacing w:beforeAutospacing="0" w:line="360" w:lineRule="auto"/>
        <w:ind w:left="0" w:leftChars="0" w:right="0" w:firstLine="5040" w:firstLineChars="2100"/>
        <w:rPr>
          <w:rFonts w:hint="eastAsia" w:ascii="宋体" w:hAnsi="宋体" w:eastAsia="宋体" w:cs="宋体"/>
          <w:color w:val="auto"/>
          <w:kern w:val="0"/>
          <w:sz w:val="24"/>
        </w:rPr>
      </w:pPr>
      <w:r>
        <w:rPr>
          <w:rFonts w:hint="eastAsia" w:ascii="宋体" w:hAnsi="宋体" w:eastAsia="宋体" w:cs="宋体"/>
          <w:color w:val="auto"/>
          <w:kern w:val="0"/>
          <w:sz w:val="24"/>
          <w:lang w:val="zh-CN"/>
        </w:rPr>
        <w:t xml:space="preserve"> 投标人名称(电子签章)：</w:t>
      </w:r>
    </w:p>
    <w:p w14:paraId="2FEA7A4A">
      <w:pPr>
        <w:pageBreakBefore w:val="0"/>
        <w:kinsoku/>
        <w:wordWrap/>
        <w:overflowPunct/>
        <w:topLinePunct w:val="0"/>
        <w:bidi w:val="0"/>
        <w:snapToGrid w:val="0"/>
        <w:spacing w:beforeAutospacing="0" w:line="360" w:lineRule="auto"/>
        <w:ind w:left="0" w:leftChars="0" w:right="0" w:firstLine="5160" w:firstLineChars="215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w:t>
      </w:r>
      <w:r>
        <w:rPr>
          <w:rFonts w:hint="eastAsia" w:ascii="宋体" w:hAnsi="宋体" w:eastAsia="宋体" w:cs="宋体"/>
          <w:color w:val="auto"/>
          <w:kern w:val="0"/>
          <w:sz w:val="24"/>
        </w:rPr>
        <w:t xml:space="preserve">：  年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w:t>
      </w:r>
    </w:p>
    <w:p w14:paraId="3F5C3C5A">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b/>
          <w:color w:val="auto"/>
          <w:kern w:val="0"/>
          <w:sz w:val="32"/>
          <w:szCs w:val="32"/>
        </w:rPr>
      </w:pPr>
      <w:r>
        <w:rPr>
          <w:rFonts w:hint="eastAsia" w:ascii="宋体" w:hAnsi="宋体" w:eastAsia="宋体" w:cs="宋体"/>
          <w:b/>
          <w:color w:val="auto"/>
          <w:sz w:val="30"/>
          <w:szCs w:val="30"/>
        </w:rPr>
        <w:t>三、</w:t>
      </w:r>
      <w:r>
        <w:rPr>
          <w:rFonts w:hint="eastAsia" w:ascii="宋体" w:hAnsi="宋体" w:eastAsia="宋体" w:cs="宋体"/>
          <w:b/>
          <w:color w:val="auto"/>
          <w:kern w:val="0"/>
          <w:sz w:val="32"/>
          <w:szCs w:val="32"/>
        </w:rPr>
        <w:t>财务状况报告方面的材料</w:t>
      </w:r>
    </w:p>
    <w:p w14:paraId="74ED83F8">
      <w:pPr>
        <w:pageBreakBefore w:val="0"/>
        <w:kinsoku/>
        <w:wordWrap/>
        <w:overflowPunct/>
        <w:topLinePunct w:val="0"/>
        <w:bidi w:val="0"/>
        <w:snapToGrid w:val="0"/>
        <w:spacing w:beforeAutospacing="0" w:line="360" w:lineRule="auto"/>
        <w:ind w:left="0" w:leftChars="0" w:right="0" w:firstLine="480" w:firstLineChars="200"/>
        <w:rPr>
          <w:rFonts w:hint="eastAsia" w:ascii="宋体" w:hAnsi="宋体" w:eastAsia="宋体" w:cs="宋体"/>
          <w:color w:val="auto"/>
          <w:sz w:val="24"/>
        </w:rPr>
      </w:pPr>
    </w:p>
    <w:p w14:paraId="44FA9DBC">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w:t>
      </w:r>
    </w:p>
    <w:p w14:paraId="03EBC9AB">
      <w:pPr>
        <w:pageBreakBefore w:val="0"/>
        <w:kinsoku/>
        <w:wordWrap/>
        <w:overflowPunct/>
        <w:topLinePunct w:val="0"/>
        <w:bidi w:val="0"/>
        <w:snapToGrid w:val="0"/>
        <w:spacing w:beforeAutospacing="0" w:line="360" w:lineRule="auto"/>
        <w:ind w:left="0" w:leftChars="0" w:right="0" w:firstLine="5040" w:firstLineChars="2100"/>
        <w:rPr>
          <w:rFonts w:hint="eastAsia" w:ascii="宋体" w:hAnsi="宋体" w:eastAsia="宋体" w:cs="宋体"/>
          <w:color w:val="auto"/>
          <w:kern w:val="0"/>
          <w:sz w:val="24"/>
        </w:rPr>
      </w:pPr>
      <w:r>
        <w:rPr>
          <w:rFonts w:hint="eastAsia" w:ascii="宋体" w:hAnsi="宋体" w:eastAsia="宋体" w:cs="宋体"/>
          <w:color w:val="auto"/>
          <w:kern w:val="0"/>
          <w:sz w:val="24"/>
          <w:lang w:val="zh-CN"/>
        </w:rPr>
        <w:t xml:space="preserve"> 投标人名称(电子签章)：</w:t>
      </w:r>
    </w:p>
    <w:p w14:paraId="431FA499">
      <w:pPr>
        <w:pageBreakBefore w:val="0"/>
        <w:kinsoku/>
        <w:wordWrap/>
        <w:overflowPunct/>
        <w:topLinePunct w:val="0"/>
        <w:bidi w:val="0"/>
        <w:snapToGrid w:val="0"/>
        <w:spacing w:beforeAutospacing="0" w:line="360" w:lineRule="auto"/>
        <w:ind w:left="0" w:leftChars="0" w:right="0" w:firstLine="5160" w:firstLineChars="215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w:t>
      </w:r>
      <w:r>
        <w:rPr>
          <w:rFonts w:hint="eastAsia" w:ascii="宋体" w:hAnsi="宋体" w:eastAsia="宋体" w:cs="宋体"/>
          <w:color w:val="auto"/>
          <w:kern w:val="0"/>
          <w:sz w:val="24"/>
        </w:rPr>
        <w:t xml:space="preserve">：  年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w:t>
      </w:r>
    </w:p>
    <w:p w14:paraId="2CB6828B">
      <w:pPr>
        <w:pageBreakBefore w:val="0"/>
        <w:kinsoku/>
        <w:wordWrap/>
        <w:overflowPunct/>
        <w:topLinePunct w:val="0"/>
        <w:bidi w:val="0"/>
        <w:snapToGrid w:val="0"/>
        <w:spacing w:beforeAutospacing="0" w:line="360" w:lineRule="auto"/>
        <w:ind w:left="0" w:leftChars="0" w:right="0" w:firstLine="5160" w:firstLineChars="2150"/>
        <w:rPr>
          <w:rFonts w:hint="eastAsia" w:ascii="宋体" w:hAnsi="宋体" w:eastAsia="宋体" w:cs="宋体"/>
          <w:color w:val="auto"/>
          <w:kern w:val="0"/>
          <w:sz w:val="24"/>
          <w:lang w:val="zh-CN"/>
        </w:rPr>
      </w:pPr>
    </w:p>
    <w:p w14:paraId="25004AD6">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b/>
          <w:color w:val="auto"/>
          <w:kern w:val="0"/>
          <w:sz w:val="32"/>
          <w:szCs w:val="32"/>
          <w:lang w:val="zh-CN"/>
        </w:rPr>
      </w:pPr>
    </w:p>
    <w:p w14:paraId="5FD45D49">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b/>
          <w:color w:val="auto"/>
          <w:sz w:val="28"/>
          <w:szCs w:val="28"/>
        </w:rPr>
      </w:pPr>
      <w:r>
        <w:rPr>
          <w:rFonts w:hint="eastAsia" w:ascii="宋体" w:hAnsi="宋体" w:eastAsia="宋体" w:cs="宋体"/>
          <w:b/>
          <w:color w:val="auto"/>
          <w:kern w:val="0"/>
          <w:sz w:val="32"/>
          <w:szCs w:val="32"/>
        </w:rPr>
        <w:br w:type="page"/>
      </w:r>
    </w:p>
    <w:p w14:paraId="195DB229">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四、投标人直接控股股东信息表</w:t>
      </w:r>
    </w:p>
    <w:tbl>
      <w:tblPr>
        <w:tblStyle w:val="15"/>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683B7E78">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7B68756">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A5ED34D">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2A878AE">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8CE5BA4">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39AEC88">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备注</w:t>
            </w:r>
          </w:p>
        </w:tc>
      </w:tr>
      <w:tr w14:paraId="319C7484">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1CB6B0">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0096F5A">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33DD59E">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AB3ED3C">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05EACD6">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rPr>
            </w:pPr>
          </w:p>
        </w:tc>
      </w:tr>
      <w:tr w14:paraId="78982AC5">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0C07EF1">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A0987CE">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5F42EBA">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79C72F5">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490F23B">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rPr>
            </w:pPr>
          </w:p>
        </w:tc>
      </w:tr>
      <w:tr w14:paraId="14C0D182">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0A33A94">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40E7732">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79FA54">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37A65AD">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3BF78B8">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rPr>
            </w:pPr>
          </w:p>
        </w:tc>
      </w:tr>
      <w:tr w14:paraId="168F232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D2E34B">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EBAEC54">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967F40">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3B6ED5A">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ACF5AB6">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rPr>
            </w:pPr>
          </w:p>
        </w:tc>
      </w:tr>
    </w:tbl>
    <w:p w14:paraId="2B86F374">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r>
        <w:rPr>
          <w:rFonts w:hint="eastAsia" w:ascii="宋体" w:hAnsi="宋体" w:eastAsia="宋体" w:cs="宋体"/>
          <w:color w:val="auto"/>
          <w:sz w:val="24"/>
        </w:rPr>
        <w:t>注：</w:t>
      </w:r>
    </w:p>
    <w:p w14:paraId="231CEF15">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r>
        <w:rPr>
          <w:rFonts w:hint="eastAsia" w:ascii="宋体" w:hAnsi="宋体" w:eastAsia="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0B955A0">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r>
        <w:rPr>
          <w:rFonts w:hint="eastAsia" w:ascii="宋体" w:hAnsi="宋体" w:eastAsia="宋体" w:cs="宋体"/>
          <w:color w:val="auto"/>
          <w:sz w:val="24"/>
        </w:rPr>
        <w:t>2.本表所指的控股关系仅限于直接控股关系，不包括间接的控股关系。公司实际控制人与公司之间的关系不属于本表所指的直接控股关系。</w:t>
      </w:r>
    </w:p>
    <w:p w14:paraId="23ADA125">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r>
        <w:rPr>
          <w:rFonts w:hint="eastAsia" w:ascii="宋体" w:hAnsi="宋体" w:eastAsia="宋体" w:cs="宋体"/>
          <w:color w:val="auto"/>
          <w:sz w:val="24"/>
        </w:rPr>
        <w:t>3.供应商不存在直接控股股东的，则填“无”。</w:t>
      </w:r>
    </w:p>
    <w:p w14:paraId="343677E3">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p>
    <w:p w14:paraId="598BEF73">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p>
    <w:p w14:paraId="2C673874">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p>
    <w:p w14:paraId="4DE94A92">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p>
    <w:p w14:paraId="0C089364">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p>
    <w:p w14:paraId="12F57D86">
      <w:pPr>
        <w:pageBreakBefore w:val="0"/>
        <w:kinsoku/>
        <w:wordWrap/>
        <w:overflowPunct/>
        <w:topLinePunct w:val="0"/>
        <w:bidi w:val="0"/>
        <w:snapToGrid w:val="0"/>
        <w:spacing w:beforeAutospacing="0" w:line="360" w:lineRule="auto"/>
        <w:ind w:left="0" w:leftChars="0" w:right="0" w:firstLine="5040" w:firstLineChars="2100"/>
        <w:rPr>
          <w:rFonts w:hint="eastAsia" w:ascii="宋体" w:hAnsi="宋体" w:eastAsia="宋体" w:cs="宋体"/>
          <w:color w:val="auto"/>
          <w:kern w:val="0"/>
          <w:sz w:val="24"/>
        </w:rPr>
      </w:pPr>
      <w:r>
        <w:rPr>
          <w:rFonts w:hint="eastAsia" w:ascii="宋体" w:hAnsi="宋体" w:eastAsia="宋体" w:cs="宋体"/>
          <w:color w:val="auto"/>
          <w:kern w:val="0"/>
          <w:sz w:val="24"/>
          <w:lang w:val="zh-CN"/>
        </w:rPr>
        <w:t>投标人名称(电子签章)：</w:t>
      </w:r>
    </w:p>
    <w:p w14:paraId="4251C8B5">
      <w:pPr>
        <w:pageBreakBefore w:val="0"/>
        <w:kinsoku/>
        <w:wordWrap/>
        <w:overflowPunct/>
        <w:topLinePunct w:val="0"/>
        <w:bidi w:val="0"/>
        <w:snapToGrid w:val="0"/>
        <w:spacing w:beforeAutospacing="0" w:line="360" w:lineRule="auto"/>
        <w:ind w:left="0" w:leftChars="0" w:right="0" w:firstLine="5160" w:firstLineChars="215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w:t>
      </w:r>
      <w:r>
        <w:rPr>
          <w:rFonts w:hint="eastAsia" w:ascii="宋体" w:hAnsi="宋体" w:eastAsia="宋体" w:cs="宋体"/>
          <w:color w:val="auto"/>
          <w:kern w:val="0"/>
          <w:sz w:val="24"/>
        </w:rPr>
        <w:t xml:space="preserve">：  年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w:t>
      </w:r>
    </w:p>
    <w:p w14:paraId="5357CC14">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7AE06EE3">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color w:val="auto"/>
          <w:sz w:val="32"/>
          <w:szCs w:val="32"/>
        </w:rPr>
      </w:pPr>
      <w:r>
        <w:rPr>
          <w:rFonts w:hint="eastAsia" w:ascii="宋体" w:hAnsi="宋体" w:eastAsia="宋体" w:cs="宋体"/>
          <w:b/>
          <w:color w:val="auto"/>
          <w:sz w:val="32"/>
          <w:szCs w:val="32"/>
        </w:rPr>
        <w:t>五、投标人直接管理关系信息表</w:t>
      </w:r>
    </w:p>
    <w:tbl>
      <w:tblPr>
        <w:tblStyle w:val="15"/>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6D70B0FB">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BEEAF35">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17E4E24">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AD74406">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6D76B0C">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备注</w:t>
            </w:r>
          </w:p>
        </w:tc>
      </w:tr>
      <w:tr w14:paraId="17481834">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C94670">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29FE309">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00D82EA">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2991BA">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rPr>
            </w:pPr>
          </w:p>
        </w:tc>
      </w:tr>
      <w:tr w14:paraId="33ABA51A">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F81CEEF">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4E10C2">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65FB97">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4DD8E4">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rPr>
            </w:pPr>
          </w:p>
        </w:tc>
      </w:tr>
      <w:tr w14:paraId="6247D580">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C4C9716">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6165B0">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B80ACA9">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297618">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rPr>
            </w:pPr>
          </w:p>
        </w:tc>
      </w:tr>
      <w:tr w14:paraId="6223954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B54242B">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7EFD8E6">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FB50531">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B0E8D13">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 w:val="24"/>
              </w:rPr>
            </w:pPr>
          </w:p>
        </w:tc>
      </w:tr>
    </w:tbl>
    <w:p w14:paraId="2DBEE319">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r>
        <w:rPr>
          <w:rFonts w:hint="eastAsia" w:ascii="宋体" w:hAnsi="宋体" w:eastAsia="宋体" w:cs="宋体"/>
          <w:color w:val="auto"/>
          <w:sz w:val="24"/>
        </w:rPr>
        <w:t>注：</w:t>
      </w:r>
    </w:p>
    <w:p w14:paraId="3BCB9892">
      <w:pPr>
        <w:pageBreakBefore w:val="0"/>
        <w:kinsoku/>
        <w:wordWrap/>
        <w:overflowPunct/>
        <w:topLinePunct w:val="0"/>
        <w:bidi w:val="0"/>
        <w:snapToGrid w:val="0"/>
        <w:spacing w:beforeAutospacing="0" w:line="360" w:lineRule="auto"/>
        <w:ind w:left="0" w:leftChars="0" w:right="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1.管理关系：是指不具有出资持股关系的其他单位之间存在的管理与被管理关系，如一些上下级关系的事业单位和团体组织。</w:t>
      </w:r>
    </w:p>
    <w:p w14:paraId="1E6BBAD8">
      <w:pPr>
        <w:pageBreakBefore w:val="0"/>
        <w:kinsoku/>
        <w:wordWrap/>
        <w:overflowPunct/>
        <w:topLinePunct w:val="0"/>
        <w:bidi w:val="0"/>
        <w:snapToGrid w:val="0"/>
        <w:spacing w:beforeAutospacing="0" w:line="360" w:lineRule="auto"/>
        <w:ind w:left="0" w:leftChars="0" w:right="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pacing w:val="-6"/>
          <w:sz w:val="24"/>
        </w:rPr>
        <w:t>本表所指的管理关系仅限于直接管理关系，不包括间接的管理关系。</w:t>
      </w:r>
    </w:p>
    <w:p w14:paraId="412019B1">
      <w:pPr>
        <w:pageBreakBefore w:val="0"/>
        <w:kinsoku/>
        <w:wordWrap/>
        <w:overflowPunct/>
        <w:topLinePunct w:val="0"/>
        <w:bidi w:val="0"/>
        <w:snapToGrid w:val="0"/>
        <w:spacing w:beforeAutospacing="0" w:line="360" w:lineRule="auto"/>
        <w:ind w:left="0" w:leftChars="0" w:right="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3.供应商不存在直接管理关系的，则填“无”。</w:t>
      </w:r>
    </w:p>
    <w:p w14:paraId="76573F8A">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p>
    <w:p w14:paraId="4A71421C">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p>
    <w:p w14:paraId="6FCA7BAB">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p>
    <w:p w14:paraId="2363CB62">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p>
    <w:p w14:paraId="64E4E211">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p>
    <w:p w14:paraId="027E8B89">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p>
    <w:p w14:paraId="50EE862D">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p>
    <w:p w14:paraId="782C88F6">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p>
    <w:p w14:paraId="37B34297">
      <w:pPr>
        <w:pageBreakBefore w:val="0"/>
        <w:kinsoku/>
        <w:wordWrap/>
        <w:overflowPunct/>
        <w:topLinePunct w:val="0"/>
        <w:bidi w:val="0"/>
        <w:snapToGrid w:val="0"/>
        <w:spacing w:beforeAutospacing="0" w:line="360" w:lineRule="auto"/>
        <w:ind w:left="0" w:leftChars="0" w:right="0" w:firstLine="5040" w:firstLineChars="2100"/>
        <w:rPr>
          <w:rFonts w:hint="eastAsia" w:ascii="宋体" w:hAnsi="宋体" w:eastAsia="宋体" w:cs="宋体"/>
          <w:color w:val="auto"/>
          <w:kern w:val="0"/>
          <w:sz w:val="24"/>
        </w:rPr>
      </w:pPr>
      <w:r>
        <w:rPr>
          <w:rFonts w:hint="eastAsia" w:ascii="宋体" w:hAnsi="宋体" w:eastAsia="宋体" w:cs="宋体"/>
          <w:color w:val="auto"/>
          <w:kern w:val="0"/>
          <w:sz w:val="24"/>
          <w:lang w:val="zh-CN"/>
        </w:rPr>
        <w:t>投标人名称(电子签章)：</w:t>
      </w:r>
    </w:p>
    <w:p w14:paraId="3012049C">
      <w:pPr>
        <w:pageBreakBefore w:val="0"/>
        <w:kinsoku/>
        <w:wordWrap/>
        <w:overflowPunct/>
        <w:topLinePunct w:val="0"/>
        <w:bidi w:val="0"/>
        <w:snapToGrid w:val="0"/>
        <w:spacing w:beforeAutospacing="0" w:line="360" w:lineRule="auto"/>
        <w:ind w:left="0" w:leftChars="0" w:right="0" w:firstLine="5160" w:firstLineChars="215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w:t>
      </w:r>
      <w:r>
        <w:rPr>
          <w:rFonts w:hint="eastAsia" w:ascii="宋体" w:hAnsi="宋体" w:eastAsia="宋体" w:cs="宋体"/>
          <w:color w:val="auto"/>
          <w:kern w:val="0"/>
          <w:sz w:val="24"/>
        </w:rPr>
        <w:t xml:space="preserve">：  年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w:t>
      </w:r>
    </w:p>
    <w:p w14:paraId="585290B9">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rPr>
      </w:pPr>
    </w:p>
    <w:p w14:paraId="7BFC020E">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b/>
          <w:color w:val="auto"/>
          <w:sz w:val="24"/>
          <w:szCs w:val="20"/>
        </w:rPr>
      </w:pPr>
    </w:p>
    <w:p w14:paraId="64048856">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b/>
          <w:color w:val="auto"/>
          <w:sz w:val="24"/>
        </w:rPr>
      </w:pPr>
    </w:p>
    <w:p w14:paraId="25CEC30C">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b/>
          <w:color w:val="auto"/>
          <w:sz w:val="24"/>
          <w:szCs w:val="20"/>
        </w:rPr>
      </w:pPr>
      <w:r>
        <w:rPr>
          <w:rFonts w:hint="eastAsia" w:ascii="宋体" w:hAnsi="宋体" w:eastAsia="宋体" w:cs="宋体"/>
          <w:b/>
          <w:color w:val="auto"/>
          <w:sz w:val="24"/>
          <w:szCs w:val="20"/>
        </w:rPr>
        <w:t xml:space="preserve"> </w:t>
      </w:r>
    </w:p>
    <w:p w14:paraId="5DAEDC3A">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b/>
          <w:color w:val="auto"/>
          <w:sz w:val="24"/>
          <w:szCs w:val="20"/>
        </w:rPr>
      </w:pPr>
    </w:p>
    <w:p w14:paraId="1AECD81C">
      <w:pPr>
        <w:rPr>
          <w:rFonts w:hint="eastAsia" w:ascii="宋体" w:hAnsi="宋体" w:eastAsia="宋体" w:cs="宋体"/>
          <w:color w:val="auto"/>
        </w:rPr>
      </w:pPr>
      <w:r>
        <w:rPr>
          <w:rFonts w:hint="eastAsia" w:ascii="宋体" w:hAnsi="宋体" w:eastAsia="宋体" w:cs="宋体"/>
          <w:color w:val="auto"/>
        </w:rPr>
        <w:br w:type="page"/>
      </w:r>
    </w:p>
    <w:p w14:paraId="296E8A20">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rPr>
      </w:pPr>
    </w:p>
    <w:p w14:paraId="6E9792A7">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六、投标资格声明函</w:t>
      </w:r>
    </w:p>
    <w:p w14:paraId="0BF0D237">
      <w:pPr>
        <w:pageBreakBefore w:val="0"/>
        <w:tabs>
          <w:tab w:val="left" w:pos="7200"/>
        </w:tabs>
        <w:kinsoku/>
        <w:wordWrap/>
        <w:overflowPunct/>
        <w:topLinePunct w:val="0"/>
        <w:bidi w:val="0"/>
        <w:spacing w:beforeAutospacing="0" w:line="360" w:lineRule="auto"/>
        <w:ind w:left="0" w:leftChars="0" w:right="0"/>
        <w:rPr>
          <w:rFonts w:hint="eastAsia" w:ascii="宋体" w:hAnsi="宋体" w:eastAsia="宋体" w:cs="宋体"/>
          <w:color w:val="auto"/>
          <w:szCs w:val="21"/>
          <w:u w:val="single"/>
        </w:rPr>
      </w:pPr>
      <w:r>
        <w:rPr>
          <w:rFonts w:hint="eastAsia" w:ascii="宋体" w:hAnsi="宋体" w:eastAsia="宋体" w:cs="宋体"/>
          <w:color w:val="auto"/>
          <w:szCs w:val="21"/>
        </w:rPr>
        <w:t>致：</w:t>
      </w:r>
      <w:r>
        <w:rPr>
          <w:rFonts w:hint="eastAsia" w:ascii="宋体" w:hAnsi="宋体" w:cs="宋体"/>
          <w:color w:val="auto"/>
          <w:szCs w:val="21"/>
          <w:u w:val="single"/>
          <w:lang w:eastAsia="zh-CN"/>
        </w:rPr>
        <w:t>广西景钲工程咨询有限公司</w:t>
      </w:r>
      <w:r>
        <w:rPr>
          <w:rFonts w:hint="eastAsia" w:ascii="宋体" w:hAnsi="宋体" w:eastAsia="宋体" w:cs="宋体"/>
          <w:color w:val="auto"/>
          <w:szCs w:val="21"/>
          <w:u w:val="single"/>
        </w:rPr>
        <w:t xml:space="preserve"> </w:t>
      </w:r>
    </w:p>
    <w:p w14:paraId="4D1D0BD9">
      <w:pPr>
        <w:pageBreakBefore w:val="0"/>
        <w:kinsoku/>
        <w:wordWrap/>
        <w:overflowPunct/>
        <w:topLinePunct w:val="0"/>
        <w:bidi w:val="0"/>
        <w:snapToGrid w:val="0"/>
        <w:spacing w:beforeAutospacing="0" w:line="360" w:lineRule="auto"/>
        <w:ind w:left="0" w:leftChars="0" w:right="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我方愿意参加贵方组织的_</w:t>
      </w:r>
      <w:r>
        <w:rPr>
          <w:rFonts w:hint="eastAsia" w:ascii="宋体" w:hAnsi="宋体" w:cs="宋体"/>
          <w:color w:val="auto"/>
          <w:szCs w:val="21"/>
          <w:u w:val="single"/>
          <w:lang w:eastAsia="zh-CN"/>
        </w:rPr>
        <w:t>南宁市第二看守所在押人员伙房食材配送服务采购项目</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（项目编号：</w:t>
      </w:r>
      <w:r>
        <w:rPr>
          <w:rFonts w:hint="eastAsia" w:ascii="宋体" w:hAnsi="宋体" w:cs="宋体"/>
          <w:color w:val="auto"/>
          <w:szCs w:val="21"/>
          <w:lang w:eastAsia="zh-CN"/>
        </w:rPr>
        <w:t>NNZC2024-G3-990896-GXJZ</w:t>
      </w:r>
      <w:r>
        <w:rPr>
          <w:rFonts w:hint="eastAsia" w:ascii="宋体" w:hAnsi="宋体" w:eastAsia="宋体" w:cs="宋体"/>
          <w:color w:val="auto"/>
          <w:szCs w:val="21"/>
        </w:rPr>
        <w:t xml:space="preserve"> ）项目的投标，为便于贵方公正、择优地确定中标人，我方就本次投标有关事项郑重声明如下：</w:t>
      </w:r>
    </w:p>
    <w:p w14:paraId="1683BC1D">
      <w:pPr>
        <w:pageBreakBefore w:val="0"/>
        <w:kinsoku/>
        <w:wordWrap/>
        <w:overflowPunct/>
        <w:topLinePunct w:val="0"/>
        <w:bidi w:val="0"/>
        <w:snapToGrid w:val="0"/>
        <w:spacing w:beforeAutospacing="0" w:line="360" w:lineRule="auto"/>
        <w:ind w:left="0" w:leftChars="0" w:right="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3175C64D">
      <w:pPr>
        <w:pageBreakBefore w:val="0"/>
        <w:kinsoku/>
        <w:wordWrap/>
        <w:overflowPunct/>
        <w:topLinePunct w:val="0"/>
        <w:bidi w:val="0"/>
        <w:snapToGrid w:val="0"/>
        <w:spacing w:beforeAutospacing="0" w:line="360" w:lineRule="auto"/>
        <w:ind w:left="0" w:leftChars="0" w:right="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9BB4FF2">
      <w:pPr>
        <w:pageBreakBefore w:val="0"/>
        <w:kinsoku/>
        <w:wordWrap/>
        <w:overflowPunct/>
        <w:topLinePunct w:val="0"/>
        <w:bidi w:val="0"/>
        <w:snapToGrid w:val="0"/>
        <w:spacing w:beforeAutospacing="0" w:line="360" w:lineRule="auto"/>
        <w:ind w:left="0" w:leftChars="0" w:right="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3.经查询，在“信用中国”和“中国政府采购网”网站我方未被列入失信被执行人、重大税收违法案件当事人名单、政府采购严重违法失信行为记录名单。</w:t>
      </w:r>
    </w:p>
    <w:p w14:paraId="3093DF17">
      <w:pPr>
        <w:pageBreakBefore w:val="0"/>
        <w:kinsoku/>
        <w:wordWrap/>
        <w:overflowPunct/>
        <w:topLinePunct w:val="0"/>
        <w:bidi w:val="0"/>
        <w:snapToGrid w:val="0"/>
        <w:spacing w:beforeAutospacing="0" w:line="360" w:lineRule="auto"/>
        <w:ind w:left="0" w:leftChars="0" w:right="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 xml:space="preserve">4.以上事项如有虚假或隐瞒，我方愿意承担一切后果，并不再寻求任何旨在减轻或免除法律责任的辩解。 </w:t>
      </w:r>
    </w:p>
    <w:p w14:paraId="1A8B0194">
      <w:pPr>
        <w:pageBreakBefore w:val="0"/>
        <w:tabs>
          <w:tab w:val="left" w:pos="7200"/>
        </w:tabs>
        <w:kinsoku/>
        <w:wordWrap/>
        <w:overflowPunct/>
        <w:topLinePunct w:val="0"/>
        <w:bidi w:val="0"/>
        <w:spacing w:beforeAutospacing="0" w:line="360" w:lineRule="auto"/>
        <w:ind w:left="0" w:leftChars="0" w:right="0" w:firstLine="270" w:firstLineChars="150"/>
        <w:rPr>
          <w:rFonts w:hint="eastAsia" w:ascii="宋体" w:hAnsi="宋体" w:eastAsia="宋体" w:cs="宋体"/>
          <w:color w:val="auto"/>
          <w:sz w:val="18"/>
          <w:szCs w:val="18"/>
        </w:rPr>
      </w:pPr>
      <w:r>
        <w:rPr>
          <w:rFonts w:hint="eastAsia" w:ascii="宋体" w:hAnsi="宋体" w:eastAsia="宋体" w:cs="宋体"/>
          <w:color w:val="auto"/>
          <w:sz w:val="18"/>
          <w:szCs w:val="18"/>
        </w:rPr>
        <w:t>说明：</w:t>
      </w:r>
    </w:p>
    <w:p w14:paraId="2D07258C">
      <w:pPr>
        <w:pageBreakBefore w:val="0"/>
        <w:kinsoku/>
        <w:wordWrap/>
        <w:overflowPunct/>
        <w:topLinePunct w:val="0"/>
        <w:bidi w:val="0"/>
        <w:spacing w:beforeAutospacing="0" w:line="360" w:lineRule="auto"/>
        <w:ind w:left="0" w:leftChars="0" w:right="0" w:firstLine="360" w:firstLineChars="200"/>
        <w:jc w:val="left"/>
        <w:rPr>
          <w:rFonts w:hint="eastAsia" w:ascii="宋体" w:hAnsi="宋体" w:eastAsia="宋体" w:cs="宋体"/>
          <w:color w:val="auto"/>
          <w:sz w:val="18"/>
          <w:szCs w:val="18"/>
        </w:rPr>
      </w:pPr>
      <w:r>
        <w:rPr>
          <w:rFonts w:hint="eastAsia" w:ascii="宋体" w:hAnsi="宋体" w:eastAsia="宋体" w:cs="宋体"/>
          <w:color w:val="auto"/>
          <w:sz w:val="18"/>
          <w:szCs w:val="18"/>
        </w:rPr>
        <w:t>1.投标人应当通过 “信用中国”（www.creditchina.gov.cn）和“中国政府采购网”网站（www.ccgp.gov.cn）查询投标人相关主体的信用记录。查询时间为本项目投标截止时间前10日至投标截止时间中任意一天。对列入失信被执行人、重大税收违法案件当事人名单、政府采购严重违法失信行为记录名单的投标人，将被拒绝参与本项目政府采购活动。</w:t>
      </w:r>
    </w:p>
    <w:p w14:paraId="15701FB6">
      <w:pPr>
        <w:pageBreakBefore w:val="0"/>
        <w:kinsoku/>
        <w:wordWrap/>
        <w:overflowPunct/>
        <w:topLinePunct w:val="0"/>
        <w:bidi w:val="0"/>
        <w:spacing w:beforeAutospacing="0" w:line="360" w:lineRule="auto"/>
        <w:ind w:left="0" w:leftChars="0" w:right="0" w:firstLine="360" w:firstLineChars="200"/>
        <w:jc w:val="left"/>
        <w:rPr>
          <w:rFonts w:hint="eastAsia" w:ascii="宋体" w:hAnsi="宋体" w:eastAsia="宋体" w:cs="宋体"/>
          <w:color w:val="auto"/>
          <w:sz w:val="18"/>
          <w:szCs w:val="18"/>
        </w:rPr>
      </w:pPr>
      <w:r>
        <w:rPr>
          <w:rFonts w:hint="eastAsia" w:ascii="宋体" w:hAnsi="宋体" w:eastAsia="宋体" w:cs="宋体"/>
          <w:color w:val="auto"/>
          <w:sz w:val="18"/>
          <w:szCs w:val="18"/>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5EE7428">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18"/>
          <w:szCs w:val="18"/>
        </w:rPr>
      </w:pPr>
      <w:r>
        <w:rPr>
          <w:rFonts w:hint="eastAsia" w:ascii="宋体" w:hAnsi="宋体" w:eastAsia="宋体" w:cs="宋体"/>
          <w:color w:val="auto"/>
          <w:sz w:val="18"/>
          <w:szCs w:val="18"/>
        </w:rPr>
        <w:t xml:space="preserve"> </w:t>
      </w:r>
      <w:r>
        <w:rPr>
          <w:rFonts w:hint="eastAsia" w:ascii="宋体" w:hAnsi="宋体" w:eastAsia="宋体" w:cs="宋体"/>
          <w:b/>
          <w:color w:val="auto"/>
          <w:sz w:val="18"/>
          <w:szCs w:val="18"/>
        </w:rPr>
        <w:t xml:space="preserve">  3.如为联合体投标，盖章处须加盖联合体各方公章并由联合体各方法定代表人分别签署，否则投标无效。</w:t>
      </w:r>
    </w:p>
    <w:p w14:paraId="4E3739C2">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r>
        <w:rPr>
          <w:rFonts w:hint="eastAsia" w:ascii="宋体" w:hAnsi="宋体" w:eastAsia="宋体" w:cs="宋体"/>
          <w:color w:val="auto"/>
          <w:sz w:val="24"/>
        </w:rPr>
        <w:t xml:space="preserve">                                     </w:t>
      </w:r>
    </w:p>
    <w:p w14:paraId="784AAC60">
      <w:pPr>
        <w:pageBreakBefore w:val="0"/>
        <w:kinsoku/>
        <w:wordWrap/>
        <w:overflowPunct/>
        <w:topLinePunct w:val="0"/>
        <w:bidi w:val="0"/>
        <w:snapToGrid w:val="0"/>
        <w:spacing w:beforeAutospacing="0" w:line="360" w:lineRule="auto"/>
        <w:ind w:left="2760" w:leftChars="0" w:right="0" w:hanging="2760" w:hangingChars="1150"/>
        <w:jc w:val="left"/>
        <w:rPr>
          <w:rFonts w:hint="eastAsia" w:ascii="宋体" w:hAnsi="宋体" w:eastAsia="宋体" w:cs="宋体"/>
          <w:color w:val="auto"/>
          <w:kern w:val="0"/>
          <w:sz w:val="24"/>
          <w:lang w:val="zh-CN"/>
        </w:rPr>
      </w:pPr>
      <w:r>
        <w:rPr>
          <w:rFonts w:hint="eastAsia" w:ascii="宋体" w:hAnsi="宋体" w:eastAsia="宋体" w:cs="宋体"/>
          <w:color w:val="auto"/>
          <w:sz w:val="24"/>
        </w:rPr>
        <w:t xml:space="preserve">  </w:t>
      </w:r>
      <w:r>
        <w:rPr>
          <w:rFonts w:hint="eastAsia" w:ascii="宋体" w:hAnsi="宋体" w:eastAsia="宋体" w:cs="宋体"/>
          <w:color w:val="auto"/>
          <w:kern w:val="0"/>
          <w:sz w:val="24"/>
          <w:lang w:val="zh-CN"/>
        </w:rPr>
        <w:t>投标人名称(电子签章)：</w:t>
      </w:r>
      <w:r>
        <w:rPr>
          <w:rFonts w:hint="eastAsia" w:ascii="宋体" w:hAnsi="宋体" w:eastAsia="宋体" w:cs="宋体"/>
          <w:color w:val="auto"/>
          <w:szCs w:val="21"/>
        </w:rPr>
        <w:t xml:space="preserve">                                     年    月    日</w:t>
      </w:r>
    </w:p>
    <w:p w14:paraId="773A5CFB">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sz w:val="30"/>
          <w:szCs w:val="30"/>
        </w:rPr>
      </w:pPr>
    </w:p>
    <w:p w14:paraId="75E4B3B9">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sz w:val="30"/>
          <w:szCs w:val="30"/>
        </w:rPr>
      </w:pPr>
    </w:p>
    <w:p w14:paraId="1F8EE217">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b/>
          <w:bCs/>
          <w:color w:val="auto"/>
          <w:sz w:val="30"/>
          <w:szCs w:val="30"/>
        </w:rPr>
        <w:sectPr>
          <w:pgSz w:w="11906" w:h="16838"/>
          <w:pgMar w:top="1134" w:right="1134" w:bottom="1134" w:left="1134" w:header="720" w:footer="720" w:gutter="0"/>
          <w:cols w:space="720" w:num="1"/>
          <w:docGrid w:type="lines" w:linePitch="331" w:charSpace="0"/>
        </w:sectPr>
      </w:pPr>
    </w:p>
    <w:p w14:paraId="0AA81FEB">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sz w:val="30"/>
          <w:szCs w:val="30"/>
        </w:rPr>
      </w:pPr>
    </w:p>
    <w:p w14:paraId="55E64961">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zCs w:val="20"/>
        </w:rPr>
      </w:pPr>
      <w:r>
        <w:rPr>
          <w:rFonts w:hint="eastAsia" w:ascii="宋体" w:hAnsi="宋体" w:eastAsia="宋体" w:cs="宋体"/>
          <w:b/>
          <w:bCs/>
          <w:color w:val="auto"/>
          <w:sz w:val="30"/>
          <w:szCs w:val="30"/>
        </w:rPr>
        <w:t>七、联合体协议书</w:t>
      </w:r>
    </w:p>
    <w:p w14:paraId="3C341181">
      <w:pPr>
        <w:pageBreakBefore w:val="0"/>
        <w:kinsoku/>
        <w:wordWrap/>
        <w:overflowPunct/>
        <w:topLinePunct w:val="0"/>
        <w:autoSpaceDE w:val="0"/>
        <w:autoSpaceDN w:val="0"/>
        <w:bidi w:val="0"/>
        <w:adjustRightInd w:val="0"/>
        <w:spacing w:beforeAutospacing="0" w:line="360" w:lineRule="auto"/>
        <w:ind w:left="0" w:leftChars="0" w:right="0"/>
        <w:jc w:val="left"/>
        <w:rPr>
          <w:rFonts w:hint="eastAsia" w:ascii="宋体" w:hAnsi="宋体" w:eastAsia="宋体" w:cs="宋体"/>
          <w:color w:val="auto"/>
          <w:kern w:val="0"/>
          <w:szCs w:val="21"/>
          <w:u w:val="single"/>
        </w:rPr>
      </w:pPr>
    </w:p>
    <w:p w14:paraId="56002AC8">
      <w:pPr>
        <w:pageBreakBefore w:val="0"/>
        <w:kinsoku/>
        <w:wordWrap/>
        <w:overflowPunct/>
        <w:topLinePunct w:val="0"/>
        <w:autoSpaceDE w:val="0"/>
        <w:autoSpaceDN w:val="0"/>
        <w:bidi w:val="0"/>
        <w:adjustRightInd w:val="0"/>
        <w:spacing w:beforeAutospacing="0" w:line="360" w:lineRule="auto"/>
        <w:ind w:left="0" w:leftChars="0" w:right="0"/>
        <w:jc w:val="left"/>
        <w:rPr>
          <w:rFonts w:hint="eastAsia" w:ascii="宋体" w:hAnsi="宋体" w:eastAsia="宋体" w:cs="宋体"/>
          <w:color w:val="auto"/>
          <w:kern w:val="0"/>
          <w:szCs w:val="21"/>
        </w:rPr>
      </w:pP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（所有成员单位名称）自愿组成联合体，共同参加</w:t>
      </w:r>
      <w:r>
        <w:rPr>
          <w:rFonts w:hint="eastAsia" w:ascii="宋体" w:hAnsi="宋体" w:eastAsia="宋体" w:cs="宋体"/>
          <w:color w:val="auto"/>
          <w:kern w:val="0"/>
          <w:szCs w:val="21"/>
          <w:u w:val="single"/>
        </w:rPr>
        <w:t xml:space="preserve">     </w:t>
      </w:r>
      <w:r>
        <w:rPr>
          <w:rFonts w:hint="eastAsia" w:ascii="宋体" w:hAnsi="宋体" w:cs="宋体"/>
          <w:color w:val="auto"/>
          <w:kern w:val="0"/>
          <w:szCs w:val="21"/>
          <w:u w:val="single"/>
          <w:lang w:eastAsia="zh-CN"/>
        </w:rPr>
        <w:t>广西景钲工程咨询有限公司</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组织的</w:t>
      </w:r>
      <w:r>
        <w:rPr>
          <w:rFonts w:hint="eastAsia" w:ascii="宋体" w:hAnsi="宋体" w:eastAsia="宋体" w:cs="宋体"/>
          <w:color w:val="auto"/>
          <w:kern w:val="0"/>
          <w:szCs w:val="21"/>
          <w:u w:val="single"/>
        </w:rPr>
        <w:t xml:space="preserve">  </w:t>
      </w:r>
      <w:r>
        <w:rPr>
          <w:rFonts w:hint="eastAsia" w:ascii="宋体" w:hAnsi="宋体" w:cs="宋体"/>
          <w:color w:val="auto"/>
          <w:kern w:val="0"/>
          <w:szCs w:val="21"/>
          <w:u w:val="single"/>
          <w:lang w:eastAsia="zh-CN"/>
        </w:rPr>
        <w:t>南宁市第二看守所在押人员伙房食材配送服务采购项目</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（项目编号：</w:t>
      </w:r>
      <w:r>
        <w:rPr>
          <w:rFonts w:hint="eastAsia" w:ascii="宋体" w:hAnsi="宋体" w:eastAsia="宋体" w:cs="宋体"/>
          <w:color w:val="auto"/>
          <w:kern w:val="0"/>
          <w:szCs w:val="21"/>
          <w:u w:val="single"/>
        </w:rPr>
        <w:t xml:space="preserve"> </w:t>
      </w:r>
      <w:r>
        <w:rPr>
          <w:rFonts w:hint="eastAsia" w:ascii="宋体" w:hAnsi="宋体" w:cs="宋体"/>
          <w:color w:val="auto"/>
          <w:kern w:val="0"/>
          <w:szCs w:val="21"/>
          <w:u w:val="single"/>
          <w:lang w:eastAsia="zh-CN"/>
        </w:rPr>
        <w:t>NNZC2024-G3-990896-GXJZ</w:t>
      </w:r>
      <w:r>
        <w:rPr>
          <w:rFonts w:hint="eastAsia" w:ascii="宋体" w:hAnsi="宋体" w:eastAsia="宋体" w:cs="宋体"/>
          <w:color w:val="auto"/>
          <w:kern w:val="0"/>
          <w:szCs w:val="21"/>
        </w:rPr>
        <w:t>）投标。现就联合体投标事宜订立如下协议：</w:t>
      </w:r>
    </w:p>
    <w:p w14:paraId="0094FEF9">
      <w:pPr>
        <w:pageBreakBefore w:val="0"/>
        <w:kinsoku/>
        <w:wordWrap/>
        <w:overflowPunct/>
        <w:topLinePunct w:val="0"/>
        <w:autoSpaceDE w:val="0"/>
        <w:autoSpaceDN w:val="0"/>
        <w:bidi w:val="0"/>
        <w:adjustRightInd w:val="0"/>
        <w:spacing w:beforeAutospacing="0" w:line="360" w:lineRule="auto"/>
        <w:ind w:left="0" w:leftChars="0" w:right="0" w:firstLine="420"/>
        <w:jc w:val="left"/>
        <w:rPr>
          <w:rFonts w:hint="eastAsia" w:ascii="宋体" w:hAnsi="宋体" w:eastAsia="宋体" w:cs="宋体"/>
          <w:color w:val="auto"/>
          <w:kern w:val="0"/>
          <w:szCs w:val="21"/>
        </w:rPr>
      </w:pPr>
      <w:r>
        <w:rPr>
          <w:rFonts w:hint="eastAsia" w:ascii="宋体" w:hAnsi="宋体" w:eastAsia="宋体" w:cs="宋体"/>
          <w:color w:val="auto"/>
          <w:kern w:val="0"/>
          <w:szCs w:val="21"/>
        </w:rPr>
        <w:t>1、</w:t>
      </w:r>
      <w:r>
        <w:rPr>
          <w:rFonts w:hint="eastAsia" w:ascii="宋体" w:hAnsi="宋体" w:eastAsia="宋体" w:cs="宋体"/>
          <w:color w:val="auto"/>
        </w:rPr>
        <w:t>________________________</w:t>
      </w:r>
      <w:r>
        <w:rPr>
          <w:rFonts w:hint="eastAsia" w:ascii="宋体" w:hAnsi="宋体" w:eastAsia="宋体" w:cs="宋体"/>
          <w:color w:val="auto"/>
          <w:kern w:val="0"/>
          <w:szCs w:val="21"/>
        </w:rPr>
        <w:t>（某成员单位名称）为联合体名称牵头人。</w:t>
      </w:r>
    </w:p>
    <w:p w14:paraId="1B92791E">
      <w:pPr>
        <w:pageBreakBefore w:val="0"/>
        <w:kinsoku/>
        <w:wordWrap/>
        <w:overflowPunct/>
        <w:topLinePunct w:val="0"/>
        <w:autoSpaceDE w:val="0"/>
        <w:autoSpaceDN w:val="0"/>
        <w:bidi w:val="0"/>
        <w:adjustRightInd w:val="0"/>
        <w:spacing w:beforeAutospacing="0" w:line="360" w:lineRule="auto"/>
        <w:ind w:left="0" w:leftChars="0" w:right="0" w:firstLine="420"/>
        <w:jc w:val="left"/>
        <w:rPr>
          <w:rFonts w:hint="eastAsia" w:ascii="宋体" w:hAnsi="宋体" w:eastAsia="宋体" w:cs="宋体"/>
          <w:color w:val="auto"/>
          <w:kern w:val="0"/>
          <w:szCs w:val="21"/>
        </w:rPr>
      </w:pPr>
      <w:r>
        <w:rPr>
          <w:rFonts w:hint="eastAsia" w:ascii="宋体" w:hAnsi="宋体" w:eastAsia="宋体" w:cs="宋体"/>
          <w:color w:val="auto"/>
          <w:kern w:val="0"/>
          <w:szCs w:val="21"/>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1EE318A9">
      <w:pPr>
        <w:pageBreakBefore w:val="0"/>
        <w:kinsoku/>
        <w:wordWrap/>
        <w:overflowPunct/>
        <w:topLinePunct w:val="0"/>
        <w:autoSpaceDE w:val="0"/>
        <w:autoSpaceDN w:val="0"/>
        <w:bidi w:val="0"/>
        <w:adjustRightInd w:val="0"/>
        <w:spacing w:beforeAutospacing="0" w:line="360" w:lineRule="auto"/>
        <w:ind w:left="0" w:leftChars="0" w:right="0" w:firstLine="420"/>
        <w:jc w:val="left"/>
        <w:rPr>
          <w:rFonts w:hint="eastAsia" w:ascii="宋体" w:hAnsi="宋体" w:eastAsia="宋体" w:cs="宋体"/>
          <w:color w:val="auto"/>
          <w:kern w:val="0"/>
          <w:szCs w:val="21"/>
        </w:rPr>
      </w:pPr>
      <w:r>
        <w:rPr>
          <w:rFonts w:hint="eastAsia" w:ascii="宋体" w:hAnsi="宋体" w:eastAsia="宋体" w:cs="宋体"/>
          <w:color w:val="auto"/>
          <w:kern w:val="0"/>
          <w:szCs w:val="21"/>
        </w:rPr>
        <w:t>3、联合体牵头人在本项目中签署和盖章的一切文件和处理的一切事宜，联合体各成员均予以承认。 联合体各成员将严格按照招标文件、投标文件和合同的要求全面履行义务，并向招标人承担连带责任。</w:t>
      </w:r>
    </w:p>
    <w:p w14:paraId="2409C3C5">
      <w:pPr>
        <w:pageBreakBefore w:val="0"/>
        <w:kinsoku/>
        <w:wordWrap/>
        <w:overflowPunct/>
        <w:topLinePunct w:val="0"/>
        <w:autoSpaceDE w:val="0"/>
        <w:autoSpaceDN w:val="0"/>
        <w:bidi w:val="0"/>
        <w:adjustRightInd w:val="0"/>
        <w:spacing w:beforeAutospacing="0" w:line="360" w:lineRule="auto"/>
        <w:ind w:left="0" w:leftChars="0" w:right="0" w:firstLine="420"/>
        <w:jc w:val="left"/>
        <w:rPr>
          <w:rFonts w:hint="eastAsia" w:ascii="宋体" w:hAnsi="宋体" w:eastAsia="宋体" w:cs="宋体"/>
          <w:color w:val="auto"/>
          <w:kern w:val="0"/>
          <w:szCs w:val="21"/>
        </w:rPr>
      </w:pPr>
      <w:r>
        <w:rPr>
          <w:rFonts w:hint="eastAsia" w:ascii="宋体" w:hAnsi="宋体" w:eastAsia="宋体" w:cs="宋体"/>
          <w:color w:val="auto"/>
          <w:kern w:val="0"/>
          <w:szCs w:val="21"/>
        </w:rPr>
        <w:t>4、联合体各成员单位内部的职责分工如下</w:t>
      </w:r>
      <w:r>
        <w:rPr>
          <w:rFonts w:hint="eastAsia" w:ascii="宋体" w:hAnsi="宋体" w:eastAsia="宋体" w:cs="宋体"/>
          <w:color w:val="auto"/>
          <w:kern w:val="0"/>
          <w:szCs w:val="21"/>
          <w:u w:val="single"/>
        </w:rPr>
        <w:t>：</w:t>
      </w:r>
      <w:r>
        <w:rPr>
          <w:rFonts w:hint="eastAsia" w:ascii="宋体" w:hAnsi="宋体" w:eastAsia="宋体" w:cs="宋体"/>
          <w:color w:val="auto"/>
          <w:szCs w:val="21"/>
          <w:u w:val="single"/>
        </w:rPr>
        <w:t>________________________________________________</w:t>
      </w:r>
      <w:r>
        <w:rPr>
          <w:rFonts w:hint="eastAsia" w:ascii="宋体" w:hAnsi="宋体" w:eastAsia="宋体" w:cs="宋体"/>
          <w:color w:val="auto"/>
          <w:kern w:val="0"/>
          <w:szCs w:val="21"/>
        </w:rPr>
        <w:t>。</w:t>
      </w:r>
    </w:p>
    <w:p w14:paraId="14665170">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rPr>
      </w:pPr>
      <w:r>
        <w:rPr>
          <w:rFonts w:hint="eastAsia" w:ascii="宋体" w:hAnsi="宋体" w:eastAsia="宋体" w:cs="宋体"/>
          <w:color w:val="auto"/>
          <w:kern w:val="0"/>
          <w:szCs w:val="20"/>
        </w:rPr>
        <w:t>5、本联合体中</w:t>
      </w:r>
      <w:r>
        <w:rPr>
          <w:rFonts w:hint="eastAsia" w:ascii="宋体" w:hAnsi="宋体" w:eastAsia="宋体" w:cs="宋体"/>
          <w:color w:val="auto"/>
          <w:kern w:val="0"/>
          <w:szCs w:val="20"/>
          <w:u w:val="single"/>
        </w:rPr>
        <w:t>，</w:t>
      </w:r>
      <w:r>
        <w:rPr>
          <w:rFonts w:hint="eastAsia" w:ascii="宋体" w:hAnsi="宋体" w:eastAsia="宋体" w:cs="宋体"/>
          <w:color w:val="auto"/>
          <w:szCs w:val="20"/>
          <w:u w:val="single"/>
        </w:rPr>
        <w:t>________________________</w:t>
      </w:r>
      <w:r>
        <w:rPr>
          <w:rFonts w:hint="eastAsia" w:ascii="宋体" w:hAnsi="宋体" w:eastAsia="宋体" w:cs="宋体"/>
          <w:color w:val="auto"/>
          <w:kern w:val="0"/>
          <w:szCs w:val="20"/>
          <w:u w:val="single"/>
        </w:rPr>
        <w:t>（某成员单位名称）为</w:t>
      </w:r>
      <w:r>
        <w:rPr>
          <w:rFonts w:hint="eastAsia" w:ascii="宋体" w:hAnsi="宋体" w:eastAsia="宋体" w:cs="宋体"/>
          <w:color w:val="auto"/>
          <w:szCs w:val="20"/>
          <w:u w:val="single"/>
        </w:rPr>
        <w:t>______</w:t>
      </w:r>
      <w:r>
        <w:rPr>
          <w:rFonts w:hint="eastAsia" w:ascii="宋体" w:hAnsi="宋体" w:eastAsia="宋体" w:cs="宋体"/>
          <w:color w:val="auto"/>
          <w:szCs w:val="20"/>
        </w:rPr>
        <w:t>（请填写：中型、小型、微型）企业，其协议合同金额占联合体协议合同总金额的</w:t>
      </w:r>
      <w:r>
        <w:rPr>
          <w:rFonts w:hint="eastAsia" w:ascii="宋体" w:hAnsi="宋体" w:eastAsia="宋体" w:cs="宋体"/>
          <w:color w:val="auto"/>
          <w:szCs w:val="20"/>
          <w:u w:val="single"/>
        </w:rPr>
        <w:t>______</w:t>
      </w:r>
      <w:r>
        <w:rPr>
          <w:rFonts w:hint="eastAsia" w:ascii="宋体" w:hAnsi="宋体" w:eastAsia="宋体" w:cs="宋体"/>
          <w:color w:val="auto"/>
          <w:szCs w:val="20"/>
        </w:rPr>
        <w:t>%。【如联合体成员中有小型、微型企业的，请填写此条，否则无需填写；如联合体成员中有多个小型、微型企业的，请逐一列出。】</w:t>
      </w:r>
    </w:p>
    <w:p w14:paraId="43CA294B">
      <w:pPr>
        <w:pageBreakBefore w:val="0"/>
        <w:kinsoku/>
        <w:wordWrap/>
        <w:overflowPunct/>
        <w:topLinePunct w:val="0"/>
        <w:autoSpaceDE w:val="0"/>
        <w:autoSpaceDN w:val="0"/>
        <w:bidi w:val="0"/>
        <w:adjustRightInd w:val="0"/>
        <w:spacing w:beforeAutospacing="0" w:line="360" w:lineRule="auto"/>
        <w:ind w:left="0" w:leftChars="0" w:right="0" w:firstLine="420"/>
        <w:jc w:val="left"/>
        <w:rPr>
          <w:rFonts w:hint="eastAsia" w:ascii="宋体" w:hAnsi="宋体" w:eastAsia="宋体" w:cs="宋体"/>
          <w:color w:val="auto"/>
          <w:kern w:val="0"/>
          <w:szCs w:val="21"/>
        </w:rPr>
      </w:pPr>
      <w:r>
        <w:rPr>
          <w:rFonts w:hint="eastAsia" w:ascii="宋体" w:hAnsi="宋体" w:eastAsia="宋体" w:cs="宋体"/>
          <w:color w:val="auto"/>
          <w:kern w:val="0"/>
          <w:szCs w:val="21"/>
        </w:rPr>
        <w:t>6、本协议书自签署之日起生效，合同履行完毕后自动失效。</w:t>
      </w:r>
    </w:p>
    <w:p w14:paraId="67BFBF95">
      <w:pPr>
        <w:pageBreakBefore w:val="0"/>
        <w:kinsoku/>
        <w:wordWrap/>
        <w:overflowPunct/>
        <w:topLinePunct w:val="0"/>
        <w:autoSpaceDE w:val="0"/>
        <w:autoSpaceDN w:val="0"/>
        <w:bidi w:val="0"/>
        <w:adjustRightInd w:val="0"/>
        <w:spacing w:beforeAutospacing="0" w:line="360" w:lineRule="auto"/>
        <w:ind w:left="0" w:leftChars="0" w:right="0" w:firstLine="420"/>
        <w:jc w:val="left"/>
        <w:rPr>
          <w:rFonts w:hint="eastAsia" w:ascii="宋体" w:hAnsi="宋体" w:eastAsia="宋体" w:cs="宋体"/>
          <w:color w:val="auto"/>
          <w:kern w:val="0"/>
          <w:szCs w:val="21"/>
        </w:rPr>
      </w:pPr>
      <w:r>
        <w:rPr>
          <w:rFonts w:hint="eastAsia" w:ascii="宋体" w:hAnsi="宋体" w:eastAsia="宋体" w:cs="宋体"/>
          <w:color w:val="auto"/>
          <w:kern w:val="0"/>
          <w:szCs w:val="21"/>
        </w:rPr>
        <w:t>7、本协议书一式</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份，联合体成员和采购代理机构各执一份。</w:t>
      </w:r>
    </w:p>
    <w:p w14:paraId="483C017E">
      <w:pPr>
        <w:pageBreakBefore w:val="0"/>
        <w:kinsoku/>
        <w:wordWrap/>
        <w:overflowPunct/>
        <w:topLinePunct w:val="0"/>
        <w:autoSpaceDE w:val="0"/>
        <w:autoSpaceDN w:val="0"/>
        <w:bidi w:val="0"/>
        <w:adjustRightInd w:val="0"/>
        <w:spacing w:beforeAutospacing="0" w:line="360" w:lineRule="auto"/>
        <w:ind w:left="0" w:leftChars="0" w:right="0" w:firstLine="420"/>
        <w:jc w:val="left"/>
        <w:rPr>
          <w:rFonts w:hint="eastAsia" w:ascii="宋体" w:hAnsi="宋体" w:eastAsia="宋体" w:cs="宋体"/>
          <w:color w:val="auto"/>
          <w:kern w:val="0"/>
          <w:szCs w:val="21"/>
        </w:rPr>
      </w:pPr>
      <w:r>
        <w:rPr>
          <w:rFonts w:hint="eastAsia" w:ascii="宋体" w:hAnsi="宋体" w:eastAsia="宋体" w:cs="宋体"/>
          <w:color w:val="auto"/>
          <w:kern w:val="0"/>
          <w:szCs w:val="21"/>
        </w:rPr>
        <w:t>注：本协议书由法定代表人签字的，应附法定代表人身份证明；本协议书由委托代理人签字的，应附法定代表人授权委托书。</w:t>
      </w:r>
    </w:p>
    <w:p w14:paraId="2527A5D5">
      <w:pPr>
        <w:pageBreakBefore w:val="0"/>
        <w:kinsoku/>
        <w:wordWrap/>
        <w:overflowPunct/>
        <w:topLinePunct w:val="0"/>
        <w:autoSpaceDE w:val="0"/>
        <w:autoSpaceDN w:val="0"/>
        <w:bidi w:val="0"/>
        <w:adjustRightInd w:val="0"/>
        <w:spacing w:beforeAutospacing="0" w:line="360" w:lineRule="auto"/>
        <w:ind w:left="0" w:leftChars="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牵头人名称：</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（公章/电子签章）</w:t>
      </w:r>
    </w:p>
    <w:p w14:paraId="20B81C38">
      <w:pPr>
        <w:pageBreakBefore w:val="0"/>
        <w:kinsoku/>
        <w:wordWrap/>
        <w:overflowPunct/>
        <w:topLinePunct w:val="0"/>
        <w:autoSpaceDE w:val="0"/>
        <w:autoSpaceDN w:val="0"/>
        <w:bidi w:val="0"/>
        <w:adjustRightInd w:val="0"/>
        <w:spacing w:beforeAutospacing="0" w:line="360" w:lineRule="auto"/>
        <w:ind w:left="0" w:leftChars="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法定代表人或其委托代理人：</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（手写签名/电子签名）</w:t>
      </w:r>
    </w:p>
    <w:p w14:paraId="14C0EDCD">
      <w:pPr>
        <w:pageBreakBefore w:val="0"/>
        <w:kinsoku/>
        <w:wordWrap/>
        <w:overflowPunct/>
        <w:topLinePunct w:val="0"/>
        <w:autoSpaceDE w:val="0"/>
        <w:autoSpaceDN w:val="0"/>
        <w:bidi w:val="0"/>
        <w:adjustRightInd w:val="0"/>
        <w:spacing w:beforeAutospacing="0" w:line="360" w:lineRule="auto"/>
        <w:ind w:left="0" w:leftChars="0" w:right="0"/>
        <w:jc w:val="left"/>
        <w:rPr>
          <w:rFonts w:hint="eastAsia" w:ascii="宋体" w:hAnsi="宋体" w:eastAsia="宋体" w:cs="宋体"/>
          <w:color w:val="auto"/>
          <w:kern w:val="0"/>
          <w:szCs w:val="21"/>
        </w:rPr>
      </w:pPr>
    </w:p>
    <w:p w14:paraId="6588FDE6">
      <w:pPr>
        <w:pageBreakBefore w:val="0"/>
        <w:kinsoku/>
        <w:wordWrap/>
        <w:overflowPunct/>
        <w:topLinePunct w:val="0"/>
        <w:autoSpaceDE w:val="0"/>
        <w:autoSpaceDN w:val="0"/>
        <w:bidi w:val="0"/>
        <w:adjustRightInd w:val="0"/>
        <w:spacing w:beforeAutospacing="0" w:line="360" w:lineRule="auto"/>
        <w:ind w:left="0" w:leftChars="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成员一名称：</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（公章/电子签章）</w:t>
      </w:r>
    </w:p>
    <w:p w14:paraId="54762E4B">
      <w:pPr>
        <w:pageBreakBefore w:val="0"/>
        <w:kinsoku/>
        <w:wordWrap/>
        <w:overflowPunct/>
        <w:topLinePunct w:val="0"/>
        <w:autoSpaceDE w:val="0"/>
        <w:autoSpaceDN w:val="0"/>
        <w:bidi w:val="0"/>
        <w:adjustRightInd w:val="0"/>
        <w:spacing w:beforeAutospacing="0" w:line="360" w:lineRule="auto"/>
        <w:ind w:left="0" w:leftChars="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法定代表人或其委托代理人：</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（手写签名/电子签名）</w:t>
      </w:r>
    </w:p>
    <w:p w14:paraId="63F8C16D">
      <w:pPr>
        <w:pageBreakBefore w:val="0"/>
        <w:kinsoku/>
        <w:wordWrap/>
        <w:overflowPunct/>
        <w:topLinePunct w:val="0"/>
        <w:autoSpaceDE w:val="0"/>
        <w:autoSpaceDN w:val="0"/>
        <w:bidi w:val="0"/>
        <w:adjustRightInd w:val="0"/>
        <w:spacing w:beforeAutospacing="0" w:line="360" w:lineRule="auto"/>
        <w:ind w:left="0" w:leftChars="0" w:right="0"/>
        <w:jc w:val="left"/>
        <w:rPr>
          <w:rFonts w:hint="eastAsia" w:ascii="宋体" w:hAnsi="宋体" w:eastAsia="宋体" w:cs="宋体"/>
          <w:color w:val="auto"/>
          <w:kern w:val="0"/>
          <w:szCs w:val="21"/>
        </w:rPr>
      </w:pPr>
    </w:p>
    <w:p w14:paraId="44617FA1">
      <w:pPr>
        <w:pageBreakBefore w:val="0"/>
        <w:kinsoku/>
        <w:wordWrap/>
        <w:overflowPunct/>
        <w:topLinePunct w:val="0"/>
        <w:autoSpaceDE w:val="0"/>
        <w:autoSpaceDN w:val="0"/>
        <w:bidi w:val="0"/>
        <w:adjustRightInd w:val="0"/>
        <w:spacing w:beforeAutospacing="0" w:line="360" w:lineRule="auto"/>
        <w:ind w:left="0" w:leftChars="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成员二名称：</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（公章/电子签章）</w:t>
      </w:r>
    </w:p>
    <w:p w14:paraId="190890A2">
      <w:pPr>
        <w:pageBreakBefore w:val="0"/>
        <w:kinsoku/>
        <w:wordWrap/>
        <w:overflowPunct/>
        <w:topLinePunct w:val="0"/>
        <w:bidi w:val="0"/>
        <w:spacing w:beforeAutospacing="0" w:line="360" w:lineRule="auto"/>
        <w:ind w:left="0" w:leftChars="0" w:right="0"/>
        <w:rPr>
          <w:rFonts w:hint="eastAsia" w:ascii="宋体" w:hAnsi="宋体" w:eastAsia="宋体" w:cs="宋体"/>
          <w:color w:val="auto"/>
          <w:kern w:val="0"/>
          <w:szCs w:val="21"/>
        </w:rPr>
      </w:pPr>
      <w:r>
        <w:rPr>
          <w:rFonts w:hint="eastAsia" w:ascii="宋体" w:hAnsi="宋体" w:eastAsia="宋体" w:cs="宋体"/>
          <w:color w:val="auto"/>
          <w:kern w:val="0"/>
          <w:szCs w:val="21"/>
        </w:rPr>
        <w:t>法定代表人或其委托代理人：</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（手写签名/电子签名）</w:t>
      </w:r>
    </w:p>
    <w:p w14:paraId="6C524D80">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kern w:val="0"/>
          <w:szCs w:val="21"/>
        </w:rPr>
      </w:pPr>
    </w:p>
    <w:p w14:paraId="0639D552">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八、符合特定资格条件（如有）的有关证明材料</w:t>
      </w:r>
    </w:p>
    <w:p w14:paraId="765F908C">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sz w:val="30"/>
          <w:szCs w:val="30"/>
        </w:rPr>
      </w:pPr>
    </w:p>
    <w:p w14:paraId="23E6F428">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sz w:val="30"/>
          <w:szCs w:val="30"/>
        </w:rPr>
      </w:pPr>
    </w:p>
    <w:p w14:paraId="448CF788">
      <w:pPr>
        <w:pageBreakBefore w:val="0"/>
        <w:kinsoku/>
        <w:wordWrap/>
        <w:overflowPunct/>
        <w:topLinePunct w:val="0"/>
        <w:bidi w:val="0"/>
        <w:snapToGrid w:val="0"/>
        <w:spacing w:beforeAutospacing="0" w:line="360" w:lineRule="auto"/>
        <w:ind w:left="0" w:leftChars="0" w:right="0" w:firstLine="5040" w:firstLineChars="2100"/>
        <w:rPr>
          <w:rFonts w:hint="eastAsia" w:ascii="宋体" w:hAnsi="宋体" w:eastAsia="宋体" w:cs="宋体"/>
          <w:color w:val="auto"/>
          <w:kern w:val="0"/>
          <w:sz w:val="24"/>
        </w:rPr>
      </w:pPr>
      <w:r>
        <w:rPr>
          <w:rFonts w:hint="eastAsia" w:ascii="宋体" w:hAnsi="宋体" w:eastAsia="宋体" w:cs="宋体"/>
          <w:color w:val="auto"/>
          <w:kern w:val="0"/>
          <w:sz w:val="24"/>
          <w:lang w:val="zh-CN"/>
        </w:rPr>
        <w:t>投标人名称(电子签章)：</w:t>
      </w:r>
    </w:p>
    <w:p w14:paraId="65AA7100">
      <w:pPr>
        <w:pageBreakBefore w:val="0"/>
        <w:kinsoku/>
        <w:wordWrap/>
        <w:overflowPunct/>
        <w:topLinePunct w:val="0"/>
        <w:bidi w:val="0"/>
        <w:snapToGrid w:val="0"/>
        <w:spacing w:beforeAutospacing="0" w:line="360" w:lineRule="auto"/>
        <w:ind w:left="0" w:leftChars="0" w:right="0" w:firstLine="5160" w:firstLineChars="215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w:t>
      </w:r>
      <w:r>
        <w:rPr>
          <w:rFonts w:hint="eastAsia" w:ascii="宋体" w:hAnsi="宋体" w:eastAsia="宋体" w:cs="宋体"/>
          <w:color w:val="auto"/>
          <w:kern w:val="0"/>
          <w:sz w:val="24"/>
        </w:rPr>
        <w:t xml:space="preserve">：  年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w:t>
      </w:r>
    </w:p>
    <w:p w14:paraId="1F3D1E6D">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Cs w:val="21"/>
        </w:rPr>
        <w:sectPr>
          <w:pgSz w:w="11906" w:h="16838"/>
          <w:pgMar w:top="1134" w:right="1134" w:bottom="1134" w:left="1134" w:header="720" w:footer="720" w:gutter="0"/>
          <w:cols w:space="720" w:num="1"/>
          <w:docGrid w:type="lines" w:linePitch="331" w:charSpace="0"/>
        </w:sectPr>
      </w:pPr>
    </w:p>
    <w:p w14:paraId="3C3AF182">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p>
    <w:p w14:paraId="4AB72F0A">
      <w:pPr>
        <w:pageBreakBefore w:val="0"/>
        <w:kinsoku/>
        <w:wordWrap/>
        <w:overflowPunct/>
        <w:topLinePunct w:val="0"/>
        <w:bidi w:val="0"/>
        <w:spacing w:beforeAutospacing="0" w:line="360" w:lineRule="auto"/>
        <w:ind w:left="0" w:leftChars="0" w:right="0"/>
        <w:jc w:val="center"/>
        <w:outlineLvl w:val="1"/>
        <w:rPr>
          <w:rFonts w:hint="eastAsia" w:ascii="宋体" w:hAnsi="宋体" w:eastAsia="宋体" w:cs="宋体"/>
          <w:b/>
          <w:bCs/>
          <w:color w:val="auto"/>
          <w:sz w:val="28"/>
          <w:szCs w:val="28"/>
        </w:rPr>
      </w:pPr>
      <w:bookmarkStart w:id="332" w:name="_Toc19686838"/>
      <w:bookmarkStart w:id="333" w:name="_Toc13474"/>
      <w:r>
        <w:rPr>
          <w:rFonts w:hint="eastAsia" w:ascii="宋体" w:hAnsi="宋体" w:eastAsia="宋体" w:cs="宋体"/>
          <w:b/>
          <w:bCs/>
          <w:color w:val="auto"/>
          <w:sz w:val="28"/>
          <w:szCs w:val="28"/>
        </w:rPr>
        <w:t>第三节 商务文件格式</w:t>
      </w:r>
      <w:bookmarkEnd w:id="332"/>
      <w:bookmarkEnd w:id="333"/>
    </w:p>
    <w:p w14:paraId="0F5052F7">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 w:val="30"/>
          <w:szCs w:val="20"/>
        </w:rPr>
      </w:pPr>
    </w:p>
    <w:p w14:paraId="1C8FB78D">
      <w:pPr>
        <w:pageBreakBefore w:val="0"/>
        <w:kinsoku/>
        <w:wordWrap/>
        <w:overflowPunct/>
        <w:topLinePunct w:val="0"/>
        <w:bidi w:val="0"/>
        <w:snapToGrid w:val="0"/>
        <w:spacing w:beforeAutospacing="0" w:line="360" w:lineRule="auto"/>
        <w:ind w:left="0" w:leftChars="0" w:right="0"/>
        <w:rPr>
          <w:rFonts w:hint="eastAsia" w:ascii="宋体" w:hAnsi="宋体" w:eastAsia="宋体" w:cs="宋体"/>
          <w:bCs/>
          <w:color w:val="auto"/>
          <w:sz w:val="32"/>
          <w:szCs w:val="20"/>
        </w:rPr>
      </w:pPr>
      <w:r>
        <w:rPr>
          <w:rFonts w:hint="eastAsia" w:ascii="宋体" w:hAnsi="宋体" w:eastAsia="宋体" w:cs="宋体"/>
          <w:color w:val="auto"/>
          <w:sz w:val="24"/>
        </w:rPr>
        <w:t xml:space="preserve">                                                  </w:t>
      </w:r>
      <w:r>
        <w:rPr>
          <w:rFonts w:hint="eastAsia" w:ascii="宋体" w:hAnsi="宋体" w:eastAsia="宋体" w:cs="宋体"/>
          <w:bCs/>
          <w:color w:val="auto"/>
        </w:rPr>
        <w:t xml:space="preserve">             电子投标文件</w:t>
      </w:r>
    </w:p>
    <w:p w14:paraId="176CE121">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 w:val="24"/>
          <w:szCs w:val="20"/>
        </w:rPr>
      </w:pPr>
    </w:p>
    <w:p w14:paraId="634D0367">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b/>
          <w:color w:val="auto"/>
          <w:sz w:val="24"/>
          <w:szCs w:val="20"/>
        </w:rPr>
      </w:pPr>
      <w:r>
        <w:rPr>
          <w:rFonts w:hint="eastAsia" w:ascii="宋体" w:hAnsi="宋体" w:eastAsia="宋体" w:cs="宋体"/>
          <w:b/>
          <w:color w:val="auto"/>
          <w:sz w:val="32"/>
          <w:szCs w:val="32"/>
        </w:rPr>
        <w:t>商务文件（封面）</w:t>
      </w:r>
    </w:p>
    <w:p w14:paraId="7340072C">
      <w:pPr>
        <w:pageBreakBefore w:val="0"/>
        <w:kinsoku/>
        <w:wordWrap/>
        <w:overflowPunct/>
        <w:topLinePunct w:val="0"/>
        <w:bidi w:val="0"/>
        <w:snapToGrid w:val="0"/>
        <w:spacing w:beforeAutospacing="0" w:line="360" w:lineRule="auto"/>
        <w:ind w:left="0" w:leftChars="0" w:right="0"/>
        <w:rPr>
          <w:rFonts w:hint="eastAsia" w:ascii="宋体" w:hAnsi="宋体" w:eastAsia="宋体" w:cs="宋体"/>
          <w:bCs/>
          <w:color w:val="auto"/>
          <w:sz w:val="24"/>
          <w:szCs w:val="20"/>
        </w:rPr>
      </w:pPr>
    </w:p>
    <w:p w14:paraId="5114BC37">
      <w:pPr>
        <w:pageBreakBefore w:val="0"/>
        <w:kinsoku/>
        <w:wordWrap/>
        <w:overflowPunct/>
        <w:topLinePunct w:val="0"/>
        <w:bidi w:val="0"/>
        <w:snapToGrid w:val="0"/>
        <w:spacing w:beforeAutospacing="0" w:line="360" w:lineRule="auto"/>
        <w:ind w:left="0" w:leftChars="0" w:right="0" w:firstLine="540" w:firstLineChars="225"/>
        <w:rPr>
          <w:rFonts w:hint="eastAsia" w:ascii="宋体" w:hAnsi="宋体" w:eastAsia="宋体" w:cs="宋体"/>
          <w:bCs/>
          <w:color w:val="auto"/>
          <w:sz w:val="24"/>
          <w:lang w:eastAsia="zh-CN"/>
        </w:rPr>
      </w:pPr>
      <w:r>
        <w:rPr>
          <w:rFonts w:hint="eastAsia" w:ascii="宋体" w:hAnsi="宋体" w:eastAsia="宋体" w:cs="宋体"/>
          <w:bCs/>
          <w:color w:val="auto"/>
          <w:sz w:val="24"/>
        </w:rPr>
        <w:t>项目名称</w:t>
      </w:r>
      <w:r>
        <w:rPr>
          <w:rFonts w:hint="eastAsia" w:ascii="宋体" w:hAnsi="宋体" w:cs="宋体"/>
          <w:bCs/>
          <w:color w:val="auto"/>
          <w:sz w:val="24"/>
          <w:lang w:eastAsia="zh-CN"/>
        </w:rPr>
        <w:t>南宁市第二看守所在押人员伙房食材配送服务采购项目</w:t>
      </w:r>
    </w:p>
    <w:p w14:paraId="62285428">
      <w:pPr>
        <w:pageBreakBefore w:val="0"/>
        <w:kinsoku/>
        <w:wordWrap/>
        <w:overflowPunct/>
        <w:topLinePunct w:val="0"/>
        <w:bidi w:val="0"/>
        <w:snapToGrid w:val="0"/>
        <w:spacing w:beforeAutospacing="0" w:line="360" w:lineRule="auto"/>
        <w:ind w:left="0" w:leftChars="0" w:right="0" w:firstLine="540" w:firstLineChars="225"/>
        <w:rPr>
          <w:rFonts w:hint="eastAsia" w:ascii="宋体" w:hAnsi="宋体" w:eastAsia="宋体" w:cs="宋体"/>
          <w:bCs/>
          <w:color w:val="auto"/>
          <w:sz w:val="24"/>
          <w:szCs w:val="20"/>
        </w:rPr>
      </w:pPr>
    </w:p>
    <w:p w14:paraId="18409E05">
      <w:pPr>
        <w:pageBreakBefore w:val="0"/>
        <w:kinsoku/>
        <w:wordWrap/>
        <w:overflowPunct/>
        <w:topLinePunct w:val="0"/>
        <w:bidi w:val="0"/>
        <w:snapToGrid w:val="0"/>
        <w:spacing w:beforeAutospacing="0" w:line="360" w:lineRule="auto"/>
        <w:ind w:left="0" w:leftChars="0" w:right="0" w:firstLine="540" w:firstLineChars="225"/>
        <w:rPr>
          <w:rFonts w:hint="eastAsia" w:ascii="宋体" w:hAnsi="宋体" w:eastAsia="宋体" w:cs="宋体"/>
          <w:bCs/>
          <w:color w:val="auto"/>
          <w:sz w:val="24"/>
          <w:lang w:eastAsia="zh-CN"/>
        </w:rPr>
      </w:pPr>
      <w:r>
        <w:rPr>
          <w:rFonts w:hint="eastAsia" w:ascii="宋体" w:hAnsi="宋体" w:eastAsia="宋体" w:cs="宋体"/>
          <w:bCs/>
          <w:color w:val="auto"/>
          <w:sz w:val="24"/>
        </w:rPr>
        <w:t>项目编号：</w:t>
      </w:r>
      <w:r>
        <w:rPr>
          <w:rFonts w:hint="eastAsia" w:ascii="宋体" w:hAnsi="宋体" w:cs="宋体"/>
          <w:bCs/>
          <w:color w:val="auto"/>
          <w:sz w:val="24"/>
          <w:lang w:eastAsia="zh-CN"/>
        </w:rPr>
        <w:t>NNZC2024-G3-990896-GXJZ</w:t>
      </w:r>
    </w:p>
    <w:p w14:paraId="2B0B2E73">
      <w:pPr>
        <w:pageBreakBefore w:val="0"/>
        <w:kinsoku/>
        <w:wordWrap/>
        <w:overflowPunct/>
        <w:topLinePunct w:val="0"/>
        <w:bidi w:val="0"/>
        <w:snapToGrid w:val="0"/>
        <w:spacing w:beforeAutospacing="0" w:line="360" w:lineRule="auto"/>
        <w:ind w:left="0" w:leftChars="0" w:right="0" w:firstLine="540" w:firstLineChars="225"/>
        <w:rPr>
          <w:rFonts w:hint="eastAsia" w:ascii="宋体" w:hAnsi="宋体" w:eastAsia="宋体" w:cs="宋体"/>
          <w:bCs/>
          <w:color w:val="auto"/>
          <w:sz w:val="24"/>
          <w:szCs w:val="20"/>
        </w:rPr>
      </w:pPr>
      <w:r>
        <w:rPr>
          <w:rFonts w:hint="eastAsia" w:ascii="宋体" w:hAnsi="宋体" w:eastAsia="宋体" w:cs="宋体"/>
          <w:bCs/>
          <w:color w:val="auto"/>
          <w:sz w:val="24"/>
        </w:rPr>
        <w:t xml:space="preserve"> </w:t>
      </w:r>
    </w:p>
    <w:p w14:paraId="33D3B000">
      <w:pPr>
        <w:pageBreakBefore w:val="0"/>
        <w:kinsoku/>
        <w:wordWrap/>
        <w:overflowPunct/>
        <w:topLinePunct w:val="0"/>
        <w:bidi w:val="0"/>
        <w:snapToGrid w:val="0"/>
        <w:spacing w:beforeAutospacing="0" w:line="360" w:lineRule="auto"/>
        <w:ind w:left="0" w:leftChars="0" w:right="0" w:firstLine="540" w:firstLineChars="225"/>
        <w:rPr>
          <w:rFonts w:hint="eastAsia" w:ascii="宋体" w:hAnsi="宋体" w:eastAsia="宋体" w:cs="宋体"/>
          <w:bCs/>
          <w:color w:val="auto"/>
          <w:sz w:val="24"/>
        </w:rPr>
      </w:pPr>
      <w:r>
        <w:rPr>
          <w:rFonts w:hint="eastAsia" w:ascii="宋体" w:hAnsi="宋体" w:eastAsia="宋体" w:cs="宋体"/>
          <w:bCs/>
          <w:color w:val="auto"/>
          <w:sz w:val="24"/>
        </w:rPr>
        <w:t>所投分标：</w:t>
      </w:r>
    </w:p>
    <w:p w14:paraId="2E8B39CF">
      <w:pPr>
        <w:pageBreakBefore w:val="0"/>
        <w:kinsoku/>
        <w:wordWrap/>
        <w:overflowPunct/>
        <w:topLinePunct w:val="0"/>
        <w:bidi w:val="0"/>
        <w:snapToGrid w:val="0"/>
        <w:spacing w:beforeAutospacing="0" w:line="360" w:lineRule="auto"/>
        <w:ind w:left="0" w:leftChars="0" w:right="0" w:firstLine="540" w:firstLineChars="225"/>
        <w:rPr>
          <w:rFonts w:hint="eastAsia" w:ascii="宋体" w:hAnsi="宋体" w:eastAsia="宋体" w:cs="宋体"/>
          <w:bCs/>
          <w:color w:val="auto"/>
          <w:sz w:val="24"/>
          <w:szCs w:val="20"/>
        </w:rPr>
      </w:pPr>
    </w:p>
    <w:p w14:paraId="34936775">
      <w:pPr>
        <w:pageBreakBefore w:val="0"/>
        <w:kinsoku/>
        <w:wordWrap/>
        <w:overflowPunct/>
        <w:topLinePunct w:val="0"/>
        <w:bidi w:val="0"/>
        <w:snapToGrid w:val="0"/>
        <w:spacing w:beforeAutospacing="0" w:line="360" w:lineRule="auto"/>
        <w:ind w:left="0" w:leftChars="0" w:right="0" w:firstLine="540" w:firstLineChars="225"/>
        <w:rPr>
          <w:rFonts w:hint="eastAsia" w:ascii="宋体" w:hAnsi="宋体" w:eastAsia="宋体" w:cs="宋体"/>
          <w:bCs/>
          <w:color w:val="auto"/>
          <w:sz w:val="24"/>
        </w:rPr>
      </w:pPr>
      <w:r>
        <w:rPr>
          <w:rFonts w:hint="eastAsia" w:ascii="宋体" w:hAnsi="宋体" w:eastAsia="宋体" w:cs="宋体"/>
          <w:bCs/>
          <w:color w:val="auto"/>
          <w:sz w:val="24"/>
        </w:rPr>
        <w:t>投标人名称：</w:t>
      </w:r>
    </w:p>
    <w:p w14:paraId="4492767E">
      <w:pPr>
        <w:pageBreakBefore w:val="0"/>
        <w:kinsoku/>
        <w:wordWrap/>
        <w:overflowPunct/>
        <w:topLinePunct w:val="0"/>
        <w:bidi w:val="0"/>
        <w:snapToGrid w:val="0"/>
        <w:spacing w:beforeAutospacing="0" w:line="360" w:lineRule="auto"/>
        <w:ind w:left="0" w:leftChars="0" w:right="0" w:firstLine="540" w:firstLineChars="225"/>
        <w:rPr>
          <w:rFonts w:hint="eastAsia" w:ascii="宋体" w:hAnsi="宋体" w:eastAsia="宋体" w:cs="宋体"/>
          <w:bCs/>
          <w:color w:val="auto"/>
          <w:sz w:val="24"/>
        </w:rPr>
      </w:pPr>
    </w:p>
    <w:p w14:paraId="6A334205">
      <w:pPr>
        <w:pageBreakBefore w:val="0"/>
        <w:kinsoku/>
        <w:wordWrap/>
        <w:overflowPunct/>
        <w:topLinePunct w:val="0"/>
        <w:bidi w:val="0"/>
        <w:snapToGrid w:val="0"/>
        <w:spacing w:beforeAutospacing="0" w:line="360" w:lineRule="auto"/>
        <w:ind w:left="0" w:leftChars="0" w:right="0" w:firstLine="540" w:firstLineChars="225"/>
        <w:rPr>
          <w:rFonts w:hint="eastAsia" w:ascii="宋体" w:hAnsi="宋体" w:eastAsia="宋体" w:cs="宋体"/>
          <w:bCs/>
          <w:color w:val="auto"/>
          <w:sz w:val="24"/>
        </w:rPr>
      </w:pPr>
      <w:r>
        <w:rPr>
          <w:rFonts w:hint="eastAsia" w:ascii="宋体" w:hAnsi="宋体" w:eastAsia="宋体" w:cs="宋体"/>
          <w:bCs/>
          <w:color w:val="auto"/>
          <w:sz w:val="24"/>
        </w:rPr>
        <w:t>投标人地址：</w:t>
      </w:r>
    </w:p>
    <w:p w14:paraId="008811EE">
      <w:pPr>
        <w:pageBreakBefore w:val="0"/>
        <w:kinsoku/>
        <w:wordWrap/>
        <w:overflowPunct/>
        <w:topLinePunct w:val="0"/>
        <w:bidi w:val="0"/>
        <w:snapToGrid w:val="0"/>
        <w:spacing w:beforeAutospacing="0" w:line="360" w:lineRule="auto"/>
        <w:ind w:left="0" w:leftChars="0" w:right="0" w:firstLine="960" w:firstLineChars="400"/>
        <w:rPr>
          <w:rFonts w:hint="eastAsia" w:ascii="宋体" w:hAnsi="宋体" w:eastAsia="宋体" w:cs="宋体"/>
          <w:bCs/>
          <w:color w:val="auto"/>
          <w:sz w:val="24"/>
        </w:rPr>
      </w:pPr>
    </w:p>
    <w:p w14:paraId="17FBF09F">
      <w:pPr>
        <w:pageBreakBefore w:val="0"/>
        <w:kinsoku/>
        <w:wordWrap/>
        <w:overflowPunct/>
        <w:topLinePunct w:val="0"/>
        <w:bidi w:val="0"/>
        <w:snapToGrid w:val="0"/>
        <w:spacing w:beforeAutospacing="0" w:line="360" w:lineRule="auto"/>
        <w:ind w:left="0" w:leftChars="0" w:right="0" w:firstLine="645"/>
        <w:rPr>
          <w:rFonts w:hint="eastAsia" w:ascii="宋体" w:hAnsi="宋体" w:eastAsia="宋体" w:cs="宋体"/>
          <w:color w:val="auto"/>
          <w:sz w:val="24"/>
        </w:rPr>
      </w:pPr>
      <w:r>
        <w:rPr>
          <w:rFonts w:hint="eastAsia" w:ascii="宋体" w:hAnsi="宋体" w:eastAsia="宋体" w:cs="宋体"/>
          <w:color w:val="auto"/>
          <w:sz w:val="24"/>
        </w:rPr>
        <w:t xml:space="preserve">                        年  月  日</w:t>
      </w:r>
    </w:p>
    <w:p w14:paraId="5F514132">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 w:val="24"/>
          <w:szCs w:val="20"/>
        </w:rPr>
      </w:pPr>
      <w:r>
        <w:rPr>
          <w:rFonts w:hint="eastAsia" w:ascii="宋体" w:hAnsi="宋体" w:eastAsia="宋体" w:cs="宋体"/>
          <w:color w:val="auto"/>
          <w:sz w:val="24"/>
          <w:szCs w:val="20"/>
        </w:rPr>
        <w:t xml:space="preserve"> </w:t>
      </w:r>
    </w:p>
    <w:p w14:paraId="2CCB300D">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0"/>
        </w:rPr>
      </w:pPr>
    </w:p>
    <w:p w14:paraId="1CFAD976">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0"/>
        </w:rPr>
      </w:pPr>
    </w:p>
    <w:p w14:paraId="6F3A4367">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0"/>
        </w:rPr>
      </w:pPr>
    </w:p>
    <w:p w14:paraId="2D046183">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0"/>
        </w:rPr>
      </w:pPr>
    </w:p>
    <w:p w14:paraId="1057B775">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0"/>
        </w:rPr>
      </w:pPr>
    </w:p>
    <w:p w14:paraId="00229F2E">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0"/>
        </w:rPr>
      </w:pPr>
    </w:p>
    <w:p w14:paraId="2913ED78">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0"/>
        </w:rPr>
      </w:pPr>
    </w:p>
    <w:p w14:paraId="56AEC5C9">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0"/>
        </w:rPr>
      </w:pPr>
    </w:p>
    <w:p w14:paraId="467D6773">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szCs w:val="20"/>
        </w:rPr>
      </w:pPr>
    </w:p>
    <w:p w14:paraId="2E62244E">
      <w:pPr>
        <w:pageBreakBefore w:val="0"/>
        <w:kinsoku/>
        <w:wordWrap/>
        <w:overflowPunct/>
        <w:topLinePunct w:val="0"/>
        <w:bidi w:val="0"/>
        <w:spacing w:beforeAutospacing="0" w:line="360" w:lineRule="auto"/>
        <w:ind w:left="0" w:leftChars="0" w:right="0"/>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 xml:space="preserve"> </w:t>
      </w:r>
    </w:p>
    <w:p w14:paraId="42587373">
      <w:pPr>
        <w:pageBreakBefore w:val="0"/>
        <w:kinsoku/>
        <w:wordWrap/>
        <w:overflowPunct/>
        <w:topLinePunct w:val="0"/>
        <w:bidi w:val="0"/>
        <w:spacing w:beforeAutospacing="0" w:line="360" w:lineRule="auto"/>
        <w:ind w:left="0" w:leftChars="0" w:right="0"/>
        <w:rPr>
          <w:rFonts w:hint="eastAsia" w:ascii="宋体" w:hAnsi="宋体" w:eastAsia="宋体" w:cs="宋体"/>
          <w:b/>
          <w:color w:val="auto"/>
          <w:kern w:val="0"/>
          <w:sz w:val="24"/>
        </w:rPr>
      </w:pPr>
    </w:p>
    <w:p w14:paraId="00891C94">
      <w:pPr>
        <w:pageBreakBefore w:val="0"/>
        <w:kinsoku/>
        <w:wordWrap/>
        <w:overflowPunct/>
        <w:topLinePunct w:val="0"/>
        <w:bidi w:val="0"/>
        <w:spacing w:beforeAutospacing="0" w:line="360" w:lineRule="auto"/>
        <w:ind w:left="0" w:leftChars="0" w:right="0"/>
        <w:jc w:val="center"/>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商务文件目录</w:t>
      </w:r>
    </w:p>
    <w:p w14:paraId="45C60631">
      <w:pPr>
        <w:pageBreakBefore w:val="0"/>
        <w:kinsoku/>
        <w:wordWrap/>
        <w:overflowPunct/>
        <w:topLinePunct w:val="0"/>
        <w:bidi w:val="0"/>
        <w:adjustRightInd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一、无串标行为承诺函…………………………………………………………………（页码）</w:t>
      </w:r>
    </w:p>
    <w:p w14:paraId="0EFFFABF">
      <w:pPr>
        <w:pageBreakBefore w:val="0"/>
        <w:kinsoku/>
        <w:wordWrap/>
        <w:overflowPunct/>
        <w:topLinePunct w:val="0"/>
        <w:bidi w:val="0"/>
        <w:adjustRightInd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二、法定代表人身份证明及法定代表人有效身份证正反面原件扫描件………（页码）</w:t>
      </w:r>
    </w:p>
    <w:p w14:paraId="13D8947A">
      <w:pPr>
        <w:pageBreakBefore w:val="0"/>
        <w:kinsoku/>
        <w:wordWrap/>
        <w:overflowPunct/>
        <w:topLinePunct w:val="0"/>
        <w:bidi w:val="0"/>
        <w:adjustRightInd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三、法定代表人授权委托书（如有委托时）……………………………………（页码）</w:t>
      </w:r>
    </w:p>
    <w:p w14:paraId="60260299">
      <w:pPr>
        <w:pageBreakBefore w:val="0"/>
        <w:kinsoku/>
        <w:wordWrap/>
        <w:overflowPunct/>
        <w:topLinePunct w:val="0"/>
        <w:bidi w:val="0"/>
        <w:adjustRightInd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四、</w:t>
      </w:r>
      <w:r>
        <w:rPr>
          <w:rFonts w:hint="eastAsia" w:ascii="宋体" w:hAnsi="宋体" w:eastAsia="宋体" w:cs="宋体"/>
          <w:color w:val="auto"/>
          <w:sz w:val="24"/>
          <w:lang w:val="zh-CN"/>
        </w:rPr>
        <w:t>商务条款偏离表………………………………</w:t>
      </w:r>
      <w:r>
        <w:rPr>
          <w:rFonts w:hint="eastAsia" w:ascii="宋体" w:hAnsi="宋体" w:eastAsia="宋体" w:cs="宋体"/>
          <w:color w:val="auto"/>
          <w:sz w:val="24"/>
        </w:rPr>
        <w:t>……………………………………（页码）</w:t>
      </w:r>
    </w:p>
    <w:p w14:paraId="13523E04">
      <w:pPr>
        <w:pageBreakBefore w:val="0"/>
        <w:kinsoku/>
        <w:wordWrap/>
        <w:overflowPunct/>
        <w:topLinePunct w:val="0"/>
        <w:bidi w:val="0"/>
        <w:adjustRightInd w:val="0"/>
        <w:spacing w:beforeAutospacing="0" w:line="360" w:lineRule="auto"/>
        <w:ind w:left="0" w:leftChars="0" w:right="0" w:firstLine="480" w:firstLineChars="200"/>
        <w:rPr>
          <w:rFonts w:hint="eastAsia" w:ascii="宋体" w:hAnsi="宋体" w:eastAsia="宋体" w:cs="宋体"/>
          <w:color w:val="auto"/>
          <w:sz w:val="24"/>
        </w:rPr>
      </w:pPr>
      <w:bookmarkStart w:id="334" w:name="OLE_LINK7"/>
      <w:bookmarkStart w:id="335" w:name="OLE_LINK6"/>
      <w:bookmarkStart w:id="336" w:name="OLE_LINK5"/>
      <w:r>
        <w:rPr>
          <w:rFonts w:hint="eastAsia" w:ascii="宋体" w:hAnsi="宋体" w:eastAsia="宋体" w:cs="宋体"/>
          <w:color w:val="auto"/>
          <w:sz w:val="24"/>
        </w:rPr>
        <w:t>五、投标人情况介绍</w:t>
      </w:r>
      <w:r>
        <w:rPr>
          <w:rFonts w:hint="eastAsia" w:ascii="宋体" w:hAnsi="宋体" w:eastAsia="宋体" w:cs="宋体"/>
          <w:color w:val="auto"/>
          <w:sz w:val="24"/>
          <w:lang w:val="zh-CN"/>
        </w:rPr>
        <w:t>………………………………</w:t>
      </w:r>
      <w:r>
        <w:rPr>
          <w:rFonts w:hint="eastAsia" w:ascii="宋体" w:hAnsi="宋体" w:eastAsia="宋体" w:cs="宋体"/>
          <w:color w:val="auto"/>
          <w:sz w:val="24"/>
        </w:rPr>
        <w:t>……………………………………（页码）</w:t>
      </w:r>
    </w:p>
    <w:p w14:paraId="39589938">
      <w:pPr>
        <w:pageBreakBefore w:val="0"/>
        <w:kinsoku/>
        <w:wordWrap/>
        <w:overflowPunct/>
        <w:topLinePunct w:val="0"/>
        <w:bidi w:val="0"/>
        <w:adjustRightInd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六、投标人类似业绩的证明文件（如有要求）</w:t>
      </w:r>
      <w:r>
        <w:rPr>
          <w:rFonts w:hint="eastAsia" w:ascii="宋体" w:hAnsi="宋体" w:eastAsia="宋体" w:cs="宋体"/>
          <w:color w:val="auto"/>
          <w:sz w:val="24"/>
          <w:lang w:val="zh-CN"/>
        </w:rPr>
        <w:t>……………………………</w:t>
      </w:r>
      <w:r>
        <w:rPr>
          <w:rFonts w:hint="eastAsia" w:ascii="宋体" w:hAnsi="宋体" w:eastAsia="宋体" w:cs="宋体"/>
          <w:color w:val="auto"/>
          <w:sz w:val="24"/>
        </w:rPr>
        <w:t>…（页码）</w:t>
      </w:r>
      <w:bookmarkEnd w:id="334"/>
      <w:bookmarkEnd w:id="335"/>
    </w:p>
    <w:p w14:paraId="652897A7">
      <w:pPr>
        <w:pageBreakBefore w:val="0"/>
        <w:kinsoku/>
        <w:wordWrap/>
        <w:overflowPunct/>
        <w:topLinePunct w:val="0"/>
        <w:bidi w:val="0"/>
        <w:adjustRightInd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七、其他商务文件或说明</w:t>
      </w:r>
      <w:r>
        <w:rPr>
          <w:rFonts w:hint="eastAsia" w:ascii="宋体" w:hAnsi="宋体" w:eastAsia="宋体" w:cs="宋体"/>
          <w:color w:val="auto"/>
          <w:sz w:val="24"/>
          <w:lang w:val="zh-CN"/>
        </w:rPr>
        <w:t>…………………………………………………………</w:t>
      </w:r>
      <w:r>
        <w:rPr>
          <w:rFonts w:hint="eastAsia" w:ascii="宋体" w:hAnsi="宋体" w:eastAsia="宋体" w:cs="宋体"/>
          <w:color w:val="auto"/>
          <w:sz w:val="24"/>
        </w:rPr>
        <w:t>…（页码）</w:t>
      </w:r>
    </w:p>
    <w:bookmarkEnd w:id="336"/>
    <w:p w14:paraId="63C385C8">
      <w:pPr>
        <w:pageBreakBefore w:val="0"/>
        <w:kinsoku/>
        <w:wordWrap/>
        <w:overflowPunct/>
        <w:topLinePunct w:val="0"/>
        <w:bidi w:val="0"/>
        <w:spacing w:beforeAutospacing="0" w:line="360" w:lineRule="auto"/>
        <w:ind w:left="0" w:leftChars="0" w:right="0"/>
        <w:rPr>
          <w:rFonts w:hint="eastAsia" w:ascii="宋体" w:hAnsi="宋体" w:eastAsia="宋体" w:cs="宋体"/>
          <w:b/>
          <w:bCs/>
          <w:color w:val="auto"/>
          <w:sz w:val="24"/>
        </w:rPr>
      </w:pPr>
      <w:r>
        <w:rPr>
          <w:rFonts w:hint="eastAsia" w:ascii="宋体" w:hAnsi="宋体" w:eastAsia="宋体" w:cs="宋体"/>
          <w:b/>
          <w:bCs/>
          <w:color w:val="auto"/>
          <w:sz w:val="24"/>
        </w:rPr>
        <w:t>注：以上目录是基本格式要求，各投标人可根据自身情况进一步向下增加内容或细化。</w:t>
      </w:r>
    </w:p>
    <w:p w14:paraId="6CD7C7D9">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rPr>
        <w:sectPr>
          <w:pgSz w:w="11906" w:h="16838"/>
          <w:pgMar w:top="1134" w:right="1134" w:bottom="1134" w:left="1134" w:header="720" w:footer="720" w:gutter="0"/>
          <w:cols w:space="720" w:num="1"/>
          <w:docGrid w:type="lines" w:linePitch="331" w:charSpace="0"/>
        </w:sectPr>
      </w:pPr>
    </w:p>
    <w:p w14:paraId="1200FA94">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一、无串标行为承诺函</w:t>
      </w:r>
    </w:p>
    <w:p w14:paraId="07510235">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投标人参加本项目无围标串标行为的承诺函</w:t>
      </w:r>
    </w:p>
    <w:p w14:paraId="1B66D7C1">
      <w:pPr>
        <w:pageBreakBefore w:val="0"/>
        <w:kinsoku/>
        <w:wordWrap/>
        <w:overflowPunct/>
        <w:topLinePunct w:val="0"/>
        <w:bidi w:val="0"/>
        <w:snapToGrid w:val="0"/>
        <w:spacing w:beforeAutospacing="0" w:line="360" w:lineRule="auto"/>
        <w:ind w:left="0" w:leftChars="0" w:right="0"/>
        <w:rPr>
          <w:rFonts w:hint="eastAsia" w:ascii="宋体" w:hAnsi="宋体" w:eastAsia="宋体" w:cs="宋体"/>
          <w:b/>
          <w:color w:val="auto"/>
          <w:szCs w:val="21"/>
        </w:rPr>
      </w:pPr>
    </w:p>
    <w:p w14:paraId="29D2F787">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b/>
          <w:color w:val="auto"/>
          <w:szCs w:val="21"/>
        </w:rPr>
      </w:pPr>
      <w:r>
        <w:rPr>
          <w:rFonts w:hint="eastAsia" w:ascii="宋体" w:hAnsi="宋体" w:eastAsia="宋体" w:cs="宋体"/>
          <w:b/>
          <w:color w:val="auto"/>
          <w:szCs w:val="21"/>
        </w:rPr>
        <w:t>一、我方承诺无下列相互串通投标的情形：</w:t>
      </w:r>
    </w:p>
    <w:p w14:paraId="54312406">
      <w:pPr>
        <w:pageBreakBefore w:val="0"/>
        <w:kinsoku/>
        <w:wordWrap/>
        <w:overflowPunct/>
        <w:topLinePunct w:val="0"/>
        <w:bidi w:val="0"/>
        <w:snapToGrid w:val="0"/>
        <w:spacing w:beforeAutospacing="0" w:line="360" w:lineRule="auto"/>
        <w:ind w:left="0" w:leftChars="0" w:right="0" w:firstLine="411" w:firstLineChars="196"/>
        <w:jc w:val="left"/>
        <w:rPr>
          <w:rFonts w:hint="eastAsia" w:ascii="宋体" w:hAnsi="宋体" w:eastAsia="宋体" w:cs="宋体"/>
          <w:color w:val="auto"/>
          <w:szCs w:val="21"/>
        </w:rPr>
      </w:pPr>
      <w:r>
        <w:rPr>
          <w:rFonts w:hint="eastAsia" w:ascii="宋体" w:hAnsi="宋体" w:eastAsia="宋体" w:cs="宋体"/>
          <w:color w:val="auto"/>
          <w:szCs w:val="21"/>
        </w:rPr>
        <w:t>1.不同投标人的投标文件由同一单位或者个人编制；或者不同投标人报名的IP地址一致的；或者编制标书硬件设备CPU编号、硬盘编号、网卡地址一致的情况。</w:t>
      </w:r>
    </w:p>
    <w:p w14:paraId="0198923F">
      <w:pPr>
        <w:pageBreakBefore w:val="0"/>
        <w:kinsoku/>
        <w:wordWrap/>
        <w:overflowPunct/>
        <w:topLinePunct w:val="0"/>
        <w:bidi w:val="0"/>
        <w:snapToGrid w:val="0"/>
        <w:spacing w:beforeAutospacing="0" w:line="360" w:lineRule="auto"/>
        <w:ind w:left="0" w:leftChars="0" w:right="0" w:firstLine="411" w:firstLineChars="196"/>
        <w:jc w:val="left"/>
        <w:rPr>
          <w:rFonts w:hint="eastAsia" w:ascii="宋体" w:hAnsi="宋体" w:eastAsia="宋体" w:cs="宋体"/>
          <w:color w:val="auto"/>
          <w:szCs w:val="21"/>
        </w:rPr>
      </w:pPr>
      <w:r>
        <w:rPr>
          <w:rFonts w:hint="eastAsia" w:ascii="宋体" w:hAnsi="宋体" w:eastAsia="宋体" w:cs="宋体"/>
          <w:color w:val="auto"/>
          <w:szCs w:val="21"/>
        </w:rPr>
        <w:t>2.不同投标人委托同一单位或者个人办理投标事宜；</w:t>
      </w:r>
    </w:p>
    <w:p w14:paraId="7A0787CB">
      <w:pPr>
        <w:pageBreakBefore w:val="0"/>
        <w:kinsoku/>
        <w:wordWrap/>
        <w:overflowPunct/>
        <w:topLinePunct w:val="0"/>
        <w:bidi w:val="0"/>
        <w:snapToGrid w:val="0"/>
        <w:spacing w:beforeAutospacing="0" w:line="360" w:lineRule="auto"/>
        <w:ind w:left="0" w:leftChars="0" w:right="0" w:firstLine="411" w:firstLineChars="196"/>
        <w:jc w:val="left"/>
        <w:rPr>
          <w:rFonts w:hint="eastAsia" w:ascii="宋体" w:hAnsi="宋体" w:eastAsia="宋体" w:cs="宋体"/>
          <w:color w:val="auto"/>
          <w:szCs w:val="21"/>
        </w:rPr>
      </w:pPr>
      <w:r>
        <w:rPr>
          <w:rFonts w:hint="eastAsia" w:ascii="宋体" w:hAnsi="宋体" w:eastAsia="宋体" w:cs="宋体"/>
          <w:color w:val="auto"/>
          <w:szCs w:val="21"/>
        </w:rPr>
        <w:t>3.不同的投标人的投标文件载明的项目管理员为同一个人；</w:t>
      </w:r>
    </w:p>
    <w:p w14:paraId="7734B14E">
      <w:pPr>
        <w:pageBreakBefore w:val="0"/>
        <w:kinsoku/>
        <w:wordWrap/>
        <w:overflowPunct/>
        <w:topLinePunct w:val="0"/>
        <w:bidi w:val="0"/>
        <w:snapToGrid w:val="0"/>
        <w:spacing w:beforeAutospacing="0" w:line="360" w:lineRule="auto"/>
        <w:ind w:left="0" w:leftChars="0" w:right="0" w:firstLine="411" w:firstLineChars="196"/>
        <w:jc w:val="left"/>
        <w:rPr>
          <w:rFonts w:hint="eastAsia" w:ascii="宋体" w:hAnsi="宋体" w:eastAsia="宋体" w:cs="宋体"/>
          <w:color w:val="auto"/>
          <w:szCs w:val="21"/>
        </w:rPr>
      </w:pPr>
      <w:r>
        <w:rPr>
          <w:rFonts w:hint="eastAsia" w:ascii="宋体" w:hAnsi="宋体" w:eastAsia="宋体" w:cs="宋体"/>
          <w:color w:val="auto"/>
          <w:szCs w:val="21"/>
        </w:rPr>
        <w:t>4.不同投标人的投标文件异常一致或者投标报价呈规律性差异；</w:t>
      </w:r>
    </w:p>
    <w:p w14:paraId="60FFC1E7">
      <w:pPr>
        <w:pageBreakBefore w:val="0"/>
        <w:kinsoku/>
        <w:wordWrap/>
        <w:overflowPunct/>
        <w:topLinePunct w:val="0"/>
        <w:bidi w:val="0"/>
        <w:snapToGrid w:val="0"/>
        <w:spacing w:beforeAutospacing="0" w:line="360" w:lineRule="auto"/>
        <w:ind w:left="0" w:leftChars="0" w:right="0" w:firstLine="411" w:firstLineChars="196"/>
        <w:jc w:val="left"/>
        <w:rPr>
          <w:rFonts w:hint="eastAsia" w:ascii="宋体" w:hAnsi="宋体" w:eastAsia="宋体" w:cs="宋体"/>
          <w:color w:val="auto"/>
          <w:szCs w:val="21"/>
        </w:rPr>
      </w:pPr>
      <w:r>
        <w:rPr>
          <w:rFonts w:hint="eastAsia" w:ascii="宋体" w:hAnsi="宋体" w:eastAsia="宋体" w:cs="宋体"/>
          <w:color w:val="auto"/>
          <w:szCs w:val="21"/>
        </w:rPr>
        <w:t>5.不同投标人的投标文件相互混装；</w:t>
      </w:r>
    </w:p>
    <w:p w14:paraId="32F397BB">
      <w:pPr>
        <w:pageBreakBefore w:val="0"/>
        <w:kinsoku/>
        <w:wordWrap/>
        <w:overflowPunct/>
        <w:topLinePunct w:val="0"/>
        <w:bidi w:val="0"/>
        <w:snapToGrid w:val="0"/>
        <w:spacing w:beforeAutospacing="0" w:line="360" w:lineRule="auto"/>
        <w:ind w:left="0" w:leftChars="0" w:right="0" w:firstLine="411" w:firstLineChars="196"/>
        <w:jc w:val="left"/>
        <w:rPr>
          <w:rFonts w:hint="eastAsia" w:ascii="宋体" w:hAnsi="宋体" w:eastAsia="宋体" w:cs="宋体"/>
          <w:color w:val="auto"/>
          <w:szCs w:val="21"/>
        </w:rPr>
      </w:pPr>
      <w:r>
        <w:rPr>
          <w:rFonts w:hint="eastAsia" w:ascii="宋体" w:hAnsi="宋体" w:eastAsia="宋体" w:cs="宋体"/>
          <w:color w:val="auto"/>
          <w:szCs w:val="21"/>
        </w:rPr>
        <w:t>6.不同投标人的投标保证金从同一单位或者个人账户转出。</w:t>
      </w:r>
    </w:p>
    <w:p w14:paraId="46418598">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rPr>
      </w:pPr>
      <w:r>
        <w:rPr>
          <w:rFonts w:hint="eastAsia" w:ascii="宋体" w:hAnsi="宋体" w:eastAsia="宋体" w:cs="宋体"/>
          <w:b/>
          <w:color w:val="auto"/>
          <w:szCs w:val="21"/>
        </w:rPr>
        <w:t>二、我方承诺无下列恶意串通的情形：</w:t>
      </w:r>
    </w:p>
    <w:p w14:paraId="31D74291">
      <w:pPr>
        <w:pageBreakBefore w:val="0"/>
        <w:kinsoku/>
        <w:wordWrap/>
        <w:overflowPunct/>
        <w:topLinePunct w:val="0"/>
        <w:bidi w:val="0"/>
        <w:snapToGrid w:val="0"/>
        <w:spacing w:beforeAutospacing="0" w:line="360" w:lineRule="auto"/>
        <w:ind w:left="0" w:leftChars="0" w:right="0" w:firstLine="411" w:firstLineChars="196"/>
        <w:jc w:val="left"/>
        <w:rPr>
          <w:rFonts w:hint="eastAsia" w:ascii="宋体" w:hAnsi="宋体" w:eastAsia="宋体" w:cs="宋体"/>
          <w:color w:val="auto"/>
          <w:szCs w:val="21"/>
        </w:rPr>
      </w:pPr>
      <w:r>
        <w:rPr>
          <w:rFonts w:hint="eastAsia" w:ascii="宋体" w:hAnsi="宋体" w:eastAsia="宋体" w:cs="宋体"/>
          <w:color w:val="auto"/>
          <w:szCs w:val="21"/>
        </w:rPr>
        <w:t>1.投标人直接或者间接从采购人或者采购代理机构处获得其他投标人的相关信息并修改其投标文件或者投标文件；</w:t>
      </w:r>
    </w:p>
    <w:p w14:paraId="6CC3656F">
      <w:pPr>
        <w:pageBreakBefore w:val="0"/>
        <w:kinsoku/>
        <w:wordWrap/>
        <w:overflowPunct/>
        <w:topLinePunct w:val="0"/>
        <w:bidi w:val="0"/>
        <w:snapToGrid w:val="0"/>
        <w:spacing w:beforeAutospacing="0" w:line="360" w:lineRule="auto"/>
        <w:ind w:left="0" w:leftChars="0" w:right="0" w:firstLine="411" w:firstLineChars="196"/>
        <w:jc w:val="left"/>
        <w:rPr>
          <w:rFonts w:hint="eastAsia" w:ascii="宋体" w:hAnsi="宋体" w:eastAsia="宋体" w:cs="宋体"/>
          <w:color w:val="auto"/>
          <w:szCs w:val="21"/>
        </w:rPr>
      </w:pPr>
      <w:r>
        <w:rPr>
          <w:rFonts w:hint="eastAsia" w:ascii="宋体" w:hAnsi="宋体" w:eastAsia="宋体" w:cs="宋体"/>
          <w:color w:val="auto"/>
          <w:szCs w:val="21"/>
        </w:rPr>
        <w:t>2.投标人按照采购人或者采购代理机构的授意撤换、修改投标文件或者投标文件；</w:t>
      </w:r>
    </w:p>
    <w:p w14:paraId="1F090E00">
      <w:pPr>
        <w:pageBreakBefore w:val="0"/>
        <w:kinsoku/>
        <w:wordWrap/>
        <w:overflowPunct/>
        <w:topLinePunct w:val="0"/>
        <w:bidi w:val="0"/>
        <w:snapToGrid w:val="0"/>
        <w:spacing w:beforeAutospacing="0" w:line="360" w:lineRule="auto"/>
        <w:ind w:left="0" w:leftChars="0" w:right="0" w:firstLine="411" w:firstLineChars="196"/>
        <w:jc w:val="left"/>
        <w:rPr>
          <w:rFonts w:hint="eastAsia" w:ascii="宋体" w:hAnsi="宋体" w:eastAsia="宋体" w:cs="宋体"/>
          <w:color w:val="auto"/>
          <w:szCs w:val="21"/>
        </w:rPr>
      </w:pPr>
      <w:r>
        <w:rPr>
          <w:rFonts w:hint="eastAsia" w:ascii="宋体" w:hAnsi="宋体" w:eastAsia="宋体" w:cs="宋体"/>
          <w:color w:val="auto"/>
          <w:szCs w:val="21"/>
        </w:rPr>
        <w:t>3.投标人之间协商报价、技术方案等投标文件或者投标文件的实质性内容；</w:t>
      </w:r>
    </w:p>
    <w:p w14:paraId="29908AB1">
      <w:pPr>
        <w:pageBreakBefore w:val="0"/>
        <w:kinsoku/>
        <w:wordWrap/>
        <w:overflowPunct/>
        <w:topLinePunct w:val="0"/>
        <w:bidi w:val="0"/>
        <w:snapToGrid w:val="0"/>
        <w:spacing w:beforeAutospacing="0" w:line="360" w:lineRule="auto"/>
        <w:ind w:left="0" w:leftChars="0" w:right="0" w:firstLine="411" w:firstLineChars="196"/>
        <w:jc w:val="left"/>
        <w:rPr>
          <w:rFonts w:hint="eastAsia" w:ascii="宋体" w:hAnsi="宋体" w:eastAsia="宋体" w:cs="宋体"/>
          <w:color w:val="auto"/>
          <w:szCs w:val="21"/>
        </w:rPr>
      </w:pPr>
      <w:r>
        <w:rPr>
          <w:rFonts w:hint="eastAsia" w:ascii="宋体" w:hAnsi="宋体" w:eastAsia="宋体" w:cs="宋体"/>
          <w:color w:val="auto"/>
          <w:szCs w:val="21"/>
        </w:rPr>
        <w:t>4.属于同一集团、协会、商会等组织成员的投标人按照该组织要求协同参加政府采购活动；</w:t>
      </w:r>
    </w:p>
    <w:p w14:paraId="11C477E3">
      <w:pPr>
        <w:pageBreakBefore w:val="0"/>
        <w:kinsoku/>
        <w:wordWrap/>
        <w:overflowPunct/>
        <w:topLinePunct w:val="0"/>
        <w:bidi w:val="0"/>
        <w:snapToGrid w:val="0"/>
        <w:spacing w:beforeAutospacing="0" w:line="360" w:lineRule="auto"/>
        <w:ind w:left="0" w:leftChars="0" w:right="0" w:firstLine="411" w:firstLineChars="196"/>
        <w:jc w:val="left"/>
        <w:rPr>
          <w:rFonts w:hint="eastAsia" w:ascii="宋体" w:hAnsi="宋体" w:eastAsia="宋体" w:cs="宋体"/>
          <w:color w:val="auto"/>
          <w:szCs w:val="21"/>
        </w:rPr>
      </w:pPr>
      <w:r>
        <w:rPr>
          <w:rFonts w:hint="eastAsia" w:ascii="宋体" w:hAnsi="宋体" w:eastAsia="宋体" w:cs="宋体"/>
          <w:color w:val="auto"/>
          <w:szCs w:val="21"/>
        </w:rPr>
        <w:t>5.投标人之间事先约定一致抬高或者压低投标报价，或者在招标项目中事先约定轮流以高价位或者低价位中标，或者事先约定由某一特定投标人中标，然后再参加投标；</w:t>
      </w:r>
    </w:p>
    <w:p w14:paraId="3846E4E0">
      <w:pPr>
        <w:pageBreakBefore w:val="0"/>
        <w:kinsoku/>
        <w:wordWrap/>
        <w:overflowPunct/>
        <w:topLinePunct w:val="0"/>
        <w:bidi w:val="0"/>
        <w:snapToGrid w:val="0"/>
        <w:spacing w:beforeAutospacing="0" w:line="360" w:lineRule="auto"/>
        <w:ind w:left="0" w:leftChars="0" w:right="0" w:firstLine="411" w:firstLineChars="196"/>
        <w:jc w:val="left"/>
        <w:rPr>
          <w:rFonts w:hint="eastAsia" w:ascii="宋体" w:hAnsi="宋体" w:eastAsia="宋体" w:cs="宋体"/>
          <w:color w:val="auto"/>
          <w:szCs w:val="21"/>
        </w:rPr>
      </w:pPr>
      <w:r>
        <w:rPr>
          <w:rFonts w:hint="eastAsia" w:ascii="宋体" w:hAnsi="宋体" w:eastAsia="宋体" w:cs="宋体"/>
          <w:color w:val="auto"/>
          <w:szCs w:val="21"/>
        </w:rPr>
        <w:t>6.投标人之间商定部分投标人放弃参加政府采购活动或者放弃中标；</w:t>
      </w:r>
    </w:p>
    <w:p w14:paraId="690B01C8">
      <w:pPr>
        <w:pageBreakBefore w:val="0"/>
        <w:kinsoku/>
        <w:wordWrap/>
        <w:overflowPunct/>
        <w:topLinePunct w:val="0"/>
        <w:bidi w:val="0"/>
        <w:snapToGrid w:val="0"/>
        <w:spacing w:beforeAutospacing="0" w:line="360" w:lineRule="auto"/>
        <w:ind w:left="0" w:leftChars="0" w:right="0" w:firstLine="411" w:firstLineChars="196"/>
        <w:jc w:val="left"/>
        <w:rPr>
          <w:rFonts w:hint="eastAsia" w:ascii="宋体" w:hAnsi="宋体" w:eastAsia="宋体" w:cs="宋体"/>
          <w:color w:val="auto"/>
          <w:szCs w:val="21"/>
        </w:rPr>
      </w:pPr>
      <w:r>
        <w:rPr>
          <w:rFonts w:hint="eastAsia" w:ascii="宋体" w:hAnsi="宋体" w:eastAsia="宋体" w:cs="宋体"/>
          <w:color w:val="auto"/>
          <w:szCs w:val="21"/>
        </w:rPr>
        <w:t>7.投标人与采购人或者采购代理机构之间、投标人相互之间，为谋求特定投标人中标或者排斥其他投标人的其他串通行为。</w:t>
      </w:r>
    </w:p>
    <w:p w14:paraId="56D25794">
      <w:pPr>
        <w:pageBreakBefore w:val="0"/>
        <w:kinsoku/>
        <w:wordWrap/>
        <w:overflowPunct/>
        <w:topLinePunct w:val="0"/>
        <w:bidi w:val="0"/>
        <w:snapToGrid w:val="0"/>
        <w:spacing w:beforeAutospacing="0" w:line="360" w:lineRule="auto"/>
        <w:ind w:left="0" w:leftChars="0" w:right="0" w:firstLine="413" w:firstLineChars="196"/>
        <w:jc w:val="left"/>
        <w:rPr>
          <w:rFonts w:hint="eastAsia" w:ascii="宋体" w:hAnsi="宋体" w:eastAsia="宋体" w:cs="宋体"/>
          <w:b/>
          <w:color w:val="auto"/>
          <w:szCs w:val="21"/>
        </w:rPr>
      </w:pPr>
      <w:r>
        <w:rPr>
          <w:rFonts w:hint="eastAsia" w:ascii="宋体" w:hAnsi="宋体" w:eastAsia="宋体" w:cs="宋体"/>
          <w:b/>
          <w:color w:val="auto"/>
          <w:szCs w:val="21"/>
        </w:rPr>
        <w:t>以上情形一经核查属实，我方愿意承担一切后果，接受政府采购监管部门对我方认定存在围标串标行为，并不再寻求任何旨在减轻或者免除法律责任的辩解。</w:t>
      </w:r>
    </w:p>
    <w:p w14:paraId="2F235EE4">
      <w:pPr>
        <w:pageBreakBefore w:val="0"/>
        <w:kinsoku/>
        <w:wordWrap/>
        <w:overflowPunct/>
        <w:topLinePunct w:val="0"/>
        <w:bidi w:val="0"/>
        <w:snapToGrid w:val="0"/>
        <w:spacing w:beforeAutospacing="0" w:line="360" w:lineRule="auto"/>
        <w:ind w:left="0" w:leftChars="0" w:right="0" w:firstLine="4935" w:firstLineChars="2350"/>
        <w:rPr>
          <w:rFonts w:hint="eastAsia" w:ascii="宋体" w:hAnsi="宋体" w:eastAsia="宋体" w:cs="宋体"/>
          <w:color w:val="auto"/>
          <w:kern w:val="0"/>
          <w:sz w:val="24"/>
        </w:rPr>
      </w:pPr>
      <w:r>
        <w:rPr>
          <w:rFonts w:hint="eastAsia" w:ascii="宋体" w:hAnsi="宋体" w:eastAsia="宋体" w:cs="宋体"/>
          <w:color w:val="auto"/>
          <w:szCs w:val="21"/>
        </w:rPr>
        <w:t xml:space="preserve">  </w:t>
      </w:r>
      <w:r>
        <w:rPr>
          <w:rFonts w:hint="eastAsia" w:ascii="宋体" w:hAnsi="宋体" w:eastAsia="宋体" w:cs="宋体"/>
          <w:color w:val="auto"/>
          <w:kern w:val="0"/>
          <w:sz w:val="24"/>
          <w:lang w:val="zh-CN"/>
        </w:rPr>
        <w:t>投标人名称(电子签章)：</w:t>
      </w:r>
    </w:p>
    <w:p w14:paraId="72DAC445">
      <w:pPr>
        <w:pageBreakBefore w:val="0"/>
        <w:kinsoku/>
        <w:wordWrap/>
        <w:overflowPunct/>
        <w:topLinePunct w:val="0"/>
        <w:bidi w:val="0"/>
        <w:snapToGrid w:val="0"/>
        <w:spacing w:beforeAutospacing="0" w:line="360" w:lineRule="auto"/>
        <w:ind w:left="0" w:leftChars="0" w:right="0" w:firstLine="5160" w:firstLineChars="215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w:t>
      </w:r>
      <w:r>
        <w:rPr>
          <w:rFonts w:hint="eastAsia" w:ascii="宋体" w:hAnsi="宋体" w:eastAsia="宋体" w:cs="宋体"/>
          <w:color w:val="auto"/>
          <w:kern w:val="0"/>
          <w:sz w:val="24"/>
        </w:rPr>
        <w:t xml:space="preserve">：  年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w:t>
      </w:r>
    </w:p>
    <w:p w14:paraId="0AC30713">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b/>
          <w:color w:val="auto"/>
          <w:sz w:val="24"/>
          <w:szCs w:val="20"/>
        </w:rPr>
      </w:pPr>
      <w:r>
        <w:rPr>
          <w:rFonts w:hint="eastAsia" w:ascii="宋体" w:hAnsi="宋体" w:eastAsia="宋体" w:cs="宋体"/>
          <w:b/>
          <w:color w:val="auto"/>
          <w:sz w:val="24"/>
          <w:szCs w:val="20"/>
        </w:rPr>
        <w:br w:type="page"/>
      </w:r>
      <w:r>
        <w:rPr>
          <w:rFonts w:hint="eastAsia" w:ascii="宋体" w:hAnsi="宋体" w:eastAsia="宋体" w:cs="宋体"/>
          <w:b/>
          <w:bCs/>
          <w:color w:val="auto"/>
          <w:sz w:val="30"/>
          <w:szCs w:val="30"/>
        </w:rPr>
        <w:t>二、法定代表人身份证明</w:t>
      </w:r>
    </w:p>
    <w:p w14:paraId="69072334">
      <w:pPr>
        <w:pageBreakBefore w:val="0"/>
        <w:kinsoku/>
        <w:wordWrap/>
        <w:overflowPunct/>
        <w:topLinePunct w:val="0"/>
        <w:bidi w:val="0"/>
        <w:spacing w:beforeAutospacing="0" w:line="360" w:lineRule="auto"/>
        <w:ind w:left="0" w:leftChars="0" w:right="0"/>
        <w:jc w:val="center"/>
        <w:rPr>
          <w:rFonts w:hint="eastAsia" w:ascii="宋体" w:hAnsi="宋体" w:eastAsia="宋体" w:cs="宋体"/>
          <w:b/>
          <w:color w:val="auto"/>
          <w:sz w:val="32"/>
          <w:szCs w:val="32"/>
        </w:rPr>
      </w:pPr>
    </w:p>
    <w:p w14:paraId="217EC81A">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z w:val="32"/>
          <w:szCs w:val="32"/>
        </w:rPr>
      </w:pPr>
      <w:r>
        <w:rPr>
          <w:rFonts w:hint="eastAsia" w:ascii="宋体" w:hAnsi="宋体" w:eastAsia="宋体" w:cs="宋体"/>
          <w:b/>
          <w:color w:val="auto"/>
          <w:sz w:val="32"/>
          <w:szCs w:val="32"/>
        </w:rPr>
        <w:t>法定代表人身份证明</w:t>
      </w:r>
    </w:p>
    <w:p w14:paraId="0799480D">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rPr>
      </w:pPr>
      <w:r>
        <w:rPr>
          <w:rFonts w:hint="eastAsia" w:ascii="宋体" w:hAnsi="宋体" w:eastAsia="宋体" w:cs="宋体"/>
          <w:color w:val="auto"/>
          <w:sz w:val="24"/>
        </w:rPr>
        <w:t>投 标 人：</w:t>
      </w:r>
      <w:r>
        <w:rPr>
          <w:rFonts w:hint="eastAsia" w:ascii="宋体" w:hAnsi="宋体" w:eastAsia="宋体" w:cs="宋体"/>
          <w:color w:val="auto"/>
          <w:sz w:val="24"/>
          <w:u w:val="single"/>
        </w:rPr>
        <w:t xml:space="preserve">                                                        </w:t>
      </w:r>
    </w:p>
    <w:p w14:paraId="5A7B1716">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u w:val="single"/>
        </w:rPr>
        <w:t xml:space="preserve">                                                        </w:t>
      </w:r>
    </w:p>
    <w:p w14:paraId="31D2864A">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rPr>
      </w:pPr>
      <w:r>
        <w:rPr>
          <w:rFonts w:hint="eastAsia" w:ascii="宋体" w:hAnsi="宋体" w:eastAsia="宋体" w:cs="宋体"/>
          <w:color w:val="auto"/>
          <w:sz w:val="24"/>
        </w:rPr>
        <w:t>姓    名：</w:t>
      </w:r>
      <w:r>
        <w:rPr>
          <w:rFonts w:hint="eastAsia" w:ascii="宋体" w:hAnsi="宋体" w:eastAsia="宋体" w:cs="宋体"/>
          <w:color w:val="auto"/>
          <w:sz w:val="24"/>
          <w:u w:val="single"/>
        </w:rPr>
        <w:t xml:space="preserve">                          </w:t>
      </w:r>
      <w:r>
        <w:rPr>
          <w:rFonts w:hint="eastAsia" w:ascii="宋体" w:hAnsi="宋体" w:eastAsia="宋体" w:cs="宋体"/>
          <w:color w:val="auto"/>
          <w:sz w:val="24"/>
        </w:rPr>
        <w:t>性      别：</w:t>
      </w:r>
      <w:r>
        <w:rPr>
          <w:rFonts w:hint="eastAsia" w:ascii="宋体" w:hAnsi="宋体" w:eastAsia="宋体" w:cs="宋体"/>
          <w:color w:val="auto"/>
          <w:sz w:val="24"/>
          <w:u w:val="single"/>
        </w:rPr>
        <w:t xml:space="preserve">                </w:t>
      </w:r>
    </w:p>
    <w:p w14:paraId="5A8FCCAE">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u w:val="single"/>
        </w:rPr>
      </w:pPr>
      <w:r>
        <w:rPr>
          <w:rFonts w:hint="eastAsia" w:ascii="宋体" w:hAnsi="宋体" w:eastAsia="宋体" w:cs="宋体"/>
          <w:color w:val="auto"/>
          <w:sz w:val="24"/>
        </w:rPr>
        <w:t>年    龄：</w:t>
      </w:r>
      <w:r>
        <w:rPr>
          <w:rFonts w:hint="eastAsia" w:ascii="宋体" w:hAnsi="宋体" w:eastAsia="宋体" w:cs="宋体"/>
          <w:color w:val="auto"/>
          <w:sz w:val="24"/>
          <w:u w:val="single"/>
        </w:rPr>
        <w:t xml:space="preserve">                          </w:t>
      </w:r>
      <w:r>
        <w:rPr>
          <w:rFonts w:hint="eastAsia" w:ascii="宋体" w:hAnsi="宋体" w:eastAsia="宋体" w:cs="宋体"/>
          <w:color w:val="auto"/>
          <w:sz w:val="24"/>
        </w:rPr>
        <w:t>职      务：</w:t>
      </w:r>
      <w:r>
        <w:rPr>
          <w:rFonts w:hint="eastAsia" w:ascii="宋体" w:hAnsi="宋体" w:eastAsia="宋体" w:cs="宋体"/>
          <w:color w:val="auto"/>
          <w:sz w:val="24"/>
          <w:u w:val="single"/>
        </w:rPr>
        <w:t xml:space="preserve">                </w:t>
      </w:r>
    </w:p>
    <w:p w14:paraId="4BFC42E0">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rPr>
      </w:pPr>
      <w:r>
        <w:rPr>
          <w:rFonts w:hint="eastAsia" w:ascii="宋体" w:hAnsi="宋体" w:eastAsia="宋体" w:cs="宋体"/>
          <w:color w:val="auto"/>
          <w:sz w:val="24"/>
        </w:rPr>
        <w:t>身份证号码：</w:t>
      </w:r>
      <w:r>
        <w:rPr>
          <w:rFonts w:hint="eastAsia" w:ascii="宋体" w:hAnsi="宋体" w:eastAsia="宋体" w:cs="宋体"/>
          <w:color w:val="auto"/>
          <w:sz w:val="24"/>
          <w:u w:val="single"/>
        </w:rPr>
        <w:t xml:space="preserve">                                 </w:t>
      </w:r>
    </w:p>
    <w:p w14:paraId="7018811E">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rPr>
      </w:pPr>
      <w:r>
        <w:rPr>
          <w:rFonts w:hint="eastAsia" w:ascii="宋体" w:hAnsi="宋体" w:eastAsia="宋体" w:cs="宋体"/>
          <w:color w:val="auto"/>
          <w:sz w:val="24"/>
        </w:rPr>
        <w:t>系</w:t>
      </w:r>
      <w:r>
        <w:rPr>
          <w:rFonts w:hint="eastAsia" w:ascii="宋体" w:hAnsi="宋体" w:eastAsia="宋体" w:cs="宋体"/>
          <w:color w:val="auto"/>
          <w:sz w:val="24"/>
          <w:u w:val="single"/>
        </w:rPr>
        <w:t xml:space="preserve">            （投标人名称）              </w:t>
      </w:r>
      <w:r>
        <w:rPr>
          <w:rFonts w:hint="eastAsia" w:ascii="宋体" w:hAnsi="宋体" w:eastAsia="宋体" w:cs="宋体"/>
          <w:color w:val="auto"/>
          <w:sz w:val="24"/>
        </w:rPr>
        <w:t>的法定代表人。</w:t>
      </w:r>
    </w:p>
    <w:p w14:paraId="78DBEEA2">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rPr>
      </w:pPr>
      <w:r>
        <w:rPr>
          <w:rFonts w:hint="eastAsia" w:ascii="宋体" w:hAnsi="宋体" w:eastAsia="宋体" w:cs="宋体"/>
          <w:color w:val="auto"/>
          <w:sz w:val="24"/>
        </w:rPr>
        <w:t>特此证明。</w:t>
      </w:r>
    </w:p>
    <w:p w14:paraId="68542945">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rPr>
      </w:pPr>
    </w:p>
    <w:p w14:paraId="4E3357EB">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rPr>
      </w:pPr>
    </w:p>
    <w:p w14:paraId="29E6B114">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rPr>
      </w:pPr>
      <w:r>
        <w:rPr>
          <w:rFonts w:hint="eastAsia" w:ascii="宋体" w:hAnsi="宋体" w:eastAsia="宋体" w:cs="宋体"/>
          <w:color w:val="auto"/>
          <w:sz w:val="24"/>
        </w:rPr>
        <w:t>附件：法定代表人有效身份证正反面原件扫描件</w:t>
      </w:r>
    </w:p>
    <w:p w14:paraId="192B0A35">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rPr>
      </w:pPr>
    </w:p>
    <w:p w14:paraId="1CC5C6DF">
      <w:pPr>
        <w:pageBreakBefore w:val="0"/>
        <w:kinsoku/>
        <w:wordWrap/>
        <w:overflowPunct/>
        <w:topLinePunct w:val="0"/>
        <w:bidi w:val="0"/>
        <w:snapToGrid w:val="0"/>
        <w:spacing w:beforeAutospacing="0" w:line="360" w:lineRule="auto"/>
        <w:ind w:left="0" w:leftChars="0" w:right="0" w:firstLine="4935" w:firstLineChars="2350"/>
        <w:rPr>
          <w:rFonts w:hint="eastAsia" w:ascii="宋体" w:hAnsi="宋体" w:eastAsia="宋体" w:cs="宋体"/>
          <w:color w:val="auto"/>
          <w:kern w:val="0"/>
          <w:sz w:val="24"/>
        </w:rPr>
      </w:pPr>
      <w:r>
        <w:rPr>
          <w:rFonts w:hint="eastAsia" w:ascii="宋体" w:hAnsi="宋体" w:eastAsia="宋体" w:cs="宋体"/>
          <w:color w:val="auto"/>
          <w:szCs w:val="21"/>
        </w:rPr>
        <w:t xml:space="preserve">  </w:t>
      </w:r>
      <w:r>
        <w:rPr>
          <w:rFonts w:hint="eastAsia" w:ascii="宋体" w:hAnsi="宋体" w:eastAsia="宋体" w:cs="宋体"/>
          <w:color w:val="auto"/>
          <w:kern w:val="0"/>
          <w:sz w:val="24"/>
          <w:lang w:val="zh-CN"/>
        </w:rPr>
        <w:t>投标人名称(电子签章)：</w:t>
      </w:r>
    </w:p>
    <w:p w14:paraId="2E38DA3E">
      <w:pPr>
        <w:pageBreakBefore w:val="0"/>
        <w:kinsoku/>
        <w:wordWrap/>
        <w:overflowPunct/>
        <w:topLinePunct w:val="0"/>
        <w:bidi w:val="0"/>
        <w:snapToGrid w:val="0"/>
        <w:spacing w:beforeAutospacing="0" w:line="360" w:lineRule="auto"/>
        <w:ind w:left="0" w:leftChars="0" w:right="0" w:firstLine="5160" w:firstLineChars="215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w:t>
      </w:r>
      <w:r>
        <w:rPr>
          <w:rFonts w:hint="eastAsia" w:ascii="宋体" w:hAnsi="宋体" w:eastAsia="宋体" w:cs="宋体"/>
          <w:color w:val="auto"/>
          <w:kern w:val="0"/>
          <w:sz w:val="24"/>
        </w:rPr>
        <w:t xml:space="preserve">：  年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w:t>
      </w:r>
    </w:p>
    <w:p w14:paraId="0E4526AD">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b/>
          <w:color w:val="auto"/>
          <w:sz w:val="24"/>
        </w:rPr>
      </w:pPr>
    </w:p>
    <w:p w14:paraId="10763792">
      <w:pPr>
        <w:pageBreakBefore w:val="0"/>
        <w:kinsoku/>
        <w:wordWrap/>
        <w:overflowPunct/>
        <w:topLinePunct w:val="0"/>
        <w:bidi w:val="0"/>
        <w:snapToGrid w:val="0"/>
        <w:spacing w:beforeAutospacing="0" w:line="360" w:lineRule="auto"/>
        <w:ind w:left="0" w:leftChars="0" w:right="0" w:firstLine="600" w:firstLineChars="250"/>
        <w:jc w:val="left"/>
        <w:rPr>
          <w:rFonts w:hint="eastAsia" w:ascii="宋体" w:hAnsi="宋体" w:eastAsia="宋体" w:cs="宋体"/>
          <w:color w:val="auto"/>
          <w:sz w:val="24"/>
        </w:rPr>
      </w:pPr>
      <w:r>
        <w:rPr>
          <w:rFonts w:hint="eastAsia" w:ascii="宋体" w:hAnsi="宋体" w:eastAsia="宋体" w:cs="宋体"/>
          <w:color w:val="auto"/>
          <w:sz w:val="24"/>
        </w:rPr>
        <w:t>注：自然人投标的无需提供</w:t>
      </w:r>
    </w:p>
    <w:p w14:paraId="753F8C9C">
      <w:pPr>
        <w:pageBreakBefore w:val="0"/>
        <w:kinsoku/>
        <w:wordWrap/>
        <w:overflowPunct/>
        <w:topLinePunct w:val="0"/>
        <w:bidi w:val="0"/>
        <w:snapToGrid w:val="0"/>
        <w:spacing w:beforeAutospacing="0" w:line="360" w:lineRule="auto"/>
        <w:ind w:left="0" w:leftChars="0" w:right="0" w:firstLine="600" w:firstLineChars="250"/>
        <w:jc w:val="left"/>
        <w:rPr>
          <w:rFonts w:hint="eastAsia" w:ascii="宋体" w:hAnsi="宋体" w:eastAsia="宋体" w:cs="宋体"/>
          <w:color w:val="auto"/>
          <w:sz w:val="24"/>
        </w:rPr>
      </w:pPr>
    </w:p>
    <w:p w14:paraId="055F28E7">
      <w:pPr>
        <w:pageBreakBefore w:val="0"/>
        <w:kinsoku/>
        <w:wordWrap/>
        <w:overflowPunct/>
        <w:topLinePunct w:val="0"/>
        <w:bidi w:val="0"/>
        <w:snapToGrid w:val="0"/>
        <w:spacing w:beforeAutospacing="0" w:line="360" w:lineRule="auto"/>
        <w:ind w:left="0" w:leftChars="0" w:right="0" w:firstLine="602" w:firstLineChars="250"/>
        <w:jc w:val="left"/>
        <w:rPr>
          <w:rFonts w:hint="eastAsia" w:ascii="宋体" w:hAnsi="宋体" w:eastAsia="宋体" w:cs="宋体"/>
          <w:b/>
          <w:color w:val="auto"/>
          <w:sz w:val="24"/>
          <w:szCs w:val="20"/>
        </w:rPr>
      </w:pPr>
    </w:p>
    <w:tbl>
      <w:tblPr>
        <w:tblStyle w:val="15"/>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2D189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noWrap w:val="0"/>
            <w:vAlign w:val="top"/>
          </w:tcPr>
          <w:p w14:paraId="62C109AE">
            <w:pPr>
              <w:pageBreakBefore w:val="0"/>
              <w:kinsoku/>
              <w:wordWrap/>
              <w:overflowPunct/>
              <w:topLinePunct w:val="0"/>
              <w:bidi w:val="0"/>
              <w:spacing w:beforeAutospacing="0" w:line="360" w:lineRule="auto"/>
              <w:ind w:left="0" w:leftChars="0" w:right="0"/>
              <w:rPr>
                <w:rFonts w:hint="eastAsia" w:ascii="宋体" w:hAnsi="宋体" w:eastAsia="宋体" w:cs="宋体"/>
                <w:b/>
                <w:color w:val="auto"/>
                <w:sz w:val="24"/>
              </w:rPr>
            </w:pPr>
          </w:p>
          <w:p w14:paraId="5D649D0E">
            <w:pPr>
              <w:pageBreakBefore w:val="0"/>
              <w:kinsoku/>
              <w:wordWrap/>
              <w:overflowPunct/>
              <w:topLinePunct w:val="0"/>
              <w:bidi w:val="0"/>
              <w:spacing w:beforeAutospacing="0" w:line="360" w:lineRule="auto"/>
              <w:ind w:left="0" w:leftChars="0" w:right="0"/>
              <w:rPr>
                <w:rFonts w:hint="eastAsia" w:ascii="宋体" w:hAnsi="宋体" w:eastAsia="宋体" w:cs="宋体"/>
                <w:b/>
                <w:color w:val="auto"/>
                <w:sz w:val="24"/>
              </w:rPr>
            </w:pPr>
            <w:r>
              <w:rPr>
                <w:rFonts w:hint="eastAsia" w:ascii="宋体" w:hAnsi="宋体" w:eastAsia="宋体" w:cs="宋体"/>
                <w:b/>
                <w:color w:val="auto"/>
                <w:sz w:val="24"/>
              </w:rPr>
              <w:t>法定代表身份证原件扫描件粘帖处（正、反面）</w:t>
            </w:r>
          </w:p>
        </w:tc>
      </w:tr>
    </w:tbl>
    <w:p w14:paraId="4C516F98">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b/>
          <w:color w:val="auto"/>
          <w:sz w:val="24"/>
          <w:szCs w:val="20"/>
        </w:rPr>
      </w:pPr>
      <w:r>
        <w:rPr>
          <w:rFonts w:hint="eastAsia" w:ascii="宋体" w:hAnsi="宋体" w:eastAsia="宋体" w:cs="宋体"/>
          <w:b/>
          <w:color w:val="auto"/>
          <w:sz w:val="24"/>
          <w:szCs w:val="20"/>
        </w:rPr>
        <w:t>附件：</w:t>
      </w:r>
      <w:r>
        <w:rPr>
          <w:rFonts w:hint="eastAsia" w:ascii="宋体" w:hAnsi="宋体" w:eastAsia="宋体" w:cs="宋体"/>
          <w:b/>
          <w:color w:val="auto"/>
          <w:sz w:val="24"/>
          <w:szCs w:val="20"/>
        </w:rPr>
        <w:br w:type="page"/>
      </w:r>
      <w:r>
        <w:rPr>
          <w:rFonts w:hint="eastAsia" w:ascii="宋体" w:hAnsi="宋体" w:eastAsia="宋体" w:cs="宋体"/>
          <w:b/>
          <w:bCs/>
          <w:color w:val="auto"/>
          <w:sz w:val="30"/>
          <w:szCs w:val="30"/>
        </w:rPr>
        <w:t>三、法定代表人授权委托书（如有委托时）</w:t>
      </w:r>
    </w:p>
    <w:p w14:paraId="26F6CF90">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法定代表人授权委托书</w:t>
      </w:r>
    </w:p>
    <w:p w14:paraId="44773801">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b/>
          <w:color w:val="auto"/>
          <w:sz w:val="24"/>
        </w:rPr>
      </w:pPr>
    </w:p>
    <w:p w14:paraId="34C28658">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0"/>
        </w:rPr>
      </w:pPr>
      <w:r>
        <w:rPr>
          <w:rFonts w:hint="eastAsia" w:ascii="宋体" w:hAnsi="宋体" w:eastAsia="宋体" w:cs="宋体"/>
          <w:color w:val="auto"/>
          <w:szCs w:val="20"/>
        </w:rPr>
        <w:t>致：</w:t>
      </w:r>
      <w:r>
        <w:rPr>
          <w:rFonts w:hint="eastAsia" w:ascii="宋体" w:hAnsi="宋体" w:eastAsia="宋体" w:cs="宋体"/>
          <w:color w:val="auto"/>
          <w:szCs w:val="20"/>
          <w:u w:val="single"/>
        </w:rPr>
        <w:t xml:space="preserve"> </w:t>
      </w:r>
      <w:r>
        <w:rPr>
          <w:rFonts w:hint="eastAsia" w:ascii="宋体" w:hAnsi="宋体" w:cs="宋体"/>
          <w:color w:val="auto"/>
          <w:szCs w:val="20"/>
          <w:u w:val="single"/>
          <w:lang w:eastAsia="zh-CN"/>
        </w:rPr>
        <w:t>广西景钲工程咨询有限公司</w:t>
      </w:r>
      <w:r>
        <w:rPr>
          <w:rFonts w:hint="eastAsia" w:ascii="宋体" w:hAnsi="宋体" w:eastAsia="宋体" w:cs="宋体"/>
          <w:color w:val="auto"/>
          <w:szCs w:val="20"/>
          <w:u w:val="single"/>
        </w:rPr>
        <w:t xml:space="preserve"> </w:t>
      </w:r>
    </w:p>
    <w:p w14:paraId="04D94029">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0"/>
        </w:rPr>
      </w:pPr>
      <w:r>
        <w:rPr>
          <w:rFonts w:hint="eastAsia" w:ascii="宋体" w:hAnsi="宋体" w:eastAsia="宋体" w:cs="宋体"/>
          <w:color w:val="auto"/>
          <w:szCs w:val="20"/>
        </w:rPr>
        <w:t>本人</w:t>
      </w:r>
      <w:r>
        <w:rPr>
          <w:rFonts w:hint="eastAsia" w:ascii="宋体" w:hAnsi="宋体" w:eastAsia="宋体" w:cs="宋体"/>
          <w:color w:val="auto"/>
          <w:szCs w:val="20"/>
          <w:u w:val="single"/>
        </w:rPr>
        <w:t xml:space="preserve">        </w:t>
      </w:r>
      <w:r>
        <w:rPr>
          <w:rFonts w:hint="eastAsia" w:ascii="宋体" w:hAnsi="宋体" w:eastAsia="宋体" w:cs="宋体"/>
          <w:color w:val="auto"/>
          <w:szCs w:val="20"/>
        </w:rPr>
        <w:t>（姓名）系</w:t>
      </w:r>
      <w:r>
        <w:rPr>
          <w:rFonts w:hint="eastAsia" w:ascii="宋体" w:hAnsi="宋体" w:eastAsia="宋体" w:cs="宋体"/>
          <w:color w:val="auto"/>
          <w:szCs w:val="20"/>
          <w:u w:val="single"/>
        </w:rPr>
        <w:t xml:space="preserve">                 </w:t>
      </w:r>
      <w:r>
        <w:rPr>
          <w:rFonts w:hint="eastAsia" w:ascii="宋体" w:hAnsi="宋体" w:eastAsia="宋体" w:cs="宋体"/>
          <w:color w:val="auto"/>
          <w:szCs w:val="20"/>
        </w:rPr>
        <w:t>（投标人名称）的法定代表人，现授权我单位在职正式员工</w:t>
      </w:r>
      <w:r>
        <w:rPr>
          <w:rFonts w:hint="eastAsia" w:ascii="宋体" w:hAnsi="宋体" w:eastAsia="宋体" w:cs="宋体"/>
          <w:color w:val="auto"/>
          <w:szCs w:val="20"/>
          <w:u w:val="single"/>
        </w:rPr>
        <w:t xml:space="preserve">        </w:t>
      </w:r>
      <w:r>
        <w:rPr>
          <w:rFonts w:hint="eastAsia" w:ascii="宋体" w:hAnsi="宋体" w:eastAsia="宋体" w:cs="宋体"/>
          <w:color w:val="auto"/>
          <w:szCs w:val="20"/>
        </w:rPr>
        <w:t>（姓名和职务）为我方代理人。代理人根据授权，以我方名义签署、澄清、说明、补正、递交、撤回、修改贵方组织的</w:t>
      </w:r>
      <w:r>
        <w:rPr>
          <w:rFonts w:hint="eastAsia" w:ascii="宋体" w:hAnsi="宋体" w:eastAsia="宋体" w:cs="宋体"/>
          <w:color w:val="auto"/>
          <w:szCs w:val="20"/>
          <w:u w:val="single"/>
        </w:rPr>
        <w:t xml:space="preserve"> </w:t>
      </w:r>
      <w:r>
        <w:rPr>
          <w:rFonts w:hint="eastAsia" w:ascii="宋体" w:hAnsi="宋体" w:cs="宋体"/>
          <w:color w:val="auto"/>
          <w:szCs w:val="20"/>
          <w:u w:val="single"/>
          <w:lang w:eastAsia="zh-CN"/>
        </w:rPr>
        <w:t>南宁市第二看守所在押人员伙房食材配送服务采购项目</w:t>
      </w:r>
      <w:r>
        <w:rPr>
          <w:rFonts w:hint="eastAsia" w:ascii="宋体" w:hAnsi="宋体" w:eastAsia="宋体" w:cs="宋体"/>
          <w:color w:val="auto"/>
          <w:szCs w:val="20"/>
          <w:u w:val="single"/>
        </w:rPr>
        <w:t xml:space="preserve"> </w:t>
      </w:r>
      <w:r>
        <w:rPr>
          <w:rFonts w:hint="eastAsia" w:ascii="宋体" w:hAnsi="宋体" w:eastAsia="宋体" w:cs="宋体"/>
          <w:color w:val="auto"/>
          <w:szCs w:val="20"/>
        </w:rPr>
        <w:t>项目（项目编号：</w:t>
      </w:r>
      <w:r>
        <w:rPr>
          <w:rFonts w:hint="eastAsia" w:ascii="宋体" w:hAnsi="宋体" w:cs="宋体"/>
          <w:color w:val="auto"/>
          <w:szCs w:val="20"/>
          <w:u w:val="single"/>
          <w:lang w:eastAsia="zh-CN"/>
        </w:rPr>
        <w:t>NNZC2024-G3-990896-GXJZ</w:t>
      </w:r>
      <w:r>
        <w:rPr>
          <w:rFonts w:hint="eastAsia" w:ascii="宋体" w:hAnsi="宋体" w:eastAsia="宋体" w:cs="宋体"/>
          <w:color w:val="auto"/>
          <w:szCs w:val="20"/>
          <w:u w:val="single"/>
        </w:rPr>
        <w:t xml:space="preserve"> </w:t>
      </w:r>
      <w:r>
        <w:rPr>
          <w:rFonts w:hint="eastAsia" w:ascii="宋体" w:hAnsi="宋体" w:eastAsia="宋体" w:cs="宋体"/>
          <w:color w:val="auto"/>
          <w:szCs w:val="20"/>
        </w:rPr>
        <w:t>）的投标文件、签订合同和处理一切有关事宜，其法律后果由我方承担。</w:t>
      </w:r>
    </w:p>
    <w:p w14:paraId="262DC146">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0"/>
        </w:rPr>
      </w:pPr>
      <w:r>
        <w:rPr>
          <w:rFonts w:hint="eastAsia" w:ascii="宋体" w:hAnsi="宋体" w:eastAsia="宋体" w:cs="宋体"/>
          <w:color w:val="auto"/>
          <w:szCs w:val="20"/>
        </w:rPr>
        <w:t>本授权书于</w:t>
      </w:r>
      <w:r>
        <w:rPr>
          <w:rFonts w:hint="eastAsia" w:ascii="宋体" w:hAnsi="宋体" w:eastAsia="宋体" w:cs="宋体"/>
          <w:color w:val="auto"/>
          <w:spacing w:val="10"/>
          <w:sz w:val="24"/>
          <w:szCs w:val="20"/>
          <w:u w:val="single"/>
        </w:rPr>
        <w:t xml:space="preserve">    </w:t>
      </w:r>
      <w:r>
        <w:rPr>
          <w:rFonts w:hint="eastAsia" w:ascii="宋体" w:hAnsi="宋体" w:eastAsia="宋体" w:cs="宋体"/>
          <w:color w:val="auto"/>
          <w:szCs w:val="20"/>
        </w:rPr>
        <w:t>年</w:t>
      </w:r>
      <w:r>
        <w:rPr>
          <w:rFonts w:hint="eastAsia" w:ascii="宋体" w:hAnsi="宋体" w:eastAsia="宋体" w:cs="宋体"/>
          <w:color w:val="auto"/>
          <w:spacing w:val="10"/>
          <w:sz w:val="24"/>
          <w:szCs w:val="20"/>
          <w:u w:val="single"/>
        </w:rPr>
        <w:t xml:space="preserve">    </w:t>
      </w:r>
      <w:r>
        <w:rPr>
          <w:rFonts w:hint="eastAsia" w:ascii="宋体" w:hAnsi="宋体" w:eastAsia="宋体" w:cs="宋体"/>
          <w:color w:val="auto"/>
          <w:szCs w:val="20"/>
        </w:rPr>
        <w:t>月</w:t>
      </w:r>
      <w:r>
        <w:rPr>
          <w:rFonts w:hint="eastAsia" w:ascii="宋体" w:hAnsi="宋体" w:eastAsia="宋体" w:cs="宋体"/>
          <w:color w:val="auto"/>
          <w:spacing w:val="10"/>
          <w:sz w:val="24"/>
          <w:szCs w:val="20"/>
          <w:u w:val="single"/>
        </w:rPr>
        <w:t xml:space="preserve">    </w:t>
      </w:r>
      <w:r>
        <w:rPr>
          <w:rFonts w:hint="eastAsia" w:ascii="宋体" w:hAnsi="宋体" w:eastAsia="宋体" w:cs="宋体"/>
          <w:color w:val="auto"/>
          <w:szCs w:val="20"/>
        </w:rPr>
        <w:t>日签字生效，委托期限：</w:t>
      </w:r>
      <w:r>
        <w:rPr>
          <w:rFonts w:hint="eastAsia" w:ascii="宋体" w:hAnsi="宋体" w:eastAsia="宋体" w:cs="宋体"/>
          <w:color w:val="auto"/>
          <w:spacing w:val="10"/>
          <w:sz w:val="24"/>
          <w:szCs w:val="20"/>
          <w:u w:val="single"/>
        </w:rPr>
        <w:t xml:space="preserve">    </w:t>
      </w:r>
      <w:r>
        <w:rPr>
          <w:rFonts w:hint="eastAsia" w:ascii="宋体" w:hAnsi="宋体" w:eastAsia="宋体" w:cs="宋体"/>
          <w:color w:val="auto"/>
          <w:szCs w:val="20"/>
        </w:rPr>
        <w:t>。</w:t>
      </w:r>
    </w:p>
    <w:p w14:paraId="5E6ECC7F">
      <w:pPr>
        <w:pageBreakBefore w:val="0"/>
        <w:kinsoku/>
        <w:wordWrap/>
        <w:overflowPunct/>
        <w:topLinePunct w:val="0"/>
        <w:bidi w:val="0"/>
        <w:spacing w:beforeAutospacing="0" w:line="360" w:lineRule="auto"/>
        <w:ind w:left="0" w:leftChars="0" w:right="0" w:firstLine="420"/>
        <w:rPr>
          <w:rFonts w:hint="eastAsia" w:ascii="宋体" w:hAnsi="宋体" w:eastAsia="宋体" w:cs="宋体"/>
          <w:color w:val="auto"/>
          <w:szCs w:val="20"/>
        </w:rPr>
      </w:pPr>
      <w:r>
        <w:rPr>
          <w:rFonts w:hint="eastAsia" w:ascii="宋体" w:hAnsi="宋体" w:eastAsia="宋体" w:cs="宋体"/>
          <w:color w:val="auto"/>
          <w:szCs w:val="20"/>
        </w:rPr>
        <w:t>代理人无转委托权。</w:t>
      </w:r>
    </w:p>
    <w:p w14:paraId="19131C7F">
      <w:pPr>
        <w:pageBreakBefore w:val="0"/>
        <w:kinsoku/>
        <w:wordWrap/>
        <w:overflowPunct/>
        <w:topLinePunct w:val="0"/>
        <w:bidi w:val="0"/>
        <w:spacing w:beforeAutospacing="0" w:line="360" w:lineRule="auto"/>
        <w:ind w:left="0" w:leftChars="0" w:right="0" w:firstLine="420"/>
        <w:rPr>
          <w:rFonts w:hint="eastAsia" w:ascii="宋体" w:hAnsi="宋体" w:eastAsia="宋体" w:cs="宋体"/>
          <w:color w:val="auto"/>
          <w:szCs w:val="20"/>
        </w:rPr>
      </w:pPr>
    </w:p>
    <w:p w14:paraId="7D934CF5">
      <w:pPr>
        <w:pageBreakBefore w:val="0"/>
        <w:kinsoku/>
        <w:wordWrap/>
        <w:overflowPunct/>
        <w:topLinePunct w:val="0"/>
        <w:bidi w:val="0"/>
        <w:spacing w:beforeAutospacing="0" w:line="360" w:lineRule="auto"/>
        <w:ind w:left="0" w:leftChars="0" w:right="0" w:firstLine="420"/>
        <w:rPr>
          <w:rFonts w:hint="eastAsia" w:ascii="宋体" w:hAnsi="宋体" w:eastAsia="宋体" w:cs="宋体"/>
          <w:color w:val="auto"/>
          <w:szCs w:val="20"/>
          <w:u w:val="single"/>
        </w:rPr>
      </w:pPr>
      <w:r>
        <w:rPr>
          <w:rFonts w:hint="eastAsia" w:ascii="宋体" w:hAnsi="宋体" w:eastAsia="宋体" w:cs="宋体"/>
          <w:color w:val="auto"/>
          <w:szCs w:val="20"/>
        </w:rPr>
        <w:t>投标人（或联合体投标</w:t>
      </w:r>
      <w:r>
        <w:rPr>
          <w:rFonts w:hint="eastAsia" w:ascii="宋体" w:hAnsi="宋体" w:eastAsia="宋体" w:cs="宋体"/>
          <w:color w:val="auto"/>
          <w:kern w:val="0"/>
          <w:szCs w:val="21"/>
        </w:rPr>
        <w:t>牵头人名称</w:t>
      </w:r>
      <w:r>
        <w:rPr>
          <w:rFonts w:hint="eastAsia" w:ascii="宋体" w:hAnsi="宋体" w:eastAsia="宋体" w:cs="宋体"/>
          <w:color w:val="auto"/>
          <w:szCs w:val="20"/>
        </w:rPr>
        <w:t>）（盖单位公章）：</w:t>
      </w:r>
      <w:r>
        <w:rPr>
          <w:rFonts w:hint="eastAsia" w:ascii="宋体" w:hAnsi="宋体" w:eastAsia="宋体" w:cs="宋体"/>
          <w:color w:val="auto"/>
          <w:szCs w:val="20"/>
          <w:u w:val="single"/>
        </w:rPr>
        <w:t xml:space="preserve">                                    </w:t>
      </w:r>
    </w:p>
    <w:p w14:paraId="7B819C68">
      <w:pPr>
        <w:pageBreakBefore w:val="0"/>
        <w:kinsoku/>
        <w:wordWrap/>
        <w:overflowPunct/>
        <w:topLinePunct w:val="0"/>
        <w:bidi w:val="0"/>
        <w:spacing w:beforeAutospacing="0" w:line="360" w:lineRule="auto"/>
        <w:ind w:left="0" w:leftChars="0" w:right="0" w:firstLine="420"/>
        <w:rPr>
          <w:rFonts w:hint="eastAsia" w:ascii="宋体" w:hAnsi="宋体" w:eastAsia="宋体" w:cs="宋体"/>
          <w:color w:val="auto"/>
          <w:szCs w:val="20"/>
          <w:u w:val="single"/>
        </w:rPr>
      </w:pPr>
      <w:r>
        <w:rPr>
          <w:rFonts w:hint="eastAsia" w:ascii="宋体" w:hAnsi="宋体" w:eastAsia="宋体" w:cs="宋体"/>
          <w:color w:val="auto"/>
          <w:szCs w:val="20"/>
        </w:rPr>
        <w:t>法定代表人（签字）：</w:t>
      </w:r>
      <w:r>
        <w:rPr>
          <w:rFonts w:hint="eastAsia" w:ascii="宋体" w:hAnsi="宋体" w:eastAsia="宋体" w:cs="宋体"/>
          <w:color w:val="auto"/>
          <w:szCs w:val="20"/>
          <w:u w:val="single"/>
        </w:rPr>
        <w:t xml:space="preserve">                                </w:t>
      </w:r>
    </w:p>
    <w:p w14:paraId="3B704394">
      <w:pPr>
        <w:pageBreakBefore w:val="0"/>
        <w:kinsoku/>
        <w:wordWrap/>
        <w:overflowPunct/>
        <w:topLinePunct w:val="0"/>
        <w:bidi w:val="0"/>
        <w:spacing w:beforeAutospacing="0" w:line="360" w:lineRule="auto"/>
        <w:ind w:left="0" w:leftChars="0" w:right="0" w:firstLine="420"/>
        <w:rPr>
          <w:rFonts w:hint="eastAsia" w:ascii="宋体" w:hAnsi="宋体" w:eastAsia="宋体" w:cs="宋体"/>
          <w:color w:val="auto"/>
          <w:szCs w:val="20"/>
          <w:u w:val="single"/>
        </w:rPr>
      </w:pPr>
      <w:r>
        <w:rPr>
          <w:rFonts w:hint="eastAsia" w:ascii="宋体" w:hAnsi="宋体" w:eastAsia="宋体" w:cs="宋体"/>
          <w:color w:val="auto"/>
          <w:szCs w:val="20"/>
        </w:rPr>
        <w:t>法定代表人身份证号码：</w:t>
      </w:r>
      <w:r>
        <w:rPr>
          <w:rFonts w:hint="eastAsia" w:ascii="宋体" w:hAnsi="宋体" w:eastAsia="宋体" w:cs="宋体"/>
          <w:color w:val="auto"/>
          <w:szCs w:val="20"/>
          <w:u w:val="single"/>
        </w:rPr>
        <w:t xml:space="preserve">                                   </w:t>
      </w:r>
    </w:p>
    <w:p w14:paraId="432DB0C5">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0"/>
        </w:rPr>
      </w:pPr>
      <w:r>
        <w:rPr>
          <w:rFonts w:hint="eastAsia" w:ascii="宋体" w:hAnsi="宋体" w:eastAsia="宋体" w:cs="宋体"/>
          <w:color w:val="auto"/>
          <w:szCs w:val="20"/>
        </w:rPr>
        <w:t>委托代理人（签字）：</w:t>
      </w:r>
      <w:r>
        <w:rPr>
          <w:rFonts w:hint="eastAsia" w:ascii="宋体" w:hAnsi="宋体" w:eastAsia="宋体" w:cs="宋体"/>
          <w:color w:val="auto"/>
          <w:szCs w:val="20"/>
          <w:u w:val="single"/>
        </w:rPr>
        <w:t xml:space="preserve">                                </w:t>
      </w:r>
    </w:p>
    <w:p w14:paraId="0AF22850">
      <w:pPr>
        <w:pageBreakBefore w:val="0"/>
        <w:kinsoku/>
        <w:wordWrap/>
        <w:overflowPunct/>
        <w:topLinePunct w:val="0"/>
        <w:bidi w:val="0"/>
        <w:spacing w:beforeAutospacing="0" w:line="360" w:lineRule="auto"/>
        <w:ind w:left="0" w:leftChars="0" w:right="0" w:firstLine="420"/>
        <w:rPr>
          <w:rFonts w:hint="eastAsia" w:ascii="宋体" w:hAnsi="宋体" w:eastAsia="宋体" w:cs="宋体"/>
          <w:color w:val="auto"/>
          <w:szCs w:val="20"/>
          <w:u w:val="single"/>
        </w:rPr>
      </w:pPr>
      <w:r>
        <w:rPr>
          <w:rFonts w:hint="eastAsia" w:ascii="宋体" w:hAnsi="宋体" w:eastAsia="宋体" w:cs="宋体"/>
          <w:color w:val="auto"/>
          <w:szCs w:val="20"/>
        </w:rPr>
        <w:t>委托代理人身份证号码：</w:t>
      </w:r>
      <w:r>
        <w:rPr>
          <w:rFonts w:hint="eastAsia" w:ascii="宋体" w:hAnsi="宋体" w:eastAsia="宋体" w:cs="宋体"/>
          <w:color w:val="auto"/>
          <w:szCs w:val="20"/>
          <w:u w:val="single"/>
        </w:rPr>
        <w:t xml:space="preserve">                                   </w:t>
      </w:r>
    </w:p>
    <w:p w14:paraId="16ABEC69">
      <w:pPr>
        <w:pageBreakBefore w:val="0"/>
        <w:kinsoku/>
        <w:wordWrap/>
        <w:overflowPunct/>
        <w:topLinePunct w:val="0"/>
        <w:bidi w:val="0"/>
        <w:spacing w:beforeAutospacing="0" w:line="360" w:lineRule="auto"/>
        <w:ind w:left="0" w:leftChars="0" w:right="0" w:firstLine="420"/>
        <w:rPr>
          <w:rFonts w:hint="eastAsia" w:ascii="宋体" w:hAnsi="宋体" w:eastAsia="宋体" w:cs="宋体"/>
          <w:color w:val="auto"/>
          <w:szCs w:val="20"/>
          <w:u w:val="single"/>
        </w:rPr>
      </w:pPr>
    </w:p>
    <w:p w14:paraId="2CAC0C2C">
      <w:pPr>
        <w:pageBreakBefore w:val="0"/>
        <w:kinsoku/>
        <w:wordWrap/>
        <w:overflowPunct/>
        <w:topLinePunct w:val="0"/>
        <w:bidi w:val="0"/>
        <w:spacing w:beforeAutospacing="0" w:line="360" w:lineRule="auto"/>
        <w:ind w:left="0" w:leftChars="0" w:right="0" w:firstLine="420"/>
        <w:rPr>
          <w:rFonts w:hint="eastAsia" w:ascii="宋体" w:hAnsi="宋体" w:eastAsia="宋体" w:cs="宋体"/>
          <w:color w:val="auto"/>
          <w:szCs w:val="20"/>
          <w:u w:val="single"/>
        </w:rPr>
      </w:pPr>
      <w:r>
        <w:rPr>
          <w:rFonts w:hint="eastAsia" w:ascii="宋体" w:hAnsi="宋体" w:eastAsia="宋体" w:cs="宋体"/>
          <w:color w:val="auto"/>
          <w:kern w:val="0"/>
          <w:szCs w:val="21"/>
        </w:rPr>
        <w:t>成员一名称：</w:t>
      </w:r>
      <w:r>
        <w:rPr>
          <w:rFonts w:hint="eastAsia" w:ascii="宋体" w:hAnsi="宋体" w:eastAsia="宋体" w:cs="宋体"/>
          <w:color w:val="auto"/>
          <w:szCs w:val="20"/>
        </w:rPr>
        <w:t>（盖单位公章）：</w:t>
      </w:r>
      <w:r>
        <w:rPr>
          <w:rFonts w:hint="eastAsia" w:ascii="宋体" w:hAnsi="宋体" w:eastAsia="宋体" w:cs="宋体"/>
          <w:color w:val="auto"/>
          <w:szCs w:val="20"/>
          <w:u w:val="single"/>
        </w:rPr>
        <w:t xml:space="preserve">                                    </w:t>
      </w:r>
    </w:p>
    <w:p w14:paraId="6650B213">
      <w:pPr>
        <w:pageBreakBefore w:val="0"/>
        <w:kinsoku/>
        <w:wordWrap/>
        <w:overflowPunct/>
        <w:topLinePunct w:val="0"/>
        <w:bidi w:val="0"/>
        <w:spacing w:beforeAutospacing="0" w:line="360" w:lineRule="auto"/>
        <w:ind w:left="0" w:leftChars="0" w:right="0" w:firstLine="420"/>
        <w:rPr>
          <w:rFonts w:hint="eastAsia" w:ascii="宋体" w:hAnsi="宋体" w:eastAsia="宋体" w:cs="宋体"/>
          <w:color w:val="auto"/>
          <w:szCs w:val="20"/>
          <w:u w:val="single"/>
        </w:rPr>
      </w:pPr>
      <w:r>
        <w:rPr>
          <w:rFonts w:hint="eastAsia" w:ascii="宋体" w:hAnsi="宋体" w:eastAsia="宋体" w:cs="宋体"/>
          <w:color w:val="auto"/>
          <w:szCs w:val="20"/>
        </w:rPr>
        <w:t>法定代表人（签字）：</w:t>
      </w:r>
      <w:r>
        <w:rPr>
          <w:rFonts w:hint="eastAsia" w:ascii="宋体" w:hAnsi="宋体" w:eastAsia="宋体" w:cs="宋体"/>
          <w:color w:val="auto"/>
          <w:szCs w:val="20"/>
          <w:u w:val="single"/>
        </w:rPr>
        <w:t xml:space="preserve">                                </w:t>
      </w:r>
    </w:p>
    <w:p w14:paraId="2D8A866D">
      <w:pPr>
        <w:pageBreakBefore w:val="0"/>
        <w:kinsoku/>
        <w:wordWrap/>
        <w:overflowPunct/>
        <w:topLinePunct w:val="0"/>
        <w:bidi w:val="0"/>
        <w:spacing w:beforeAutospacing="0" w:line="360" w:lineRule="auto"/>
        <w:ind w:left="0" w:leftChars="0" w:right="0" w:firstLine="420"/>
        <w:rPr>
          <w:rFonts w:hint="eastAsia" w:ascii="宋体" w:hAnsi="宋体" w:eastAsia="宋体" w:cs="宋体"/>
          <w:color w:val="auto"/>
          <w:szCs w:val="20"/>
          <w:u w:val="single"/>
        </w:rPr>
      </w:pPr>
    </w:p>
    <w:p w14:paraId="5F46AE14">
      <w:pPr>
        <w:pageBreakBefore w:val="0"/>
        <w:kinsoku/>
        <w:wordWrap/>
        <w:overflowPunct/>
        <w:topLinePunct w:val="0"/>
        <w:autoSpaceDE w:val="0"/>
        <w:autoSpaceDN w:val="0"/>
        <w:bidi w:val="0"/>
        <w:adjustRightInd w:val="0"/>
        <w:spacing w:beforeAutospacing="0" w:line="360" w:lineRule="auto"/>
        <w:ind w:left="0" w:leftChars="0" w:right="0"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成员二名称：</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（盖单位公章）</w:t>
      </w:r>
    </w:p>
    <w:p w14:paraId="08C1B4E4">
      <w:pPr>
        <w:pageBreakBefore w:val="0"/>
        <w:kinsoku/>
        <w:wordWrap/>
        <w:overflowPunct/>
        <w:topLinePunct w:val="0"/>
        <w:autoSpaceDE w:val="0"/>
        <w:autoSpaceDN w:val="0"/>
        <w:bidi w:val="0"/>
        <w:adjustRightInd w:val="0"/>
        <w:spacing w:beforeAutospacing="0" w:line="360" w:lineRule="auto"/>
        <w:ind w:left="0" w:leftChars="0" w:right="0"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法定代表人或其委托代理人：</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（签字）</w:t>
      </w:r>
    </w:p>
    <w:p w14:paraId="7079189C">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0"/>
        </w:rPr>
      </w:pPr>
      <w:r>
        <w:rPr>
          <w:rFonts w:hint="eastAsia" w:ascii="宋体" w:hAnsi="宋体" w:eastAsia="宋体" w:cs="宋体"/>
          <w:color w:val="auto"/>
          <w:szCs w:val="20"/>
        </w:rPr>
        <w:t>......</w:t>
      </w:r>
    </w:p>
    <w:p w14:paraId="45C083CB">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注：</w:t>
      </w:r>
    </w:p>
    <w:p w14:paraId="772F8078">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1.法定代表人和委托代理人必须在授权委托书上亲笔签名，不得使用印章、签名章或者其他电子制版签名代替，</w:t>
      </w:r>
      <w:r>
        <w:rPr>
          <w:rFonts w:hint="eastAsia" w:ascii="宋体" w:hAnsi="宋体" w:eastAsia="宋体" w:cs="宋体"/>
          <w:b/>
          <w:bCs/>
          <w:color w:val="auto"/>
          <w:szCs w:val="21"/>
        </w:rPr>
        <w:t>否则作无效投标处理</w:t>
      </w:r>
      <w:r>
        <w:rPr>
          <w:rFonts w:hint="eastAsia" w:ascii="宋体" w:hAnsi="宋体" w:eastAsia="宋体" w:cs="宋体"/>
          <w:color w:val="auto"/>
          <w:szCs w:val="21"/>
        </w:rPr>
        <w:t>；</w:t>
      </w:r>
    </w:p>
    <w:p w14:paraId="2EE306F6">
      <w:pPr>
        <w:pageBreakBefore w:val="0"/>
        <w:kinsoku/>
        <w:wordWrap/>
        <w:overflowPunct/>
        <w:topLinePunct w:val="0"/>
        <w:bidi w:val="0"/>
        <w:spacing w:beforeAutospacing="0" w:line="360" w:lineRule="auto"/>
        <w:ind w:left="0" w:leftChars="0" w:right="0"/>
        <w:jc w:val="left"/>
        <w:rPr>
          <w:rFonts w:hint="eastAsia" w:ascii="宋体" w:hAnsi="宋体" w:eastAsia="宋体" w:cs="宋体"/>
          <w:color w:val="auto"/>
          <w:szCs w:val="21"/>
        </w:rPr>
      </w:pPr>
      <w:r>
        <w:rPr>
          <w:rFonts w:hint="eastAsia" w:ascii="宋体" w:hAnsi="宋体" w:eastAsia="宋体" w:cs="宋体"/>
          <w:color w:val="auto"/>
          <w:szCs w:val="21"/>
        </w:rPr>
        <w:t>2.以联合体形式投标的，本授权委托书应由联合体牵头人的法定代表人按上述规定签署。</w:t>
      </w:r>
    </w:p>
    <w:p w14:paraId="33E534A7">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rPr>
      </w:pPr>
      <w:r>
        <w:rPr>
          <w:rFonts w:hint="eastAsia" w:ascii="宋体" w:hAnsi="宋体" w:eastAsia="宋体" w:cs="宋体"/>
          <w:color w:val="auto"/>
          <w:szCs w:val="21"/>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6FEA7D9F">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rPr>
      </w:pPr>
      <w:r>
        <w:rPr>
          <w:rFonts w:hint="eastAsia" w:ascii="宋体" w:hAnsi="宋体" w:eastAsia="宋体" w:cs="宋体"/>
          <w:color w:val="auto"/>
          <w:szCs w:val="21"/>
        </w:rPr>
        <w:t>4. 若为联合体投标须各方签字或盖章。</w:t>
      </w:r>
    </w:p>
    <w:p w14:paraId="0228B7BD">
      <w:pPr>
        <w:pageBreakBefore w:val="0"/>
        <w:kinsoku/>
        <w:wordWrap/>
        <w:overflowPunct/>
        <w:topLinePunct w:val="0"/>
        <w:bidi w:val="0"/>
        <w:spacing w:beforeAutospacing="0" w:line="360" w:lineRule="auto"/>
        <w:ind w:left="0" w:leftChars="0" w:right="0"/>
        <w:rPr>
          <w:rFonts w:hint="eastAsia" w:ascii="宋体" w:hAnsi="宋体" w:eastAsia="宋体" w:cs="宋体"/>
          <w:b/>
          <w:color w:val="auto"/>
          <w:sz w:val="24"/>
        </w:rPr>
      </w:pPr>
    </w:p>
    <w:p w14:paraId="6BEA7423">
      <w:pPr>
        <w:pageBreakBefore w:val="0"/>
        <w:kinsoku/>
        <w:wordWrap/>
        <w:overflowPunct/>
        <w:topLinePunct w:val="0"/>
        <w:bidi w:val="0"/>
        <w:spacing w:beforeAutospacing="0" w:line="360" w:lineRule="auto"/>
        <w:ind w:left="0" w:leftChars="0" w:right="0"/>
        <w:rPr>
          <w:rFonts w:hint="eastAsia" w:ascii="宋体" w:hAnsi="宋体" w:eastAsia="宋体" w:cs="宋体"/>
          <w:b/>
          <w:color w:val="auto"/>
          <w:sz w:val="24"/>
        </w:rPr>
      </w:pPr>
      <w:r>
        <w:rPr>
          <w:rFonts w:hint="eastAsia" w:ascii="宋体" w:hAnsi="宋体" w:eastAsia="宋体" w:cs="宋体"/>
          <w:b/>
          <w:color w:val="auto"/>
          <w:sz w:val="24"/>
        </w:rPr>
        <w:t>附件：</w:t>
      </w:r>
    </w:p>
    <w:tbl>
      <w:tblPr>
        <w:tblStyle w:val="15"/>
        <w:tblpPr w:leftFromText="180" w:rightFromText="180" w:vertAnchor="text" w:horzAnchor="margin" w:tblpY="263"/>
        <w:tblW w:w="7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6DA15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Borders>
              <w:top w:val="single" w:color="auto" w:sz="4" w:space="0"/>
              <w:left w:val="single" w:color="auto" w:sz="4" w:space="0"/>
              <w:bottom w:val="single" w:color="auto" w:sz="4" w:space="0"/>
              <w:right w:val="single" w:color="auto" w:sz="4" w:space="0"/>
            </w:tcBorders>
            <w:noWrap w:val="0"/>
            <w:vAlign w:val="top"/>
          </w:tcPr>
          <w:p w14:paraId="5D410A45">
            <w:pPr>
              <w:pageBreakBefore w:val="0"/>
              <w:kinsoku/>
              <w:wordWrap/>
              <w:overflowPunct/>
              <w:topLinePunct w:val="0"/>
              <w:bidi w:val="0"/>
              <w:spacing w:beforeAutospacing="0" w:line="360" w:lineRule="auto"/>
              <w:ind w:left="0" w:leftChars="0" w:right="0"/>
              <w:rPr>
                <w:rFonts w:hint="eastAsia" w:ascii="宋体" w:hAnsi="宋体" w:eastAsia="宋体" w:cs="宋体"/>
                <w:b/>
                <w:color w:val="auto"/>
                <w:sz w:val="24"/>
              </w:rPr>
            </w:pPr>
          </w:p>
          <w:p w14:paraId="4796D73C">
            <w:pPr>
              <w:pageBreakBefore w:val="0"/>
              <w:kinsoku/>
              <w:wordWrap/>
              <w:overflowPunct/>
              <w:topLinePunct w:val="0"/>
              <w:bidi w:val="0"/>
              <w:spacing w:beforeAutospacing="0" w:line="360" w:lineRule="auto"/>
              <w:ind w:left="0" w:leftChars="0" w:right="0"/>
              <w:rPr>
                <w:rFonts w:hint="eastAsia" w:ascii="宋体" w:hAnsi="宋体" w:eastAsia="宋体" w:cs="宋体"/>
                <w:b/>
                <w:color w:val="auto"/>
                <w:sz w:val="24"/>
              </w:rPr>
            </w:pPr>
            <w:r>
              <w:rPr>
                <w:rFonts w:hint="eastAsia" w:ascii="宋体" w:hAnsi="宋体" w:eastAsia="宋体" w:cs="宋体"/>
                <w:b/>
                <w:color w:val="auto"/>
                <w:sz w:val="24"/>
              </w:rPr>
              <w:t>全权代表身份证原件扫描件粘帖处（正、反面）</w:t>
            </w:r>
          </w:p>
        </w:tc>
      </w:tr>
    </w:tbl>
    <w:p w14:paraId="673C2631">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Cs w:val="21"/>
        </w:rPr>
      </w:pPr>
    </w:p>
    <w:p w14:paraId="0BC62DF9">
      <w:pPr>
        <w:pageBreakBefore w:val="0"/>
        <w:kinsoku/>
        <w:wordWrap/>
        <w:overflowPunct/>
        <w:topLinePunct w:val="0"/>
        <w:bidi w:val="0"/>
        <w:snapToGrid w:val="0"/>
        <w:spacing w:beforeAutospacing="0" w:line="360" w:lineRule="auto"/>
        <w:ind w:left="0" w:leftChars="0" w:right="0" w:firstLine="566" w:firstLineChars="236"/>
        <w:jc w:val="center"/>
        <w:rPr>
          <w:rFonts w:hint="eastAsia" w:ascii="宋体" w:hAnsi="宋体" w:eastAsia="宋体" w:cs="宋体"/>
          <w:color w:val="auto"/>
        </w:rPr>
      </w:pPr>
      <w:r>
        <w:rPr>
          <w:rFonts w:hint="eastAsia" w:ascii="宋体" w:hAnsi="宋体" w:eastAsia="宋体" w:cs="宋体"/>
          <w:color w:val="auto"/>
          <w:sz w:val="24"/>
        </w:rPr>
        <w:t xml:space="preserve"> </w:t>
      </w:r>
      <w:r>
        <w:rPr>
          <w:rFonts w:hint="eastAsia" w:ascii="宋体" w:hAnsi="宋体" w:eastAsia="宋体" w:cs="宋体"/>
          <w:color w:val="auto"/>
          <w:sz w:val="24"/>
        </w:rPr>
        <w:br w:type="page"/>
      </w:r>
    </w:p>
    <w:p w14:paraId="2DCF6413">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四、商务条款偏离表</w:t>
      </w:r>
    </w:p>
    <w:p w14:paraId="2FC29286">
      <w:pPr>
        <w:pageBreakBefore w:val="0"/>
        <w:kinsoku/>
        <w:wordWrap/>
        <w:overflowPunct/>
        <w:topLinePunct w:val="0"/>
        <w:bidi w:val="0"/>
        <w:spacing w:beforeAutospacing="0" w:line="360" w:lineRule="auto"/>
        <w:ind w:left="0" w:leftChars="0" w:right="0"/>
        <w:jc w:val="center"/>
        <w:rPr>
          <w:rFonts w:hint="eastAsia" w:ascii="宋体" w:hAnsi="宋体" w:eastAsia="宋体" w:cs="宋体"/>
          <w:b/>
          <w:color w:val="auto"/>
          <w:sz w:val="24"/>
          <w:szCs w:val="20"/>
        </w:rPr>
      </w:pPr>
      <w:r>
        <w:rPr>
          <w:rFonts w:hint="eastAsia" w:ascii="宋体" w:hAnsi="宋体" w:eastAsia="宋体" w:cs="宋体"/>
          <w:color w:val="auto"/>
          <w:sz w:val="30"/>
          <w:szCs w:val="20"/>
        </w:rPr>
        <w:t>(注：按项目需求表具体项目修改)</w:t>
      </w:r>
    </w:p>
    <w:p w14:paraId="5A508EFF">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p>
    <w:p w14:paraId="29753124">
      <w:pPr>
        <w:pageBreakBefore w:val="0"/>
        <w:kinsoku/>
        <w:wordWrap/>
        <w:overflowPunct/>
        <w:topLinePunct w:val="0"/>
        <w:bidi w:val="0"/>
        <w:spacing w:beforeAutospacing="0" w:line="360" w:lineRule="auto"/>
        <w:ind w:left="0" w:leftChars="0" w:right="0" w:firstLine="846"/>
        <w:rPr>
          <w:rFonts w:hint="eastAsia" w:ascii="宋体" w:hAnsi="宋体" w:eastAsia="宋体" w:cs="宋体"/>
          <w:color w:val="auto"/>
          <w:sz w:val="24"/>
        </w:rPr>
      </w:pPr>
      <w:r>
        <w:rPr>
          <w:rFonts w:hint="eastAsia" w:ascii="宋体" w:hAnsi="宋体" w:eastAsia="宋体" w:cs="宋体"/>
          <w:color w:val="auto"/>
          <w:szCs w:val="20"/>
        </w:rPr>
        <w:t>请逐条对应本项目招标文件第二章“服务需求一览表”中“商务条款”的要求，详细填写相应的具体内容。“偏离说明”一栏应当选择“正偏离”、“负偏离”或“无偏离”进行填写。</w:t>
      </w:r>
    </w:p>
    <w:tbl>
      <w:tblPr>
        <w:tblStyle w:val="15"/>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516"/>
        <w:gridCol w:w="2516"/>
      </w:tblGrid>
      <w:tr w14:paraId="084A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vAlign w:val="top"/>
          </w:tcPr>
          <w:p w14:paraId="261F839E">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zCs w:val="21"/>
              </w:rPr>
            </w:pPr>
            <w:r>
              <w:rPr>
                <w:rFonts w:hint="eastAsia" w:ascii="宋体" w:hAnsi="宋体" w:eastAsia="宋体" w:cs="宋体"/>
                <w:color w:val="auto"/>
                <w:szCs w:val="21"/>
              </w:rPr>
              <w:t>项号</w:t>
            </w:r>
          </w:p>
        </w:tc>
        <w:tc>
          <w:tcPr>
            <w:tcW w:w="3757" w:type="dxa"/>
            <w:tcBorders>
              <w:top w:val="single" w:color="auto" w:sz="4" w:space="0"/>
              <w:left w:val="single" w:color="auto" w:sz="4" w:space="0"/>
              <w:bottom w:val="single" w:color="auto" w:sz="4" w:space="0"/>
              <w:right w:val="single" w:color="auto" w:sz="4" w:space="0"/>
            </w:tcBorders>
            <w:noWrap/>
            <w:vAlign w:val="top"/>
          </w:tcPr>
          <w:p w14:paraId="784EA326">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zCs w:val="21"/>
              </w:rPr>
            </w:pPr>
            <w:r>
              <w:rPr>
                <w:rFonts w:hint="eastAsia" w:ascii="宋体" w:hAnsi="宋体" w:eastAsia="宋体" w:cs="宋体"/>
                <w:color w:val="auto"/>
                <w:szCs w:val="21"/>
              </w:rPr>
              <w:t>招标文件的商务需求</w:t>
            </w:r>
          </w:p>
        </w:tc>
        <w:tc>
          <w:tcPr>
            <w:tcW w:w="2516" w:type="dxa"/>
            <w:tcBorders>
              <w:top w:val="single" w:color="auto" w:sz="4" w:space="0"/>
              <w:left w:val="single" w:color="auto" w:sz="4" w:space="0"/>
              <w:right w:val="single" w:color="auto" w:sz="4" w:space="0"/>
            </w:tcBorders>
            <w:noWrap w:val="0"/>
            <w:vAlign w:val="top"/>
          </w:tcPr>
          <w:p w14:paraId="3DB0823A">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zCs w:val="21"/>
              </w:rPr>
            </w:pPr>
            <w:r>
              <w:rPr>
                <w:rFonts w:hint="eastAsia" w:ascii="宋体" w:hAnsi="宋体" w:eastAsia="宋体" w:cs="宋体"/>
                <w:color w:val="auto"/>
                <w:szCs w:val="21"/>
              </w:rPr>
              <w:t>投标文件承诺的商务条款</w:t>
            </w:r>
          </w:p>
        </w:tc>
        <w:tc>
          <w:tcPr>
            <w:tcW w:w="2516" w:type="dxa"/>
            <w:tcBorders>
              <w:top w:val="single" w:color="auto" w:sz="4" w:space="0"/>
              <w:left w:val="single" w:color="auto" w:sz="4" w:space="0"/>
              <w:right w:val="single" w:color="auto" w:sz="4" w:space="0"/>
            </w:tcBorders>
            <w:noWrap w:val="0"/>
            <w:vAlign w:val="top"/>
          </w:tcPr>
          <w:p w14:paraId="1B193556">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zCs w:val="21"/>
              </w:rPr>
            </w:pPr>
            <w:r>
              <w:rPr>
                <w:rFonts w:hint="eastAsia" w:ascii="宋体" w:hAnsi="宋体" w:eastAsia="宋体" w:cs="宋体"/>
                <w:color w:val="auto"/>
                <w:szCs w:val="21"/>
              </w:rPr>
              <w:t>偏离说明</w:t>
            </w:r>
          </w:p>
        </w:tc>
      </w:tr>
      <w:tr w14:paraId="1CCDE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0B4CACE9">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一</w:t>
            </w:r>
          </w:p>
        </w:tc>
        <w:tc>
          <w:tcPr>
            <w:tcW w:w="3757" w:type="dxa"/>
            <w:tcBorders>
              <w:top w:val="single" w:color="auto" w:sz="4" w:space="0"/>
              <w:left w:val="single" w:color="auto" w:sz="4" w:space="0"/>
              <w:bottom w:val="single" w:color="auto" w:sz="4" w:space="0"/>
              <w:right w:val="single" w:color="auto" w:sz="4" w:space="0"/>
            </w:tcBorders>
            <w:noWrap/>
            <w:vAlign w:val="top"/>
          </w:tcPr>
          <w:p w14:paraId="689B02DC">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1  ……</w:t>
            </w:r>
          </w:p>
        </w:tc>
        <w:tc>
          <w:tcPr>
            <w:tcW w:w="2516" w:type="dxa"/>
            <w:tcBorders>
              <w:top w:val="single" w:color="auto" w:sz="4" w:space="0"/>
              <w:left w:val="single" w:color="auto" w:sz="4" w:space="0"/>
              <w:right w:val="single" w:color="auto" w:sz="4" w:space="0"/>
            </w:tcBorders>
            <w:noWrap w:val="0"/>
            <w:vAlign w:val="top"/>
          </w:tcPr>
          <w:p w14:paraId="720EEAA0">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1  ……</w:t>
            </w:r>
          </w:p>
        </w:tc>
        <w:tc>
          <w:tcPr>
            <w:tcW w:w="2516" w:type="dxa"/>
            <w:tcBorders>
              <w:top w:val="single" w:color="auto" w:sz="4" w:space="0"/>
              <w:left w:val="single" w:color="auto" w:sz="4" w:space="0"/>
              <w:right w:val="single" w:color="auto" w:sz="4" w:space="0"/>
            </w:tcBorders>
            <w:noWrap w:val="0"/>
            <w:vAlign w:val="top"/>
          </w:tcPr>
          <w:p w14:paraId="1A83CE8A">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正偏离（负偏离或无偏离）</w:t>
            </w:r>
          </w:p>
          <w:p w14:paraId="04F9D844">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p>
        </w:tc>
      </w:tr>
      <w:tr w14:paraId="02778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1FB05D97">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01D1E39F">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2  ……</w:t>
            </w:r>
          </w:p>
          <w:p w14:paraId="1000D7FF">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p>
        </w:tc>
        <w:tc>
          <w:tcPr>
            <w:tcW w:w="2516" w:type="dxa"/>
            <w:tcBorders>
              <w:left w:val="single" w:color="auto" w:sz="4" w:space="0"/>
              <w:right w:val="single" w:color="auto" w:sz="4" w:space="0"/>
            </w:tcBorders>
            <w:noWrap w:val="0"/>
            <w:vAlign w:val="top"/>
          </w:tcPr>
          <w:p w14:paraId="7EC59FCB">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2  ……</w:t>
            </w:r>
          </w:p>
          <w:p w14:paraId="12A7C59B">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p>
        </w:tc>
        <w:tc>
          <w:tcPr>
            <w:tcW w:w="2516" w:type="dxa"/>
            <w:tcBorders>
              <w:left w:val="single" w:color="auto" w:sz="4" w:space="0"/>
              <w:right w:val="single" w:color="auto" w:sz="4" w:space="0"/>
            </w:tcBorders>
            <w:noWrap w:val="0"/>
            <w:vAlign w:val="top"/>
          </w:tcPr>
          <w:p w14:paraId="1DC9A3F1">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正偏离（负偏离或无偏离）</w:t>
            </w:r>
          </w:p>
          <w:p w14:paraId="329E33C0">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p>
        </w:tc>
      </w:tr>
      <w:tr w14:paraId="05003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0260B812">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64C88EED">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3  ……</w:t>
            </w:r>
          </w:p>
          <w:p w14:paraId="0599AFD0">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p>
        </w:tc>
        <w:tc>
          <w:tcPr>
            <w:tcW w:w="2516" w:type="dxa"/>
            <w:tcBorders>
              <w:left w:val="single" w:color="auto" w:sz="4" w:space="0"/>
              <w:right w:val="single" w:color="auto" w:sz="4" w:space="0"/>
            </w:tcBorders>
            <w:noWrap w:val="0"/>
            <w:vAlign w:val="top"/>
          </w:tcPr>
          <w:p w14:paraId="7FB32C19">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3  ……</w:t>
            </w:r>
          </w:p>
          <w:p w14:paraId="295C19D4">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p>
        </w:tc>
        <w:tc>
          <w:tcPr>
            <w:tcW w:w="2516" w:type="dxa"/>
            <w:tcBorders>
              <w:left w:val="single" w:color="auto" w:sz="4" w:space="0"/>
              <w:right w:val="single" w:color="auto" w:sz="4" w:space="0"/>
            </w:tcBorders>
            <w:noWrap w:val="0"/>
            <w:vAlign w:val="top"/>
          </w:tcPr>
          <w:p w14:paraId="68B4D053">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正偏离（负偏离或无偏离）</w:t>
            </w:r>
          </w:p>
          <w:p w14:paraId="527BF58A">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p>
        </w:tc>
      </w:tr>
      <w:tr w14:paraId="0D2A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7024194E">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59F89803">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w:t>
            </w:r>
          </w:p>
        </w:tc>
        <w:tc>
          <w:tcPr>
            <w:tcW w:w="2516" w:type="dxa"/>
            <w:tcBorders>
              <w:left w:val="single" w:color="auto" w:sz="4" w:space="0"/>
              <w:bottom w:val="single" w:color="auto" w:sz="4" w:space="0"/>
              <w:right w:val="single" w:color="auto" w:sz="4" w:space="0"/>
            </w:tcBorders>
            <w:noWrap w:val="0"/>
            <w:vAlign w:val="top"/>
          </w:tcPr>
          <w:p w14:paraId="59382469">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w:t>
            </w:r>
          </w:p>
        </w:tc>
        <w:tc>
          <w:tcPr>
            <w:tcW w:w="2516" w:type="dxa"/>
            <w:tcBorders>
              <w:left w:val="single" w:color="auto" w:sz="4" w:space="0"/>
              <w:bottom w:val="single" w:color="auto" w:sz="4" w:space="0"/>
              <w:right w:val="single" w:color="auto" w:sz="4" w:space="0"/>
            </w:tcBorders>
            <w:noWrap w:val="0"/>
            <w:vAlign w:val="top"/>
          </w:tcPr>
          <w:p w14:paraId="63C00C3E">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正偏离（负偏离或无偏离）</w:t>
            </w:r>
          </w:p>
          <w:p w14:paraId="4A255875">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p>
        </w:tc>
      </w:tr>
      <w:tr w14:paraId="23DCD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1852D696">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二</w:t>
            </w:r>
          </w:p>
        </w:tc>
        <w:tc>
          <w:tcPr>
            <w:tcW w:w="3757" w:type="dxa"/>
            <w:tcBorders>
              <w:top w:val="single" w:color="auto" w:sz="4" w:space="0"/>
              <w:left w:val="single" w:color="auto" w:sz="4" w:space="0"/>
              <w:bottom w:val="single" w:color="auto" w:sz="4" w:space="0"/>
              <w:right w:val="single" w:color="auto" w:sz="4" w:space="0"/>
            </w:tcBorders>
            <w:noWrap/>
            <w:vAlign w:val="top"/>
          </w:tcPr>
          <w:p w14:paraId="5B300DF9">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1  ……</w:t>
            </w:r>
          </w:p>
        </w:tc>
        <w:tc>
          <w:tcPr>
            <w:tcW w:w="2516" w:type="dxa"/>
            <w:tcBorders>
              <w:top w:val="single" w:color="auto" w:sz="4" w:space="0"/>
              <w:left w:val="single" w:color="auto" w:sz="4" w:space="0"/>
              <w:right w:val="single" w:color="auto" w:sz="4" w:space="0"/>
            </w:tcBorders>
            <w:noWrap w:val="0"/>
            <w:vAlign w:val="top"/>
          </w:tcPr>
          <w:p w14:paraId="76A9EBA9">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1  ……</w:t>
            </w:r>
          </w:p>
        </w:tc>
        <w:tc>
          <w:tcPr>
            <w:tcW w:w="2516" w:type="dxa"/>
            <w:tcBorders>
              <w:top w:val="single" w:color="auto" w:sz="4" w:space="0"/>
              <w:left w:val="single" w:color="auto" w:sz="4" w:space="0"/>
              <w:right w:val="single" w:color="auto" w:sz="4" w:space="0"/>
            </w:tcBorders>
            <w:noWrap w:val="0"/>
            <w:vAlign w:val="top"/>
          </w:tcPr>
          <w:p w14:paraId="3FDC1061">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正偏离（负偏离或无偏离）</w:t>
            </w:r>
          </w:p>
          <w:p w14:paraId="0B36C7F1">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p>
        </w:tc>
      </w:tr>
      <w:tr w14:paraId="5873D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21D18A8A">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6EE2CD52">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2  ……</w:t>
            </w:r>
          </w:p>
          <w:p w14:paraId="5C40EF80">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p>
        </w:tc>
        <w:tc>
          <w:tcPr>
            <w:tcW w:w="2516" w:type="dxa"/>
            <w:tcBorders>
              <w:left w:val="single" w:color="auto" w:sz="4" w:space="0"/>
              <w:right w:val="single" w:color="auto" w:sz="4" w:space="0"/>
            </w:tcBorders>
            <w:noWrap w:val="0"/>
            <w:vAlign w:val="top"/>
          </w:tcPr>
          <w:p w14:paraId="72F003D6">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2  ……</w:t>
            </w:r>
          </w:p>
          <w:p w14:paraId="632B988C">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p>
        </w:tc>
        <w:tc>
          <w:tcPr>
            <w:tcW w:w="2516" w:type="dxa"/>
            <w:tcBorders>
              <w:left w:val="single" w:color="auto" w:sz="4" w:space="0"/>
              <w:right w:val="single" w:color="auto" w:sz="4" w:space="0"/>
            </w:tcBorders>
            <w:noWrap w:val="0"/>
            <w:vAlign w:val="top"/>
          </w:tcPr>
          <w:p w14:paraId="331950C9">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正偏离（负偏离或无偏离）</w:t>
            </w:r>
          </w:p>
          <w:p w14:paraId="70270EB4">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p>
        </w:tc>
      </w:tr>
      <w:tr w14:paraId="1883C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388C7612">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59EFBFD7">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3  ……</w:t>
            </w:r>
          </w:p>
          <w:p w14:paraId="54AD0E5A">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p>
        </w:tc>
        <w:tc>
          <w:tcPr>
            <w:tcW w:w="2516" w:type="dxa"/>
            <w:tcBorders>
              <w:left w:val="single" w:color="auto" w:sz="4" w:space="0"/>
              <w:right w:val="single" w:color="auto" w:sz="4" w:space="0"/>
            </w:tcBorders>
            <w:noWrap w:val="0"/>
            <w:vAlign w:val="top"/>
          </w:tcPr>
          <w:p w14:paraId="6215190C">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3  ……</w:t>
            </w:r>
          </w:p>
          <w:p w14:paraId="5AAD9EAD">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p>
        </w:tc>
        <w:tc>
          <w:tcPr>
            <w:tcW w:w="2516" w:type="dxa"/>
            <w:tcBorders>
              <w:left w:val="single" w:color="auto" w:sz="4" w:space="0"/>
              <w:right w:val="single" w:color="auto" w:sz="4" w:space="0"/>
            </w:tcBorders>
            <w:noWrap w:val="0"/>
            <w:vAlign w:val="top"/>
          </w:tcPr>
          <w:p w14:paraId="1FF274A0">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正偏离（负偏离或无偏离）</w:t>
            </w:r>
          </w:p>
          <w:p w14:paraId="1DAAB562">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p>
        </w:tc>
      </w:tr>
      <w:tr w14:paraId="310D2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3C063B67">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187F8F3F">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w:t>
            </w:r>
          </w:p>
        </w:tc>
        <w:tc>
          <w:tcPr>
            <w:tcW w:w="2516" w:type="dxa"/>
            <w:tcBorders>
              <w:left w:val="single" w:color="auto" w:sz="4" w:space="0"/>
              <w:bottom w:val="single" w:color="auto" w:sz="4" w:space="0"/>
              <w:right w:val="single" w:color="auto" w:sz="4" w:space="0"/>
            </w:tcBorders>
            <w:noWrap w:val="0"/>
            <w:vAlign w:val="top"/>
          </w:tcPr>
          <w:p w14:paraId="59C10EAE">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w:t>
            </w:r>
          </w:p>
        </w:tc>
        <w:tc>
          <w:tcPr>
            <w:tcW w:w="2516" w:type="dxa"/>
            <w:tcBorders>
              <w:left w:val="single" w:color="auto" w:sz="4" w:space="0"/>
              <w:bottom w:val="single" w:color="auto" w:sz="4" w:space="0"/>
              <w:right w:val="single" w:color="auto" w:sz="4" w:space="0"/>
            </w:tcBorders>
            <w:noWrap w:val="0"/>
            <w:vAlign w:val="top"/>
          </w:tcPr>
          <w:p w14:paraId="598B2B64">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正偏离（负偏离或无偏离）</w:t>
            </w:r>
          </w:p>
          <w:p w14:paraId="28759418">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p>
        </w:tc>
      </w:tr>
      <w:tr w14:paraId="02D1B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78E3EB9E">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w:t>
            </w:r>
          </w:p>
        </w:tc>
        <w:tc>
          <w:tcPr>
            <w:tcW w:w="3757" w:type="dxa"/>
            <w:tcBorders>
              <w:top w:val="single" w:color="auto" w:sz="4" w:space="0"/>
              <w:left w:val="single" w:color="auto" w:sz="4" w:space="0"/>
              <w:bottom w:val="single" w:color="auto" w:sz="4" w:space="0"/>
              <w:right w:val="single" w:color="auto" w:sz="4" w:space="0"/>
            </w:tcBorders>
            <w:noWrap/>
            <w:vAlign w:val="top"/>
          </w:tcPr>
          <w:p w14:paraId="588C9B23">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1  ……</w:t>
            </w:r>
          </w:p>
        </w:tc>
        <w:tc>
          <w:tcPr>
            <w:tcW w:w="2516" w:type="dxa"/>
            <w:tcBorders>
              <w:top w:val="single" w:color="auto" w:sz="4" w:space="0"/>
              <w:left w:val="single" w:color="auto" w:sz="4" w:space="0"/>
              <w:right w:val="single" w:color="auto" w:sz="4" w:space="0"/>
            </w:tcBorders>
            <w:noWrap w:val="0"/>
            <w:vAlign w:val="top"/>
          </w:tcPr>
          <w:p w14:paraId="1743F7C5">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1  ……</w:t>
            </w:r>
          </w:p>
        </w:tc>
        <w:tc>
          <w:tcPr>
            <w:tcW w:w="2516" w:type="dxa"/>
            <w:tcBorders>
              <w:top w:val="single" w:color="auto" w:sz="4" w:space="0"/>
              <w:left w:val="single" w:color="auto" w:sz="4" w:space="0"/>
              <w:right w:val="single" w:color="auto" w:sz="4" w:space="0"/>
            </w:tcBorders>
            <w:noWrap w:val="0"/>
            <w:vAlign w:val="top"/>
          </w:tcPr>
          <w:p w14:paraId="5FC13565">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正偏离（负偏离或无偏离）</w:t>
            </w:r>
          </w:p>
          <w:p w14:paraId="081C3B86">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p>
        </w:tc>
      </w:tr>
      <w:tr w14:paraId="4D098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4E4052D3">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0DBC4F29">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2  ……</w:t>
            </w:r>
          </w:p>
          <w:p w14:paraId="33BAEC19">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p>
        </w:tc>
        <w:tc>
          <w:tcPr>
            <w:tcW w:w="2516" w:type="dxa"/>
            <w:tcBorders>
              <w:left w:val="single" w:color="auto" w:sz="4" w:space="0"/>
              <w:right w:val="single" w:color="auto" w:sz="4" w:space="0"/>
            </w:tcBorders>
            <w:noWrap w:val="0"/>
            <w:vAlign w:val="top"/>
          </w:tcPr>
          <w:p w14:paraId="2F200B6F">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2  ……</w:t>
            </w:r>
          </w:p>
          <w:p w14:paraId="352303C1">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p>
        </w:tc>
        <w:tc>
          <w:tcPr>
            <w:tcW w:w="2516" w:type="dxa"/>
            <w:tcBorders>
              <w:left w:val="single" w:color="auto" w:sz="4" w:space="0"/>
              <w:right w:val="single" w:color="auto" w:sz="4" w:space="0"/>
            </w:tcBorders>
            <w:noWrap w:val="0"/>
            <w:vAlign w:val="top"/>
          </w:tcPr>
          <w:p w14:paraId="7FC7A558">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正偏离（负偏离或无偏离）</w:t>
            </w:r>
          </w:p>
          <w:p w14:paraId="55B3957D">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p>
        </w:tc>
      </w:tr>
      <w:tr w14:paraId="0C4B8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529B712B">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11BEB642">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3  ……</w:t>
            </w:r>
          </w:p>
          <w:p w14:paraId="63E78F32">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p>
        </w:tc>
        <w:tc>
          <w:tcPr>
            <w:tcW w:w="2516" w:type="dxa"/>
            <w:tcBorders>
              <w:left w:val="single" w:color="auto" w:sz="4" w:space="0"/>
              <w:right w:val="single" w:color="auto" w:sz="4" w:space="0"/>
            </w:tcBorders>
            <w:noWrap w:val="0"/>
            <w:vAlign w:val="top"/>
          </w:tcPr>
          <w:p w14:paraId="409556CE">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3  ……</w:t>
            </w:r>
          </w:p>
          <w:p w14:paraId="3C3518DC">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p>
        </w:tc>
        <w:tc>
          <w:tcPr>
            <w:tcW w:w="2516" w:type="dxa"/>
            <w:tcBorders>
              <w:left w:val="single" w:color="auto" w:sz="4" w:space="0"/>
              <w:right w:val="single" w:color="auto" w:sz="4" w:space="0"/>
            </w:tcBorders>
            <w:noWrap w:val="0"/>
            <w:vAlign w:val="top"/>
          </w:tcPr>
          <w:p w14:paraId="45758256">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正偏离（负偏离或无偏离）</w:t>
            </w:r>
          </w:p>
          <w:p w14:paraId="202CB8AC">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p>
        </w:tc>
      </w:tr>
      <w:tr w14:paraId="337CA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20394758">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500C609A">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w:t>
            </w:r>
          </w:p>
        </w:tc>
        <w:tc>
          <w:tcPr>
            <w:tcW w:w="2516" w:type="dxa"/>
            <w:tcBorders>
              <w:left w:val="single" w:color="auto" w:sz="4" w:space="0"/>
              <w:bottom w:val="single" w:color="auto" w:sz="4" w:space="0"/>
              <w:right w:val="single" w:color="auto" w:sz="4" w:space="0"/>
            </w:tcBorders>
            <w:noWrap w:val="0"/>
            <w:vAlign w:val="top"/>
          </w:tcPr>
          <w:p w14:paraId="1086DB2A">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w:t>
            </w:r>
          </w:p>
        </w:tc>
        <w:tc>
          <w:tcPr>
            <w:tcW w:w="2516" w:type="dxa"/>
            <w:tcBorders>
              <w:left w:val="single" w:color="auto" w:sz="4" w:space="0"/>
              <w:bottom w:val="single" w:color="auto" w:sz="4" w:space="0"/>
              <w:right w:val="single" w:color="auto" w:sz="4" w:space="0"/>
            </w:tcBorders>
            <w:noWrap w:val="0"/>
            <w:vAlign w:val="top"/>
          </w:tcPr>
          <w:p w14:paraId="112B6C71">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正偏离（负偏离或无偏离）</w:t>
            </w:r>
          </w:p>
          <w:p w14:paraId="1BBC28B8">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p>
        </w:tc>
      </w:tr>
      <w:tr w14:paraId="164CE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vAlign w:val="top"/>
          </w:tcPr>
          <w:p w14:paraId="2B811F4E">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u w:val="single"/>
              </w:rPr>
              <w:t>　　</w:t>
            </w:r>
            <w:r>
              <w:rPr>
                <w:rFonts w:hint="eastAsia" w:ascii="宋体" w:hAnsi="宋体" w:eastAsia="宋体" w:cs="宋体"/>
                <w:color w:val="auto"/>
                <w:szCs w:val="21"/>
              </w:rPr>
              <w:t>分标（此处有分标时填写具体分标号，无分标时填写“无”）</w:t>
            </w:r>
          </w:p>
        </w:tc>
      </w:tr>
    </w:tbl>
    <w:p w14:paraId="090436A0">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0"/>
        </w:rPr>
      </w:pPr>
    </w:p>
    <w:p w14:paraId="5C2E8B0E">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0"/>
        </w:rPr>
      </w:pPr>
      <w:r>
        <w:rPr>
          <w:rFonts w:hint="eastAsia" w:ascii="宋体" w:hAnsi="宋体" w:eastAsia="宋体" w:cs="宋体"/>
          <w:color w:val="auto"/>
          <w:szCs w:val="20"/>
        </w:rPr>
        <w:t>注：</w:t>
      </w:r>
    </w:p>
    <w:p w14:paraId="65F55B20">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0"/>
        </w:rPr>
      </w:pPr>
      <w:r>
        <w:rPr>
          <w:rFonts w:hint="eastAsia" w:ascii="宋体" w:hAnsi="宋体" w:eastAsia="宋体" w:cs="宋体"/>
          <w:color w:val="auto"/>
          <w:szCs w:val="20"/>
        </w:rPr>
        <w:t>1.表格内容均需按要求填写并盖章，不得留空，否则按投标无效处理。</w:t>
      </w:r>
    </w:p>
    <w:p w14:paraId="5D04549C">
      <w:pPr>
        <w:pageBreakBefore w:val="0"/>
        <w:kinsoku/>
        <w:wordWrap/>
        <w:overflowPunct/>
        <w:topLinePunct w:val="0"/>
        <w:bidi w:val="0"/>
        <w:spacing w:beforeAutospacing="0" w:line="360" w:lineRule="auto"/>
        <w:ind w:left="0" w:leftChars="0" w:right="0" w:firstLine="315" w:firstLineChars="150"/>
        <w:rPr>
          <w:rFonts w:hint="eastAsia" w:ascii="宋体" w:hAnsi="宋体" w:eastAsia="宋体" w:cs="宋体"/>
          <w:color w:val="auto"/>
          <w:szCs w:val="20"/>
        </w:rPr>
      </w:pPr>
      <w:r>
        <w:rPr>
          <w:rFonts w:hint="eastAsia" w:ascii="宋体" w:hAnsi="宋体" w:eastAsia="宋体" w:cs="宋体"/>
          <w:color w:val="auto"/>
          <w:szCs w:val="20"/>
        </w:rPr>
        <w:t>2.如果招标文件需求为小于或大于某个数值标准时，投标文件承诺不得直接复制招标文件需求，投标文件承诺内容应当写明投标货物具体参数或商务响应承诺的具体数值，否则按投标无效处理。如该采购需求属于不能明确具体数值的，采购人应在此采购需求的数值后标注◆号，对标注◆号的采购需求不适用上述“竞标无效”条款。</w:t>
      </w:r>
    </w:p>
    <w:p w14:paraId="1D4A4393">
      <w:pPr>
        <w:pageBreakBefore w:val="0"/>
        <w:kinsoku/>
        <w:wordWrap/>
        <w:overflowPunct/>
        <w:topLinePunct w:val="0"/>
        <w:bidi w:val="0"/>
        <w:spacing w:beforeAutospacing="0" w:line="360" w:lineRule="auto"/>
        <w:ind w:left="0" w:leftChars="0" w:right="0" w:firstLine="315" w:firstLineChars="150"/>
        <w:rPr>
          <w:rFonts w:hint="eastAsia" w:ascii="宋体" w:hAnsi="宋体" w:eastAsia="宋体" w:cs="宋体"/>
          <w:color w:val="auto"/>
          <w:szCs w:val="20"/>
        </w:rPr>
      </w:pPr>
      <w:r>
        <w:rPr>
          <w:rFonts w:hint="eastAsia" w:ascii="宋体" w:hAnsi="宋体" w:eastAsia="宋体" w:cs="宋体"/>
          <w:color w:val="auto"/>
          <w:szCs w:val="20"/>
        </w:rPr>
        <w:t>3.当投标文件的商务内容低于招标文件要求时，投标人应当如实写明“负偏离”，否则视为虚假应标。</w:t>
      </w:r>
    </w:p>
    <w:p w14:paraId="6D36AD54">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0"/>
        </w:rPr>
      </w:pPr>
      <w:r>
        <w:rPr>
          <w:rFonts w:hint="eastAsia" w:ascii="宋体" w:hAnsi="宋体" w:eastAsia="宋体" w:cs="宋体"/>
          <w:color w:val="auto"/>
          <w:szCs w:val="21"/>
        </w:rPr>
        <w:t>4.采购需求中带“▲”及“★”的条款，也要分别在本表“投标文件的商务需求”、“投标文件承诺的商务条款”中标记。</w:t>
      </w:r>
    </w:p>
    <w:p w14:paraId="606E4C0A">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 w:val="24"/>
        </w:rPr>
      </w:pPr>
    </w:p>
    <w:p w14:paraId="51024165">
      <w:pPr>
        <w:pageBreakBefore w:val="0"/>
        <w:kinsoku/>
        <w:wordWrap/>
        <w:overflowPunct/>
        <w:topLinePunct w:val="0"/>
        <w:bidi w:val="0"/>
        <w:snapToGrid w:val="0"/>
        <w:spacing w:beforeAutospacing="0" w:line="360" w:lineRule="auto"/>
        <w:ind w:left="0" w:leftChars="0" w:right="0" w:firstLine="4935" w:firstLineChars="2350"/>
        <w:rPr>
          <w:rFonts w:hint="eastAsia" w:ascii="宋体" w:hAnsi="宋体" w:eastAsia="宋体" w:cs="宋体"/>
          <w:color w:val="auto"/>
          <w:kern w:val="0"/>
          <w:sz w:val="24"/>
        </w:rPr>
      </w:pPr>
      <w:r>
        <w:rPr>
          <w:rFonts w:hint="eastAsia" w:ascii="宋体" w:hAnsi="宋体" w:eastAsia="宋体" w:cs="宋体"/>
          <w:color w:val="auto"/>
          <w:szCs w:val="21"/>
        </w:rPr>
        <w:t xml:space="preserve">  </w:t>
      </w:r>
      <w:r>
        <w:rPr>
          <w:rFonts w:hint="eastAsia" w:ascii="宋体" w:hAnsi="宋体" w:eastAsia="宋体" w:cs="宋体"/>
          <w:color w:val="auto"/>
          <w:kern w:val="0"/>
          <w:sz w:val="24"/>
          <w:lang w:val="zh-CN"/>
        </w:rPr>
        <w:t>投标人名称(电子签章)：</w:t>
      </w:r>
    </w:p>
    <w:p w14:paraId="24D90AFD">
      <w:pPr>
        <w:pageBreakBefore w:val="0"/>
        <w:kinsoku/>
        <w:wordWrap/>
        <w:overflowPunct/>
        <w:topLinePunct w:val="0"/>
        <w:bidi w:val="0"/>
        <w:snapToGrid w:val="0"/>
        <w:spacing w:beforeAutospacing="0" w:line="360" w:lineRule="auto"/>
        <w:ind w:left="0" w:leftChars="0" w:right="0" w:firstLine="5160" w:firstLineChars="215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w:t>
      </w:r>
      <w:r>
        <w:rPr>
          <w:rFonts w:hint="eastAsia" w:ascii="宋体" w:hAnsi="宋体" w:eastAsia="宋体" w:cs="宋体"/>
          <w:color w:val="auto"/>
          <w:kern w:val="0"/>
          <w:sz w:val="24"/>
        </w:rPr>
        <w:t xml:space="preserve">：  年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w:t>
      </w:r>
    </w:p>
    <w:p w14:paraId="2C48771B">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Cs w:val="21"/>
        </w:rPr>
        <w:sectPr>
          <w:pgSz w:w="11906" w:h="16838"/>
          <w:pgMar w:top="1440" w:right="1797" w:bottom="1440" w:left="1797" w:header="851" w:footer="992" w:gutter="0"/>
          <w:cols w:space="720" w:num="1"/>
        </w:sectPr>
      </w:pPr>
    </w:p>
    <w:p w14:paraId="704F4BE6">
      <w:pPr>
        <w:pageBreakBefore w:val="0"/>
        <w:kinsoku/>
        <w:wordWrap/>
        <w:overflowPunct/>
        <w:topLinePunct w:val="0"/>
        <w:bidi w:val="0"/>
        <w:snapToGrid w:val="0"/>
        <w:spacing w:beforeAutospacing="0" w:line="360" w:lineRule="auto"/>
        <w:ind w:left="0" w:leftChars="0" w:right="0" w:firstLine="602" w:firstLineChars="200"/>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五、投标人情况介绍</w:t>
      </w:r>
    </w:p>
    <w:p w14:paraId="4903B98F">
      <w:pPr>
        <w:pageBreakBefore w:val="0"/>
        <w:kinsoku/>
        <w:wordWrap/>
        <w:overflowPunct/>
        <w:topLinePunct w:val="0"/>
        <w:bidi w:val="0"/>
        <w:spacing w:beforeAutospacing="0" w:line="360" w:lineRule="auto"/>
        <w:ind w:left="0" w:leftChars="0" w:right="0" w:firstLine="4048" w:firstLineChars="1687"/>
        <w:rPr>
          <w:rFonts w:hint="eastAsia" w:ascii="宋体" w:hAnsi="宋体" w:eastAsia="宋体" w:cs="宋体"/>
          <w:color w:val="auto"/>
          <w:kern w:val="0"/>
          <w:sz w:val="24"/>
        </w:rPr>
      </w:pPr>
      <w:r>
        <w:rPr>
          <w:rFonts w:hint="eastAsia" w:ascii="宋体" w:hAnsi="宋体" w:eastAsia="宋体" w:cs="宋体"/>
          <w:color w:val="auto"/>
          <w:sz w:val="24"/>
        </w:rPr>
        <w:t>（格式自拟）</w:t>
      </w:r>
    </w:p>
    <w:p w14:paraId="7D6F4E17">
      <w:pPr>
        <w:pageBreakBefore w:val="0"/>
        <w:kinsoku/>
        <w:wordWrap/>
        <w:overflowPunct/>
        <w:topLinePunct w:val="0"/>
        <w:bidi w:val="0"/>
        <w:snapToGrid w:val="0"/>
        <w:spacing w:beforeAutospacing="0" w:line="360" w:lineRule="auto"/>
        <w:ind w:left="0" w:leftChars="0" w:right="0" w:firstLine="4935" w:firstLineChars="2350"/>
        <w:rPr>
          <w:rFonts w:hint="eastAsia" w:ascii="宋体" w:hAnsi="宋体" w:eastAsia="宋体" w:cs="宋体"/>
          <w:color w:val="auto"/>
          <w:szCs w:val="21"/>
        </w:rPr>
      </w:pPr>
      <w:r>
        <w:rPr>
          <w:rFonts w:hint="eastAsia" w:ascii="宋体" w:hAnsi="宋体" w:eastAsia="宋体" w:cs="宋体"/>
          <w:color w:val="auto"/>
          <w:szCs w:val="21"/>
        </w:rPr>
        <w:t xml:space="preserve"> </w:t>
      </w:r>
    </w:p>
    <w:p w14:paraId="32F738F5">
      <w:pPr>
        <w:pageBreakBefore w:val="0"/>
        <w:kinsoku/>
        <w:wordWrap/>
        <w:overflowPunct/>
        <w:topLinePunct w:val="0"/>
        <w:bidi w:val="0"/>
        <w:snapToGrid w:val="0"/>
        <w:spacing w:beforeAutospacing="0" w:line="360" w:lineRule="auto"/>
        <w:ind w:left="0" w:leftChars="0" w:right="0" w:firstLine="4935" w:firstLineChars="2350"/>
        <w:rPr>
          <w:rFonts w:hint="eastAsia" w:ascii="宋体" w:hAnsi="宋体" w:eastAsia="宋体" w:cs="宋体"/>
          <w:color w:val="auto"/>
          <w:szCs w:val="21"/>
        </w:rPr>
      </w:pPr>
    </w:p>
    <w:p w14:paraId="54F686E0">
      <w:pPr>
        <w:pageBreakBefore w:val="0"/>
        <w:kinsoku/>
        <w:wordWrap/>
        <w:overflowPunct/>
        <w:topLinePunct w:val="0"/>
        <w:bidi w:val="0"/>
        <w:snapToGrid w:val="0"/>
        <w:spacing w:beforeAutospacing="0" w:line="360" w:lineRule="auto"/>
        <w:ind w:left="0" w:leftChars="0" w:right="0" w:firstLine="4935" w:firstLineChars="2350"/>
        <w:rPr>
          <w:rFonts w:hint="eastAsia" w:ascii="宋体" w:hAnsi="宋体" w:eastAsia="宋体" w:cs="宋体"/>
          <w:color w:val="auto"/>
          <w:szCs w:val="21"/>
        </w:rPr>
      </w:pPr>
    </w:p>
    <w:p w14:paraId="7CC6A13B">
      <w:pPr>
        <w:pageBreakBefore w:val="0"/>
        <w:kinsoku/>
        <w:wordWrap/>
        <w:overflowPunct/>
        <w:topLinePunct w:val="0"/>
        <w:bidi w:val="0"/>
        <w:snapToGrid w:val="0"/>
        <w:spacing w:beforeAutospacing="0" w:line="360" w:lineRule="auto"/>
        <w:ind w:left="0" w:leftChars="0" w:right="0" w:firstLine="4935" w:firstLineChars="2350"/>
        <w:rPr>
          <w:rFonts w:hint="eastAsia" w:ascii="宋体" w:hAnsi="宋体" w:eastAsia="宋体" w:cs="宋体"/>
          <w:color w:val="auto"/>
          <w:szCs w:val="21"/>
        </w:rPr>
      </w:pPr>
    </w:p>
    <w:p w14:paraId="3EF0D498">
      <w:pPr>
        <w:pageBreakBefore w:val="0"/>
        <w:kinsoku/>
        <w:wordWrap/>
        <w:overflowPunct/>
        <w:topLinePunct w:val="0"/>
        <w:bidi w:val="0"/>
        <w:snapToGrid w:val="0"/>
        <w:spacing w:beforeAutospacing="0" w:line="360" w:lineRule="auto"/>
        <w:ind w:left="0" w:leftChars="0" w:right="0" w:firstLine="4935" w:firstLineChars="2350"/>
        <w:rPr>
          <w:rFonts w:hint="eastAsia" w:ascii="宋体" w:hAnsi="宋体" w:eastAsia="宋体" w:cs="宋体"/>
          <w:color w:val="auto"/>
          <w:kern w:val="0"/>
          <w:sz w:val="24"/>
        </w:rPr>
      </w:pPr>
      <w:r>
        <w:rPr>
          <w:rFonts w:hint="eastAsia" w:ascii="宋体" w:hAnsi="宋体" w:eastAsia="宋体" w:cs="宋体"/>
          <w:color w:val="auto"/>
          <w:szCs w:val="21"/>
        </w:rPr>
        <w:t xml:space="preserve">  </w:t>
      </w:r>
      <w:r>
        <w:rPr>
          <w:rFonts w:hint="eastAsia" w:ascii="宋体" w:hAnsi="宋体" w:eastAsia="宋体" w:cs="宋体"/>
          <w:color w:val="auto"/>
          <w:kern w:val="0"/>
          <w:sz w:val="24"/>
          <w:lang w:val="zh-CN"/>
        </w:rPr>
        <w:t>投标人名称(电子签章)：</w:t>
      </w:r>
    </w:p>
    <w:p w14:paraId="3537D960">
      <w:pPr>
        <w:pageBreakBefore w:val="0"/>
        <w:kinsoku/>
        <w:wordWrap/>
        <w:overflowPunct/>
        <w:topLinePunct w:val="0"/>
        <w:bidi w:val="0"/>
        <w:snapToGrid w:val="0"/>
        <w:spacing w:beforeAutospacing="0" w:line="360" w:lineRule="auto"/>
        <w:ind w:left="0" w:leftChars="0" w:right="0" w:firstLine="5160" w:firstLineChars="215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w:t>
      </w:r>
      <w:r>
        <w:rPr>
          <w:rFonts w:hint="eastAsia" w:ascii="宋体" w:hAnsi="宋体" w:eastAsia="宋体" w:cs="宋体"/>
          <w:color w:val="auto"/>
          <w:kern w:val="0"/>
          <w:sz w:val="24"/>
        </w:rPr>
        <w:t xml:space="preserve">：  年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w:t>
      </w:r>
    </w:p>
    <w:p w14:paraId="5CF4A507">
      <w:pPr>
        <w:pageBreakBefore w:val="0"/>
        <w:kinsoku/>
        <w:wordWrap/>
        <w:overflowPunct/>
        <w:topLinePunct w:val="0"/>
        <w:bidi w:val="0"/>
        <w:snapToGrid w:val="0"/>
        <w:spacing w:beforeAutospacing="0" w:line="360" w:lineRule="auto"/>
        <w:ind w:left="0" w:leftChars="0" w:right="0" w:firstLine="602" w:firstLineChars="200"/>
        <w:jc w:val="center"/>
        <w:rPr>
          <w:rFonts w:hint="eastAsia" w:ascii="宋体" w:hAnsi="宋体" w:eastAsia="宋体" w:cs="宋体"/>
          <w:b/>
          <w:bCs/>
          <w:color w:val="auto"/>
          <w:sz w:val="30"/>
          <w:szCs w:val="30"/>
        </w:rPr>
      </w:pPr>
    </w:p>
    <w:p w14:paraId="3ACAF076">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b/>
          <w:bCs/>
          <w:color w:val="auto"/>
          <w:sz w:val="30"/>
          <w:szCs w:val="30"/>
        </w:rPr>
        <w:sectPr>
          <w:pgSz w:w="11906" w:h="16838"/>
          <w:pgMar w:top="1134" w:right="1134" w:bottom="1134" w:left="1134" w:header="720" w:footer="720" w:gutter="0"/>
          <w:cols w:space="720" w:num="1"/>
          <w:docGrid w:type="lines" w:linePitch="331" w:charSpace="0"/>
        </w:sectPr>
      </w:pPr>
    </w:p>
    <w:p w14:paraId="4186AF1A">
      <w:pPr>
        <w:pageBreakBefore w:val="0"/>
        <w:kinsoku/>
        <w:wordWrap/>
        <w:overflowPunct/>
        <w:topLinePunct w:val="0"/>
        <w:bidi w:val="0"/>
        <w:snapToGrid w:val="0"/>
        <w:spacing w:beforeAutospacing="0" w:line="360" w:lineRule="auto"/>
        <w:ind w:left="0" w:leftChars="0" w:right="0" w:firstLine="602" w:firstLineChars="200"/>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六、投标人类似的业绩证明文件（如有要求）</w:t>
      </w:r>
    </w:p>
    <w:p w14:paraId="7D78C244">
      <w:pPr>
        <w:pageBreakBefore w:val="0"/>
        <w:kinsoku/>
        <w:wordWrap/>
        <w:overflowPunct/>
        <w:topLinePunct w:val="0"/>
        <w:bidi w:val="0"/>
        <w:snapToGrid w:val="0"/>
        <w:spacing w:beforeAutospacing="0" w:line="360" w:lineRule="auto"/>
        <w:ind w:left="480" w:leftChars="0" w:right="0" w:hanging="480" w:hangingChars="200"/>
        <w:rPr>
          <w:rFonts w:hint="eastAsia" w:ascii="宋体" w:hAnsi="宋体" w:eastAsia="宋体" w:cs="宋体"/>
          <w:color w:val="auto"/>
          <w:sz w:val="24"/>
        </w:rPr>
      </w:pPr>
    </w:p>
    <w:p w14:paraId="49353E4C">
      <w:pPr>
        <w:pageBreakBefore w:val="0"/>
        <w:kinsoku/>
        <w:wordWrap/>
        <w:overflowPunct/>
        <w:topLinePunct w:val="0"/>
        <w:bidi w:val="0"/>
        <w:snapToGrid w:val="0"/>
        <w:spacing w:beforeAutospacing="0" w:line="360" w:lineRule="auto"/>
        <w:ind w:left="480" w:leftChars="0" w:right="0" w:hanging="480" w:hangingChars="200"/>
        <w:rPr>
          <w:rFonts w:hint="eastAsia" w:ascii="宋体" w:hAnsi="宋体" w:eastAsia="宋体" w:cs="宋体"/>
          <w:color w:val="auto"/>
          <w:sz w:val="24"/>
        </w:rPr>
      </w:pPr>
    </w:p>
    <w:p w14:paraId="4A7901A1">
      <w:pPr>
        <w:pageBreakBefore w:val="0"/>
        <w:kinsoku/>
        <w:wordWrap/>
        <w:overflowPunct/>
        <w:topLinePunct w:val="0"/>
        <w:bidi w:val="0"/>
        <w:snapToGrid w:val="0"/>
        <w:spacing w:beforeAutospacing="0" w:line="360" w:lineRule="auto"/>
        <w:ind w:left="480" w:leftChars="0" w:right="0" w:hanging="480" w:hangingChars="200"/>
        <w:rPr>
          <w:rFonts w:hint="eastAsia" w:ascii="宋体" w:hAnsi="宋体" w:eastAsia="宋体" w:cs="宋体"/>
          <w:color w:val="auto"/>
          <w:sz w:val="24"/>
        </w:rPr>
      </w:pPr>
    </w:p>
    <w:p w14:paraId="1F07253A">
      <w:pPr>
        <w:pageBreakBefore w:val="0"/>
        <w:kinsoku/>
        <w:wordWrap/>
        <w:overflowPunct/>
        <w:topLinePunct w:val="0"/>
        <w:autoSpaceDE w:val="0"/>
        <w:autoSpaceDN w:val="0"/>
        <w:bidi w:val="0"/>
        <w:spacing w:beforeAutospacing="0" w:line="360" w:lineRule="auto"/>
        <w:ind w:left="0" w:leftChars="0" w:right="0" w:firstLine="120"/>
        <w:rPr>
          <w:rFonts w:hint="eastAsia" w:ascii="宋体" w:hAnsi="宋体" w:eastAsia="宋体" w:cs="宋体"/>
          <w:color w:val="auto"/>
          <w:sz w:val="24"/>
        </w:rPr>
      </w:pPr>
      <w:r>
        <w:rPr>
          <w:rFonts w:hint="eastAsia" w:ascii="宋体" w:hAnsi="宋体" w:eastAsia="宋体" w:cs="宋体"/>
          <w:b/>
          <w:color w:val="auto"/>
          <w:sz w:val="24"/>
        </w:rPr>
        <w:t>附表 :相关项目业绩一览表（投标人同类项目合同原件扫描件、用户验收报告、用户评价意见格式自拟）</w:t>
      </w:r>
    </w:p>
    <w:tbl>
      <w:tblPr>
        <w:tblStyle w:val="15"/>
        <w:tblW w:w="0" w:type="auto"/>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1599B4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noWrap w:val="0"/>
            <w:vAlign w:val="center"/>
          </w:tcPr>
          <w:p w14:paraId="4DAFD36A">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采购人名称</w:t>
            </w:r>
          </w:p>
        </w:tc>
        <w:tc>
          <w:tcPr>
            <w:tcW w:w="3420" w:type="dxa"/>
            <w:vMerge w:val="restart"/>
            <w:tcBorders>
              <w:top w:val="single" w:color="auto" w:sz="4" w:space="0"/>
              <w:left w:val="single" w:color="auto" w:sz="4" w:space="0"/>
              <w:bottom w:val="single" w:color="auto" w:sz="4" w:space="0"/>
              <w:right w:val="single" w:color="auto" w:sz="4" w:space="0"/>
            </w:tcBorders>
            <w:noWrap w:val="0"/>
            <w:vAlign w:val="center"/>
          </w:tcPr>
          <w:p w14:paraId="48DB472A">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项目名称</w:t>
            </w:r>
          </w:p>
        </w:tc>
        <w:tc>
          <w:tcPr>
            <w:tcW w:w="1715" w:type="dxa"/>
            <w:vMerge w:val="restart"/>
            <w:tcBorders>
              <w:top w:val="single" w:color="auto" w:sz="4" w:space="0"/>
              <w:left w:val="single" w:color="auto" w:sz="4" w:space="0"/>
              <w:bottom w:val="single" w:color="auto" w:sz="4" w:space="0"/>
              <w:right w:val="single" w:color="auto" w:sz="4" w:space="0"/>
            </w:tcBorders>
            <w:noWrap w:val="0"/>
            <w:vAlign w:val="center"/>
          </w:tcPr>
          <w:p w14:paraId="6A11928A">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合同</w:t>
            </w:r>
          </w:p>
          <w:p w14:paraId="5C21F392">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金额</w:t>
            </w:r>
          </w:p>
          <w:p w14:paraId="46DAEF04">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（万元）</w:t>
            </w:r>
          </w:p>
        </w:tc>
        <w:tc>
          <w:tcPr>
            <w:tcW w:w="4536" w:type="dxa"/>
            <w:gridSpan w:val="3"/>
            <w:tcBorders>
              <w:top w:val="single" w:color="auto" w:sz="4" w:space="0"/>
              <w:left w:val="single" w:color="auto" w:sz="4" w:space="0"/>
              <w:bottom w:val="single" w:color="auto" w:sz="4" w:space="0"/>
              <w:right w:val="single" w:color="auto" w:sz="4" w:space="0"/>
            </w:tcBorders>
            <w:noWrap w:val="0"/>
            <w:vAlign w:val="center"/>
          </w:tcPr>
          <w:p w14:paraId="7CBD627D">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noWrap w:val="0"/>
            <w:vAlign w:val="center"/>
          </w:tcPr>
          <w:p w14:paraId="29554341">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采购人联系人及</w:t>
            </w:r>
          </w:p>
          <w:p w14:paraId="353A5B29">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联系电话</w:t>
            </w:r>
          </w:p>
        </w:tc>
      </w:tr>
      <w:tr w14:paraId="3BB328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noWrap w:val="0"/>
            <w:vAlign w:val="center"/>
          </w:tcPr>
          <w:p w14:paraId="096D7CCA">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 w:val="24"/>
              </w:rPr>
            </w:pP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14:paraId="25E368D8">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 w:val="24"/>
              </w:rPr>
            </w:pPr>
          </w:p>
        </w:tc>
        <w:tc>
          <w:tcPr>
            <w:tcW w:w="1715" w:type="dxa"/>
            <w:vMerge w:val="continue"/>
            <w:tcBorders>
              <w:top w:val="single" w:color="auto" w:sz="4" w:space="0"/>
              <w:left w:val="single" w:color="auto" w:sz="4" w:space="0"/>
              <w:bottom w:val="single" w:color="auto" w:sz="4" w:space="0"/>
              <w:right w:val="single" w:color="auto" w:sz="4" w:space="0"/>
            </w:tcBorders>
            <w:noWrap w:val="0"/>
            <w:vAlign w:val="center"/>
          </w:tcPr>
          <w:p w14:paraId="6E8B8CA2">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EE705BA">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合同</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0CC0013">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验收报告</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3B37F1E">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用户评价</w:t>
            </w:r>
          </w:p>
        </w:tc>
        <w:tc>
          <w:tcPr>
            <w:tcW w:w="2268" w:type="dxa"/>
            <w:vMerge w:val="continue"/>
            <w:tcBorders>
              <w:top w:val="single" w:color="auto" w:sz="4" w:space="0"/>
              <w:left w:val="single" w:color="auto" w:sz="4" w:space="0"/>
              <w:bottom w:val="single" w:color="auto" w:sz="4" w:space="0"/>
              <w:right w:val="single" w:color="auto" w:sz="4" w:space="0"/>
            </w:tcBorders>
            <w:noWrap w:val="0"/>
            <w:vAlign w:val="center"/>
          </w:tcPr>
          <w:p w14:paraId="3032FA71">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 w:val="24"/>
              </w:rPr>
            </w:pPr>
          </w:p>
        </w:tc>
      </w:tr>
      <w:tr w14:paraId="24434F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noWrap w:val="0"/>
            <w:vAlign w:val="top"/>
          </w:tcPr>
          <w:p w14:paraId="433E4BB0">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6E8B712E">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21B2A2F4">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A629F42">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2C23F908">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1419158">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6A2F368C">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p>
        </w:tc>
      </w:tr>
      <w:tr w14:paraId="240A22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7B7E2FE2">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0AF6CB8F">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34DD2F2B">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1BA79C64">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35185A80">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F98055B">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5C8578EC">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p>
        </w:tc>
      </w:tr>
      <w:tr w14:paraId="164B05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noWrap w:val="0"/>
            <w:vAlign w:val="top"/>
          </w:tcPr>
          <w:p w14:paraId="772D246B">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110BA4DF">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36165C61">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01DD4599">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1AB085AD">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AF4C2E7">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043CB43B">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p>
        </w:tc>
      </w:tr>
      <w:tr w14:paraId="77DAD5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7AEC7E9C">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623A4B28">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6F34B8AF">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0749B9FA">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123C9B0F">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4CA0A2F">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467B4672">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p>
        </w:tc>
      </w:tr>
      <w:tr w14:paraId="488FCE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48CAC5C6">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46CE3562">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6B1D49FF">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71830918">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05651D75">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C8137C0">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5AC264BE">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p>
        </w:tc>
      </w:tr>
    </w:tbl>
    <w:p w14:paraId="7515E72F">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0"/>
        </w:rPr>
      </w:pPr>
      <w:r>
        <w:rPr>
          <w:rFonts w:hint="eastAsia" w:ascii="宋体" w:hAnsi="宋体" w:eastAsia="宋体" w:cs="宋体"/>
          <w:color w:val="auto"/>
          <w:szCs w:val="20"/>
        </w:rPr>
        <w:t>注：投标人可按上述的格式自行编制，须随表提交相应的合同原件扫描件和用户单位验收证明并注明所在投标人商务技术文件页码。</w:t>
      </w:r>
    </w:p>
    <w:p w14:paraId="70C76437">
      <w:pPr>
        <w:pageBreakBefore w:val="0"/>
        <w:kinsoku/>
        <w:wordWrap/>
        <w:overflowPunct/>
        <w:topLinePunct w:val="0"/>
        <w:bidi w:val="0"/>
        <w:snapToGrid w:val="0"/>
        <w:spacing w:beforeAutospacing="0" w:line="360" w:lineRule="auto"/>
        <w:ind w:left="0" w:leftChars="0" w:right="0" w:firstLine="4935" w:firstLineChars="2350"/>
        <w:rPr>
          <w:rFonts w:hint="eastAsia" w:ascii="宋体" w:hAnsi="宋体" w:eastAsia="宋体" w:cs="宋体"/>
          <w:color w:val="auto"/>
          <w:szCs w:val="21"/>
        </w:rPr>
      </w:pPr>
      <w:r>
        <w:rPr>
          <w:rFonts w:hint="eastAsia" w:ascii="宋体" w:hAnsi="宋体" w:eastAsia="宋体" w:cs="宋体"/>
          <w:color w:val="auto"/>
          <w:szCs w:val="21"/>
        </w:rPr>
        <w:t xml:space="preserve"> </w:t>
      </w:r>
    </w:p>
    <w:p w14:paraId="24EB053C">
      <w:pPr>
        <w:pageBreakBefore w:val="0"/>
        <w:kinsoku/>
        <w:wordWrap/>
        <w:overflowPunct/>
        <w:topLinePunct w:val="0"/>
        <w:bidi w:val="0"/>
        <w:snapToGrid w:val="0"/>
        <w:spacing w:beforeAutospacing="0" w:line="360" w:lineRule="auto"/>
        <w:ind w:left="0" w:leftChars="0" w:right="0" w:firstLine="4935" w:firstLineChars="2350"/>
        <w:rPr>
          <w:rFonts w:hint="eastAsia" w:ascii="宋体" w:hAnsi="宋体" w:eastAsia="宋体" w:cs="宋体"/>
          <w:color w:val="auto"/>
          <w:szCs w:val="21"/>
        </w:rPr>
      </w:pPr>
    </w:p>
    <w:p w14:paraId="7D70F51D">
      <w:pPr>
        <w:pageBreakBefore w:val="0"/>
        <w:kinsoku/>
        <w:wordWrap/>
        <w:overflowPunct/>
        <w:topLinePunct w:val="0"/>
        <w:bidi w:val="0"/>
        <w:snapToGrid w:val="0"/>
        <w:spacing w:beforeAutospacing="0" w:line="360" w:lineRule="auto"/>
        <w:ind w:left="0" w:leftChars="0" w:right="0" w:firstLine="10080" w:firstLineChars="4800"/>
        <w:rPr>
          <w:rFonts w:hint="eastAsia" w:ascii="宋体" w:hAnsi="宋体" w:eastAsia="宋体" w:cs="宋体"/>
          <w:color w:val="auto"/>
          <w:kern w:val="0"/>
          <w:sz w:val="24"/>
        </w:rPr>
      </w:pPr>
      <w:r>
        <w:rPr>
          <w:rFonts w:hint="eastAsia" w:ascii="宋体" w:hAnsi="宋体" w:eastAsia="宋体" w:cs="宋体"/>
          <w:color w:val="auto"/>
          <w:szCs w:val="21"/>
        </w:rPr>
        <w:t xml:space="preserve"> </w:t>
      </w:r>
      <w:r>
        <w:rPr>
          <w:rFonts w:hint="eastAsia" w:ascii="宋体" w:hAnsi="宋体" w:eastAsia="宋体" w:cs="宋体"/>
          <w:color w:val="auto"/>
          <w:kern w:val="0"/>
          <w:sz w:val="24"/>
          <w:lang w:val="zh-CN"/>
        </w:rPr>
        <w:t>投标人名称(电子签章)：</w:t>
      </w:r>
    </w:p>
    <w:p w14:paraId="7234C76C">
      <w:pPr>
        <w:pageBreakBefore w:val="0"/>
        <w:kinsoku/>
        <w:wordWrap/>
        <w:overflowPunct/>
        <w:topLinePunct w:val="0"/>
        <w:bidi w:val="0"/>
        <w:snapToGrid w:val="0"/>
        <w:spacing w:beforeAutospacing="0" w:line="360" w:lineRule="auto"/>
        <w:ind w:left="0" w:leftChars="0" w:right="0" w:firstLine="10080" w:firstLineChars="4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w:t>
      </w:r>
      <w:r>
        <w:rPr>
          <w:rFonts w:hint="eastAsia" w:ascii="宋体" w:hAnsi="宋体" w:eastAsia="宋体" w:cs="宋体"/>
          <w:color w:val="auto"/>
          <w:kern w:val="0"/>
          <w:sz w:val="24"/>
        </w:rPr>
        <w:t xml:space="preserve">：  年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w:t>
      </w:r>
    </w:p>
    <w:p w14:paraId="64BA7A27">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24"/>
          <w:lang w:val="zh-CN"/>
        </w:rPr>
        <w:sectPr>
          <w:pgSz w:w="16838" w:h="11906" w:orient="landscape"/>
          <w:pgMar w:top="1134" w:right="1134" w:bottom="1134" w:left="1134" w:header="720" w:footer="720" w:gutter="0"/>
          <w:cols w:space="720" w:num="1"/>
          <w:docGrid w:type="lines" w:linePitch="331" w:charSpace="0"/>
        </w:sectPr>
      </w:pPr>
    </w:p>
    <w:p w14:paraId="6B5EA817">
      <w:pPr>
        <w:pageBreakBefore w:val="0"/>
        <w:kinsoku/>
        <w:wordWrap/>
        <w:overflowPunct/>
        <w:topLinePunct w:val="0"/>
        <w:bidi w:val="0"/>
        <w:spacing w:beforeAutospacing="0" w:line="360" w:lineRule="auto"/>
        <w:ind w:left="0" w:leftChars="0" w:right="0"/>
        <w:jc w:val="center"/>
        <w:outlineLvl w:val="1"/>
        <w:rPr>
          <w:rFonts w:hint="eastAsia" w:ascii="宋体" w:hAnsi="宋体" w:eastAsia="宋体" w:cs="宋体"/>
          <w:b/>
          <w:bCs/>
          <w:color w:val="auto"/>
          <w:sz w:val="28"/>
          <w:szCs w:val="28"/>
        </w:rPr>
      </w:pPr>
      <w:bookmarkStart w:id="337" w:name="_Toc10032"/>
      <w:bookmarkStart w:id="338" w:name="_Toc19686839"/>
      <w:r>
        <w:rPr>
          <w:rFonts w:hint="eastAsia" w:ascii="宋体" w:hAnsi="宋体" w:eastAsia="宋体" w:cs="宋体"/>
          <w:b/>
          <w:bCs/>
          <w:color w:val="auto"/>
          <w:sz w:val="28"/>
          <w:szCs w:val="28"/>
        </w:rPr>
        <w:t>第四节 技术文件格式</w:t>
      </w:r>
      <w:bookmarkEnd w:id="337"/>
      <w:bookmarkEnd w:id="338"/>
    </w:p>
    <w:p w14:paraId="5A8066DF">
      <w:pPr>
        <w:pageBreakBefore w:val="0"/>
        <w:kinsoku/>
        <w:wordWrap/>
        <w:overflowPunct/>
        <w:topLinePunct w:val="0"/>
        <w:bidi w:val="0"/>
        <w:snapToGrid w:val="0"/>
        <w:spacing w:beforeAutospacing="0" w:line="360" w:lineRule="auto"/>
        <w:ind w:left="0" w:leftChars="0" w:right="0"/>
        <w:rPr>
          <w:rFonts w:hint="eastAsia" w:ascii="宋体" w:hAnsi="宋体" w:eastAsia="宋体" w:cs="宋体"/>
          <w:bCs/>
          <w:color w:val="auto"/>
          <w:sz w:val="32"/>
          <w:szCs w:val="20"/>
        </w:rPr>
      </w:pPr>
      <w:r>
        <w:rPr>
          <w:rFonts w:hint="eastAsia" w:ascii="宋体" w:hAnsi="宋体" w:eastAsia="宋体" w:cs="宋体"/>
          <w:color w:val="auto"/>
          <w:sz w:val="24"/>
        </w:rPr>
        <w:t xml:space="preserve">                                                  </w:t>
      </w:r>
      <w:r>
        <w:rPr>
          <w:rFonts w:hint="eastAsia" w:ascii="宋体" w:hAnsi="宋体" w:eastAsia="宋体" w:cs="宋体"/>
          <w:bCs/>
          <w:color w:val="auto"/>
        </w:rPr>
        <w:t>电子投标文件</w:t>
      </w:r>
    </w:p>
    <w:p w14:paraId="5AAAE00D">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 w:val="24"/>
          <w:szCs w:val="20"/>
        </w:rPr>
      </w:pPr>
    </w:p>
    <w:p w14:paraId="6561FBD5">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b/>
          <w:bCs/>
          <w:color w:val="auto"/>
          <w:sz w:val="32"/>
          <w:szCs w:val="32"/>
        </w:rPr>
      </w:pPr>
    </w:p>
    <w:p w14:paraId="72491D19">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b/>
          <w:bCs/>
          <w:color w:val="auto"/>
          <w:sz w:val="32"/>
          <w:szCs w:val="32"/>
        </w:rPr>
      </w:pPr>
    </w:p>
    <w:p w14:paraId="52D7550B">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b/>
          <w:bCs/>
          <w:color w:val="auto"/>
          <w:sz w:val="32"/>
          <w:szCs w:val="32"/>
        </w:rPr>
      </w:pPr>
    </w:p>
    <w:p w14:paraId="542DD4D3">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技术文件（封面）</w:t>
      </w:r>
    </w:p>
    <w:p w14:paraId="141FD8AD">
      <w:pPr>
        <w:pageBreakBefore w:val="0"/>
        <w:kinsoku/>
        <w:wordWrap/>
        <w:overflowPunct/>
        <w:topLinePunct w:val="0"/>
        <w:bidi w:val="0"/>
        <w:snapToGrid w:val="0"/>
        <w:spacing w:beforeAutospacing="0" w:line="360" w:lineRule="auto"/>
        <w:ind w:left="0" w:leftChars="0" w:right="0"/>
        <w:rPr>
          <w:rFonts w:hint="eastAsia" w:ascii="宋体" w:hAnsi="宋体" w:eastAsia="宋体" w:cs="宋体"/>
          <w:bCs/>
          <w:color w:val="auto"/>
          <w:sz w:val="24"/>
          <w:szCs w:val="20"/>
        </w:rPr>
      </w:pPr>
    </w:p>
    <w:p w14:paraId="668CA9BC">
      <w:pPr>
        <w:pageBreakBefore w:val="0"/>
        <w:kinsoku/>
        <w:wordWrap/>
        <w:overflowPunct/>
        <w:topLinePunct w:val="0"/>
        <w:bidi w:val="0"/>
        <w:snapToGrid w:val="0"/>
        <w:spacing w:beforeAutospacing="0" w:line="360" w:lineRule="auto"/>
        <w:ind w:left="0" w:leftChars="0" w:right="0" w:firstLine="360" w:firstLineChars="150"/>
        <w:rPr>
          <w:rFonts w:hint="eastAsia" w:ascii="宋体" w:hAnsi="宋体" w:eastAsia="宋体" w:cs="宋体"/>
          <w:bCs/>
          <w:color w:val="auto"/>
          <w:sz w:val="24"/>
          <w:szCs w:val="20"/>
          <w:lang w:eastAsia="zh-CN"/>
        </w:rPr>
      </w:pPr>
      <w:r>
        <w:rPr>
          <w:rFonts w:hint="eastAsia" w:ascii="宋体" w:hAnsi="宋体" w:eastAsia="宋体" w:cs="宋体"/>
          <w:bCs/>
          <w:color w:val="auto"/>
          <w:sz w:val="24"/>
        </w:rPr>
        <w:t xml:space="preserve">项目名称： </w:t>
      </w:r>
      <w:r>
        <w:rPr>
          <w:rFonts w:hint="eastAsia" w:ascii="宋体" w:hAnsi="宋体" w:cs="宋体"/>
          <w:bCs/>
          <w:color w:val="auto"/>
          <w:sz w:val="24"/>
          <w:lang w:eastAsia="zh-CN"/>
        </w:rPr>
        <w:t>南宁市第二看守所在押人员伙房食材配送服务采购项目</w:t>
      </w:r>
    </w:p>
    <w:p w14:paraId="1126B40B">
      <w:pPr>
        <w:pageBreakBefore w:val="0"/>
        <w:kinsoku/>
        <w:wordWrap/>
        <w:overflowPunct/>
        <w:topLinePunct w:val="0"/>
        <w:bidi w:val="0"/>
        <w:snapToGrid w:val="0"/>
        <w:spacing w:beforeAutospacing="0" w:line="360" w:lineRule="auto"/>
        <w:ind w:left="0" w:leftChars="0" w:right="0" w:firstLine="360" w:firstLineChars="150"/>
        <w:rPr>
          <w:rFonts w:hint="eastAsia" w:ascii="宋体" w:hAnsi="宋体" w:eastAsia="宋体" w:cs="宋体"/>
          <w:bCs/>
          <w:color w:val="auto"/>
          <w:sz w:val="24"/>
          <w:lang w:eastAsia="zh-CN"/>
        </w:rPr>
      </w:pPr>
      <w:r>
        <w:rPr>
          <w:rFonts w:hint="eastAsia" w:ascii="宋体" w:hAnsi="宋体" w:eastAsia="宋体" w:cs="宋体"/>
          <w:bCs/>
          <w:color w:val="auto"/>
          <w:sz w:val="24"/>
        </w:rPr>
        <w:t xml:space="preserve">项目编号： </w:t>
      </w:r>
      <w:r>
        <w:rPr>
          <w:rFonts w:hint="eastAsia" w:ascii="宋体" w:hAnsi="宋体" w:cs="宋体"/>
          <w:bCs/>
          <w:color w:val="auto"/>
          <w:sz w:val="24"/>
          <w:lang w:eastAsia="zh-CN"/>
        </w:rPr>
        <w:t>NNZC2024-G3-990896-GXJZ</w:t>
      </w:r>
    </w:p>
    <w:p w14:paraId="0B4B27F7">
      <w:pPr>
        <w:pageBreakBefore w:val="0"/>
        <w:kinsoku/>
        <w:wordWrap/>
        <w:overflowPunct/>
        <w:topLinePunct w:val="0"/>
        <w:bidi w:val="0"/>
        <w:snapToGrid w:val="0"/>
        <w:spacing w:beforeAutospacing="0" w:line="360" w:lineRule="auto"/>
        <w:ind w:left="0" w:leftChars="0" w:right="0" w:firstLine="360" w:firstLineChars="150"/>
        <w:rPr>
          <w:rFonts w:hint="eastAsia" w:ascii="宋体" w:hAnsi="宋体" w:eastAsia="宋体" w:cs="宋体"/>
          <w:bCs/>
          <w:color w:val="auto"/>
          <w:sz w:val="24"/>
        </w:rPr>
      </w:pPr>
      <w:r>
        <w:rPr>
          <w:rFonts w:hint="eastAsia" w:ascii="宋体" w:hAnsi="宋体" w:eastAsia="宋体" w:cs="宋体"/>
          <w:bCs/>
          <w:color w:val="auto"/>
          <w:sz w:val="24"/>
        </w:rPr>
        <w:t>所投分标：</w:t>
      </w:r>
    </w:p>
    <w:p w14:paraId="3048B1B1">
      <w:pPr>
        <w:pageBreakBefore w:val="0"/>
        <w:kinsoku/>
        <w:wordWrap/>
        <w:overflowPunct/>
        <w:topLinePunct w:val="0"/>
        <w:bidi w:val="0"/>
        <w:snapToGrid w:val="0"/>
        <w:spacing w:beforeAutospacing="0" w:line="360" w:lineRule="auto"/>
        <w:ind w:left="0" w:leftChars="0" w:right="0" w:firstLine="360" w:firstLineChars="150"/>
        <w:rPr>
          <w:rFonts w:hint="eastAsia" w:ascii="宋体" w:hAnsi="宋体" w:eastAsia="宋体" w:cs="宋体"/>
          <w:bCs/>
          <w:color w:val="auto"/>
          <w:sz w:val="24"/>
        </w:rPr>
      </w:pPr>
      <w:r>
        <w:rPr>
          <w:rFonts w:hint="eastAsia" w:ascii="宋体" w:hAnsi="宋体" w:eastAsia="宋体" w:cs="宋体"/>
          <w:bCs/>
          <w:color w:val="auto"/>
          <w:sz w:val="24"/>
        </w:rPr>
        <w:t>投标人名称：</w:t>
      </w:r>
    </w:p>
    <w:p w14:paraId="38DEAD8E">
      <w:pPr>
        <w:pageBreakBefore w:val="0"/>
        <w:kinsoku/>
        <w:wordWrap/>
        <w:overflowPunct/>
        <w:topLinePunct w:val="0"/>
        <w:bidi w:val="0"/>
        <w:snapToGrid w:val="0"/>
        <w:spacing w:beforeAutospacing="0" w:line="360" w:lineRule="auto"/>
        <w:ind w:left="0" w:leftChars="0" w:right="0" w:firstLine="360" w:firstLineChars="150"/>
        <w:rPr>
          <w:rFonts w:hint="eastAsia" w:ascii="宋体" w:hAnsi="宋体" w:eastAsia="宋体" w:cs="宋体"/>
          <w:bCs/>
          <w:color w:val="auto"/>
          <w:sz w:val="24"/>
        </w:rPr>
      </w:pPr>
      <w:r>
        <w:rPr>
          <w:rFonts w:hint="eastAsia" w:ascii="宋体" w:hAnsi="宋体" w:eastAsia="宋体" w:cs="宋体"/>
          <w:bCs/>
          <w:color w:val="auto"/>
          <w:sz w:val="24"/>
        </w:rPr>
        <w:t>投标人地址：</w:t>
      </w:r>
    </w:p>
    <w:p w14:paraId="57A373EE">
      <w:pPr>
        <w:pageBreakBefore w:val="0"/>
        <w:kinsoku/>
        <w:wordWrap/>
        <w:overflowPunct/>
        <w:topLinePunct w:val="0"/>
        <w:bidi w:val="0"/>
        <w:snapToGrid w:val="0"/>
        <w:spacing w:beforeAutospacing="0" w:line="360" w:lineRule="auto"/>
        <w:ind w:left="0" w:leftChars="0" w:right="0" w:firstLine="645"/>
        <w:jc w:val="center"/>
        <w:rPr>
          <w:rFonts w:hint="eastAsia" w:ascii="宋体" w:hAnsi="宋体" w:eastAsia="宋体" w:cs="宋体"/>
          <w:color w:val="auto"/>
          <w:sz w:val="24"/>
        </w:rPr>
      </w:pPr>
      <w:r>
        <w:rPr>
          <w:rFonts w:hint="eastAsia" w:ascii="宋体" w:hAnsi="宋体" w:eastAsia="宋体" w:cs="宋体"/>
          <w:color w:val="auto"/>
          <w:sz w:val="24"/>
        </w:rPr>
        <w:t xml:space="preserve">                        年    月    日</w:t>
      </w:r>
    </w:p>
    <w:p w14:paraId="167C2F1C">
      <w:pPr>
        <w:pageBreakBefore w:val="0"/>
        <w:kinsoku/>
        <w:wordWrap/>
        <w:overflowPunct/>
        <w:topLinePunct w:val="0"/>
        <w:bidi w:val="0"/>
        <w:snapToGrid w:val="0"/>
        <w:spacing w:beforeAutospacing="0" w:line="360" w:lineRule="auto"/>
        <w:ind w:left="0" w:leftChars="0" w:right="0" w:firstLine="645"/>
        <w:jc w:val="center"/>
        <w:rPr>
          <w:rFonts w:hint="eastAsia" w:ascii="宋体" w:hAnsi="宋体" w:eastAsia="宋体" w:cs="宋体"/>
          <w:color w:val="auto"/>
          <w:sz w:val="24"/>
          <w:szCs w:val="20"/>
        </w:rPr>
      </w:pPr>
    </w:p>
    <w:p w14:paraId="77B3AFA6">
      <w:pPr>
        <w:pageBreakBefore w:val="0"/>
        <w:kinsoku/>
        <w:wordWrap/>
        <w:overflowPunct/>
        <w:topLinePunct w:val="0"/>
        <w:bidi w:val="0"/>
        <w:spacing w:beforeAutospacing="0" w:line="360" w:lineRule="auto"/>
        <w:ind w:left="0" w:leftChars="0" w:right="0"/>
        <w:jc w:val="center"/>
        <w:rPr>
          <w:rFonts w:hint="eastAsia" w:ascii="宋体" w:hAnsi="宋体" w:eastAsia="宋体" w:cs="宋体"/>
          <w:b/>
          <w:color w:val="auto"/>
          <w:kern w:val="0"/>
          <w:sz w:val="28"/>
          <w:szCs w:val="28"/>
        </w:rPr>
      </w:pPr>
      <w:r>
        <w:rPr>
          <w:rFonts w:hint="eastAsia" w:ascii="宋体" w:hAnsi="宋体" w:eastAsia="宋体" w:cs="宋体"/>
          <w:b/>
          <w:bCs/>
          <w:color w:val="auto"/>
          <w:sz w:val="24"/>
        </w:rPr>
        <w:br w:type="page"/>
      </w:r>
      <w:r>
        <w:rPr>
          <w:rFonts w:hint="eastAsia" w:ascii="宋体" w:hAnsi="宋体" w:eastAsia="宋体" w:cs="宋体"/>
          <w:b/>
          <w:color w:val="auto"/>
          <w:kern w:val="0"/>
          <w:sz w:val="28"/>
          <w:szCs w:val="28"/>
        </w:rPr>
        <w:t>技术文件目录</w:t>
      </w:r>
    </w:p>
    <w:p w14:paraId="59B9E9DE">
      <w:pPr>
        <w:pageBreakBefore w:val="0"/>
        <w:kinsoku/>
        <w:wordWrap/>
        <w:overflowPunct/>
        <w:topLinePunct w:val="0"/>
        <w:bidi w:val="0"/>
        <w:adjustRightInd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一、投标服务技术需求偏离表…………………………………………………（页码）</w:t>
      </w:r>
    </w:p>
    <w:p w14:paraId="1A2BBD88">
      <w:pPr>
        <w:pageBreakBefore w:val="0"/>
        <w:kinsoku/>
        <w:wordWrap/>
        <w:overflowPunct/>
        <w:topLinePunct w:val="0"/>
        <w:bidi w:val="0"/>
        <w:adjustRightInd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二、</w:t>
      </w:r>
      <w:r>
        <w:rPr>
          <w:rFonts w:hint="eastAsia" w:ascii="宋体" w:hAnsi="宋体" w:cs="宋体"/>
          <w:color w:val="auto"/>
          <w:sz w:val="24"/>
          <w:lang w:eastAsia="zh-CN"/>
        </w:rPr>
        <w:t>技术方案</w:t>
      </w:r>
      <w:r>
        <w:rPr>
          <w:rFonts w:hint="eastAsia" w:ascii="宋体" w:hAnsi="宋体" w:eastAsia="宋体" w:cs="宋体"/>
          <w:color w:val="auto"/>
          <w:sz w:val="24"/>
        </w:rPr>
        <w:t>…………………………………………………………………（页码）</w:t>
      </w:r>
    </w:p>
    <w:p w14:paraId="6256F1D1">
      <w:pPr>
        <w:pageBreakBefore w:val="0"/>
        <w:kinsoku/>
        <w:wordWrap/>
        <w:overflowPunct/>
        <w:topLinePunct w:val="0"/>
        <w:bidi w:val="0"/>
        <w:adjustRightInd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三、售后服务方案 ………………………………</w:t>
      </w:r>
      <w:r>
        <w:rPr>
          <w:rFonts w:hint="eastAsia" w:ascii="宋体" w:hAnsi="宋体" w:eastAsia="宋体" w:cs="宋体"/>
          <w:color w:val="auto"/>
          <w:sz w:val="24"/>
          <w:lang w:val="zh-CN"/>
        </w:rPr>
        <w:t>………</w:t>
      </w:r>
      <w:r>
        <w:rPr>
          <w:rFonts w:hint="eastAsia" w:ascii="宋体" w:hAnsi="宋体" w:eastAsia="宋体" w:cs="宋体"/>
          <w:color w:val="auto"/>
          <w:sz w:val="24"/>
        </w:rPr>
        <w:t>…………………………（页码）</w:t>
      </w:r>
    </w:p>
    <w:p w14:paraId="38EE2488">
      <w:pPr>
        <w:pageBreakBefore w:val="0"/>
        <w:kinsoku/>
        <w:wordWrap/>
        <w:overflowPunct/>
        <w:topLinePunct w:val="0"/>
        <w:bidi w:val="0"/>
        <w:adjustRightInd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四、</w:t>
      </w:r>
      <w:r>
        <w:rPr>
          <w:rFonts w:hint="eastAsia" w:ascii="宋体" w:hAnsi="宋体" w:eastAsia="宋体" w:cs="宋体"/>
          <w:color w:val="auto"/>
          <w:sz w:val="24"/>
          <w:lang w:val="zh-CN"/>
        </w:rPr>
        <w:t>项目实施人员一览表 ………………………………</w:t>
      </w:r>
      <w:r>
        <w:rPr>
          <w:rFonts w:hint="eastAsia" w:ascii="宋体" w:hAnsi="宋体" w:eastAsia="宋体" w:cs="宋体"/>
          <w:color w:val="auto"/>
          <w:sz w:val="24"/>
        </w:rPr>
        <w:t>………………………（页码）</w:t>
      </w:r>
    </w:p>
    <w:p w14:paraId="4779053B">
      <w:pPr>
        <w:pageBreakBefore w:val="0"/>
        <w:kinsoku/>
        <w:wordWrap/>
        <w:overflowPunct/>
        <w:topLinePunct w:val="0"/>
        <w:bidi w:val="0"/>
        <w:adjustRightInd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五、投标人对项目的合理化建议和改进措施</w:t>
      </w:r>
      <w:r>
        <w:rPr>
          <w:rFonts w:hint="eastAsia" w:ascii="宋体" w:hAnsi="宋体" w:eastAsia="宋体" w:cs="宋体"/>
          <w:color w:val="auto"/>
          <w:sz w:val="24"/>
          <w:lang w:val="zh-CN"/>
        </w:rPr>
        <w:t>………………………</w:t>
      </w:r>
      <w:r>
        <w:rPr>
          <w:rFonts w:hint="eastAsia" w:ascii="宋体" w:hAnsi="宋体" w:eastAsia="宋体" w:cs="宋体"/>
          <w:color w:val="auto"/>
          <w:sz w:val="24"/>
        </w:rPr>
        <w:t>………（页码）</w:t>
      </w:r>
    </w:p>
    <w:p w14:paraId="11DEAE72">
      <w:pPr>
        <w:pageBreakBefore w:val="0"/>
        <w:kinsoku/>
        <w:wordWrap/>
        <w:overflowPunct/>
        <w:topLinePunct w:val="0"/>
        <w:bidi w:val="0"/>
        <w:adjustRightInd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六、优惠条件及特殊承诺（如有）</w:t>
      </w:r>
      <w:r>
        <w:rPr>
          <w:rFonts w:hint="eastAsia" w:ascii="宋体" w:hAnsi="宋体" w:eastAsia="宋体" w:cs="宋体"/>
          <w:color w:val="auto"/>
          <w:sz w:val="24"/>
          <w:lang w:val="zh-CN"/>
        </w:rPr>
        <w:t>……………………………………………</w:t>
      </w:r>
      <w:r>
        <w:rPr>
          <w:rFonts w:hint="eastAsia" w:ascii="宋体" w:hAnsi="宋体" w:eastAsia="宋体" w:cs="宋体"/>
          <w:color w:val="auto"/>
          <w:sz w:val="24"/>
        </w:rPr>
        <w:t>（页码）</w:t>
      </w:r>
    </w:p>
    <w:p w14:paraId="5DADFE56">
      <w:pPr>
        <w:pageBreakBefore w:val="0"/>
        <w:kinsoku/>
        <w:wordWrap/>
        <w:overflowPunct/>
        <w:topLinePunct w:val="0"/>
        <w:bidi w:val="0"/>
        <w:adjustRightInd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七、备品备件及供选择的配套零部件清单（如有）</w:t>
      </w:r>
      <w:r>
        <w:rPr>
          <w:rFonts w:hint="eastAsia" w:ascii="宋体" w:hAnsi="宋体" w:eastAsia="宋体" w:cs="宋体"/>
          <w:color w:val="auto"/>
          <w:sz w:val="24"/>
          <w:lang w:val="zh-CN"/>
        </w:rPr>
        <w:t>………………………</w:t>
      </w:r>
      <w:r>
        <w:rPr>
          <w:rFonts w:hint="eastAsia" w:ascii="宋体" w:hAnsi="宋体" w:eastAsia="宋体" w:cs="宋体"/>
          <w:color w:val="auto"/>
          <w:sz w:val="24"/>
        </w:rPr>
        <w:t>（页码）</w:t>
      </w:r>
    </w:p>
    <w:p w14:paraId="1DF89214">
      <w:pPr>
        <w:pageBreakBefore w:val="0"/>
        <w:kinsoku/>
        <w:wordWrap/>
        <w:overflowPunct/>
        <w:topLinePunct w:val="0"/>
        <w:bidi w:val="0"/>
        <w:adjustRightInd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八、培训计划（如有）</w:t>
      </w:r>
      <w:r>
        <w:rPr>
          <w:rFonts w:hint="eastAsia" w:ascii="宋体" w:hAnsi="宋体" w:eastAsia="宋体" w:cs="宋体"/>
          <w:color w:val="auto"/>
          <w:sz w:val="24"/>
          <w:lang w:val="zh-CN"/>
        </w:rPr>
        <w:t>………………………………………………………</w:t>
      </w:r>
      <w:r>
        <w:rPr>
          <w:rFonts w:hint="eastAsia" w:ascii="宋体" w:hAnsi="宋体" w:eastAsia="宋体" w:cs="宋体"/>
          <w:color w:val="auto"/>
          <w:sz w:val="24"/>
        </w:rPr>
        <w:t>……</w:t>
      </w:r>
      <w:r>
        <w:rPr>
          <w:rFonts w:hint="eastAsia" w:ascii="宋体" w:hAnsi="宋体" w:eastAsia="宋体" w:cs="宋体"/>
          <w:color w:val="auto"/>
          <w:sz w:val="24"/>
          <w:lang w:val="zh-CN"/>
        </w:rPr>
        <w:t>…</w:t>
      </w:r>
      <w:r>
        <w:rPr>
          <w:rFonts w:hint="eastAsia" w:ascii="宋体" w:hAnsi="宋体" w:eastAsia="宋体" w:cs="宋体"/>
          <w:color w:val="auto"/>
          <w:sz w:val="24"/>
        </w:rPr>
        <w:t>（页码）</w:t>
      </w:r>
    </w:p>
    <w:p w14:paraId="3A2D57F4">
      <w:pPr>
        <w:pageBreakBefore w:val="0"/>
        <w:kinsoku/>
        <w:wordWrap/>
        <w:overflowPunct/>
        <w:topLinePunct w:val="0"/>
        <w:bidi w:val="0"/>
        <w:adjustRightInd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九、认为需要的其他技术文件或说明（如有）</w:t>
      </w:r>
      <w:r>
        <w:rPr>
          <w:rFonts w:hint="eastAsia" w:ascii="宋体" w:hAnsi="宋体" w:eastAsia="宋体" w:cs="宋体"/>
          <w:color w:val="auto"/>
          <w:sz w:val="24"/>
          <w:lang w:val="zh-CN"/>
        </w:rPr>
        <w:t>………………………………</w:t>
      </w:r>
      <w:r>
        <w:rPr>
          <w:rFonts w:hint="eastAsia" w:ascii="宋体" w:hAnsi="宋体" w:eastAsia="宋体" w:cs="宋体"/>
          <w:color w:val="auto"/>
          <w:sz w:val="24"/>
        </w:rPr>
        <w:t>（页码）</w:t>
      </w:r>
    </w:p>
    <w:p w14:paraId="635514C7">
      <w:pPr>
        <w:pageBreakBefore w:val="0"/>
        <w:kinsoku/>
        <w:wordWrap/>
        <w:overflowPunct/>
        <w:topLinePunct w:val="0"/>
        <w:bidi w:val="0"/>
        <w:spacing w:beforeAutospacing="0" w:line="360" w:lineRule="auto"/>
        <w:ind w:left="0" w:leftChars="0" w:right="0"/>
        <w:rPr>
          <w:rFonts w:hint="eastAsia" w:ascii="宋体" w:hAnsi="宋体" w:eastAsia="宋体" w:cs="宋体"/>
          <w:b/>
          <w:bCs/>
          <w:color w:val="auto"/>
          <w:sz w:val="24"/>
        </w:rPr>
      </w:pPr>
      <w:r>
        <w:rPr>
          <w:rFonts w:hint="eastAsia" w:ascii="宋体" w:hAnsi="宋体" w:eastAsia="宋体" w:cs="宋体"/>
          <w:b/>
          <w:bCs/>
          <w:color w:val="auto"/>
          <w:sz w:val="24"/>
        </w:rPr>
        <w:t>注：以上目录是基本格式要求，各投标人可根据自身情况进一步向下增加内容或细化。</w:t>
      </w:r>
    </w:p>
    <w:p w14:paraId="446F943E">
      <w:pPr>
        <w:pageBreakBefore w:val="0"/>
        <w:kinsoku/>
        <w:wordWrap/>
        <w:overflowPunct/>
        <w:topLinePunct w:val="0"/>
        <w:bidi w:val="0"/>
        <w:snapToGrid w:val="0"/>
        <w:spacing w:beforeAutospacing="0" w:line="360" w:lineRule="auto"/>
        <w:ind w:left="0" w:leftChars="0" w:right="0" w:firstLine="472" w:firstLineChars="196"/>
        <w:jc w:val="left"/>
        <w:rPr>
          <w:rFonts w:hint="eastAsia" w:ascii="宋体" w:hAnsi="宋体" w:eastAsia="宋体" w:cs="宋体"/>
          <w:b/>
          <w:color w:val="auto"/>
          <w:sz w:val="24"/>
        </w:rPr>
      </w:pPr>
    </w:p>
    <w:p w14:paraId="3281D620">
      <w:pPr>
        <w:pageBreakBefore w:val="0"/>
        <w:kinsoku/>
        <w:wordWrap/>
        <w:overflowPunct/>
        <w:topLinePunct w:val="0"/>
        <w:bidi w:val="0"/>
        <w:snapToGrid w:val="0"/>
        <w:spacing w:beforeAutospacing="0" w:line="360" w:lineRule="auto"/>
        <w:ind w:left="0" w:leftChars="0" w:right="0" w:firstLine="472" w:firstLineChars="196"/>
        <w:jc w:val="left"/>
        <w:rPr>
          <w:rFonts w:hint="eastAsia" w:ascii="宋体" w:hAnsi="宋体" w:eastAsia="宋体" w:cs="宋体"/>
          <w:b/>
          <w:color w:val="auto"/>
          <w:sz w:val="24"/>
        </w:rPr>
      </w:pPr>
      <w:r>
        <w:rPr>
          <w:rFonts w:hint="eastAsia" w:ascii="宋体" w:hAnsi="宋体" w:eastAsia="宋体" w:cs="宋体"/>
          <w:b/>
          <w:color w:val="auto"/>
          <w:sz w:val="24"/>
        </w:rPr>
        <w:br w:type="page"/>
      </w:r>
      <w:r>
        <w:rPr>
          <w:rFonts w:hint="eastAsia" w:ascii="宋体" w:hAnsi="宋体" w:eastAsia="宋体" w:cs="宋体"/>
          <w:b/>
          <w:color w:val="auto"/>
          <w:sz w:val="24"/>
        </w:rPr>
        <w:t xml:space="preserve"> </w:t>
      </w:r>
    </w:p>
    <w:p w14:paraId="01FFD36B">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一、投标服务技术需求偏离表</w:t>
      </w:r>
    </w:p>
    <w:p w14:paraId="01A606D7">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0"/>
        </w:rPr>
      </w:pPr>
    </w:p>
    <w:p w14:paraId="4E016508">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请根据所投服务的实际技术参数，</w:t>
      </w:r>
      <w:r>
        <w:rPr>
          <w:rFonts w:hint="eastAsia" w:ascii="宋体" w:hAnsi="宋体" w:eastAsia="宋体" w:cs="宋体"/>
          <w:b/>
          <w:color w:val="auto"/>
          <w:sz w:val="28"/>
          <w:szCs w:val="28"/>
        </w:rPr>
        <w:t>逐条对应</w:t>
      </w:r>
      <w:r>
        <w:rPr>
          <w:rFonts w:hint="eastAsia" w:ascii="宋体" w:hAnsi="宋体" w:eastAsia="宋体" w:cs="宋体"/>
          <w:color w:val="auto"/>
          <w:sz w:val="24"/>
        </w:rPr>
        <w:t>本项目招标文件第二章“服务需求一览表”中的</w:t>
      </w:r>
      <w:r>
        <w:rPr>
          <w:rFonts w:hint="eastAsia" w:ascii="宋体" w:hAnsi="宋体" w:eastAsia="宋体" w:cs="宋体"/>
          <w:b/>
          <w:color w:val="auto"/>
          <w:sz w:val="28"/>
          <w:szCs w:val="28"/>
        </w:rPr>
        <w:t>采购清单及服务参数</w:t>
      </w:r>
      <w:r>
        <w:rPr>
          <w:rFonts w:hint="eastAsia" w:ascii="宋体" w:hAnsi="宋体" w:eastAsia="宋体" w:cs="宋体"/>
          <w:color w:val="auto"/>
          <w:sz w:val="24"/>
        </w:rPr>
        <w:t>详细填写相应的具体内容。“偏离说明”一栏应当选择“正偏离”、“负偏离”或“无偏离”进行填写。</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422BC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14:paraId="01483813">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项号</w:t>
            </w:r>
          </w:p>
        </w:tc>
        <w:tc>
          <w:tcPr>
            <w:tcW w:w="3570" w:type="dxa"/>
            <w:gridSpan w:val="2"/>
            <w:tcBorders>
              <w:top w:val="single" w:color="auto" w:sz="4" w:space="0"/>
              <w:left w:val="single" w:color="auto" w:sz="4" w:space="0"/>
              <w:bottom w:val="single" w:color="auto" w:sz="4" w:space="0"/>
              <w:right w:val="single" w:color="auto" w:sz="4" w:space="0"/>
            </w:tcBorders>
            <w:noWrap w:val="0"/>
            <w:vAlign w:val="center"/>
          </w:tcPr>
          <w:p w14:paraId="0F9CC5C5">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zCs w:val="21"/>
              </w:rPr>
            </w:pPr>
            <w:r>
              <w:rPr>
                <w:rFonts w:hint="eastAsia" w:ascii="宋体" w:hAnsi="宋体" w:eastAsia="宋体" w:cs="宋体"/>
                <w:color w:val="auto"/>
                <w:szCs w:val="21"/>
              </w:rPr>
              <w:t>招标文件需求</w:t>
            </w:r>
          </w:p>
        </w:tc>
        <w:tc>
          <w:tcPr>
            <w:tcW w:w="4813" w:type="dxa"/>
            <w:gridSpan w:val="2"/>
            <w:tcBorders>
              <w:top w:val="single" w:color="auto" w:sz="4" w:space="0"/>
              <w:left w:val="single" w:color="auto" w:sz="4" w:space="0"/>
              <w:bottom w:val="single" w:color="auto" w:sz="4" w:space="0"/>
              <w:right w:val="single" w:color="auto" w:sz="4" w:space="0"/>
            </w:tcBorders>
            <w:noWrap w:val="0"/>
            <w:vAlign w:val="center"/>
          </w:tcPr>
          <w:p w14:paraId="06492413">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zCs w:val="21"/>
              </w:rPr>
            </w:pPr>
            <w:r>
              <w:rPr>
                <w:rFonts w:hint="eastAsia" w:ascii="宋体" w:hAnsi="宋体" w:eastAsia="宋体" w:cs="宋体"/>
                <w:color w:val="auto"/>
                <w:szCs w:val="21"/>
              </w:rPr>
              <w:t>投标文件承诺</w:t>
            </w:r>
          </w:p>
        </w:tc>
        <w:tc>
          <w:tcPr>
            <w:tcW w:w="1168" w:type="dxa"/>
            <w:vMerge w:val="restart"/>
            <w:tcBorders>
              <w:top w:val="single" w:color="auto" w:sz="4" w:space="0"/>
              <w:left w:val="single" w:color="auto" w:sz="4" w:space="0"/>
              <w:bottom w:val="single" w:color="auto" w:sz="4" w:space="0"/>
              <w:right w:val="single" w:color="auto" w:sz="4" w:space="0"/>
            </w:tcBorders>
            <w:noWrap w:val="0"/>
            <w:vAlign w:val="center"/>
          </w:tcPr>
          <w:p w14:paraId="3260BD48">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偏离说明</w:t>
            </w:r>
          </w:p>
        </w:tc>
      </w:tr>
      <w:tr w14:paraId="7215A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0185" w:type="dxa"/>
            <w:vMerge w:val="continue"/>
            <w:tcBorders>
              <w:top w:val="single" w:color="auto" w:sz="4" w:space="0"/>
              <w:left w:val="single" w:color="auto" w:sz="4" w:space="0"/>
              <w:bottom w:val="single" w:color="auto" w:sz="4" w:space="0"/>
              <w:right w:val="single" w:color="auto" w:sz="4" w:space="0"/>
            </w:tcBorders>
            <w:noWrap w:val="0"/>
            <w:vAlign w:val="center"/>
          </w:tcPr>
          <w:p w14:paraId="72105276">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B5D99F3">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zCs w:val="21"/>
              </w:rPr>
            </w:pPr>
            <w:r>
              <w:rPr>
                <w:rFonts w:hint="eastAsia" w:ascii="宋体" w:hAnsi="宋体" w:eastAsia="宋体" w:cs="宋体"/>
                <w:color w:val="auto"/>
                <w:szCs w:val="21"/>
              </w:rPr>
              <w:t>服务名称</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23ADFB03">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zCs w:val="21"/>
              </w:rPr>
            </w:pPr>
            <w:r>
              <w:rPr>
                <w:rFonts w:hint="eastAsia" w:ascii="宋体" w:hAnsi="宋体" w:eastAsia="宋体" w:cs="宋体"/>
                <w:color w:val="auto"/>
                <w:szCs w:val="21"/>
              </w:rPr>
              <w:t>服务参数</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E46FEEC">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zCs w:val="21"/>
              </w:rPr>
            </w:pPr>
            <w:r>
              <w:rPr>
                <w:rFonts w:hint="eastAsia" w:ascii="宋体" w:hAnsi="宋体" w:eastAsia="宋体" w:cs="宋体"/>
                <w:color w:val="auto"/>
                <w:szCs w:val="21"/>
              </w:rPr>
              <w:t>服务名称</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02F2E5CE">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zCs w:val="21"/>
              </w:rPr>
            </w:pPr>
            <w:r>
              <w:rPr>
                <w:rFonts w:hint="eastAsia" w:ascii="宋体" w:hAnsi="宋体" w:eastAsia="宋体" w:cs="宋体"/>
                <w:color w:val="auto"/>
                <w:szCs w:val="21"/>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noWrap w:val="0"/>
            <w:vAlign w:val="center"/>
          </w:tcPr>
          <w:p w14:paraId="2784A31C">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Cs w:val="21"/>
              </w:rPr>
            </w:pPr>
          </w:p>
        </w:tc>
      </w:tr>
      <w:tr w14:paraId="7B13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6ECE14AB">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3AF8713">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05BEBB69">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1  ……</w:t>
            </w:r>
          </w:p>
          <w:p w14:paraId="41E59A9E">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2  ……</w:t>
            </w:r>
          </w:p>
          <w:p w14:paraId="66F7A16F">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3  ……</w:t>
            </w:r>
          </w:p>
          <w:p w14:paraId="777EA1B6">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37F78FB">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22011ED1">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1  ……</w:t>
            </w:r>
          </w:p>
          <w:p w14:paraId="6AB4313A">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2  ……</w:t>
            </w:r>
          </w:p>
          <w:p w14:paraId="76A76D69">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3  ……</w:t>
            </w:r>
          </w:p>
          <w:p w14:paraId="3FA123E8">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74784236">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正偏离（负偏离或无偏离）</w:t>
            </w:r>
          </w:p>
        </w:tc>
      </w:tr>
      <w:tr w14:paraId="46148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687BD26C">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5285A8B">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3EE6A838">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1  ……</w:t>
            </w:r>
          </w:p>
          <w:p w14:paraId="18C86460">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2  ……</w:t>
            </w:r>
          </w:p>
          <w:p w14:paraId="44986C49">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3  ……</w:t>
            </w:r>
          </w:p>
          <w:p w14:paraId="78FF216C">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2D7C78D">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4633A6B5">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1  ……</w:t>
            </w:r>
          </w:p>
          <w:p w14:paraId="1530210F">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2  ……</w:t>
            </w:r>
          </w:p>
          <w:p w14:paraId="65EACFE6">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3  ……</w:t>
            </w:r>
          </w:p>
          <w:p w14:paraId="0C3A1755">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0EB9B955">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正偏离（负偏离或无偏离）</w:t>
            </w:r>
          </w:p>
        </w:tc>
      </w:tr>
      <w:tr w14:paraId="509A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44774B54">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BD7F9A2">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14:paraId="4F202C79">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35AD08D">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p>
        </w:tc>
        <w:tc>
          <w:tcPr>
            <w:tcW w:w="3297" w:type="dxa"/>
            <w:tcBorders>
              <w:top w:val="single" w:color="auto" w:sz="4" w:space="0"/>
              <w:left w:val="single" w:color="auto" w:sz="4" w:space="0"/>
              <w:bottom w:val="single" w:color="auto" w:sz="4" w:space="0"/>
              <w:right w:val="single" w:color="auto" w:sz="4" w:space="0"/>
            </w:tcBorders>
            <w:noWrap w:val="0"/>
            <w:vAlign w:val="center"/>
          </w:tcPr>
          <w:p w14:paraId="2E2981C5">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2CEB4502">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p>
        </w:tc>
      </w:tr>
      <w:tr w14:paraId="63426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noWrap w:val="0"/>
            <w:vAlign w:val="center"/>
          </w:tcPr>
          <w:p w14:paraId="1905F073">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u w:val="single"/>
              </w:rPr>
              <w:t>　　</w:t>
            </w:r>
            <w:r>
              <w:rPr>
                <w:rFonts w:hint="eastAsia" w:ascii="宋体" w:hAnsi="宋体" w:eastAsia="宋体" w:cs="宋体"/>
                <w:color w:val="auto"/>
                <w:szCs w:val="21"/>
              </w:rPr>
              <w:t>分标（此处有分标时填写具体分标号，无分标时填写“无”）</w:t>
            </w:r>
          </w:p>
        </w:tc>
      </w:tr>
    </w:tbl>
    <w:p w14:paraId="6F4ED326">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注：</w:t>
      </w:r>
    </w:p>
    <w:p w14:paraId="4D79D0E5">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color w:val="auto"/>
          <w:szCs w:val="21"/>
        </w:rPr>
        <w:t>1.表格内容均需按要求填写并盖章，不得留空，</w:t>
      </w:r>
      <w:r>
        <w:rPr>
          <w:rFonts w:hint="eastAsia" w:ascii="宋体" w:hAnsi="宋体" w:eastAsia="宋体" w:cs="宋体"/>
          <w:bCs/>
          <w:color w:val="auto"/>
          <w:szCs w:val="21"/>
        </w:rPr>
        <w:t>否则按投标无效处理</w:t>
      </w:r>
      <w:r>
        <w:rPr>
          <w:rFonts w:hint="eastAsia" w:ascii="宋体" w:hAnsi="宋体" w:eastAsia="宋体" w:cs="宋体"/>
          <w:color w:val="auto"/>
          <w:szCs w:val="21"/>
        </w:rPr>
        <w:t>。</w:t>
      </w:r>
    </w:p>
    <w:p w14:paraId="17306D87">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1"/>
        </w:rPr>
      </w:pPr>
      <w:r>
        <w:rPr>
          <w:rFonts w:hint="eastAsia" w:ascii="宋体" w:hAnsi="宋体" w:eastAsia="宋体" w:cs="宋体"/>
          <w:bCs/>
          <w:color w:val="auto"/>
          <w:szCs w:val="21"/>
        </w:rPr>
        <w:t>2.当投标文件的服务内容低于招标文件要求时，投标人应当如实写明“负偏离”，否则视为虚假应标。</w:t>
      </w:r>
    </w:p>
    <w:p w14:paraId="70011E23">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0"/>
        </w:rPr>
      </w:pPr>
      <w:r>
        <w:rPr>
          <w:rFonts w:hint="eastAsia" w:ascii="宋体" w:hAnsi="宋体" w:eastAsia="宋体" w:cs="宋体"/>
          <w:color w:val="auto"/>
          <w:szCs w:val="20"/>
        </w:rPr>
        <w:t>3.</w:t>
      </w:r>
      <w:r>
        <w:rPr>
          <w:rFonts w:hint="eastAsia" w:ascii="宋体" w:hAnsi="宋体" w:eastAsia="宋体" w:cs="宋体"/>
          <w:color w:val="auto"/>
          <w:szCs w:val="21"/>
        </w:rPr>
        <w:t>采购需求中带“▲”及“★”的条款，也要分别在本表“服务参数”、“所提供服务的内容”中标记。</w:t>
      </w:r>
    </w:p>
    <w:p w14:paraId="0CD3A66A">
      <w:pPr>
        <w:pageBreakBefore w:val="0"/>
        <w:kinsoku/>
        <w:wordWrap/>
        <w:overflowPunct/>
        <w:topLinePunct w:val="0"/>
        <w:bidi w:val="0"/>
        <w:snapToGrid w:val="0"/>
        <w:spacing w:beforeAutospacing="0" w:line="360" w:lineRule="auto"/>
        <w:ind w:left="0" w:leftChars="0" w:right="0" w:firstLine="5640" w:firstLineChars="2350"/>
        <w:rPr>
          <w:rFonts w:hint="eastAsia" w:ascii="宋体" w:hAnsi="宋体" w:eastAsia="宋体" w:cs="宋体"/>
          <w:color w:val="auto"/>
          <w:kern w:val="0"/>
          <w:sz w:val="24"/>
          <w:lang w:val="zh-CN"/>
        </w:rPr>
      </w:pPr>
    </w:p>
    <w:p w14:paraId="518B3617">
      <w:pPr>
        <w:pageBreakBefore w:val="0"/>
        <w:kinsoku/>
        <w:wordWrap/>
        <w:overflowPunct/>
        <w:topLinePunct w:val="0"/>
        <w:bidi w:val="0"/>
        <w:snapToGrid w:val="0"/>
        <w:spacing w:beforeAutospacing="0" w:line="360" w:lineRule="auto"/>
        <w:ind w:left="0" w:leftChars="0" w:right="0" w:firstLine="5640" w:firstLineChars="2350"/>
        <w:rPr>
          <w:rFonts w:hint="eastAsia" w:ascii="宋体" w:hAnsi="宋体" w:eastAsia="宋体" w:cs="宋体"/>
          <w:color w:val="auto"/>
          <w:kern w:val="0"/>
          <w:sz w:val="24"/>
        </w:rPr>
      </w:pPr>
      <w:r>
        <w:rPr>
          <w:rFonts w:hint="eastAsia" w:ascii="宋体" w:hAnsi="宋体" w:eastAsia="宋体" w:cs="宋体"/>
          <w:color w:val="auto"/>
          <w:kern w:val="0"/>
          <w:sz w:val="24"/>
          <w:lang w:val="zh-CN"/>
        </w:rPr>
        <w:t>投标人名称(电子签章)：</w:t>
      </w:r>
    </w:p>
    <w:p w14:paraId="4584ABFB">
      <w:pPr>
        <w:pageBreakBefore w:val="0"/>
        <w:kinsoku/>
        <w:wordWrap/>
        <w:overflowPunct/>
        <w:topLinePunct w:val="0"/>
        <w:bidi w:val="0"/>
        <w:snapToGrid w:val="0"/>
        <w:spacing w:beforeAutospacing="0" w:line="360" w:lineRule="auto"/>
        <w:ind w:left="0" w:leftChars="0" w:right="0" w:firstLine="5160" w:firstLineChars="215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w:t>
      </w:r>
      <w:r>
        <w:rPr>
          <w:rFonts w:hint="eastAsia" w:ascii="宋体" w:hAnsi="宋体" w:eastAsia="宋体" w:cs="宋体"/>
          <w:color w:val="auto"/>
          <w:kern w:val="0"/>
          <w:sz w:val="24"/>
        </w:rPr>
        <w:t xml:space="preserve">：  年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w:t>
      </w:r>
    </w:p>
    <w:p w14:paraId="445DA0EC">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 w:val="30"/>
          <w:szCs w:val="20"/>
        </w:rPr>
        <w:sectPr>
          <w:pgSz w:w="11906" w:h="16838"/>
          <w:pgMar w:top="1134" w:right="1134" w:bottom="1134" w:left="1134" w:header="720" w:footer="720" w:gutter="0"/>
          <w:cols w:space="720" w:num="1"/>
          <w:docGrid w:type="lines" w:linePitch="331" w:charSpace="0"/>
        </w:sectPr>
      </w:pPr>
    </w:p>
    <w:p w14:paraId="6C983598">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b/>
          <w:bCs/>
          <w:color w:val="auto"/>
          <w:sz w:val="30"/>
          <w:szCs w:val="30"/>
          <w:lang w:eastAsia="zh-CN"/>
        </w:rPr>
      </w:pPr>
      <w:r>
        <w:rPr>
          <w:rFonts w:hint="eastAsia" w:ascii="宋体" w:hAnsi="宋体" w:eastAsia="宋体" w:cs="宋体"/>
          <w:b/>
          <w:bCs/>
          <w:color w:val="auto"/>
          <w:sz w:val="30"/>
          <w:szCs w:val="30"/>
        </w:rPr>
        <w:t>二、</w:t>
      </w:r>
      <w:r>
        <w:rPr>
          <w:rFonts w:hint="eastAsia" w:ascii="宋体" w:hAnsi="宋体" w:cs="宋体"/>
          <w:b/>
          <w:bCs/>
          <w:color w:val="auto"/>
          <w:sz w:val="30"/>
          <w:szCs w:val="30"/>
          <w:lang w:eastAsia="zh-CN"/>
        </w:rPr>
        <w:t>技术方案</w:t>
      </w:r>
    </w:p>
    <w:p w14:paraId="17721DB2">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（由投标人根据采购需求及招标文件要求编制）</w:t>
      </w:r>
    </w:p>
    <w:p w14:paraId="15860A72">
      <w:pPr>
        <w:pageBreakBefore w:val="0"/>
        <w:kinsoku/>
        <w:wordWrap/>
        <w:overflowPunct/>
        <w:topLinePunct w:val="0"/>
        <w:bidi w:val="0"/>
        <w:spacing w:beforeAutospacing="0" w:line="360" w:lineRule="auto"/>
        <w:ind w:left="0" w:leftChars="0" w:right="0"/>
        <w:rPr>
          <w:rFonts w:hint="eastAsia" w:ascii="宋体" w:hAnsi="宋体" w:eastAsia="宋体" w:cs="宋体"/>
          <w:b/>
          <w:bCs/>
          <w:color w:val="auto"/>
          <w:kern w:val="0"/>
          <w:sz w:val="24"/>
          <w:lang w:val="zh-CN"/>
        </w:rPr>
      </w:pPr>
    </w:p>
    <w:p w14:paraId="54559C28">
      <w:pPr>
        <w:pageBreakBefore w:val="0"/>
        <w:kinsoku/>
        <w:wordWrap/>
        <w:overflowPunct/>
        <w:topLinePunct w:val="0"/>
        <w:bidi w:val="0"/>
        <w:snapToGrid w:val="0"/>
        <w:spacing w:beforeAutospacing="0" w:line="360" w:lineRule="auto"/>
        <w:ind w:left="0" w:leftChars="0" w:right="0" w:firstLine="4935" w:firstLineChars="2350"/>
        <w:rPr>
          <w:rFonts w:hint="eastAsia" w:ascii="宋体" w:hAnsi="宋体" w:eastAsia="宋体" w:cs="宋体"/>
          <w:color w:val="auto"/>
          <w:szCs w:val="21"/>
        </w:rPr>
      </w:pPr>
      <w:r>
        <w:rPr>
          <w:rFonts w:hint="eastAsia" w:ascii="宋体" w:hAnsi="宋体" w:eastAsia="宋体" w:cs="宋体"/>
          <w:color w:val="auto"/>
          <w:szCs w:val="21"/>
        </w:rPr>
        <w:t xml:space="preserve"> </w:t>
      </w:r>
    </w:p>
    <w:p w14:paraId="19AD8885">
      <w:pPr>
        <w:rPr>
          <w:rFonts w:hint="eastAsia" w:ascii="宋体" w:hAnsi="宋体" w:eastAsia="宋体" w:cs="宋体"/>
          <w:b/>
          <w:bCs/>
          <w:color w:val="auto"/>
          <w:sz w:val="30"/>
          <w:szCs w:val="30"/>
        </w:rPr>
      </w:pPr>
      <w:r>
        <w:rPr>
          <w:rFonts w:hint="eastAsia" w:ascii="宋体" w:hAnsi="宋体" w:eastAsia="宋体" w:cs="宋体"/>
          <w:b/>
          <w:bCs/>
          <w:color w:val="auto"/>
          <w:sz w:val="30"/>
          <w:szCs w:val="30"/>
        </w:rPr>
        <w:br w:type="page"/>
      </w:r>
    </w:p>
    <w:p w14:paraId="780DB695">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三、售后服务方案</w:t>
      </w:r>
    </w:p>
    <w:p w14:paraId="326E2453">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（由投标人根据采购需求及招标文件要求编制）</w:t>
      </w:r>
    </w:p>
    <w:p w14:paraId="3CF00C2C">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1、售后服务承诺</w:t>
      </w:r>
    </w:p>
    <w:p w14:paraId="566E7EC8">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b/>
          <w:color w:val="auto"/>
          <w:sz w:val="24"/>
        </w:rPr>
      </w:pPr>
      <w:r>
        <w:rPr>
          <w:rFonts w:hint="eastAsia" w:ascii="宋体" w:hAnsi="宋体" w:eastAsia="宋体" w:cs="宋体"/>
          <w:b/>
          <w:color w:val="auto"/>
          <w:sz w:val="24"/>
        </w:rPr>
        <w:t>附表A:售后服务机构情况表</w:t>
      </w:r>
      <w:r>
        <w:rPr>
          <w:rFonts w:hint="eastAsia" w:ascii="宋体" w:hAnsi="宋体" w:eastAsia="宋体" w:cs="宋体"/>
          <w:color w:val="auto"/>
          <w:sz w:val="24"/>
        </w:rPr>
        <w:t>（按此格式自制）</w:t>
      </w:r>
    </w:p>
    <w:tbl>
      <w:tblPr>
        <w:tblStyle w:val="1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49E4E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238932DE">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b/>
                <w:color w:val="auto"/>
                <w:sz w:val="24"/>
              </w:rPr>
            </w:pPr>
            <w:r>
              <w:rPr>
                <w:rFonts w:hint="eastAsia" w:ascii="宋体" w:hAnsi="宋体" w:eastAsia="宋体" w:cs="宋体"/>
                <w:b/>
                <w:color w:val="auto"/>
                <w:sz w:val="24"/>
              </w:rPr>
              <w:t>序号</w:t>
            </w:r>
          </w:p>
        </w:tc>
        <w:tc>
          <w:tcPr>
            <w:tcW w:w="2340" w:type="dxa"/>
            <w:tcBorders>
              <w:top w:val="single" w:color="auto" w:sz="4" w:space="0"/>
              <w:left w:val="single" w:color="auto" w:sz="4" w:space="0"/>
              <w:bottom w:val="single" w:color="auto" w:sz="4" w:space="0"/>
              <w:right w:val="single" w:color="auto" w:sz="4" w:space="0"/>
            </w:tcBorders>
            <w:noWrap w:val="0"/>
            <w:vAlign w:val="top"/>
          </w:tcPr>
          <w:p w14:paraId="6A6BA272">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b/>
                <w:color w:val="auto"/>
                <w:sz w:val="24"/>
              </w:rPr>
            </w:pPr>
            <w:r>
              <w:rPr>
                <w:rFonts w:hint="eastAsia" w:ascii="宋体" w:hAnsi="宋体" w:eastAsia="宋体" w:cs="宋体"/>
                <w:b/>
                <w:color w:val="auto"/>
                <w:sz w:val="24"/>
              </w:rPr>
              <w:t>机构名称</w:t>
            </w:r>
          </w:p>
        </w:tc>
        <w:tc>
          <w:tcPr>
            <w:tcW w:w="1095" w:type="dxa"/>
            <w:tcBorders>
              <w:top w:val="single" w:color="auto" w:sz="4" w:space="0"/>
              <w:left w:val="single" w:color="auto" w:sz="4" w:space="0"/>
              <w:bottom w:val="single" w:color="auto" w:sz="4" w:space="0"/>
              <w:right w:val="single" w:color="auto" w:sz="4" w:space="0"/>
            </w:tcBorders>
            <w:noWrap w:val="0"/>
            <w:vAlign w:val="top"/>
          </w:tcPr>
          <w:p w14:paraId="76F8A30C">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b/>
                <w:color w:val="auto"/>
                <w:sz w:val="24"/>
              </w:rPr>
            </w:pPr>
            <w:r>
              <w:rPr>
                <w:rFonts w:hint="eastAsia" w:ascii="宋体" w:hAnsi="宋体" w:eastAsia="宋体" w:cs="宋体"/>
                <w:b/>
                <w:color w:val="auto"/>
                <w:sz w:val="24"/>
              </w:rPr>
              <w:t>机构性质</w:t>
            </w:r>
          </w:p>
        </w:tc>
        <w:tc>
          <w:tcPr>
            <w:tcW w:w="1245" w:type="dxa"/>
            <w:tcBorders>
              <w:top w:val="single" w:color="auto" w:sz="4" w:space="0"/>
              <w:left w:val="single" w:color="auto" w:sz="4" w:space="0"/>
              <w:bottom w:val="single" w:color="auto" w:sz="4" w:space="0"/>
              <w:right w:val="single" w:color="auto" w:sz="4" w:space="0"/>
            </w:tcBorders>
            <w:noWrap w:val="0"/>
            <w:vAlign w:val="top"/>
          </w:tcPr>
          <w:p w14:paraId="38BF093B">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b/>
                <w:color w:val="auto"/>
                <w:sz w:val="24"/>
              </w:rPr>
            </w:pPr>
            <w:r>
              <w:rPr>
                <w:rFonts w:hint="eastAsia" w:ascii="宋体" w:hAnsi="宋体" w:eastAsia="宋体" w:cs="宋体"/>
                <w:b/>
                <w:color w:val="auto"/>
                <w:sz w:val="24"/>
              </w:rPr>
              <w:t>注册地址</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680976A0">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b/>
                <w:color w:val="auto"/>
                <w:sz w:val="24"/>
              </w:rPr>
            </w:pPr>
            <w:r>
              <w:rPr>
                <w:rFonts w:hint="eastAsia" w:ascii="宋体" w:hAnsi="宋体" w:eastAsia="宋体" w:cs="宋体"/>
                <w:b/>
                <w:color w:val="auto"/>
                <w:sz w:val="24"/>
              </w:rPr>
              <w:t>服务技术人员数量</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2E0D0272">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b/>
                <w:color w:val="auto"/>
                <w:sz w:val="24"/>
              </w:rPr>
            </w:pPr>
            <w:r>
              <w:rPr>
                <w:rFonts w:hint="eastAsia" w:ascii="宋体" w:hAnsi="宋体" w:eastAsia="宋体" w:cs="宋体"/>
                <w:b/>
                <w:color w:val="auto"/>
                <w:sz w:val="24"/>
              </w:rPr>
              <w:t>联系电话</w:t>
            </w:r>
          </w:p>
        </w:tc>
      </w:tr>
      <w:tr w14:paraId="271A7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74B90067">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3DCA7E7D">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CE166DF">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72CC9D18">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0BE85C20">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3246785">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p>
        </w:tc>
      </w:tr>
      <w:tr w14:paraId="5C0E5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2CD4A21A">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49E85E86">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3815B0C">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545AAEE6">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50593378">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5616535">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p>
        </w:tc>
      </w:tr>
      <w:tr w14:paraId="3530F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1D9A3E70">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55A2B604">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A957B79">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56DC9837">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64A678CC">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18EBAA7">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p>
        </w:tc>
      </w:tr>
    </w:tbl>
    <w:p w14:paraId="60D2ABF4">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b/>
          <w:color w:val="auto"/>
          <w:sz w:val="24"/>
        </w:rPr>
      </w:pPr>
      <w:r>
        <w:rPr>
          <w:rFonts w:hint="eastAsia" w:ascii="宋体" w:hAnsi="宋体" w:eastAsia="宋体" w:cs="宋体"/>
          <w:b/>
          <w:color w:val="auto"/>
          <w:sz w:val="24"/>
        </w:rPr>
        <w:t>注：关于项目涉及的所有售后服务机构均在本表注明，包括投标人本单位和符合条件的第三方服务机构；</w:t>
      </w:r>
    </w:p>
    <w:p w14:paraId="0036DD4A">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kern w:val="0"/>
          <w:sz w:val="24"/>
        </w:rPr>
      </w:pPr>
    </w:p>
    <w:p w14:paraId="5B9DB23B">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kern w:val="0"/>
          <w:sz w:val="24"/>
        </w:rPr>
      </w:pPr>
      <w:r>
        <w:rPr>
          <w:rFonts w:hint="eastAsia" w:ascii="宋体" w:hAnsi="宋体" w:eastAsia="宋体" w:cs="宋体"/>
          <w:b/>
          <w:color w:val="auto"/>
          <w:kern w:val="0"/>
          <w:sz w:val="24"/>
        </w:rPr>
        <w:t>附表B：售后服务人员情况表</w:t>
      </w:r>
      <w:r>
        <w:rPr>
          <w:rFonts w:hint="eastAsia" w:ascii="宋体" w:hAnsi="宋体" w:eastAsia="宋体" w:cs="宋体"/>
          <w:color w:val="auto"/>
          <w:sz w:val="24"/>
        </w:rPr>
        <w:t>（按此格式自制）</w:t>
      </w:r>
    </w:p>
    <w:tbl>
      <w:tblPr>
        <w:tblStyle w:val="15"/>
        <w:tblW w:w="0" w:type="auto"/>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47A880A4">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14:paraId="2ABA1FB5">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序号</w:t>
            </w:r>
          </w:p>
          <w:p w14:paraId="0581FCDC">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p>
        </w:tc>
        <w:tc>
          <w:tcPr>
            <w:tcW w:w="746" w:type="dxa"/>
            <w:tcBorders>
              <w:top w:val="single" w:color="auto" w:sz="6" w:space="0"/>
              <w:left w:val="single" w:color="auto" w:sz="4" w:space="0"/>
              <w:bottom w:val="single" w:color="auto" w:sz="6" w:space="0"/>
              <w:right w:val="single" w:color="auto" w:sz="6" w:space="0"/>
            </w:tcBorders>
            <w:noWrap w:val="0"/>
            <w:vAlign w:val="center"/>
          </w:tcPr>
          <w:p w14:paraId="4276E3E8">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类别</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2E88CE61">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7CE1154D">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性别</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57748A18">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年龄</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60A96168">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F76E511">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2397CC8F">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职称</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69710C7D">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2BE8D73">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0643ABD1">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到达现场时间</w:t>
            </w:r>
          </w:p>
        </w:tc>
      </w:tr>
      <w:tr w14:paraId="38B49CAC">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57A17869">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602D6404">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总协调人</w:t>
            </w:r>
          </w:p>
        </w:tc>
        <w:tc>
          <w:tcPr>
            <w:tcW w:w="787" w:type="dxa"/>
            <w:tcBorders>
              <w:top w:val="single" w:color="auto" w:sz="6" w:space="0"/>
              <w:left w:val="single" w:color="auto" w:sz="6" w:space="0"/>
              <w:bottom w:val="single" w:color="auto" w:sz="6" w:space="0"/>
              <w:right w:val="single" w:color="auto" w:sz="6" w:space="0"/>
            </w:tcBorders>
            <w:noWrap w:val="0"/>
            <w:vAlign w:val="top"/>
          </w:tcPr>
          <w:p w14:paraId="6286E03C">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703859AF">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53A9752A">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442B232">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5BF6AA7">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461D92B">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31348F49">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0518C33">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1215CC6B">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r>
      <w:tr w14:paraId="1EE5B6B6">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68B6C884">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1124D502">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售后人员</w:t>
            </w:r>
          </w:p>
        </w:tc>
        <w:tc>
          <w:tcPr>
            <w:tcW w:w="787" w:type="dxa"/>
            <w:tcBorders>
              <w:top w:val="single" w:color="auto" w:sz="6" w:space="0"/>
              <w:left w:val="single" w:color="auto" w:sz="6" w:space="0"/>
              <w:bottom w:val="single" w:color="auto" w:sz="6" w:space="0"/>
              <w:right w:val="single" w:color="auto" w:sz="6" w:space="0"/>
            </w:tcBorders>
            <w:noWrap w:val="0"/>
            <w:vAlign w:val="top"/>
          </w:tcPr>
          <w:p w14:paraId="27CA7451">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67196EBA">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1F50D4C">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A0467F5">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758C726">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9FFD303">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32263157">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665D7416">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4DDCCC49">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r>
      <w:tr w14:paraId="31D581A6">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72C9472B">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674AE627">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1D3F33A2">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54C3AEE2">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53E5A402">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507388F">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BDC7EC9">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5328CEB">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3E1A0295">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B5D7015">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5DFD56F8">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r>
      <w:tr w14:paraId="781A09CF">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6B5290C2">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1A056694">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7622E939">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7767479F">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29F6554">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06D2F8A">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AAF1174">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302E63A">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121497EB">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CF3EF51">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71228E26">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r>
    </w:tbl>
    <w:p w14:paraId="2A72AF2A">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b/>
          <w:color w:val="auto"/>
          <w:sz w:val="32"/>
          <w:szCs w:val="32"/>
        </w:rPr>
      </w:pPr>
    </w:p>
    <w:p w14:paraId="2D09CDB0">
      <w:pPr>
        <w:pageBreakBefore w:val="0"/>
        <w:kinsoku/>
        <w:wordWrap/>
        <w:overflowPunct/>
        <w:topLinePunct w:val="0"/>
        <w:bidi w:val="0"/>
        <w:snapToGrid w:val="0"/>
        <w:spacing w:beforeAutospacing="0" w:line="360" w:lineRule="auto"/>
        <w:ind w:left="0" w:leftChars="0" w:right="0" w:firstLine="3967" w:firstLineChars="1653"/>
        <w:rPr>
          <w:rFonts w:hint="eastAsia" w:ascii="宋体" w:hAnsi="宋体" w:eastAsia="宋体" w:cs="宋体"/>
          <w:color w:val="auto"/>
          <w:sz w:val="24"/>
        </w:rPr>
      </w:pPr>
    </w:p>
    <w:p w14:paraId="087C23E4">
      <w:pPr>
        <w:pageBreakBefore w:val="0"/>
        <w:kinsoku/>
        <w:wordWrap/>
        <w:overflowPunct/>
        <w:topLinePunct w:val="0"/>
        <w:bidi w:val="0"/>
        <w:snapToGrid w:val="0"/>
        <w:spacing w:beforeAutospacing="0" w:line="360" w:lineRule="auto"/>
        <w:ind w:left="0" w:leftChars="0" w:right="0" w:firstLine="5160" w:firstLineChars="2150"/>
        <w:rPr>
          <w:rFonts w:hint="eastAsia" w:ascii="宋体" w:hAnsi="宋体" w:eastAsia="宋体" w:cs="宋体"/>
          <w:color w:val="auto"/>
          <w:kern w:val="0"/>
          <w:sz w:val="24"/>
        </w:rPr>
      </w:pPr>
      <w:r>
        <w:rPr>
          <w:rFonts w:hint="eastAsia" w:ascii="宋体" w:hAnsi="宋体" w:eastAsia="宋体" w:cs="宋体"/>
          <w:color w:val="auto"/>
          <w:kern w:val="0"/>
          <w:sz w:val="24"/>
          <w:lang w:val="zh-CN"/>
        </w:rPr>
        <w:t>投标人名称(电子签章)：</w:t>
      </w:r>
    </w:p>
    <w:p w14:paraId="01821F96">
      <w:pPr>
        <w:pageBreakBefore w:val="0"/>
        <w:kinsoku/>
        <w:wordWrap/>
        <w:overflowPunct/>
        <w:topLinePunct w:val="0"/>
        <w:bidi w:val="0"/>
        <w:snapToGrid w:val="0"/>
        <w:spacing w:beforeAutospacing="0" w:line="360" w:lineRule="auto"/>
        <w:ind w:left="0" w:leftChars="0" w:right="0" w:firstLine="5160" w:firstLineChars="215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w:t>
      </w:r>
      <w:r>
        <w:rPr>
          <w:rFonts w:hint="eastAsia" w:ascii="宋体" w:hAnsi="宋体" w:eastAsia="宋体" w:cs="宋体"/>
          <w:color w:val="auto"/>
          <w:kern w:val="0"/>
          <w:sz w:val="24"/>
        </w:rPr>
        <w:t xml:space="preserve">：  年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w:t>
      </w:r>
    </w:p>
    <w:p w14:paraId="19F2DDD3">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 w:val="24"/>
        </w:rPr>
        <w:sectPr>
          <w:pgSz w:w="11906" w:h="16838"/>
          <w:pgMar w:top="1134" w:right="1134" w:bottom="1134" w:left="1134" w:header="720" w:footer="720" w:gutter="0"/>
          <w:cols w:space="720" w:num="1"/>
          <w:docGrid w:type="lines" w:linePitch="331" w:charSpace="0"/>
        </w:sectPr>
      </w:pPr>
    </w:p>
    <w:p w14:paraId="1211777E">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四、项目实施人员一览表</w:t>
      </w:r>
    </w:p>
    <w:p w14:paraId="74655C87">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sz w:val="24"/>
        </w:rPr>
      </w:pPr>
      <w:r>
        <w:rPr>
          <w:rFonts w:hint="eastAsia" w:ascii="宋体" w:hAnsi="宋体" w:eastAsia="宋体" w:cs="宋体"/>
          <w:color w:val="auto"/>
          <w:sz w:val="24"/>
        </w:rPr>
        <w:t>（由投标人根据采购需求及招标文件要求编制）</w:t>
      </w:r>
    </w:p>
    <w:p w14:paraId="6EADEB45">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rPr>
      </w:pPr>
      <w:r>
        <w:rPr>
          <w:rFonts w:hint="eastAsia" w:ascii="宋体" w:hAnsi="宋体" w:eastAsia="宋体" w:cs="宋体"/>
          <w:color w:val="auto"/>
          <w:sz w:val="24"/>
        </w:rPr>
        <w:t>所投分标：</w:t>
      </w:r>
      <w:r>
        <w:rPr>
          <w:rFonts w:hint="eastAsia" w:ascii="宋体" w:hAnsi="宋体" w:eastAsia="宋体" w:cs="宋体"/>
          <w:color w:val="auto"/>
          <w:sz w:val="24"/>
          <w:u w:val="single"/>
        </w:rPr>
        <w:t xml:space="preserve">     </w:t>
      </w:r>
      <w:r>
        <w:rPr>
          <w:rFonts w:hint="eastAsia" w:ascii="宋体" w:hAnsi="宋体" w:eastAsia="宋体" w:cs="宋体"/>
          <w:color w:val="auto"/>
          <w:sz w:val="24"/>
        </w:rPr>
        <w:t>分标</w:t>
      </w:r>
    </w:p>
    <w:p w14:paraId="2BB472A6">
      <w:pPr>
        <w:keepNext/>
        <w:pageBreakBefore w:val="0"/>
        <w:kinsoku/>
        <w:wordWrap/>
        <w:overflowPunct/>
        <w:topLinePunct w:val="0"/>
        <w:autoSpaceDE w:val="0"/>
        <w:autoSpaceDN w:val="0"/>
        <w:bidi w:val="0"/>
        <w:spacing w:beforeAutospacing="0" w:line="360" w:lineRule="auto"/>
        <w:ind w:left="0" w:leftChars="0" w:right="0" w:firstLine="477"/>
        <w:rPr>
          <w:rFonts w:hint="eastAsia" w:ascii="宋体" w:hAnsi="宋体" w:eastAsia="宋体" w:cs="宋体"/>
          <w:b/>
          <w:color w:val="auto"/>
          <w:sz w:val="24"/>
        </w:rPr>
      </w:pPr>
      <w:r>
        <w:rPr>
          <w:rFonts w:hint="eastAsia" w:ascii="宋体" w:hAnsi="宋体" w:eastAsia="宋体" w:cs="宋体"/>
          <w:b/>
          <w:color w:val="auto"/>
          <w:sz w:val="24"/>
        </w:rPr>
        <w:t>附表A:本项目的项目经理情况表</w:t>
      </w:r>
    </w:p>
    <w:tbl>
      <w:tblPr>
        <w:tblStyle w:val="15"/>
        <w:tblW w:w="0" w:type="auto"/>
        <w:tblInd w:w="116" w:type="dxa"/>
        <w:tblLayout w:type="fixed"/>
        <w:tblCellMar>
          <w:top w:w="0" w:type="dxa"/>
          <w:left w:w="108" w:type="dxa"/>
          <w:bottom w:w="0" w:type="dxa"/>
          <w:right w:w="108" w:type="dxa"/>
        </w:tblCellMar>
      </w:tblPr>
      <w:tblGrid>
        <w:gridCol w:w="2061"/>
        <w:gridCol w:w="1287"/>
        <w:gridCol w:w="1260"/>
        <w:gridCol w:w="4147"/>
      </w:tblGrid>
      <w:tr w14:paraId="0F3443BB">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E95813D">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350BA73D">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5B6DD6F">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5F47A83A">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r>
              <w:rPr>
                <w:rFonts w:hint="eastAsia" w:ascii="宋体" w:hAnsi="宋体" w:eastAsia="宋体" w:cs="宋体"/>
                <w:color w:val="auto"/>
                <w:sz w:val="24"/>
              </w:rPr>
              <w:t>投标截止时间前三年业绩及承担的主要工作情况，曾担任项目经理的项目应列明细</w:t>
            </w:r>
          </w:p>
        </w:tc>
      </w:tr>
      <w:tr w14:paraId="7D04AB7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0848FC0">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02612958">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07545327">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3424EF9F">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p>
        </w:tc>
      </w:tr>
      <w:tr w14:paraId="10A3A0AC">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371884B">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3849421">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41CC67DA">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A5DB998">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 w:val="24"/>
              </w:rPr>
            </w:pPr>
          </w:p>
        </w:tc>
      </w:tr>
      <w:tr w14:paraId="3B06214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4803C24">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30EF428">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1962167">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230EA50">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 w:val="24"/>
              </w:rPr>
            </w:pPr>
          </w:p>
        </w:tc>
      </w:tr>
      <w:tr w14:paraId="47A8F068">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356F73B">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9FD463B">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095803A">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2621AA9">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 w:val="24"/>
              </w:rPr>
            </w:pPr>
          </w:p>
        </w:tc>
      </w:tr>
      <w:tr w14:paraId="28AF747A">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F844F26">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0D95365">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3363D1F">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BB37DDF">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 w:val="24"/>
              </w:rPr>
            </w:pPr>
          </w:p>
        </w:tc>
      </w:tr>
      <w:tr w14:paraId="3BA9B2EF">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C5A9B3B">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0680B08">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D875D82">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BA8B9F3">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 w:val="24"/>
              </w:rPr>
            </w:pPr>
          </w:p>
        </w:tc>
      </w:tr>
      <w:tr w14:paraId="383FDC18">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8E2D990">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40CF4B1">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CB5B722">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8BD2FB8">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 w:val="24"/>
              </w:rPr>
            </w:pPr>
          </w:p>
        </w:tc>
      </w:tr>
      <w:tr w14:paraId="06D31C69">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2B4EFB5">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257A958">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D65E50D">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C776E16">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 w:val="24"/>
              </w:rPr>
            </w:pPr>
          </w:p>
        </w:tc>
      </w:tr>
      <w:tr w14:paraId="18F08AFB">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A6AEA87">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65FDB06F">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D465E25">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74D9923">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 w:val="24"/>
              </w:rPr>
            </w:pPr>
          </w:p>
        </w:tc>
      </w:tr>
    </w:tbl>
    <w:p w14:paraId="48DAF9C1">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b/>
          <w:color w:val="auto"/>
          <w:sz w:val="24"/>
        </w:rPr>
      </w:pPr>
      <w:r>
        <w:rPr>
          <w:rFonts w:hint="eastAsia" w:ascii="宋体" w:hAnsi="宋体" w:eastAsia="宋体" w:cs="宋体"/>
          <w:b/>
          <w:color w:val="auto"/>
          <w:sz w:val="24"/>
        </w:rPr>
        <w:t>注：须随表提交相应的证书原件扫描件并注明所在投标技术文件页码。</w:t>
      </w:r>
    </w:p>
    <w:p w14:paraId="26CCB9C8">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b/>
          <w:color w:val="auto"/>
          <w:sz w:val="24"/>
        </w:rPr>
      </w:pPr>
      <w:r>
        <w:rPr>
          <w:rFonts w:hint="eastAsia" w:ascii="宋体" w:hAnsi="宋体" w:eastAsia="宋体" w:cs="宋体"/>
          <w:b/>
          <w:color w:val="auto"/>
          <w:sz w:val="24"/>
        </w:rPr>
        <w:t>附表B:本项目的项目小组人员情况表</w:t>
      </w:r>
      <w:r>
        <w:rPr>
          <w:rFonts w:hint="eastAsia" w:ascii="宋体" w:hAnsi="宋体" w:eastAsia="宋体" w:cs="宋体"/>
          <w:color w:val="auto"/>
          <w:sz w:val="24"/>
        </w:rPr>
        <w:t>（按此格式自制）</w:t>
      </w:r>
    </w:p>
    <w:tbl>
      <w:tblPr>
        <w:tblStyle w:val="15"/>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42CC76BF">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7D1F7511">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3705FD57">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7B256413">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76651D25">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372C2C87">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学历</w:t>
            </w:r>
          </w:p>
          <w:p w14:paraId="203FD702">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21411965">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专业</w:t>
            </w:r>
          </w:p>
          <w:p w14:paraId="772F1C9D">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14212E6A">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职称</w:t>
            </w:r>
          </w:p>
          <w:p w14:paraId="5E816EE7">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(页码)</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7028AF34">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29ED070E">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3AE269A1">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参与本项目的到位情况</w:t>
            </w:r>
          </w:p>
        </w:tc>
      </w:tr>
      <w:tr w14:paraId="232C445C">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36155328">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003FB47C">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7E373E82">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6DBAE328">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732D178F">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B31B927">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16E38F2">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56C406C2">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0C39929">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3AF32A90">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r>
      <w:tr w14:paraId="10C17AF2">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5B15CA14">
            <w:pPr>
              <w:pageBreakBefore w:val="0"/>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156236AC">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44D1FCD8">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028E5B23">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6DA68400">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D1A09E4">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0EA9BD8">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763E23A2">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6CEEB4D0">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523F391B">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r>
    </w:tbl>
    <w:p w14:paraId="3C60B51A">
      <w:pPr>
        <w:pageBreakBefore w:val="0"/>
        <w:kinsoku/>
        <w:wordWrap/>
        <w:overflowPunct/>
        <w:topLinePunct w:val="0"/>
        <w:bidi w:val="0"/>
        <w:spacing w:beforeAutospacing="0" w:line="360" w:lineRule="auto"/>
        <w:ind w:left="0" w:leftChars="0" w:right="0"/>
        <w:rPr>
          <w:rFonts w:hint="eastAsia" w:ascii="宋体" w:hAnsi="宋体" w:eastAsia="宋体" w:cs="宋体"/>
          <w:b/>
          <w:bCs/>
          <w:color w:val="auto"/>
          <w:sz w:val="24"/>
        </w:rPr>
      </w:pPr>
      <w:r>
        <w:rPr>
          <w:rFonts w:hint="eastAsia" w:ascii="宋体" w:hAnsi="宋体" w:eastAsia="宋体" w:cs="宋体"/>
          <w:b/>
          <w:color w:val="auto"/>
          <w:sz w:val="24"/>
        </w:rPr>
        <w:t>注：投标人可按上述的格式自行编制，须随表提交相应的证书原件扫描件并注明所在投标技术文件页码。</w:t>
      </w:r>
    </w:p>
    <w:p w14:paraId="1DF74BE3">
      <w:pPr>
        <w:pageBreakBefore w:val="0"/>
        <w:kinsoku/>
        <w:wordWrap/>
        <w:overflowPunct/>
        <w:topLinePunct w:val="0"/>
        <w:bidi w:val="0"/>
        <w:spacing w:beforeAutospacing="0" w:line="360" w:lineRule="auto"/>
        <w:ind w:left="0" w:leftChars="0" w:right="0"/>
        <w:rPr>
          <w:rFonts w:hint="eastAsia" w:ascii="宋体" w:hAnsi="宋体" w:eastAsia="宋体" w:cs="宋体"/>
          <w:b/>
          <w:bCs/>
          <w:color w:val="auto"/>
          <w:sz w:val="24"/>
        </w:rPr>
      </w:pPr>
      <w:r>
        <w:rPr>
          <w:rFonts w:hint="eastAsia" w:ascii="宋体" w:hAnsi="宋体" w:eastAsia="宋体" w:cs="宋体"/>
          <w:b/>
          <w:color w:val="auto"/>
          <w:sz w:val="24"/>
        </w:rPr>
        <w:t>附表C:本项目的项目经理和小组人员近3个月交纳社保记录情况表</w:t>
      </w:r>
      <w:r>
        <w:rPr>
          <w:rFonts w:hint="eastAsia" w:ascii="宋体" w:hAnsi="宋体" w:eastAsia="宋体" w:cs="宋体"/>
          <w:color w:val="auto"/>
          <w:sz w:val="24"/>
        </w:rPr>
        <w:t>（以社保局缴纳凭证作附件）</w:t>
      </w:r>
    </w:p>
    <w:p w14:paraId="38F39997">
      <w:pPr>
        <w:pageBreakBefore w:val="0"/>
        <w:kinsoku/>
        <w:wordWrap/>
        <w:overflowPunct/>
        <w:topLinePunct w:val="0"/>
        <w:bidi w:val="0"/>
        <w:snapToGrid w:val="0"/>
        <w:spacing w:beforeAutospacing="0" w:line="360" w:lineRule="auto"/>
        <w:ind w:left="0" w:leftChars="0" w:right="0" w:firstLine="4320" w:firstLineChars="1800"/>
        <w:rPr>
          <w:rFonts w:hint="eastAsia" w:ascii="宋体" w:hAnsi="宋体" w:eastAsia="宋体" w:cs="宋体"/>
          <w:color w:val="auto"/>
          <w:kern w:val="0"/>
          <w:sz w:val="24"/>
        </w:rPr>
      </w:pPr>
      <w:r>
        <w:rPr>
          <w:rFonts w:hint="eastAsia" w:ascii="宋体" w:hAnsi="宋体" w:eastAsia="宋体" w:cs="宋体"/>
          <w:color w:val="auto"/>
          <w:kern w:val="0"/>
          <w:sz w:val="24"/>
          <w:lang w:val="zh-CN"/>
        </w:rPr>
        <w:t>投标人名称(电子签章)：</w:t>
      </w:r>
    </w:p>
    <w:p w14:paraId="7BC7707F">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日期：  年  月   日</w:t>
      </w:r>
    </w:p>
    <w:p w14:paraId="0F2711DA">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 w:val="24"/>
        </w:rPr>
      </w:pPr>
    </w:p>
    <w:p w14:paraId="22A84221">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4"/>
        </w:rPr>
      </w:pPr>
      <w:r>
        <w:rPr>
          <w:rFonts w:hint="eastAsia" w:ascii="宋体" w:hAnsi="宋体" w:eastAsia="宋体" w:cs="宋体"/>
          <w:color w:val="auto"/>
          <w:sz w:val="24"/>
        </w:rPr>
        <w:t xml:space="preserve"> </w:t>
      </w:r>
    </w:p>
    <w:p w14:paraId="1C4BE611">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五、投标人对项目的合理化建议和改进措施</w:t>
      </w:r>
    </w:p>
    <w:p w14:paraId="02E85D43">
      <w:pPr>
        <w:pageBreakBefore w:val="0"/>
        <w:kinsoku/>
        <w:wordWrap/>
        <w:overflowPunct/>
        <w:topLinePunct w:val="0"/>
        <w:bidi w:val="0"/>
        <w:spacing w:beforeAutospacing="0" w:line="360" w:lineRule="auto"/>
        <w:ind w:left="0" w:leftChars="0" w:right="0" w:firstLine="4048" w:firstLineChars="1687"/>
        <w:rPr>
          <w:rFonts w:hint="eastAsia" w:ascii="宋体" w:hAnsi="宋体" w:eastAsia="宋体" w:cs="宋体"/>
          <w:color w:val="auto"/>
          <w:sz w:val="24"/>
        </w:rPr>
      </w:pPr>
      <w:r>
        <w:rPr>
          <w:rFonts w:hint="eastAsia" w:ascii="宋体" w:hAnsi="宋体" w:eastAsia="宋体" w:cs="宋体"/>
          <w:color w:val="auto"/>
          <w:sz w:val="24"/>
        </w:rPr>
        <w:t>（格式自拟）</w:t>
      </w:r>
    </w:p>
    <w:p w14:paraId="1C804200">
      <w:pPr>
        <w:pageBreakBefore w:val="0"/>
        <w:kinsoku/>
        <w:wordWrap/>
        <w:overflowPunct/>
        <w:topLinePunct w:val="0"/>
        <w:bidi w:val="0"/>
        <w:snapToGrid w:val="0"/>
        <w:spacing w:beforeAutospacing="0" w:line="360" w:lineRule="auto"/>
        <w:ind w:left="0" w:leftChars="0" w:right="0" w:firstLine="4935" w:firstLineChars="2350"/>
        <w:rPr>
          <w:rFonts w:hint="eastAsia" w:ascii="宋体" w:hAnsi="宋体" w:eastAsia="宋体" w:cs="宋体"/>
          <w:color w:val="auto"/>
          <w:szCs w:val="21"/>
        </w:rPr>
      </w:pPr>
      <w:r>
        <w:rPr>
          <w:rFonts w:hint="eastAsia" w:ascii="宋体" w:hAnsi="宋体" w:eastAsia="宋体" w:cs="宋体"/>
          <w:color w:val="auto"/>
          <w:szCs w:val="21"/>
        </w:rPr>
        <w:t xml:space="preserve"> </w:t>
      </w:r>
    </w:p>
    <w:p w14:paraId="3A449651">
      <w:pPr>
        <w:pageBreakBefore w:val="0"/>
        <w:kinsoku/>
        <w:wordWrap/>
        <w:overflowPunct/>
        <w:topLinePunct w:val="0"/>
        <w:bidi w:val="0"/>
        <w:snapToGrid w:val="0"/>
        <w:spacing w:beforeAutospacing="0" w:line="360" w:lineRule="auto"/>
        <w:ind w:left="0" w:leftChars="0" w:right="0" w:firstLine="4935" w:firstLineChars="2350"/>
        <w:rPr>
          <w:rFonts w:hint="eastAsia" w:ascii="宋体" w:hAnsi="宋体" w:eastAsia="宋体" w:cs="宋体"/>
          <w:color w:val="auto"/>
          <w:szCs w:val="21"/>
        </w:rPr>
      </w:pPr>
    </w:p>
    <w:p w14:paraId="49997EC7">
      <w:pPr>
        <w:pageBreakBefore w:val="0"/>
        <w:kinsoku/>
        <w:wordWrap/>
        <w:overflowPunct/>
        <w:topLinePunct w:val="0"/>
        <w:bidi w:val="0"/>
        <w:snapToGrid w:val="0"/>
        <w:spacing w:beforeAutospacing="0" w:line="360" w:lineRule="auto"/>
        <w:ind w:left="0" w:leftChars="0" w:right="0" w:firstLine="4935" w:firstLineChars="2350"/>
        <w:rPr>
          <w:rFonts w:hint="eastAsia" w:ascii="宋体" w:hAnsi="宋体" w:eastAsia="宋体" w:cs="宋体"/>
          <w:color w:val="auto"/>
          <w:szCs w:val="21"/>
        </w:rPr>
      </w:pPr>
    </w:p>
    <w:p w14:paraId="21F68A71">
      <w:pPr>
        <w:pageBreakBefore w:val="0"/>
        <w:kinsoku/>
        <w:wordWrap/>
        <w:overflowPunct/>
        <w:topLinePunct w:val="0"/>
        <w:bidi w:val="0"/>
        <w:snapToGrid w:val="0"/>
        <w:spacing w:beforeAutospacing="0" w:line="360" w:lineRule="auto"/>
        <w:ind w:left="0" w:leftChars="0" w:right="0" w:firstLine="4935" w:firstLineChars="2350"/>
        <w:rPr>
          <w:rFonts w:hint="eastAsia" w:ascii="宋体" w:hAnsi="宋体" w:eastAsia="宋体" w:cs="宋体"/>
          <w:color w:val="auto"/>
          <w:szCs w:val="21"/>
        </w:rPr>
      </w:pPr>
    </w:p>
    <w:p w14:paraId="3173A0FA">
      <w:pPr>
        <w:pageBreakBefore w:val="0"/>
        <w:kinsoku/>
        <w:wordWrap/>
        <w:overflowPunct/>
        <w:topLinePunct w:val="0"/>
        <w:bidi w:val="0"/>
        <w:snapToGrid w:val="0"/>
        <w:spacing w:beforeAutospacing="0" w:line="360" w:lineRule="auto"/>
        <w:ind w:left="0" w:leftChars="0" w:right="0" w:firstLine="4935" w:firstLineChars="2350"/>
        <w:rPr>
          <w:rFonts w:hint="eastAsia" w:ascii="宋体" w:hAnsi="宋体" w:eastAsia="宋体" w:cs="宋体"/>
          <w:color w:val="auto"/>
          <w:kern w:val="0"/>
          <w:sz w:val="24"/>
        </w:rPr>
      </w:pPr>
      <w:r>
        <w:rPr>
          <w:rFonts w:hint="eastAsia" w:ascii="宋体" w:hAnsi="宋体" w:eastAsia="宋体" w:cs="宋体"/>
          <w:color w:val="auto"/>
          <w:szCs w:val="21"/>
        </w:rPr>
        <w:t xml:space="preserve">  </w:t>
      </w:r>
      <w:r>
        <w:rPr>
          <w:rFonts w:hint="eastAsia" w:ascii="宋体" w:hAnsi="宋体" w:eastAsia="宋体" w:cs="宋体"/>
          <w:color w:val="auto"/>
          <w:kern w:val="0"/>
          <w:sz w:val="24"/>
          <w:lang w:val="zh-CN"/>
        </w:rPr>
        <w:t>投标人名称(电子签章)：</w:t>
      </w:r>
    </w:p>
    <w:p w14:paraId="5E1279D1">
      <w:pPr>
        <w:pageBreakBefore w:val="0"/>
        <w:kinsoku/>
        <w:wordWrap/>
        <w:overflowPunct/>
        <w:topLinePunct w:val="0"/>
        <w:bidi w:val="0"/>
        <w:snapToGrid w:val="0"/>
        <w:spacing w:beforeAutospacing="0" w:line="360" w:lineRule="auto"/>
        <w:ind w:left="0" w:leftChars="0" w:right="0" w:firstLine="5160" w:firstLineChars="215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w:t>
      </w:r>
      <w:r>
        <w:rPr>
          <w:rFonts w:hint="eastAsia" w:ascii="宋体" w:hAnsi="宋体" w:eastAsia="宋体" w:cs="宋体"/>
          <w:color w:val="auto"/>
          <w:kern w:val="0"/>
          <w:sz w:val="24"/>
        </w:rPr>
        <w:t xml:space="preserve">：  年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w:t>
      </w:r>
    </w:p>
    <w:p w14:paraId="5A31E728">
      <w:pPr>
        <w:pageBreakBefore w:val="0"/>
        <w:kinsoku/>
        <w:wordWrap/>
        <w:overflowPunct/>
        <w:topLinePunct w:val="0"/>
        <w:bidi w:val="0"/>
        <w:spacing w:beforeAutospacing="0" w:line="360" w:lineRule="auto"/>
        <w:ind w:left="0" w:leftChars="0" w:right="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六、优惠条件及特殊承诺</w:t>
      </w:r>
    </w:p>
    <w:p w14:paraId="4BCA9467">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（由投标人根据采购需求自行编制）</w:t>
      </w:r>
    </w:p>
    <w:p w14:paraId="0AD8349B">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z w:val="18"/>
          <w:szCs w:val="18"/>
        </w:rPr>
      </w:pPr>
    </w:p>
    <w:p w14:paraId="762B0731">
      <w:pPr>
        <w:pageBreakBefore w:val="0"/>
        <w:kinsoku/>
        <w:wordWrap/>
        <w:overflowPunct/>
        <w:topLinePunct w:val="0"/>
        <w:bidi w:val="0"/>
        <w:snapToGrid w:val="0"/>
        <w:spacing w:beforeAutospacing="0" w:line="360" w:lineRule="auto"/>
        <w:ind w:left="0" w:leftChars="0" w:right="0" w:firstLine="5040" w:firstLineChars="2100"/>
        <w:rPr>
          <w:rFonts w:hint="eastAsia" w:ascii="宋体" w:hAnsi="宋体" w:eastAsia="宋体" w:cs="宋体"/>
          <w:color w:val="auto"/>
          <w:kern w:val="0"/>
          <w:sz w:val="24"/>
        </w:rPr>
      </w:pPr>
      <w:r>
        <w:rPr>
          <w:rFonts w:hint="eastAsia" w:ascii="宋体" w:hAnsi="宋体" w:eastAsia="宋体" w:cs="宋体"/>
          <w:color w:val="auto"/>
          <w:kern w:val="0"/>
          <w:sz w:val="24"/>
          <w:lang w:val="zh-CN"/>
        </w:rPr>
        <w:t>投标人名称(电子签章)：</w:t>
      </w:r>
    </w:p>
    <w:p w14:paraId="7E052E7E">
      <w:pPr>
        <w:pageBreakBefore w:val="0"/>
        <w:kinsoku/>
        <w:wordWrap/>
        <w:overflowPunct/>
        <w:topLinePunct w:val="0"/>
        <w:bidi w:val="0"/>
        <w:snapToGrid w:val="0"/>
        <w:spacing w:beforeAutospacing="0" w:line="360" w:lineRule="auto"/>
        <w:ind w:left="0" w:leftChars="0" w:right="0" w:firstLine="5160" w:firstLineChars="215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w:t>
      </w:r>
      <w:r>
        <w:rPr>
          <w:rFonts w:hint="eastAsia" w:ascii="宋体" w:hAnsi="宋体" w:eastAsia="宋体" w:cs="宋体"/>
          <w:color w:val="auto"/>
          <w:kern w:val="0"/>
          <w:sz w:val="24"/>
        </w:rPr>
        <w:t xml:space="preserve">：  年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w:t>
      </w:r>
    </w:p>
    <w:p w14:paraId="3E9CE4E9">
      <w:pPr>
        <w:pageBreakBefore w:val="0"/>
        <w:kinsoku/>
        <w:wordWrap/>
        <w:overflowPunct/>
        <w:topLinePunct w:val="0"/>
        <w:bidi w:val="0"/>
        <w:spacing w:beforeAutospacing="0" w:line="360" w:lineRule="auto"/>
        <w:ind w:left="0" w:leftChars="0" w:right="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七、备品备件及供选择的配套零部件清单</w:t>
      </w:r>
    </w:p>
    <w:p w14:paraId="698026E5">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（由投标人根据采购需求自行编制）</w:t>
      </w:r>
    </w:p>
    <w:p w14:paraId="62EF0C1D">
      <w:pPr>
        <w:pageBreakBefore w:val="0"/>
        <w:kinsoku/>
        <w:wordWrap/>
        <w:overflowPunct/>
        <w:topLinePunct w:val="0"/>
        <w:autoSpaceDE w:val="0"/>
        <w:autoSpaceDN w:val="0"/>
        <w:bidi w:val="0"/>
        <w:spacing w:beforeAutospacing="0" w:line="360" w:lineRule="auto"/>
        <w:ind w:left="0" w:leftChars="0" w:right="0" w:firstLine="4440" w:firstLineChars="1850"/>
        <w:rPr>
          <w:rFonts w:hint="eastAsia" w:ascii="宋体" w:hAnsi="宋体" w:eastAsia="宋体" w:cs="宋体"/>
          <w:color w:val="auto"/>
          <w:kern w:val="0"/>
          <w:sz w:val="24"/>
        </w:rPr>
      </w:pPr>
    </w:p>
    <w:p w14:paraId="6CB8DE25">
      <w:pPr>
        <w:pageBreakBefore w:val="0"/>
        <w:kinsoku/>
        <w:wordWrap/>
        <w:overflowPunct/>
        <w:topLinePunct w:val="0"/>
        <w:autoSpaceDE w:val="0"/>
        <w:autoSpaceDN w:val="0"/>
        <w:bidi w:val="0"/>
        <w:spacing w:beforeAutospacing="0" w:line="360" w:lineRule="auto"/>
        <w:ind w:left="0" w:leftChars="0" w:right="0" w:firstLine="4440" w:firstLineChars="1850"/>
        <w:rPr>
          <w:rFonts w:hint="eastAsia" w:ascii="宋体" w:hAnsi="宋体" w:eastAsia="宋体" w:cs="宋体"/>
          <w:color w:val="auto"/>
          <w:kern w:val="0"/>
          <w:sz w:val="24"/>
        </w:rPr>
      </w:pPr>
      <w:r>
        <w:rPr>
          <w:rFonts w:hint="eastAsia" w:ascii="宋体" w:hAnsi="宋体" w:eastAsia="宋体" w:cs="宋体"/>
          <w:color w:val="auto"/>
          <w:kern w:val="0"/>
          <w:sz w:val="24"/>
        </w:rPr>
        <w:t>投标人名称（</w:t>
      </w:r>
      <w:r>
        <w:rPr>
          <w:rFonts w:hint="eastAsia" w:ascii="宋体" w:hAnsi="宋体" w:eastAsia="宋体" w:cs="宋体"/>
          <w:color w:val="auto"/>
          <w:kern w:val="0"/>
          <w:sz w:val="24"/>
          <w:lang w:val="zh-CN"/>
        </w:rPr>
        <w:t>电子签章</w:t>
      </w:r>
      <w:r>
        <w:rPr>
          <w:rFonts w:hint="eastAsia" w:ascii="宋体" w:hAnsi="宋体" w:eastAsia="宋体" w:cs="宋体"/>
          <w:color w:val="auto"/>
          <w:kern w:val="0"/>
          <w:sz w:val="24"/>
        </w:rPr>
        <w:t>）：</w:t>
      </w:r>
    </w:p>
    <w:p w14:paraId="1637B956">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b/>
          <w:bCs/>
          <w:color w:val="auto"/>
          <w:sz w:val="18"/>
          <w:szCs w:val="18"/>
        </w:rPr>
      </w:pP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日期：  年  月   日</w:t>
      </w:r>
    </w:p>
    <w:p w14:paraId="577040F6">
      <w:pPr>
        <w:pageBreakBefore w:val="0"/>
        <w:kinsoku/>
        <w:wordWrap/>
        <w:overflowPunct/>
        <w:topLinePunct w:val="0"/>
        <w:bidi w:val="0"/>
        <w:spacing w:beforeAutospacing="0" w:line="360" w:lineRule="auto"/>
        <w:ind w:left="0" w:leftChars="0" w:right="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八、培训计划</w:t>
      </w:r>
    </w:p>
    <w:p w14:paraId="5FD75C44">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（由投标人根据采购需求自行编制）</w:t>
      </w:r>
    </w:p>
    <w:p w14:paraId="79D442C3">
      <w:pPr>
        <w:keepNext/>
        <w:pageBreakBefore w:val="0"/>
        <w:kinsoku/>
        <w:wordWrap/>
        <w:overflowPunct/>
        <w:topLinePunct w:val="0"/>
        <w:autoSpaceDE w:val="0"/>
        <w:autoSpaceDN w:val="0"/>
        <w:bidi w:val="0"/>
        <w:spacing w:beforeAutospacing="0" w:line="360" w:lineRule="auto"/>
        <w:ind w:left="0" w:leftChars="0" w:right="0" w:firstLine="477"/>
        <w:jc w:val="left"/>
        <w:rPr>
          <w:rFonts w:hint="eastAsia" w:ascii="宋体" w:hAnsi="宋体" w:eastAsia="宋体" w:cs="宋体"/>
          <w:b/>
          <w:color w:val="auto"/>
          <w:sz w:val="24"/>
        </w:rPr>
      </w:pPr>
      <w:r>
        <w:rPr>
          <w:rFonts w:hint="eastAsia" w:ascii="宋体" w:hAnsi="宋体" w:eastAsia="宋体" w:cs="宋体"/>
          <w:b/>
          <w:color w:val="auto"/>
          <w:sz w:val="24"/>
        </w:rPr>
        <w:t>附表: 培训日程及费用</w:t>
      </w:r>
    </w:p>
    <w:tbl>
      <w:tblPr>
        <w:tblStyle w:val="15"/>
        <w:tblW w:w="0" w:type="auto"/>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42BF6D9D">
        <w:tblPrEx>
          <w:tblCellMar>
            <w:top w:w="0" w:type="dxa"/>
            <w:left w:w="120" w:type="dxa"/>
            <w:bottom w:w="0" w:type="dxa"/>
            <w:right w:w="120" w:type="dxa"/>
          </w:tblCellMar>
        </w:tblPrEx>
        <w:trPr>
          <w:trHeight w:val="764" w:hRule="atLeast"/>
        </w:trPr>
        <w:tc>
          <w:tcPr>
            <w:tcW w:w="1806" w:type="dxa"/>
            <w:tcBorders>
              <w:top w:val="single" w:color="auto" w:sz="6" w:space="0"/>
              <w:left w:val="single" w:color="auto" w:sz="6" w:space="0"/>
              <w:bottom w:val="nil"/>
              <w:right w:val="nil"/>
            </w:tcBorders>
            <w:shd w:val="pct10" w:color="auto" w:fill="auto"/>
            <w:noWrap w:val="0"/>
            <w:vAlign w:val="center"/>
          </w:tcPr>
          <w:p w14:paraId="7702A700">
            <w:pPr>
              <w:pageBreakBefore w:val="0"/>
              <w:tabs>
                <w:tab w:val="center" w:pos="1690"/>
              </w:tabs>
              <w:suppressAutoHyphens/>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课程名称</w:t>
            </w:r>
          </w:p>
        </w:tc>
        <w:tc>
          <w:tcPr>
            <w:tcW w:w="1254" w:type="dxa"/>
            <w:tcBorders>
              <w:top w:val="single" w:color="auto" w:sz="6" w:space="0"/>
              <w:left w:val="single" w:color="auto" w:sz="6" w:space="0"/>
              <w:bottom w:val="nil"/>
              <w:right w:val="single" w:color="auto" w:sz="6" w:space="0"/>
            </w:tcBorders>
            <w:shd w:val="pct10" w:color="auto" w:fill="auto"/>
            <w:noWrap w:val="0"/>
            <w:vAlign w:val="top"/>
          </w:tcPr>
          <w:p w14:paraId="195D799C">
            <w:pPr>
              <w:pageBreakBefore w:val="0"/>
              <w:tabs>
                <w:tab w:val="center" w:pos="595"/>
              </w:tabs>
              <w:suppressAutoHyphens/>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提供的资料</w:t>
            </w:r>
          </w:p>
        </w:tc>
        <w:tc>
          <w:tcPr>
            <w:tcW w:w="930" w:type="dxa"/>
            <w:tcBorders>
              <w:top w:val="single" w:color="auto" w:sz="6" w:space="0"/>
              <w:left w:val="single" w:color="auto" w:sz="6" w:space="0"/>
              <w:bottom w:val="nil"/>
              <w:right w:val="nil"/>
            </w:tcBorders>
            <w:shd w:val="pct10" w:color="auto" w:fill="auto"/>
            <w:noWrap w:val="0"/>
            <w:vAlign w:val="center"/>
          </w:tcPr>
          <w:p w14:paraId="00AC139A">
            <w:pPr>
              <w:pageBreakBefore w:val="0"/>
              <w:tabs>
                <w:tab w:val="center" w:pos="595"/>
              </w:tabs>
              <w:suppressAutoHyphens/>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持续时间</w:t>
            </w:r>
          </w:p>
        </w:tc>
        <w:tc>
          <w:tcPr>
            <w:tcW w:w="953" w:type="dxa"/>
            <w:tcBorders>
              <w:top w:val="single" w:color="auto" w:sz="6" w:space="0"/>
              <w:left w:val="single" w:color="auto" w:sz="6" w:space="0"/>
              <w:bottom w:val="nil"/>
              <w:right w:val="nil"/>
            </w:tcBorders>
            <w:shd w:val="pct10" w:color="auto" w:fill="auto"/>
            <w:noWrap w:val="0"/>
            <w:vAlign w:val="center"/>
          </w:tcPr>
          <w:p w14:paraId="44DFBBBE">
            <w:pPr>
              <w:pageBreakBefore w:val="0"/>
              <w:tabs>
                <w:tab w:val="center" w:pos="1028"/>
              </w:tabs>
              <w:suppressAutoHyphens/>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授课教师</w:t>
            </w:r>
          </w:p>
        </w:tc>
        <w:tc>
          <w:tcPr>
            <w:tcW w:w="997" w:type="dxa"/>
            <w:tcBorders>
              <w:top w:val="single" w:color="auto" w:sz="6" w:space="0"/>
              <w:left w:val="single" w:color="auto" w:sz="6" w:space="0"/>
              <w:bottom w:val="nil"/>
              <w:right w:val="nil"/>
            </w:tcBorders>
            <w:shd w:val="pct10" w:color="auto" w:fill="auto"/>
            <w:noWrap w:val="0"/>
            <w:vAlign w:val="center"/>
          </w:tcPr>
          <w:p w14:paraId="39BF97A3">
            <w:pPr>
              <w:pageBreakBefore w:val="0"/>
              <w:tabs>
                <w:tab w:val="center" w:pos="595"/>
              </w:tabs>
              <w:suppressAutoHyphens/>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培训对象</w:t>
            </w:r>
          </w:p>
        </w:tc>
        <w:tc>
          <w:tcPr>
            <w:tcW w:w="1440" w:type="dxa"/>
            <w:tcBorders>
              <w:top w:val="single" w:color="auto" w:sz="6" w:space="0"/>
              <w:left w:val="single" w:color="auto" w:sz="6" w:space="0"/>
              <w:bottom w:val="nil"/>
              <w:right w:val="nil"/>
            </w:tcBorders>
            <w:shd w:val="pct10" w:color="auto" w:fill="auto"/>
            <w:noWrap w:val="0"/>
            <w:vAlign w:val="center"/>
          </w:tcPr>
          <w:p w14:paraId="1F6528FD">
            <w:pPr>
              <w:pageBreakBefore w:val="0"/>
              <w:tabs>
                <w:tab w:val="center" w:pos="520"/>
              </w:tabs>
              <w:suppressAutoHyphens/>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培训地点</w:t>
            </w:r>
          </w:p>
        </w:tc>
        <w:tc>
          <w:tcPr>
            <w:tcW w:w="1620" w:type="dxa"/>
            <w:tcBorders>
              <w:top w:val="single" w:color="auto" w:sz="6" w:space="0"/>
              <w:left w:val="single" w:color="auto" w:sz="6" w:space="0"/>
              <w:bottom w:val="nil"/>
              <w:right w:val="single" w:color="auto" w:sz="6" w:space="0"/>
            </w:tcBorders>
            <w:shd w:val="pct10" w:color="auto" w:fill="auto"/>
            <w:noWrap w:val="0"/>
            <w:vAlign w:val="center"/>
          </w:tcPr>
          <w:p w14:paraId="7336BB7F">
            <w:pPr>
              <w:pageBreakBefore w:val="0"/>
              <w:suppressAutoHyphens/>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课程费用</w:t>
            </w:r>
          </w:p>
        </w:tc>
      </w:tr>
      <w:tr w14:paraId="5BA1A50D">
        <w:tblPrEx>
          <w:tblCellMar>
            <w:top w:w="0" w:type="dxa"/>
            <w:left w:w="120" w:type="dxa"/>
            <w:bottom w:w="0" w:type="dxa"/>
            <w:right w:w="120" w:type="dxa"/>
          </w:tblCellMar>
        </w:tblPrEx>
        <w:trPr>
          <w:trHeight w:val="281" w:hRule="atLeast"/>
        </w:trPr>
        <w:tc>
          <w:tcPr>
            <w:tcW w:w="1806" w:type="dxa"/>
            <w:tcBorders>
              <w:top w:val="single" w:color="auto" w:sz="6" w:space="0"/>
              <w:left w:val="single" w:color="auto" w:sz="6" w:space="0"/>
              <w:bottom w:val="nil"/>
              <w:right w:val="nil"/>
            </w:tcBorders>
            <w:noWrap w:val="0"/>
            <w:vAlign w:val="top"/>
          </w:tcPr>
          <w:p w14:paraId="78980735">
            <w:pPr>
              <w:pageBreakBefore w:val="0"/>
              <w:tabs>
                <w:tab w:val="left" w:pos="589"/>
                <w:tab w:val="left" w:pos="1303"/>
                <w:tab w:val="left" w:pos="2017"/>
                <w:tab w:val="left" w:pos="2731"/>
                <w:tab w:val="left" w:pos="3445"/>
                <w:tab w:val="left" w:pos="4159"/>
                <w:tab w:val="left" w:pos="4873"/>
              </w:tabs>
              <w:suppressAutoHyphens/>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1254" w:type="dxa"/>
            <w:tcBorders>
              <w:top w:val="single" w:color="auto" w:sz="6" w:space="0"/>
              <w:left w:val="single" w:color="auto" w:sz="6" w:space="0"/>
              <w:bottom w:val="nil"/>
              <w:right w:val="single" w:color="auto" w:sz="6" w:space="0"/>
            </w:tcBorders>
            <w:noWrap w:val="0"/>
            <w:vAlign w:val="top"/>
          </w:tcPr>
          <w:p w14:paraId="51628CCE">
            <w:pPr>
              <w:pageBreakBefore w:val="0"/>
              <w:tabs>
                <w:tab w:val="left" w:pos="556"/>
                <w:tab w:val="left" w:pos="1270"/>
                <w:tab w:val="left" w:pos="1984"/>
                <w:tab w:val="left" w:pos="2698"/>
                <w:tab w:val="left" w:pos="3412"/>
                <w:tab w:val="left" w:pos="4126"/>
                <w:tab w:val="left" w:pos="4840"/>
                <w:tab w:val="left" w:pos="5622"/>
                <w:tab w:val="left" w:pos="6054"/>
              </w:tabs>
              <w:suppressAutoHyphens/>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930" w:type="dxa"/>
            <w:tcBorders>
              <w:top w:val="single" w:color="auto" w:sz="6" w:space="0"/>
              <w:left w:val="single" w:color="auto" w:sz="6" w:space="0"/>
              <w:bottom w:val="nil"/>
              <w:right w:val="nil"/>
            </w:tcBorders>
            <w:noWrap w:val="0"/>
            <w:vAlign w:val="top"/>
          </w:tcPr>
          <w:p w14:paraId="1ECBC634">
            <w:pPr>
              <w:pageBreakBefore w:val="0"/>
              <w:tabs>
                <w:tab w:val="left" w:pos="556"/>
                <w:tab w:val="left" w:pos="1270"/>
                <w:tab w:val="left" w:pos="1984"/>
                <w:tab w:val="left" w:pos="2698"/>
                <w:tab w:val="left" w:pos="3412"/>
                <w:tab w:val="left" w:pos="4126"/>
                <w:tab w:val="left" w:pos="4840"/>
                <w:tab w:val="left" w:pos="5622"/>
                <w:tab w:val="left" w:pos="6054"/>
              </w:tabs>
              <w:suppressAutoHyphens/>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953" w:type="dxa"/>
            <w:tcBorders>
              <w:top w:val="single" w:color="auto" w:sz="6" w:space="0"/>
              <w:left w:val="single" w:color="auto" w:sz="6" w:space="0"/>
              <w:bottom w:val="nil"/>
              <w:right w:val="nil"/>
            </w:tcBorders>
            <w:noWrap w:val="0"/>
            <w:vAlign w:val="top"/>
          </w:tcPr>
          <w:p w14:paraId="49DE7700">
            <w:pPr>
              <w:pageBreakBefore w:val="0"/>
              <w:tabs>
                <w:tab w:val="left" w:pos="573"/>
                <w:tab w:val="left" w:pos="1287"/>
                <w:tab w:val="left" w:pos="2001"/>
                <w:tab w:val="left" w:pos="2715"/>
                <w:tab w:val="left" w:pos="3429"/>
                <w:tab w:val="left" w:pos="4211"/>
                <w:tab w:val="left" w:pos="4643"/>
              </w:tabs>
              <w:suppressAutoHyphens/>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997" w:type="dxa"/>
            <w:tcBorders>
              <w:top w:val="single" w:color="auto" w:sz="6" w:space="0"/>
              <w:left w:val="single" w:color="auto" w:sz="6" w:space="0"/>
              <w:bottom w:val="nil"/>
              <w:right w:val="nil"/>
            </w:tcBorders>
            <w:noWrap w:val="0"/>
            <w:vAlign w:val="top"/>
          </w:tcPr>
          <w:p w14:paraId="27CE13C5">
            <w:pPr>
              <w:pageBreakBefore w:val="0"/>
              <w:tabs>
                <w:tab w:val="left" w:pos="440"/>
                <w:tab w:val="left" w:pos="1154"/>
                <w:tab w:val="left" w:pos="1936"/>
                <w:tab w:val="left" w:pos="2368"/>
              </w:tabs>
              <w:suppressAutoHyphens/>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1440" w:type="dxa"/>
            <w:tcBorders>
              <w:top w:val="single" w:color="auto" w:sz="6" w:space="0"/>
              <w:left w:val="single" w:color="auto" w:sz="6" w:space="0"/>
              <w:bottom w:val="nil"/>
              <w:right w:val="nil"/>
            </w:tcBorders>
            <w:noWrap w:val="0"/>
            <w:vAlign w:val="top"/>
          </w:tcPr>
          <w:p w14:paraId="70FC6BE0">
            <w:pPr>
              <w:pageBreakBefore w:val="0"/>
              <w:tabs>
                <w:tab w:val="left" w:pos="589"/>
                <w:tab w:val="left" w:pos="1303"/>
                <w:tab w:val="left" w:pos="2017"/>
                <w:tab w:val="left" w:pos="2731"/>
                <w:tab w:val="left" w:pos="3445"/>
                <w:tab w:val="left" w:pos="4159"/>
                <w:tab w:val="left" w:pos="4873"/>
              </w:tabs>
              <w:suppressAutoHyphens/>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1620" w:type="dxa"/>
            <w:tcBorders>
              <w:top w:val="single" w:color="auto" w:sz="6" w:space="0"/>
              <w:left w:val="single" w:color="auto" w:sz="6" w:space="0"/>
              <w:bottom w:val="nil"/>
              <w:right w:val="single" w:color="auto" w:sz="6" w:space="0"/>
            </w:tcBorders>
            <w:noWrap w:val="0"/>
            <w:vAlign w:val="top"/>
          </w:tcPr>
          <w:p w14:paraId="784E2B1A">
            <w:pPr>
              <w:pageBreakBefore w:val="0"/>
              <w:suppressAutoHyphens/>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r>
      <w:tr w14:paraId="724F2C2A">
        <w:tblPrEx>
          <w:tblCellMar>
            <w:top w:w="0" w:type="dxa"/>
            <w:left w:w="120" w:type="dxa"/>
            <w:bottom w:w="0" w:type="dxa"/>
            <w:right w:w="120" w:type="dxa"/>
          </w:tblCellMar>
        </w:tblPrEx>
        <w:trPr>
          <w:trHeight w:val="273" w:hRule="atLeast"/>
        </w:trPr>
        <w:tc>
          <w:tcPr>
            <w:tcW w:w="1806" w:type="dxa"/>
            <w:tcBorders>
              <w:top w:val="single" w:color="auto" w:sz="6" w:space="0"/>
              <w:left w:val="single" w:color="auto" w:sz="6" w:space="0"/>
              <w:bottom w:val="nil"/>
              <w:right w:val="nil"/>
            </w:tcBorders>
            <w:noWrap w:val="0"/>
            <w:vAlign w:val="top"/>
          </w:tcPr>
          <w:p w14:paraId="1D8AF9D5">
            <w:pPr>
              <w:pageBreakBefore w:val="0"/>
              <w:tabs>
                <w:tab w:val="left" w:pos="589"/>
                <w:tab w:val="left" w:pos="1303"/>
                <w:tab w:val="left" w:pos="2017"/>
                <w:tab w:val="left" w:pos="2731"/>
                <w:tab w:val="left" w:pos="3445"/>
                <w:tab w:val="left" w:pos="4159"/>
                <w:tab w:val="left" w:pos="4873"/>
              </w:tabs>
              <w:suppressAutoHyphens/>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1254" w:type="dxa"/>
            <w:tcBorders>
              <w:top w:val="single" w:color="auto" w:sz="6" w:space="0"/>
              <w:left w:val="single" w:color="auto" w:sz="6" w:space="0"/>
              <w:bottom w:val="nil"/>
              <w:right w:val="single" w:color="auto" w:sz="6" w:space="0"/>
            </w:tcBorders>
            <w:noWrap w:val="0"/>
            <w:vAlign w:val="top"/>
          </w:tcPr>
          <w:p w14:paraId="517BD403">
            <w:pPr>
              <w:pageBreakBefore w:val="0"/>
              <w:tabs>
                <w:tab w:val="left" w:pos="556"/>
                <w:tab w:val="left" w:pos="1270"/>
                <w:tab w:val="left" w:pos="1984"/>
                <w:tab w:val="left" w:pos="2698"/>
                <w:tab w:val="left" w:pos="3412"/>
                <w:tab w:val="left" w:pos="4126"/>
                <w:tab w:val="left" w:pos="4840"/>
                <w:tab w:val="left" w:pos="5622"/>
                <w:tab w:val="left" w:pos="6054"/>
              </w:tabs>
              <w:suppressAutoHyphens/>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930" w:type="dxa"/>
            <w:tcBorders>
              <w:top w:val="single" w:color="auto" w:sz="6" w:space="0"/>
              <w:left w:val="single" w:color="auto" w:sz="6" w:space="0"/>
              <w:bottom w:val="nil"/>
              <w:right w:val="nil"/>
            </w:tcBorders>
            <w:noWrap w:val="0"/>
            <w:vAlign w:val="top"/>
          </w:tcPr>
          <w:p w14:paraId="56F73470">
            <w:pPr>
              <w:pageBreakBefore w:val="0"/>
              <w:tabs>
                <w:tab w:val="left" w:pos="556"/>
                <w:tab w:val="left" w:pos="1270"/>
                <w:tab w:val="left" w:pos="1984"/>
                <w:tab w:val="left" w:pos="2698"/>
                <w:tab w:val="left" w:pos="3412"/>
                <w:tab w:val="left" w:pos="4126"/>
                <w:tab w:val="left" w:pos="4840"/>
                <w:tab w:val="left" w:pos="5622"/>
                <w:tab w:val="left" w:pos="6054"/>
              </w:tabs>
              <w:suppressAutoHyphens/>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953" w:type="dxa"/>
            <w:tcBorders>
              <w:top w:val="single" w:color="auto" w:sz="6" w:space="0"/>
              <w:left w:val="single" w:color="auto" w:sz="6" w:space="0"/>
              <w:bottom w:val="nil"/>
              <w:right w:val="nil"/>
            </w:tcBorders>
            <w:noWrap w:val="0"/>
            <w:vAlign w:val="top"/>
          </w:tcPr>
          <w:p w14:paraId="407F87CE">
            <w:pPr>
              <w:pageBreakBefore w:val="0"/>
              <w:tabs>
                <w:tab w:val="left" w:pos="573"/>
                <w:tab w:val="left" w:pos="1287"/>
                <w:tab w:val="left" w:pos="2001"/>
                <w:tab w:val="left" w:pos="2715"/>
                <w:tab w:val="left" w:pos="3429"/>
                <w:tab w:val="left" w:pos="4211"/>
                <w:tab w:val="left" w:pos="4643"/>
              </w:tabs>
              <w:suppressAutoHyphens/>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997" w:type="dxa"/>
            <w:tcBorders>
              <w:top w:val="single" w:color="auto" w:sz="6" w:space="0"/>
              <w:left w:val="single" w:color="auto" w:sz="6" w:space="0"/>
              <w:bottom w:val="nil"/>
              <w:right w:val="nil"/>
            </w:tcBorders>
            <w:noWrap w:val="0"/>
            <w:vAlign w:val="top"/>
          </w:tcPr>
          <w:p w14:paraId="1E6C93D2">
            <w:pPr>
              <w:pageBreakBefore w:val="0"/>
              <w:tabs>
                <w:tab w:val="left" w:pos="440"/>
                <w:tab w:val="left" w:pos="1154"/>
                <w:tab w:val="left" w:pos="1936"/>
                <w:tab w:val="left" w:pos="2368"/>
              </w:tabs>
              <w:suppressAutoHyphens/>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1440" w:type="dxa"/>
            <w:tcBorders>
              <w:top w:val="single" w:color="auto" w:sz="6" w:space="0"/>
              <w:left w:val="single" w:color="auto" w:sz="6" w:space="0"/>
              <w:bottom w:val="nil"/>
              <w:right w:val="nil"/>
            </w:tcBorders>
            <w:noWrap w:val="0"/>
            <w:vAlign w:val="top"/>
          </w:tcPr>
          <w:p w14:paraId="794CF18F">
            <w:pPr>
              <w:pageBreakBefore w:val="0"/>
              <w:tabs>
                <w:tab w:val="left" w:pos="7"/>
              </w:tabs>
              <w:suppressAutoHyphens/>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1620" w:type="dxa"/>
            <w:tcBorders>
              <w:top w:val="single" w:color="auto" w:sz="6" w:space="0"/>
              <w:left w:val="single" w:color="auto" w:sz="6" w:space="0"/>
              <w:bottom w:val="nil"/>
              <w:right w:val="single" w:color="auto" w:sz="6" w:space="0"/>
            </w:tcBorders>
            <w:noWrap w:val="0"/>
            <w:vAlign w:val="top"/>
          </w:tcPr>
          <w:p w14:paraId="01502630">
            <w:pPr>
              <w:pageBreakBefore w:val="0"/>
              <w:suppressAutoHyphens/>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r>
      <w:tr w14:paraId="6B39E311">
        <w:tblPrEx>
          <w:tblCellMar>
            <w:top w:w="0" w:type="dxa"/>
            <w:left w:w="120" w:type="dxa"/>
            <w:bottom w:w="0" w:type="dxa"/>
            <w:right w:w="120" w:type="dxa"/>
          </w:tblCellMar>
        </w:tblPrEx>
        <w:trPr>
          <w:trHeight w:val="110" w:hRule="atLeast"/>
        </w:trPr>
        <w:tc>
          <w:tcPr>
            <w:tcW w:w="1806" w:type="dxa"/>
            <w:tcBorders>
              <w:top w:val="single" w:color="auto" w:sz="6" w:space="0"/>
              <w:left w:val="single" w:color="auto" w:sz="6" w:space="0"/>
              <w:bottom w:val="single" w:color="auto" w:sz="6" w:space="0"/>
              <w:right w:val="single" w:color="auto" w:sz="6" w:space="0"/>
            </w:tcBorders>
            <w:noWrap w:val="0"/>
            <w:vAlign w:val="center"/>
          </w:tcPr>
          <w:p w14:paraId="7207FEB7">
            <w:pPr>
              <w:pageBreakBefore w:val="0"/>
              <w:tabs>
                <w:tab w:val="left" w:pos="589"/>
                <w:tab w:val="left" w:pos="1303"/>
                <w:tab w:val="left" w:pos="2017"/>
                <w:tab w:val="left" w:pos="2731"/>
                <w:tab w:val="left" w:pos="3445"/>
                <w:tab w:val="left" w:pos="4159"/>
                <w:tab w:val="left" w:pos="4873"/>
              </w:tabs>
              <w:suppressAutoHyphens/>
              <w:kinsoku/>
              <w:wordWrap/>
              <w:overflowPunct/>
              <w:topLinePunct w:val="0"/>
              <w:autoSpaceDE w:val="0"/>
              <w:autoSpaceDN w:val="0"/>
              <w:bidi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费用总计</w:t>
            </w:r>
          </w:p>
        </w:tc>
        <w:tc>
          <w:tcPr>
            <w:tcW w:w="1254" w:type="dxa"/>
            <w:tcBorders>
              <w:top w:val="single" w:color="auto" w:sz="6" w:space="0"/>
              <w:left w:val="single" w:color="auto" w:sz="6" w:space="0"/>
              <w:bottom w:val="single" w:color="auto" w:sz="6" w:space="0"/>
              <w:right w:val="single" w:color="auto" w:sz="6" w:space="0"/>
            </w:tcBorders>
            <w:noWrap w:val="0"/>
            <w:vAlign w:val="top"/>
          </w:tcPr>
          <w:p w14:paraId="081741A6">
            <w:pPr>
              <w:pageBreakBefore w:val="0"/>
              <w:tabs>
                <w:tab w:val="left" w:pos="556"/>
                <w:tab w:val="left" w:pos="1270"/>
                <w:tab w:val="left" w:pos="1984"/>
                <w:tab w:val="left" w:pos="2698"/>
                <w:tab w:val="left" w:pos="3412"/>
                <w:tab w:val="left" w:pos="4126"/>
                <w:tab w:val="left" w:pos="4840"/>
                <w:tab w:val="left" w:pos="5622"/>
                <w:tab w:val="left" w:pos="6054"/>
              </w:tabs>
              <w:suppressAutoHyphens/>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930" w:type="dxa"/>
            <w:tcBorders>
              <w:top w:val="single" w:color="auto" w:sz="6" w:space="0"/>
              <w:left w:val="single" w:color="auto" w:sz="6" w:space="0"/>
              <w:bottom w:val="single" w:color="auto" w:sz="6" w:space="0"/>
              <w:right w:val="single" w:color="auto" w:sz="6" w:space="0"/>
            </w:tcBorders>
            <w:noWrap w:val="0"/>
            <w:vAlign w:val="top"/>
          </w:tcPr>
          <w:p w14:paraId="20F50728">
            <w:pPr>
              <w:pageBreakBefore w:val="0"/>
              <w:tabs>
                <w:tab w:val="left" w:pos="556"/>
                <w:tab w:val="left" w:pos="1270"/>
                <w:tab w:val="left" w:pos="1984"/>
                <w:tab w:val="left" w:pos="2698"/>
                <w:tab w:val="left" w:pos="3412"/>
                <w:tab w:val="left" w:pos="4126"/>
                <w:tab w:val="left" w:pos="4840"/>
                <w:tab w:val="left" w:pos="5622"/>
                <w:tab w:val="left" w:pos="6054"/>
              </w:tabs>
              <w:suppressAutoHyphens/>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953" w:type="dxa"/>
            <w:tcBorders>
              <w:top w:val="single" w:color="auto" w:sz="6" w:space="0"/>
              <w:left w:val="single" w:color="auto" w:sz="6" w:space="0"/>
              <w:bottom w:val="single" w:color="auto" w:sz="6" w:space="0"/>
              <w:right w:val="single" w:color="auto" w:sz="6" w:space="0"/>
            </w:tcBorders>
            <w:noWrap w:val="0"/>
            <w:vAlign w:val="top"/>
          </w:tcPr>
          <w:p w14:paraId="5392BB65">
            <w:pPr>
              <w:pageBreakBefore w:val="0"/>
              <w:tabs>
                <w:tab w:val="left" w:pos="573"/>
                <w:tab w:val="left" w:pos="1287"/>
                <w:tab w:val="left" w:pos="2001"/>
                <w:tab w:val="left" w:pos="2715"/>
                <w:tab w:val="left" w:pos="3429"/>
                <w:tab w:val="left" w:pos="4211"/>
                <w:tab w:val="left" w:pos="4643"/>
              </w:tabs>
              <w:suppressAutoHyphens/>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997" w:type="dxa"/>
            <w:tcBorders>
              <w:top w:val="single" w:color="auto" w:sz="6" w:space="0"/>
              <w:left w:val="single" w:color="auto" w:sz="6" w:space="0"/>
              <w:bottom w:val="single" w:color="auto" w:sz="6" w:space="0"/>
              <w:right w:val="single" w:color="auto" w:sz="6" w:space="0"/>
            </w:tcBorders>
            <w:noWrap w:val="0"/>
            <w:vAlign w:val="top"/>
          </w:tcPr>
          <w:p w14:paraId="68C87EBB">
            <w:pPr>
              <w:pageBreakBefore w:val="0"/>
              <w:tabs>
                <w:tab w:val="left" w:pos="440"/>
                <w:tab w:val="left" w:pos="1154"/>
                <w:tab w:val="left" w:pos="1936"/>
                <w:tab w:val="left" w:pos="2368"/>
              </w:tabs>
              <w:suppressAutoHyphens/>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1440" w:type="dxa"/>
            <w:tcBorders>
              <w:top w:val="single" w:color="auto" w:sz="6" w:space="0"/>
              <w:left w:val="single" w:color="auto" w:sz="6" w:space="0"/>
              <w:bottom w:val="single" w:color="auto" w:sz="6" w:space="0"/>
              <w:right w:val="single" w:color="auto" w:sz="6" w:space="0"/>
            </w:tcBorders>
            <w:noWrap w:val="0"/>
            <w:vAlign w:val="top"/>
          </w:tcPr>
          <w:p w14:paraId="168CDF4C">
            <w:pPr>
              <w:pageBreakBefore w:val="0"/>
              <w:tabs>
                <w:tab w:val="left" w:pos="7"/>
              </w:tabs>
              <w:suppressAutoHyphens/>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6DFA087B">
            <w:pPr>
              <w:pageBreakBefore w:val="0"/>
              <w:suppressAutoHyphens/>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p>
        </w:tc>
      </w:tr>
    </w:tbl>
    <w:p w14:paraId="7C9D8BE4">
      <w:pPr>
        <w:pageBreakBefore w:val="0"/>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r>
        <w:rPr>
          <w:rFonts w:hint="eastAsia" w:ascii="宋体" w:hAnsi="宋体" w:eastAsia="宋体" w:cs="宋体"/>
          <w:color w:val="auto"/>
          <w:sz w:val="24"/>
        </w:rPr>
        <w:t>注解:A</w:t>
      </w:r>
      <w:r>
        <w:rPr>
          <w:rFonts w:hint="eastAsia" w:ascii="宋体" w:hAnsi="宋体" w:eastAsia="宋体" w:cs="宋体"/>
          <w:color w:val="auto"/>
          <w:sz w:val="24"/>
        </w:rPr>
        <w:tab/>
      </w:r>
      <w:r>
        <w:rPr>
          <w:rFonts w:hint="eastAsia" w:ascii="宋体" w:hAnsi="宋体" w:eastAsia="宋体" w:cs="宋体"/>
          <w:color w:val="auto"/>
          <w:sz w:val="24"/>
        </w:rPr>
        <w:t>课程清单按时间顺序排列，并提供以下详细资料：</w:t>
      </w:r>
    </w:p>
    <w:p w14:paraId="1D8FE4E0">
      <w:pPr>
        <w:pageBreakBefore w:val="0"/>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kinsoku/>
        <w:wordWrap/>
        <w:overflowPunct/>
        <w:topLinePunct w:val="0"/>
        <w:autoSpaceDE w:val="0"/>
        <w:autoSpaceDN w:val="0"/>
        <w:bidi w:val="0"/>
        <w:adjustRightInd w:val="0"/>
        <w:spacing w:beforeAutospacing="0" w:line="360" w:lineRule="auto"/>
        <w:ind w:left="0" w:leftChars="0" w:right="0" w:hanging="420"/>
        <w:rPr>
          <w:rFonts w:hint="eastAsia" w:ascii="宋体" w:hAnsi="宋体" w:eastAsia="宋体" w:cs="宋体"/>
          <w:color w:val="auto"/>
          <w:sz w:val="24"/>
        </w:rPr>
      </w:pPr>
      <w:r>
        <w:rPr>
          <w:rFonts w:hint="eastAsia" w:ascii="宋体" w:hAnsi="宋体" w:eastAsia="宋体" w:cs="宋体"/>
          <w:color w:val="auto"/>
          <w:sz w:val="24"/>
        </w:rPr>
        <w:t>课程概要</w:t>
      </w:r>
    </w:p>
    <w:p w14:paraId="1B65133D">
      <w:pPr>
        <w:pageBreakBefore w:val="0"/>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kinsoku/>
        <w:wordWrap/>
        <w:overflowPunct/>
        <w:topLinePunct w:val="0"/>
        <w:autoSpaceDE w:val="0"/>
        <w:autoSpaceDN w:val="0"/>
        <w:bidi w:val="0"/>
        <w:adjustRightInd w:val="0"/>
        <w:spacing w:beforeAutospacing="0" w:line="360" w:lineRule="auto"/>
        <w:ind w:left="0" w:leftChars="0" w:right="0" w:hanging="420"/>
        <w:rPr>
          <w:rFonts w:hint="eastAsia" w:ascii="宋体" w:hAnsi="宋体" w:eastAsia="宋体" w:cs="宋体"/>
          <w:color w:val="auto"/>
          <w:sz w:val="24"/>
        </w:rPr>
      </w:pPr>
      <w:r>
        <w:rPr>
          <w:rFonts w:hint="eastAsia" w:ascii="宋体" w:hAnsi="宋体" w:eastAsia="宋体" w:cs="宋体"/>
          <w:color w:val="auto"/>
          <w:sz w:val="24"/>
        </w:rPr>
        <w:t>课程目的</w:t>
      </w:r>
    </w:p>
    <w:p w14:paraId="056FED59">
      <w:pPr>
        <w:pageBreakBefore w:val="0"/>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kinsoku/>
        <w:wordWrap/>
        <w:overflowPunct/>
        <w:topLinePunct w:val="0"/>
        <w:autoSpaceDE w:val="0"/>
        <w:autoSpaceDN w:val="0"/>
        <w:bidi w:val="0"/>
        <w:adjustRightInd w:val="0"/>
        <w:spacing w:beforeAutospacing="0" w:line="360" w:lineRule="auto"/>
        <w:ind w:left="0" w:leftChars="0" w:right="0" w:hanging="420"/>
        <w:rPr>
          <w:rFonts w:hint="eastAsia" w:ascii="宋体" w:hAnsi="宋体" w:eastAsia="宋体" w:cs="宋体"/>
          <w:color w:val="auto"/>
          <w:sz w:val="24"/>
        </w:rPr>
      </w:pPr>
      <w:r>
        <w:rPr>
          <w:rFonts w:hint="eastAsia" w:ascii="宋体" w:hAnsi="宋体" w:eastAsia="宋体" w:cs="宋体"/>
          <w:color w:val="auto"/>
          <w:sz w:val="24"/>
        </w:rPr>
        <w:t>教学方式</w:t>
      </w:r>
    </w:p>
    <w:p w14:paraId="675FF39B">
      <w:pPr>
        <w:pageBreakBefore w:val="0"/>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kinsoku/>
        <w:wordWrap/>
        <w:overflowPunct/>
        <w:topLinePunct w:val="0"/>
        <w:autoSpaceDE w:val="0"/>
        <w:autoSpaceDN w:val="0"/>
        <w:bidi w:val="0"/>
        <w:adjustRightInd w:val="0"/>
        <w:spacing w:beforeAutospacing="0" w:line="360" w:lineRule="auto"/>
        <w:ind w:left="0" w:leftChars="0" w:right="0" w:hanging="420"/>
        <w:rPr>
          <w:rFonts w:hint="eastAsia" w:ascii="宋体" w:hAnsi="宋体" w:eastAsia="宋体" w:cs="宋体"/>
          <w:color w:val="auto"/>
          <w:sz w:val="24"/>
        </w:rPr>
      </w:pPr>
      <w:r>
        <w:rPr>
          <w:rFonts w:hint="eastAsia" w:ascii="宋体" w:hAnsi="宋体" w:eastAsia="宋体" w:cs="宋体"/>
          <w:color w:val="auto"/>
          <w:sz w:val="24"/>
        </w:rPr>
        <w:t>先决条件</w:t>
      </w:r>
    </w:p>
    <w:p w14:paraId="0564E628">
      <w:pPr>
        <w:pageBreakBefore w:val="0"/>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kinsoku/>
        <w:wordWrap/>
        <w:overflowPunct/>
        <w:topLinePunct w:val="0"/>
        <w:autoSpaceDE w:val="0"/>
        <w:autoSpaceDN w:val="0"/>
        <w:bidi w:val="0"/>
        <w:adjustRightInd w:val="0"/>
        <w:spacing w:beforeAutospacing="0" w:line="360" w:lineRule="auto"/>
        <w:ind w:left="0" w:leftChars="0" w:right="0" w:hanging="420"/>
        <w:rPr>
          <w:rFonts w:hint="eastAsia" w:ascii="宋体" w:hAnsi="宋体" w:eastAsia="宋体" w:cs="宋体"/>
          <w:color w:val="auto"/>
          <w:sz w:val="24"/>
        </w:rPr>
      </w:pPr>
      <w:r>
        <w:rPr>
          <w:rFonts w:hint="eastAsia" w:ascii="宋体" w:hAnsi="宋体" w:eastAsia="宋体" w:cs="宋体"/>
          <w:color w:val="auto"/>
          <w:sz w:val="24"/>
        </w:rPr>
        <w:t>教材目录</w:t>
      </w:r>
    </w:p>
    <w:p w14:paraId="198DBCD5">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sz w:val="24"/>
        </w:rPr>
      </w:pPr>
      <w:r>
        <w:rPr>
          <w:rFonts w:hint="eastAsia" w:ascii="宋体" w:hAnsi="宋体" w:eastAsia="宋体" w:cs="宋体"/>
          <w:color w:val="auto"/>
          <w:sz w:val="24"/>
        </w:rPr>
        <w:t>B  按照附表A提供授课教师的简历</w:t>
      </w:r>
    </w:p>
    <w:p w14:paraId="0BFB9D47">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b/>
          <w:color w:val="auto"/>
          <w:sz w:val="24"/>
        </w:rPr>
      </w:pPr>
      <w:r>
        <w:rPr>
          <w:rFonts w:hint="eastAsia" w:ascii="宋体" w:hAnsi="宋体" w:eastAsia="宋体" w:cs="宋体"/>
          <w:b/>
          <w:color w:val="auto"/>
          <w:sz w:val="24"/>
        </w:rPr>
        <w:t>注：须随表提交相应的证书原件扫描件并注明所在投标技术文件页码。</w:t>
      </w:r>
    </w:p>
    <w:p w14:paraId="2FD99CCE">
      <w:pPr>
        <w:pageBreakBefore w:val="0"/>
        <w:kinsoku/>
        <w:wordWrap/>
        <w:overflowPunct/>
        <w:topLinePunct w:val="0"/>
        <w:autoSpaceDE w:val="0"/>
        <w:autoSpaceDN w:val="0"/>
        <w:bidi w:val="0"/>
        <w:spacing w:beforeAutospacing="0" w:line="360" w:lineRule="auto"/>
        <w:ind w:left="0" w:leftChars="0" w:right="0" w:firstLine="4800" w:firstLineChars="2000"/>
        <w:rPr>
          <w:rFonts w:hint="eastAsia" w:ascii="宋体" w:hAnsi="宋体" w:eastAsia="宋体" w:cs="宋体"/>
          <w:color w:val="auto"/>
          <w:sz w:val="24"/>
        </w:rPr>
      </w:pPr>
      <w:r>
        <w:rPr>
          <w:rFonts w:hint="eastAsia" w:ascii="宋体" w:hAnsi="宋体" w:eastAsia="宋体" w:cs="宋体"/>
          <w:color w:val="auto"/>
          <w:kern w:val="0"/>
          <w:sz w:val="24"/>
        </w:rPr>
        <w:t>投标人名称（</w:t>
      </w:r>
      <w:r>
        <w:rPr>
          <w:rFonts w:hint="eastAsia" w:ascii="宋体" w:hAnsi="宋体" w:eastAsia="宋体" w:cs="宋体"/>
          <w:color w:val="auto"/>
          <w:kern w:val="0"/>
          <w:sz w:val="24"/>
          <w:lang w:val="zh-CN"/>
        </w:rPr>
        <w:t>电子签章</w:t>
      </w:r>
      <w:r>
        <w:rPr>
          <w:rFonts w:hint="eastAsia" w:ascii="宋体" w:hAnsi="宋体" w:eastAsia="宋体" w:cs="宋体"/>
          <w:color w:val="auto"/>
          <w:kern w:val="0"/>
          <w:sz w:val="24"/>
        </w:rPr>
        <w:t xml:space="preserve">）：                       </w:t>
      </w:r>
    </w:p>
    <w:p w14:paraId="7848A31B">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日期：  年  月   日</w:t>
      </w:r>
    </w:p>
    <w:p w14:paraId="4072D42C">
      <w:pPr>
        <w:pageBreakBefore w:val="0"/>
        <w:kinsoku/>
        <w:wordWrap/>
        <w:overflowPunct/>
        <w:topLinePunct w:val="0"/>
        <w:autoSpaceDE w:val="0"/>
        <w:autoSpaceDN w:val="0"/>
        <w:bidi w:val="0"/>
        <w:spacing w:beforeAutospacing="0" w:line="360" w:lineRule="auto"/>
        <w:ind w:left="0" w:leftChars="0" w:right="0" w:firstLine="120"/>
        <w:rPr>
          <w:rFonts w:hint="eastAsia" w:ascii="宋体" w:hAnsi="宋体" w:eastAsia="宋体" w:cs="宋体"/>
          <w:color w:val="auto"/>
          <w:sz w:val="24"/>
        </w:rPr>
      </w:pPr>
    </w:p>
    <w:p w14:paraId="1D898AAC">
      <w:pPr>
        <w:pageBreakBefore w:val="0"/>
        <w:kinsoku/>
        <w:wordWrap/>
        <w:overflowPunct/>
        <w:topLinePunct w:val="0"/>
        <w:bidi w:val="0"/>
        <w:spacing w:beforeAutospacing="0" w:line="360" w:lineRule="auto"/>
        <w:ind w:left="0" w:leftChars="0" w:right="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九、认为需要的其他技术文件或说明</w:t>
      </w:r>
    </w:p>
    <w:p w14:paraId="01C920F6">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z w:val="24"/>
        </w:rPr>
      </w:pPr>
      <w:r>
        <w:rPr>
          <w:rFonts w:hint="eastAsia" w:ascii="宋体" w:hAnsi="宋体" w:eastAsia="宋体" w:cs="宋体"/>
          <w:color w:val="auto"/>
          <w:sz w:val="24"/>
        </w:rPr>
        <w:t>（由投标人根据采购需求自行编制）</w:t>
      </w:r>
    </w:p>
    <w:p w14:paraId="760ED291">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z w:val="24"/>
        </w:rPr>
      </w:pPr>
    </w:p>
    <w:p w14:paraId="0323E846">
      <w:pPr>
        <w:pageBreakBefore w:val="0"/>
        <w:kinsoku/>
        <w:wordWrap/>
        <w:overflowPunct/>
        <w:topLinePunct w:val="0"/>
        <w:autoSpaceDE w:val="0"/>
        <w:autoSpaceDN w:val="0"/>
        <w:bidi w:val="0"/>
        <w:spacing w:beforeAutospacing="0" w:line="360" w:lineRule="auto"/>
        <w:ind w:left="0" w:leftChars="0" w:right="0" w:firstLine="4800" w:firstLineChars="2000"/>
        <w:rPr>
          <w:rFonts w:hint="eastAsia" w:ascii="宋体" w:hAnsi="宋体" w:eastAsia="宋体" w:cs="宋体"/>
          <w:color w:val="auto"/>
          <w:sz w:val="24"/>
        </w:rPr>
      </w:pPr>
      <w:r>
        <w:rPr>
          <w:rFonts w:hint="eastAsia" w:ascii="宋体" w:hAnsi="宋体" w:eastAsia="宋体" w:cs="宋体"/>
          <w:color w:val="auto"/>
          <w:kern w:val="0"/>
          <w:sz w:val="24"/>
        </w:rPr>
        <w:t>投标人名称（电子</w:t>
      </w:r>
      <w:r>
        <w:rPr>
          <w:rFonts w:hint="eastAsia" w:ascii="宋体" w:hAnsi="宋体" w:eastAsia="宋体" w:cs="宋体"/>
          <w:color w:val="auto"/>
          <w:kern w:val="0"/>
          <w:sz w:val="24"/>
          <w:lang w:val="zh-CN"/>
        </w:rPr>
        <w:t>签章</w:t>
      </w:r>
      <w:r>
        <w:rPr>
          <w:rFonts w:hint="eastAsia" w:ascii="宋体" w:hAnsi="宋体" w:eastAsia="宋体" w:cs="宋体"/>
          <w:color w:val="auto"/>
          <w:kern w:val="0"/>
          <w:sz w:val="24"/>
        </w:rPr>
        <w:t xml:space="preserve">）：                       </w:t>
      </w:r>
    </w:p>
    <w:p w14:paraId="6CB95850">
      <w:pPr>
        <w:pageBreakBefore w:val="0"/>
        <w:kinsoku/>
        <w:wordWrap/>
        <w:overflowPunct/>
        <w:topLinePunct w:val="0"/>
        <w:autoSpaceDE w:val="0"/>
        <w:autoSpaceDN w:val="0"/>
        <w:bidi w:val="0"/>
        <w:spacing w:beforeAutospacing="0" w:line="360" w:lineRule="auto"/>
        <w:ind w:left="0" w:leftChars="0" w:right="0"/>
        <w:rPr>
          <w:rFonts w:hint="eastAsia" w:ascii="宋体" w:hAnsi="宋体" w:eastAsia="宋体" w:cs="宋体"/>
          <w:b/>
          <w:bCs/>
          <w:color w:val="auto"/>
          <w:sz w:val="30"/>
          <w:szCs w:val="30"/>
        </w:rPr>
      </w:pP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日期：  年  月   日</w:t>
      </w:r>
    </w:p>
    <w:p w14:paraId="68D8DF67">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b/>
          <w:bCs/>
          <w:color w:val="auto"/>
          <w:sz w:val="24"/>
        </w:rPr>
        <w:sectPr>
          <w:pgSz w:w="11906" w:h="16838"/>
          <w:pgMar w:top="1134" w:right="1134" w:bottom="1134" w:left="1134" w:header="720" w:footer="720" w:gutter="0"/>
          <w:cols w:space="720" w:num="1"/>
          <w:docGrid w:type="lines" w:linePitch="331" w:charSpace="0"/>
        </w:sectPr>
      </w:pPr>
    </w:p>
    <w:p w14:paraId="3B63C1E6">
      <w:pPr>
        <w:pageBreakBefore w:val="0"/>
        <w:kinsoku/>
        <w:wordWrap/>
        <w:overflowPunct/>
        <w:topLinePunct w:val="0"/>
        <w:bidi w:val="0"/>
        <w:spacing w:beforeAutospacing="0" w:line="360" w:lineRule="auto"/>
        <w:ind w:left="0" w:leftChars="0" w:right="0"/>
        <w:jc w:val="center"/>
        <w:outlineLvl w:val="1"/>
        <w:rPr>
          <w:rFonts w:hint="eastAsia" w:ascii="宋体" w:hAnsi="宋体" w:eastAsia="宋体" w:cs="宋体"/>
          <w:b/>
          <w:bCs/>
          <w:color w:val="auto"/>
          <w:sz w:val="28"/>
          <w:szCs w:val="28"/>
        </w:rPr>
      </w:pPr>
      <w:bookmarkStart w:id="339" w:name="_Toc16074"/>
      <w:r>
        <w:rPr>
          <w:rFonts w:hint="eastAsia" w:ascii="宋体" w:hAnsi="宋体" w:eastAsia="宋体" w:cs="宋体"/>
          <w:b/>
          <w:bCs/>
          <w:color w:val="auto"/>
          <w:sz w:val="28"/>
          <w:szCs w:val="28"/>
        </w:rPr>
        <w:t>第五节 报价文件格式</w:t>
      </w:r>
      <w:bookmarkEnd w:id="339"/>
    </w:p>
    <w:p w14:paraId="0643070F">
      <w:pPr>
        <w:pageBreakBefore w:val="0"/>
        <w:kinsoku/>
        <w:wordWrap/>
        <w:overflowPunct/>
        <w:topLinePunct w:val="0"/>
        <w:bidi w:val="0"/>
        <w:snapToGrid w:val="0"/>
        <w:spacing w:beforeAutospacing="0" w:line="360" w:lineRule="auto"/>
        <w:ind w:left="0" w:leftChars="0" w:right="0"/>
        <w:rPr>
          <w:rFonts w:hint="eastAsia" w:ascii="宋体" w:hAnsi="宋体" w:eastAsia="宋体" w:cs="宋体"/>
          <w:bCs/>
          <w:color w:val="auto"/>
          <w:sz w:val="32"/>
          <w:szCs w:val="20"/>
        </w:rPr>
      </w:pPr>
      <w:r>
        <w:rPr>
          <w:rFonts w:hint="eastAsia" w:ascii="宋体" w:hAnsi="宋体" w:eastAsia="宋体" w:cs="宋体"/>
          <w:color w:val="auto"/>
          <w:sz w:val="24"/>
        </w:rPr>
        <w:t xml:space="preserve">                                                            </w:t>
      </w:r>
      <w:r>
        <w:rPr>
          <w:rFonts w:hint="eastAsia" w:ascii="宋体" w:hAnsi="宋体" w:eastAsia="宋体" w:cs="宋体"/>
          <w:bCs/>
          <w:color w:val="auto"/>
        </w:rPr>
        <w:t>电子投标文件</w:t>
      </w:r>
    </w:p>
    <w:p w14:paraId="325AECA9">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bCs/>
          <w:color w:val="auto"/>
          <w:sz w:val="24"/>
          <w:szCs w:val="20"/>
        </w:rPr>
      </w:pPr>
    </w:p>
    <w:p w14:paraId="3DECF1EE">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报价文件（封面）</w:t>
      </w:r>
    </w:p>
    <w:p w14:paraId="2F44A025">
      <w:pPr>
        <w:pageBreakBefore w:val="0"/>
        <w:kinsoku/>
        <w:wordWrap/>
        <w:overflowPunct/>
        <w:topLinePunct w:val="0"/>
        <w:bidi w:val="0"/>
        <w:snapToGrid w:val="0"/>
        <w:spacing w:beforeAutospacing="0" w:line="360" w:lineRule="auto"/>
        <w:ind w:left="0" w:leftChars="0" w:right="0"/>
        <w:rPr>
          <w:rFonts w:hint="eastAsia" w:ascii="宋体" w:hAnsi="宋体" w:eastAsia="宋体" w:cs="宋体"/>
          <w:bCs/>
          <w:color w:val="auto"/>
          <w:sz w:val="24"/>
          <w:szCs w:val="20"/>
        </w:rPr>
      </w:pPr>
    </w:p>
    <w:p w14:paraId="303B154A">
      <w:pPr>
        <w:pageBreakBefore w:val="0"/>
        <w:kinsoku/>
        <w:wordWrap/>
        <w:overflowPunct/>
        <w:topLinePunct w:val="0"/>
        <w:bidi w:val="0"/>
        <w:snapToGrid w:val="0"/>
        <w:spacing w:beforeAutospacing="0" w:line="360" w:lineRule="auto"/>
        <w:ind w:left="0" w:leftChars="0" w:right="0"/>
        <w:rPr>
          <w:rFonts w:hint="eastAsia" w:ascii="宋体" w:hAnsi="宋体" w:eastAsia="宋体" w:cs="宋体"/>
          <w:bCs/>
          <w:color w:val="auto"/>
          <w:sz w:val="24"/>
          <w:szCs w:val="20"/>
        </w:rPr>
      </w:pPr>
    </w:p>
    <w:p w14:paraId="48A3F372">
      <w:pPr>
        <w:pageBreakBefore w:val="0"/>
        <w:kinsoku/>
        <w:wordWrap/>
        <w:overflowPunct/>
        <w:topLinePunct w:val="0"/>
        <w:bidi w:val="0"/>
        <w:snapToGrid w:val="0"/>
        <w:spacing w:beforeAutospacing="0" w:line="360" w:lineRule="auto"/>
        <w:ind w:left="0" w:leftChars="0" w:right="0"/>
        <w:rPr>
          <w:rFonts w:hint="eastAsia" w:ascii="宋体" w:hAnsi="宋体" w:eastAsia="宋体" w:cs="宋体"/>
          <w:bCs/>
          <w:color w:val="auto"/>
          <w:sz w:val="24"/>
          <w:szCs w:val="20"/>
        </w:rPr>
      </w:pPr>
    </w:p>
    <w:p w14:paraId="0D9FB76F">
      <w:pPr>
        <w:pageBreakBefore w:val="0"/>
        <w:kinsoku/>
        <w:wordWrap/>
        <w:overflowPunct/>
        <w:topLinePunct w:val="0"/>
        <w:bidi w:val="0"/>
        <w:snapToGrid w:val="0"/>
        <w:spacing w:beforeAutospacing="0" w:line="360" w:lineRule="auto"/>
        <w:ind w:left="0" w:leftChars="0" w:right="0"/>
        <w:rPr>
          <w:rFonts w:hint="eastAsia" w:ascii="宋体" w:hAnsi="宋体" w:eastAsia="宋体" w:cs="宋体"/>
          <w:bCs/>
          <w:color w:val="auto"/>
          <w:sz w:val="24"/>
          <w:szCs w:val="20"/>
        </w:rPr>
      </w:pPr>
    </w:p>
    <w:p w14:paraId="107F58B8">
      <w:pPr>
        <w:pageBreakBefore w:val="0"/>
        <w:kinsoku/>
        <w:wordWrap/>
        <w:overflowPunct/>
        <w:topLinePunct w:val="0"/>
        <w:bidi w:val="0"/>
        <w:snapToGrid w:val="0"/>
        <w:spacing w:beforeAutospacing="0" w:line="360" w:lineRule="auto"/>
        <w:ind w:left="0" w:leftChars="0" w:right="0" w:firstLine="360" w:firstLineChars="150"/>
        <w:rPr>
          <w:rFonts w:hint="eastAsia" w:ascii="宋体" w:hAnsi="宋体" w:eastAsia="宋体" w:cs="宋体"/>
          <w:bCs/>
          <w:color w:val="auto"/>
          <w:sz w:val="24"/>
          <w:lang w:eastAsia="zh-CN"/>
        </w:rPr>
      </w:pPr>
      <w:r>
        <w:rPr>
          <w:rFonts w:hint="eastAsia" w:ascii="宋体" w:hAnsi="宋体" w:eastAsia="宋体" w:cs="宋体"/>
          <w:bCs/>
          <w:color w:val="auto"/>
          <w:sz w:val="24"/>
        </w:rPr>
        <w:t xml:space="preserve">项目名称： </w:t>
      </w:r>
      <w:r>
        <w:rPr>
          <w:rFonts w:hint="eastAsia" w:ascii="宋体" w:hAnsi="宋体" w:cs="宋体"/>
          <w:bCs/>
          <w:color w:val="auto"/>
          <w:sz w:val="24"/>
          <w:lang w:eastAsia="zh-CN"/>
        </w:rPr>
        <w:t>南宁市第二看守所在押人员伙房食材配送服务采购项目</w:t>
      </w:r>
    </w:p>
    <w:p w14:paraId="576FAE17">
      <w:pPr>
        <w:pageBreakBefore w:val="0"/>
        <w:kinsoku/>
        <w:wordWrap/>
        <w:overflowPunct/>
        <w:topLinePunct w:val="0"/>
        <w:bidi w:val="0"/>
        <w:snapToGrid w:val="0"/>
        <w:spacing w:beforeAutospacing="0" w:line="360" w:lineRule="auto"/>
        <w:ind w:left="0" w:leftChars="0" w:right="0" w:firstLine="360" w:firstLineChars="150"/>
        <w:rPr>
          <w:rFonts w:hint="eastAsia" w:ascii="宋体" w:hAnsi="宋体" w:eastAsia="宋体" w:cs="宋体"/>
          <w:bCs/>
          <w:color w:val="auto"/>
          <w:sz w:val="24"/>
        </w:rPr>
      </w:pPr>
    </w:p>
    <w:p w14:paraId="5F0B9853">
      <w:pPr>
        <w:pageBreakBefore w:val="0"/>
        <w:kinsoku/>
        <w:wordWrap/>
        <w:overflowPunct/>
        <w:topLinePunct w:val="0"/>
        <w:bidi w:val="0"/>
        <w:snapToGrid w:val="0"/>
        <w:spacing w:beforeAutospacing="0" w:line="360" w:lineRule="auto"/>
        <w:ind w:left="0" w:leftChars="0" w:right="0" w:firstLine="360" w:firstLineChars="150"/>
        <w:rPr>
          <w:rFonts w:hint="eastAsia" w:ascii="宋体" w:hAnsi="宋体" w:eastAsia="宋体" w:cs="宋体"/>
          <w:bCs/>
          <w:color w:val="auto"/>
          <w:sz w:val="24"/>
          <w:lang w:eastAsia="zh-CN"/>
        </w:rPr>
      </w:pPr>
      <w:r>
        <w:rPr>
          <w:rFonts w:hint="eastAsia" w:ascii="宋体" w:hAnsi="宋体" w:eastAsia="宋体" w:cs="宋体"/>
          <w:bCs/>
          <w:color w:val="auto"/>
          <w:sz w:val="24"/>
        </w:rPr>
        <w:t xml:space="preserve">项目编号： </w:t>
      </w:r>
      <w:r>
        <w:rPr>
          <w:rFonts w:hint="eastAsia" w:ascii="宋体" w:hAnsi="宋体" w:cs="宋体"/>
          <w:bCs/>
          <w:color w:val="auto"/>
          <w:sz w:val="24"/>
          <w:lang w:eastAsia="zh-CN"/>
        </w:rPr>
        <w:t>NNZC2024-G3-990896-GXJZ</w:t>
      </w:r>
    </w:p>
    <w:p w14:paraId="1E325201">
      <w:pPr>
        <w:pageBreakBefore w:val="0"/>
        <w:kinsoku/>
        <w:wordWrap/>
        <w:overflowPunct/>
        <w:topLinePunct w:val="0"/>
        <w:bidi w:val="0"/>
        <w:snapToGrid w:val="0"/>
        <w:spacing w:beforeAutospacing="0" w:line="360" w:lineRule="auto"/>
        <w:ind w:left="0" w:leftChars="0" w:right="0" w:firstLine="360" w:firstLineChars="150"/>
        <w:rPr>
          <w:rFonts w:hint="eastAsia" w:ascii="宋体" w:hAnsi="宋体" w:eastAsia="宋体" w:cs="宋体"/>
          <w:bCs/>
          <w:color w:val="auto"/>
          <w:sz w:val="24"/>
        </w:rPr>
      </w:pPr>
    </w:p>
    <w:p w14:paraId="6409CD8D">
      <w:pPr>
        <w:pageBreakBefore w:val="0"/>
        <w:kinsoku/>
        <w:wordWrap/>
        <w:overflowPunct/>
        <w:topLinePunct w:val="0"/>
        <w:bidi w:val="0"/>
        <w:snapToGrid w:val="0"/>
        <w:spacing w:beforeAutospacing="0" w:line="360" w:lineRule="auto"/>
        <w:ind w:left="0" w:leftChars="0" w:right="0" w:firstLine="360" w:firstLineChars="150"/>
        <w:rPr>
          <w:rFonts w:hint="eastAsia" w:ascii="宋体" w:hAnsi="宋体" w:eastAsia="宋体" w:cs="宋体"/>
          <w:bCs/>
          <w:color w:val="auto"/>
          <w:sz w:val="24"/>
        </w:rPr>
      </w:pPr>
      <w:r>
        <w:rPr>
          <w:rFonts w:hint="eastAsia" w:ascii="宋体" w:hAnsi="宋体" w:eastAsia="宋体" w:cs="宋体"/>
          <w:bCs/>
          <w:color w:val="auto"/>
          <w:sz w:val="24"/>
        </w:rPr>
        <w:t>所投分标：</w:t>
      </w:r>
    </w:p>
    <w:p w14:paraId="7162A9B2">
      <w:pPr>
        <w:pageBreakBefore w:val="0"/>
        <w:kinsoku/>
        <w:wordWrap/>
        <w:overflowPunct/>
        <w:topLinePunct w:val="0"/>
        <w:bidi w:val="0"/>
        <w:snapToGrid w:val="0"/>
        <w:spacing w:beforeAutospacing="0" w:line="360" w:lineRule="auto"/>
        <w:ind w:left="0" w:leftChars="0" w:right="0" w:firstLine="360" w:firstLineChars="150"/>
        <w:rPr>
          <w:rFonts w:hint="eastAsia" w:ascii="宋体" w:hAnsi="宋体" w:eastAsia="宋体" w:cs="宋体"/>
          <w:bCs/>
          <w:color w:val="auto"/>
          <w:sz w:val="24"/>
        </w:rPr>
      </w:pPr>
    </w:p>
    <w:p w14:paraId="10586819">
      <w:pPr>
        <w:pageBreakBefore w:val="0"/>
        <w:kinsoku/>
        <w:wordWrap/>
        <w:overflowPunct/>
        <w:topLinePunct w:val="0"/>
        <w:bidi w:val="0"/>
        <w:snapToGrid w:val="0"/>
        <w:spacing w:beforeAutospacing="0" w:line="360" w:lineRule="auto"/>
        <w:ind w:left="0" w:leftChars="0" w:right="0" w:firstLine="360" w:firstLineChars="150"/>
        <w:rPr>
          <w:rFonts w:hint="eastAsia" w:ascii="宋体" w:hAnsi="宋体" w:eastAsia="宋体" w:cs="宋体"/>
          <w:bCs/>
          <w:color w:val="auto"/>
          <w:sz w:val="24"/>
        </w:rPr>
      </w:pPr>
      <w:r>
        <w:rPr>
          <w:rFonts w:hint="eastAsia" w:ascii="宋体" w:hAnsi="宋体" w:eastAsia="宋体" w:cs="宋体"/>
          <w:bCs/>
          <w:color w:val="auto"/>
          <w:sz w:val="24"/>
        </w:rPr>
        <w:t>投标人名称：</w:t>
      </w:r>
    </w:p>
    <w:p w14:paraId="3D5B9094">
      <w:pPr>
        <w:pageBreakBefore w:val="0"/>
        <w:kinsoku/>
        <w:wordWrap/>
        <w:overflowPunct/>
        <w:topLinePunct w:val="0"/>
        <w:bidi w:val="0"/>
        <w:snapToGrid w:val="0"/>
        <w:spacing w:beforeAutospacing="0" w:line="360" w:lineRule="auto"/>
        <w:ind w:left="0" w:leftChars="0" w:right="0" w:firstLine="360" w:firstLineChars="150"/>
        <w:rPr>
          <w:rFonts w:hint="eastAsia" w:ascii="宋体" w:hAnsi="宋体" w:eastAsia="宋体" w:cs="宋体"/>
          <w:bCs/>
          <w:color w:val="auto"/>
          <w:sz w:val="24"/>
        </w:rPr>
      </w:pPr>
    </w:p>
    <w:p w14:paraId="6724BC76">
      <w:pPr>
        <w:pageBreakBefore w:val="0"/>
        <w:kinsoku/>
        <w:wordWrap/>
        <w:overflowPunct/>
        <w:topLinePunct w:val="0"/>
        <w:bidi w:val="0"/>
        <w:snapToGrid w:val="0"/>
        <w:spacing w:beforeAutospacing="0" w:line="360" w:lineRule="auto"/>
        <w:ind w:left="0" w:leftChars="0" w:right="0" w:firstLine="360" w:firstLineChars="150"/>
        <w:rPr>
          <w:rFonts w:hint="eastAsia" w:ascii="宋体" w:hAnsi="宋体" w:eastAsia="宋体" w:cs="宋体"/>
          <w:bCs/>
          <w:color w:val="auto"/>
          <w:sz w:val="24"/>
        </w:rPr>
      </w:pPr>
      <w:r>
        <w:rPr>
          <w:rFonts w:hint="eastAsia" w:ascii="宋体" w:hAnsi="宋体" w:eastAsia="宋体" w:cs="宋体"/>
          <w:bCs/>
          <w:color w:val="auto"/>
          <w:sz w:val="24"/>
        </w:rPr>
        <w:t>投标人地址：</w:t>
      </w:r>
    </w:p>
    <w:p w14:paraId="1095014C">
      <w:pPr>
        <w:pageBreakBefore w:val="0"/>
        <w:kinsoku/>
        <w:wordWrap/>
        <w:overflowPunct/>
        <w:topLinePunct w:val="0"/>
        <w:bidi w:val="0"/>
        <w:snapToGrid w:val="0"/>
        <w:spacing w:beforeAutospacing="0" w:line="360" w:lineRule="auto"/>
        <w:ind w:left="0" w:leftChars="0" w:right="0" w:firstLine="960" w:firstLineChars="400"/>
        <w:rPr>
          <w:rFonts w:hint="eastAsia" w:ascii="宋体" w:hAnsi="宋体" w:eastAsia="宋体" w:cs="宋体"/>
          <w:bCs/>
          <w:color w:val="auto"/>
          <w:sz w:val="24"/>
        </w:rPr>
      </w:pPr>
    </w:p>
    <w:p w14:paraId="014AF42B">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 w:val="24"/>
        </w:rPr>
      </w:pPr>
      <w:r>
        <w:rPr>
          <w:rFonts w:hint="eastAsia" w:ascii="宋体" w:hAnsi="宋体" w:eastAsia="宋体" w:cs="宋体"/>
          <w:color w:val="auto"/>
          <w:sz w:val="24"/>
        </w:rPr>
        <w:t xml:space="preserve">                                                       年  月  日</w:t>
      </w:r>
    </w:p>
    <w:p w14:paraId="5D9FF3BD">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 w:val="24"/>
        </w:rPr>
        <w:sectPr>
          <w:pgSz w:w="11906" w:h="16838"/>
          <w:pgMar w:top="1134" w:right="1134" w:bottom="1134" w:left="1134" w:header="720" w:footer="720" w:gutter="0"/>
          <w:cols w:space="720" w:num="1"/>
          <w:docGrid w:type="lines" w:linePitch="331" w:charSpace="0"/>
        </w:sectPr>
      </w:pPr>
    </w:p>
    <w:p w14:paraId="2BD466B5">
      <w:pPr>
        <w:pageBreakBefore w:val="0"/>
        <w:kinsoku/>
        <w:wordWrap/>
        <w:overflowPunct/>
        <w:topLinePunct w:val="0"/>
        <w:bidi w:val="0"/>
        <w:spacing w:beforeAutospacing="0" w:line="360" w:lineRule="auto"/>
        <w:ind w:left="0" w:leftChars="0" w:right="0"/>
        <w:rPr>
          <w:rFonts w:hint="eastAsia" w:ascii="宋体" w:hAnsi="宋体" w:eastAsia="宋体" w:cs="宋体"/>
          <w:color w:val="auto"/>
        </w:rPr>
      </w:pPr>
    </w:p>
    <w:p w14:paraId="03B423D2">
      <w:pPr>
        <w:pageBreakBefore w:val="0"/>
        <w:kinsoku/>
        <w:wordWrap/>
        <w:overflowPunct/>
        <w:topLinePunct w:val="0"/>
        <w:bidi w:val="0"/>
        <w:snapToGrid w:val="0"/>
        <w:spacing w:beforeAutospacing="0" w:line="360" w:lineRule="auto"/>
        <w:ind w:left="0" w:leftChars="0" w:right="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报价文件目录</w:t>
      </w:r>
    </w:p>
    <w:p w14:paraId="030E42DD">
      <w:pPr>
        <w:pageBreakBefore w:val="0"/>
        <w:kinsoku/>
        <w:wordWrap/>
        <w:overflowPunct/>
        <w:topLinePunct w:val="0"/>
        <w:bidi w:val="0"/>
        <w:spacing w:beforeAutospacing="0" w:line="360" w:lineRule="auto"/>
        <w:ind w:left="0" w:leftChars="0" w:right="0"/>
        <w:rPr>
          <w:rFonts w:hint="eastAsia" w:ascii="宋体" w:hAnsi="宋体" w:eastAsia="宋体" w:cs="宋体"/>
          <w:color w:val="auto"/>
        </w:rPr>
      </w:pPr>
    </w:p>
    <w:p w14:paraId="72D93BC2">
      <w:pPr>
        <w:pageBreakBefore w:val="0"/>
        <w:kinsoku/>
        <w:wordWrap/>
        <w:overflowPunct/>
        <w:topLinePunct w:val="0"/>
        <w:bidi w:val="0"/>
        <w:spacing w:beforeAutospacing="0" w:line="360" w:lineRule="auto"/>
        <w:ind w:left="0" w:leftChars="0" w:right="0"/>
        <w:rPr>
          <w:rFonts w:hint="eastAsia" w:ascii="宋体" w:hAnsi="宋体" w:eastAsia="宋体" w:cs="宋体"/>
          <w:color w:val="auto"/>
          <w:kern w:val="0"/>
          <w:sz w:val="24"/>
        </w:rPr>
      </w:pPr>
      <w:r>
        <w:rPr>
          <w:rFonts w:hint="eastAsia" w:ascii="宋体" w:hAnsi="宋体" w:eastAsia="宋体" w:cs="宋体"/>
          <w:color w:val="auto"/>
          <w:kern w:val="0"/>
          <w:sz w:val="24"/>
        </w:rPr>
        <w:t>一、投标函………………………………………………………（页码）</w:t>
      </w:r>
    </w:p>
    <w:p w14:paraId="2C274C98">
      <w:pPr>
        <w:pageBreakBefore w:val="0"/>
        <w:kinsoku/>
        <w:wordWrap/>
        <w:overflowPunct/>
        <w:topLinePunct w:val="0"/>
        <w:bidi w:val="0"/>
        <w:spacing w:beforeAutospacing="0" w:line="360" w:lineRule="auto"/>
        <w:ind w:left="0" w:leftChars="0" w:right="0"/>
        <w:rPr>
          <w:rFonts w:hint="eastAsia" w:ascii="宋体" w:hAnsi="宋体" w:eastAsia="宋体" w:cs="宋体"/>
          <w:color w:val="auto"/>
          <w:kern w:val="0"/>
          <w:sz w:val="24"/>
        </w:rPr>
      </w:pPr>
      <w:r>
        <w:rPr>
          <w:rFonts w:hint="eastAsia" w:ascii="宋体" w:hAnsi="宋体" w:eastAsia="宋体" w:cs="宋体"/>
          <w:color w:val="auto"/>
          <w:kern w:val="0"/>
          <w:sz w:val="24"/>
        </w:rPr>
        <w:t>二、开标一览表…………………………………………………（页码）</w:t>
      </w:r>
    </w:p>
    <w:p w14:paraId="77C2991B">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24"/>
        </w:rPr>
      </w:pPr>
      <w:r>
        <w:rPr>
          <w:rFonts w:hint="eastAsia" w:ascii="宋体" w:hAnsi="宋体" w:eastAsia="宋体" w:cs="宋体"/>
          <w:color w:val="auto"/>
          <w:kern w:val="0"/>
          <w:sz w:val="24"/>
        </w:rPr>
        <w:t>三、中小企业声明函……………………………………………（页码）</w:t>
      </w:r>
    </w:p>
    <w:p w14:paraId="356D6033">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 w:val="30"/>
          <w:szCs w:val="20"/>
        </w:rPr>
        <w:sectPr>
          <w:pgSz w:w="11906" w:h="16838"/>
          <w:pgMar w:top="1134" w:right="1134" w:bottom="1134" w:left="1134" w:header="720" w:footer="720" w:gutter="0"/>
          <w:cols w:space="720" w:num="1"/>
          <w:docGrid w:type="lines" w:linePitch="331" w:charSpace="0"/>
        </w:sectPr>
      </w:pPr>
    </w:p>
    <w:p w14:paraId="437F100C">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一、投标函</w:t>
      </w:r>
    </w:p>
    <w:p w14:paraId="636081A9">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致：</w:t>
      </w:r>
      <w:r>
        <w:rPr>
          <w:rFonts w:hint="eastAsia" w:ascii="宋体" w:hAnsi="宋体" w:cs="宋体"/>
          <w:color w:val="auto"/>
          <w:sz w:val="21"/>
          <w:szCs w:val="21"/>
          <w:u w:val="single"/>
          <w:lang w:eastAsia="zh-CN"/>
        </w:rPr>
        <w:t>广西景钲工程咨询有限公司</w:t>
      </w:r>
    </w:p>
    <w:p w14:paraId="0D84F7EB">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我方已仔细阅读了贵方组织的</w:t>
      </w:r>
      <w:r>
        <w:rPr>
          <w:rFonts w:hint="eastAsia" w:ascii="宋体" w:hAnsi="宋体" w:cs="宋体"/>
          <w:color w:val="auto"/>
          <w:sz w:val="21"/>
          <w:szCs w:val="21"/>
          <w:u w:val="single"/>
          <w:lang w:eastAsia="zh-CN"/>
        </w:rPr>
        <w:t>南宁市第二看守所在押人员伙房食材配送服务采购项目</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项目（项目编号：</w:t>
      </w:r>
      <w:r>
        <w:rPr>
          <w:rFonts w:hint="eastAsia" w:ascii="宋体" w:hAnsi="宋体" w:cs="宋体"/>
          <w:color w:val="auto"/>
          <w:sz w:val="21"/>
          <w:szCs w:val="21"/>
          <w:lang w:eastAsia="zh-CN"/>
        </w:rPr>
        <w:t>NNZC2024-G3-990896-GXJZ</w:t>
      </w:r>
      <w:r>
        <w:rPr>
          <w:rFonts w:hint="eastAsia" w:ascii="宋体" w:hAnsi="宋体" w:eastAsia="宋体" w:cs="宋体"/>
          <w:color w:val="auto"/>
          <w:sz w:val="21"/>
          <w:szCs w:val="21"/>
        </w:rPr>
        <w:t>）的招标文件的全部内容，授权</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(全权代表姓名)</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(职务、职称)为全权代表，现正式递交下述文件参加贵方组织的本次政府采购活动： </w:t>
      </w:r>
    </w:p>
    <w:p w14:paraId="31F78003">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一、报价文件电子版一份（包含按投标人须知前附表要求提交的全部文件）；</w:t>
      </w:r>
    </w:p>
    <w:p w14:paraId="3EA82E17">
      <w:pPr>
        <w:pageBreakBefore w:val="0"/>
        <w:kinsoku/>
        <w:wordWrap/>
        <w:overflowPunct/>
        <w:topLinePunct w:val="0"/>
        <w:bidi w:val="0"/>
        <w:spacing w:beforeAutospacing="0" w:line="360" w:lineRule="auto"/>
        <w:ind w:left="0" w:leftChars="0" w:right="0" w:firstLine="482"/>
        <w:rPr>
          <w:rFonts w:hint="eastAsia" w:ascii="宋体" w:hAnsi="宋体" w:eastAsia="宋体" w:cs="宋体"/>
          <w:color w:val="auto"/>
          <w:sz w:val="21"/>
          <w:szCs w:val="21"/>
        </w:rPr>
      </w:pPr>
      <w:r>
        <w:rPr>
          <w:rFonts w:hint="eastAsia" w:ascii="宋体" w:hAnsi="宋体" w:eastAsia="宋体" w:cs="宋体"/>
          <w:color w:val="auto"/>
          <w:sz w:val="21"/>
          <w:szCs w:val="21"/>
        </w:rPr>
        <w:t>二、资格文件电子版一份（包含按投标人须知前附表要求提交的全部文件）；</w:t>
      </w:r>
    </w:p>
    <w:p w14:paraId="1CFD9958">
      <w:pPr>
        <w:pageBreakBefore w:val="0"/>
        <w:kinsoku/>
        <w:wordWrap/>
        <w:overflowPunct/>
        <w:topLinePunct w:val="0"/>
        <w:bidi w:val="0"/>
        <w:spacing w:beforeAutospacing="0" w:line="360" w:lineRule="auto"/>
        <w:ind w:left="0" w:leftChars="0" w:right="0" w:firstLine="482"/>
        <w:rPr>
          <w:rFonts w:hint="eastAsia" w:ascii="宋体" w:hAnsi="宋体" w:eastAsia="宋体" w:cs="宋体"/>
          <w:color w:val="auto"/>
          <w:sz w:val="21"/>
          <w:szCs w:val="21"/>
        </w:rPr>
      </w:pPr>
      <w:r>
        <w:rPr>
          <w:rFonts w:hint="eastAsia" w:ascii="宋体" w:hAnsi="宋体" w:eastAsia="宋体" w:cs="宋体"/>
          <w:color w:val="auto"/>
          <w:sz w:val="21"/>
          <w:szCs w:val="21"/>
        </w:rPr>
        <w:t>三、技术文件电子版一份（包含按投标人须知前附表要求提交的全部文件）；</w:t>
      </w:r>
    </w:p>
    <w:p w14:paraId="3D1AAC35">
      <w:pPr>
        <w:pageBreakBefore w:val="0"/>
        <w:kinsoku/>
        <w:wordWrap/>
        <w:overflowPunct/>
        <w:topLinePunct w:val="0"/>
        <w:bidi w:val="0"/>
        <w:spacing w:beforeAutospacing="0" w:line="360" w:lineRule="auto"/>
        <w:ind w:left="0" w:leftChars="0" w:right="0" w:firstLine="482"/>
        <w:rPr>
          <w:rFonts w:hint="eastAsia" w:ascii="宋体" w:hAnsi="宋体" w:eastAsia="宋体" w:cs="宋体"/>
          <w:color w:val="auto"/>
          <w:sz w:val="21"/>
          <w:szCs w:val="21"/>
        </w:rPr>
      </w:pPr>
      <w:r>
        <w:rPr>
          <w:rFonts w:hint="eastAsia" w:ascii="宋体" w:hAnsi="宋体" w:eastAsia="宋体" w:cs="宋体"/>
          <w:color w:val="auto"/>
          <w:sz w:val="21"/>
          <w:szCs w:val="21"/>
        </w:rPr>
        <w:t>四、商务文件电子版一份（包含按投标人须知前附表要求提交的全部文件）；</w:t>
      </w:r>
    </w:p>
    <w:p w14:paraId="6B7DB855">
      <w:pPr>
        <w:pageBreakBefore w:val="0"/>
        <w:kinsoku/>
        <w:wordWrap/>
        <w:overflowPunct/>
        <w:topLinePunct w:val="0"/>
        <w:bidi w:val="0"/>
        <w:spacing w:beforeAutospacing="0" w:line="360" w:lineRule="auto"/>
        <w:ind w:left="0" w:leftChars="0" w:right="0" w:firstLine="482"/>
        <w:rPr>
          <w:rFonts w:hint="eastAsia" w:ascii="宋体" w:hAnsi="宋体" w:eastAsia="宋体" w:cs="宋体"/>
          <w:color w:val="auto"/>
          <w:sz w:val="21"/>
          <w:szCs w:val="21"/>
        </w:rPr>
      </w:pPr>
      <w:r>
        <w:rPr>
          <w:rFonts w:hint="eastAsia" w:ascii="宋体" w:hAnsi="宋体" w:eastAsia="宋体" w:cs="宋体"/>
          <w:color w:val="auto"/>
          <w:sz w:val="21"/>
          <w:szCs w:val="21"/>
        </w:rPr>
        <w:t>据此函，签字人兹宣布：</w:t>
      </w:r>
    </w:p>
    <w:p w14:paraId="2528D9B6">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1、我方愿意以折扣率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%的投标总报价，</w:t>
      </w:r>
      <w:r>
        <w:rPr>
          <w:rFonts w:hint="eastAsia" w:ascii="宋体" w:hAnsi="宋体" w:eastAsia="宋体" w:cs="宋体"/>
          <w:color w:val="auto"/>
          <w:kern w:val="0"/>
          <w:sz w:val="21"/>
          <w:szCs w:val="21"/>
        </w:rPr>
        <w:t>服务期限：</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w:t>
      </w:r>
      <w:r>
        <w:rPr>
          <w:rFonts w:hint="eastAsia" w:ascii="宋体" w:hAnsi="宋体" w:eastAsia="宋体" w:cs="宋体"/>
          <w:color w:val="auto"/>
          <w:sz w:val="21"/>
          <w:szCs w:val="21"/>
        </w:rPr>
        <w:t>提供本项目招标文件第二章“服务需求”中的相应的采购内容。</w:t>
      </w:r>
    </w:p>
    <w:p w14:paraId="0D495CA6">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2、我方同意自本项目招标文件“第三章 投标人须知”第一节 投标人须知前附表 第21.2项规定的投标截止时间（开标时间）起遵循本投标函，并承诺在“投标人须知前附表”第17.2项规定的投标有效期内不修改、撤销投标文件。</w:t>
      </w:r>
    </w:p>
    <w:p w14:paraId="5F646951">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3、我方所递交的投标文件及有关资料都是内容完整、真实和准确的。</w:t>
      </w:r>
    </w:p>
    <w:p w14:paraId="0B0D8A65">
      <w:pPr>
        <w:pageBreakBefore w:val="0"/>
        <w:kinsoku/>
        <w:wordWrap/>
        <w:overflowPunct/>
        <w:topLinePunct w:val="0"/>
        <w:bidi w:val="0"/>
        <w:spacing w:beforeAutospacing="0" w:line="360" w:lineRule="auto"/>
        <w:ind w:left="0" w:leftChars="0" w:right="0" w:firstLine="482"/>
        <w:rPr>
          <w:rFonts w:hint="eastAsia" w:ascii="宋体" w:hAnsi="宋体" w:eastAsia="宋体" w:cs="宋体"/>
          <w:color w:val="auto"/>
          <w:sz w:val="21"/>
          <w:szCs w:val="21"/>
        </w:rPr>
      </w:pPr>
      <w:r>
        <w:rPr>
          <w:rFonts w:hint="eastAsia" w:ascii="宋体" w:hAnsi="宋体" w:eastAsia="宋体" w:cs="宋体"/>
          <w:color w:val="auto"/>
          <w:sz w:val="21"/>
          <w:szCs w:val="21"/>
        </w:rPr>
        <w:t>4、如本项目采购内容涉及须符合国家强制规定的，我方承诺我方本次投标（包括资格条件和所投产品）均符合国家有关强制规定。</w:t>
      </w:r>
    </w:p>
    <w:p w14:paraId="50EEFB6D">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3B980BE3">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6、我方已详细审核招标文件，我方知道必须放弃提出含糊不清或误解问题的权利。</w:t>
      </w:r>
    </w:p>
    <w:p w14:paraId="226BAE21">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7、我方同意应贵方要求提供与本投标有关的任何数据或资料。若贵方需要，我方愿意提供我方作出的一切承诺的证明材料。</w:t>
      </w:r>
    </w:p>
    <w:p w14:paraId="7DED7F5A">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8、我方完全理解贵方不一定接受投标报价最低的投标人为中标供应商的行为。</w:t>
      </w:r>
    </w:p>
    <w:p w14:paraId="39E8C139">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3F4F0F4">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 w:val="21"/>
          <w:szCs w:val="21"/>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1</w:t>
      </w:r>
      <w:r>
        <w:rPr>
          <w:rFonts w:hint="eastAsia" w:ascii="宋体" w:hAnsi="宋体" w:cs="宋体"/>
          <w:color w:val="auto"/>
          <w:sz w:val="21"/>
          <w:szCs w:val="21"/>
          <w:lang w:eastAsia="zh-CN"/>
        </w:rPr>
        <w:t>）</w:t>
      </w:r>
      <w:r>
        <w:rPr>
          <w:rFonts w:hint="eastAsia" w:ascii="宋体" w:hAnsi="宋体" w:eastAsia="宋体" w:cs="宋体"/>
          <w:color w:val="auto"/>
          <w:sz w:val="21"/>
          <w:szCs w:val="21"/>
        </w:rPr>
        <w:t>提供虚假材料谋取中标、成交的；</w:t>
      </w:r>
    </w:p>
    <w:p w14:paraId="2E1029A6">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 w:val="21"/>
          <w:szCs w:val="21"/>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2</w:t>
      </w:r>
      <w:r>
        <w:rPr>
          <w:rFonts w:hint="eastAsia" w:ascii="宋体" w:hAnsi="宋体" w:cs="宋体"/>
          <w:color w:val="auto"/>
          <w:sz w:val="21"/>
          <w:szCs w:val="21"/>
          <w:lang w:eastAsia="zh-CN"/>
        </w:rPr>
        <w:t>）</w:t>
      </w:r>
      <w:r>
        <w:rPr>
          <w:rFonts w:hint="eastAsia" w:ascii="宋体" w:hAnsi="宋体" w:eastAsia="宋体" w:cs="宋体"/>
          <w:color w:val="auto"/>
          <w:sz w:val="21"/>
          <w:szCs w:val="21"/>
        </w:rPr>
        <w:t>采取不正当手段诋毁、排挤其他供应商的；</w:t>
      </w:r>
    </w:p>
    <w:p w14:paraId="491AF0D6">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 w:val="21"/>
          <w:szCs w:val="21"/>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3</w:t>
      </w:r>
      <w:r>
        <w:rPr>
          <w:rFonts w:hint="eastAsia" w:ascii="宋体" w:hAnsi="宋体" w:cs="宋体"/>
          <w:color w:val="auto"/>
          <w:sz w:val="21"/>
          <w:szCs w:val="21"/>
          <w:lang w:eastAsia="zh-CN"/>
        </w:rPr>
        <w:t>）</w:t>
      </w:r>
      <w:r>
        <w:rPr>
          <w:rFonts w:hint="eastAsia" w:ascii="宋体" w:hAnsi="宋体" w:eastAsia="宋体" w:cs="宋体"/>
          <w:color w:val="auto"/>
          <w:sz w:val="21"/>
          <w:szCs w:val="21"/>
        </w:rPr>
        <w:t>与采购人、其他供应商或者采购代理机构恶意串通的；</w:t>
      </w:r>
    </w:p>
    <w:p w14:paraId="50CD2B8A">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 w:val="21"/>
          <w:szCs w:val="21"/>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4</w:t>
      </w:r>
      <w:r>
        <w:rPr>
          <w:rFonts w:hint="eastAsia" w:ascii="宋体" w:hAnsi="宋体" w:cs="宋体"/>
          <w:color w:val="auto"/>
          <w:sz w:val="21"/>
          <w:szCs w:val="21"/>
          <w:lang w:eastAsia="zh-CN"/>
        </w:rPr>
        <w:t>）</w:t>
      </w:r>
      <w:r>
        <w:rPr>
          <w:rFonts w:hint="eastAsia" w:ascii="宋体" w:hAnsi="宋体" w:eastAsia="宋体" w:cs="宋体"/>
          <w:color w:val="auto"/>
          <w:sz w:val="21"/>
          <w:szCs w:val="21"/>
        </w:rPr>
        <w:t>向采购人、采购代理机构行贿或者提供其他不正当利益的；</w:t>
      </w:r>
    </w:p>
    <w:p w14:paraId="7C4ED95B">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 w:val="21"/>
          <w:szCs w:val="21"/>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5</w:t>
      </w:r>
      <w:r>
        <w:rPr>
          <w:rFonts w:hint="eastAsia" w:ascii="宋体" w:hAnsi="宋体" w:cs="宋体"/>
          <w:color w:val="auto"/>
          <w:sz w:val="21"/>
          <w:szCs w:val="21"/>
          <w:lang w:eastAsia="zh-CN"/>
        </w:rPr>
        <w:t>）</w:t>
      </w:r>
      <w:r>
        <w:rPr>
          <w:rFonts w:hint="eastAsia" w:ascii="宋体" w:hAnsi="宋体" w:eastAsia="宋体" w:cs="宋体"/>
          <w:color w:val="auto"/>
          <w:sz w:val="21"/>
          <w:szCs w:val="21"/>
        </w:rPr>
        <w:t>在招标采购过程中与采购人进行协商谈判的；</w:t>
      </w:r>
    </w:p>
    <w:p w14:paraId="4C52E9EF">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 w:val="21"/>
          <w:szCs w:val="21"/>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6</w:t>
      </w:r>
      <w:r>
        <w:rPr>
          <w:rFonts w:hint="eastAsia" w:ascii="宋体" w:hAnsi="宋体" w:cs="宋体"/>
          <w:color w:val="auto"/>
          <w:sz w:val="21"/>
          <w:szCs w:val="21"/>
          <w:lang w:eastAsia="zh-CN"/>
        </w:rPr>
        <w:t>）</w:t>
      </w:r>
      <w:r>
        <w:rPr>
          <w:rFonts w:hint="eastAsia" w:ascii="宋体" w:hAnsi="宋体" w:eastAsia="宋体" w:cs="宋体"/>
          <w:color w:val="auto"/>
          <w:sz w:val="21"/>
          <w:szCs w:val="21"/>
        </w:rPr>
        <w:t>拒绝有关部门监督检查或提供虚假情况的。</w:t>
      </w:r>
    </w:p>
    <w:p w14:paraId="3E182260">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0"/>
        </w:rPr>
      </w:pPr>
      <w:r>
        <w:rPr>
          <w:rFonts w:hint="eastAsia" w:ascii="宋体" w:hAnsi="宋体" w:eastAsia="宋体" w:cs="宋体"/>
          <w:color w:val="auto"/>
          <w:szCs w:val="20"/>
        </w:rPr>
        <w:t>10、我方及由本人担任法定代表人的其他机构最近三年内被处罚的违法行为有：</w:t>
      </w:r>
      <w:r>
        <w:rPr>
          <w:rFonts w:hint="eastAsia" w:ascii="宋体" w:hAnsi="宋体" w:eastAsia="宋体" w:cs="宋体"/>
          <w:color w:val="auto"/>
          <w:szCs w:val="20"/>
          <w:u w:val="single"/>
        </w:rPr>
        <w:t xml:space="preserve">                                        </w:t>
      </w:r>
    </w:p>
    <w:p w14:paraId="38C2CE7E">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0"/>
        </w:rPr>
      </w:pPr>
      <w:r>
        <w:rPr>
          <w:rFonts w:hint="eastAsia" w:ascii="宋体" w:hAnsi="宋体" w:eastAsia="宋体" w:cs="宋体"/>
          <w:color w:val="auto"/>
          <w:szCs w:val="20"/>
          <w:u w:val="single"/>
        </w:rPr>
        <w:t xml:space="preserve">                                                                                                                        </w:t>
      </w:r>
    </w:p>
    <w:p w14:paraId="232FA904">
      <w:pPr>
        <w:pageBreakBefore w:val="0"/>
        <w:kinsoku/>
        <w:wordWrap/>
        <w:overflowPunct/>
        <w:topLinePunct w:val="0"/>
        <w:bidi w:val="0"/>
        <w:spacing w:beforeAutospacing="0" w:line="360" w:lineRule="auto"/>
        <w:ind w:left="0" w:leftChars="0" w:right="0" w:firstLine="420"/>
        <w:rPr>
          <w:rFonts w:hint="eastAsia" w:ascii="宋体" w:hAnsi="宋体" w:eastAsia="宋体" w:cs="宋体"/>
          <w:color w:val="auto"/>
          <w:szCs w:val="20"/>
        </w:rPr>
      </w:pPr>
      <w:r>
        <w:rPr>
          <w:rFonts w:hint="eastAsia" w:ascii="宋体" w:hAnsi="宋体" w:eastAsia="宋体" w:cs="宋体"/>
          <w:color w:val="auto"/>
          <w:szCs w:val="20"/>
        </w:rPr>
        <w:t>11、以上事项如有虚假或隐瞒，我方愿意承担一切后果，并不再寻求任何旨在减轻或免除法律责任的辩解。</w:t>
      </w:r>
    </w:p>
    <w:p w14:paraId="14BD6220">
      <w:pPr>
        <w:pageBreakBefore w:val="0"/>
        <w:kinsoku/>
        <w:wordWrap/>
        <w:overflowPunct/>
        <w:topLinePunct w:val="0"/>
        <w:bidi w:val="0"/>
        <w:spacing w:beforeAutospacing="0" w:line="360" w:lineRule="auto"/>
        <w:ind w:left="0" w:leftChars="0" w:right="0" w:firstLine="420"/>
        <w:rPr>
          <w:rFonts w:hint="eastAsia" w:ascii="宋体" w:hAnsi="宋体" w:eastAsia="宋体" w:cs="宋体"/>
          <w:color w:val="auto"/>
          <w:szCs w:val="20"/>
        </w:rPr>
      </w:pPr>
      <w:r>
        <w:rPr>
          <w:rFonts w:hint="eastAsia" w:ascii="宋体" w:hAnsi="宋体" w:eastAsia="宋体" w:cs="宋体"/>
          <w:color w:val="auto"/>
          <w:szCs w:val="20"/>
        </w:rPr>
        <w:t>12、与本投标有关的一切正式往来信函请寄：</w:t>
      </w:r>
      <w:r>
        <w:rPr>
          <w:rFonts w:hint="eastAsia" w:ascii="宋体" w:hAnsi="宋体" w:eastAsia="宋体" w:cs="宋体"/>
          <w:color w:val="auto"/>
          <w:szCs w:val="20"/>
          <w:u w:val="single"/>
        </w:rPr>
        <w:t xml:space="preserve"> </w:t>
      </w:r>
    </w:p>
    <w:p w14:paraId="3C25A6A1">
      <w:pPr>
        <w:pageBreakBefore w:val="0"/>
        <w:kinsoku/>
        <w:wordWrap/>
        <w:overflowPunct/>
        <w:topLinePunct w:val="0"/>
        <w:bidi w:val="0"/>
        <w:spacing w:beforeAutospacing="0" w:line="360" w:lineRule="auto"/>
        <w:ind w:left="0" w:leftChars="0" w:right="0" w:firstLine="420"/>
        <w:rPr>
          <w:rFonts w:hint="eastAsia" w:ascii="宋体" w:hAnsi="宋体" w:eastAsia="宋体" w:cs="宋体"/>
          <w:color w:val="auto"/>
          <w:szCs w:val="20"/>
        </w:rPr>
      </w:pPr>
      <w:r>
        <w:rPr>
          <w:rFonts w:hint="eastAsia" w:ascii="宋体" w:hAnsi="宋体" w:eastAsia="宋体" w:cs="宋体"/>
          <w:color w:val="auto"/>
          <w:szCs w:val="20"/>
        </w:rPr>
        <w:t>地址：</w:t>
      </w:r>
      <w:r>
        <w:rPr>
          <w:rFonts w:hint="eastAsia" w:ascii="宋体" w:hAnsi="宋体" w:eastAsia="宋体" w:cs="宋体"/>
          <w:color w:val="auto"/>
          <w:szCs w:val="20"/>
          <w:u w:val="single"/>
        </w:rPr>
        <w:t xml:space="preserve">                                                        </w:t>
      </w:r>
      <w:r>
        <w:rPr>
          <w:rFonts w:hint="eastAsia" w:ascii="宋体" w:hAnsi="宋体" w:eastAsia="宋体" w:cs="宋体"/>
          <w:color w:val="auto"/>
          <w:szCs w:val="20"/>
        </w:rPr>
        <w:t xml:space="preserve"> </w:t>
      </w:r>
    </w:p>
    <w:p w14:paraId="2B3F0F0A">
      <w:pPr>
        <w:pageBreakBefore w:val="0"/>
        <w:kinsoku/>
        <w:wordWrap/>
        <w:overflowPunct/>
        <w:topLinePunct w:val="0"/>
        <w:bidi w:val="0"/>
        <w:spacing w:beforeAutospacing="0" w:line="360" w:lineRule="auto"/>
        <w:ind w:left="0" w:leftChars="0" w:right="0" w:firstLine="420"/>
        <w:rPr>
          <w:rFonts w:hint="eastAsia" w:ascii="宋体" w:hAnsi="宋体" w:eastAsia="宋体" w:cs="宋体"/>
          <w:color w:val="auto"/>
          <w:szCs w:val="20"/>
          <w:u w:val="single"/>
        </w:rPr>
      </w:pPr>
      <w:r>
        <w:rPr>
          <w:rFonts w:hint="eastAsia" w:ascii="宋体" w:hAnsi="宋体" w:eastAsia="宋体" w:cs="宋体"/>
          <w:color w:val="auto"/>
          <w:szCs w:val="20"/>
        </w:rPr>
        <w:t>电话：</w:t>
      </w:r>
      <w:r>
        <w:rPr>
          <w:rFonts w:hint="eastAsia" w:ascii="宋体" w:hAnsi="宋体" w:eastAsia="宋体" w:cs="宋体"/>
          <w:color w:val="auto"/>
          <w:szCs w:val="20"/>
          <w:u w:val="single"/>
        </w:rPr>
        <w:t xml:space="preserve">                                      　　　　　　　　　</w:t>
      </w:r>
    </w:p>
    <w:p w14:paraId="5D5F9FB7">
      <w:pPr>
        <w:pageBreakBefore w:val="0"/>
        <w:kinsoku/>
        <w:wordWrap/>
        <w:overflowPunct/>
        <w:topLinePunct w:val="0"/>
        <w:bidi w:val="0"/>
        <w:spacing w:beforeAutospacing="0" w:line="360" w:lineRule="auto"/>
        <w:ind w:left="0" w:leftChars="0" w:right="0" w:firstLine="420"/>
        <w:rPr>
          <w:rFonts w:hint="eastAsia" w:ascii="宋体" w:hAnsi="宋体" w:eastAsia="宋体" w:cs="宋体"/>
          <w:color w:val="auto"/>
          <w:szCs w:val="20"/>
        </w:rPr>
      </w:pPr>
      <w:r>
        <w:rPr>
          <w:rFonts w:hint="eastAsia" w:ascii="宋体" w:hAnsi="宋体" w:eastAsia="宋体" w:cs="宋体"/>
          <w:color w:val="auto"/>
          <w:szCs w:val="20"/>
        </w:rPr>
        <w:t>传真：</w:t>
      </w:r>
      <w:r>
        <w:rPr>
          <w:rFonts w:hint="eastAsia" w:ascii="宋体" w:hAnsi="宋体" w:eastAsia="宋体" w:cs="宋体"/>
          <w:color w:val="auto"/>
          <w:szCs w:val="20"/>
          <w:u w:val="single"/>
        </w:rPr>
        <w:t>　　　　　　　　　　　　　　　　　　　　　　　　　　　　</w:t>
      </w:r>
    </w:p>
    <w:p w14:paraId="762A26B7">
      <w:pPr>
        <w:pageBreakBefore w:val="0"/>
        <w:kinsoku/>
        <w:wordWrap/>
        <w:overflowPunct/>
        <w:topLinePunct w:val="0"/>
        <w:bidi w:val="0"/>
        <w:spacing w:beforeAutospacing="0" w:line="360" w:lineRule="auto"/>
        <w:ind w:left="0" w:leftChars="0" w:right="0" w:firstLine="420"/>
        <w:rPr>
          <w:rFonts w:hint="eastAsia" w:ascii="宋体" w:hAnsi="宋体" w:eastAsia="宋体" w:cs="宋体"/>
          <w:color w:val="auto"/>
          <w:szCs w:val="20"/>
          <w:u w:val="single"/>
        </w:rPr>
      </w:pPr>
      <w:r>
        <w:rPr>
          <w:rFonts w:hint="eastAsia" w:ascii="宋体" w:hAnsi="宋体" w:eastAsia="宋体" w:cs="宋体"/>
          <w:color w:val="auto"/>
          <w:szCs w:val="20"/>
        </w:rPr>
        <w:t>邮政编码：</w:t>
      </w:r>
      <w:r>
        <w:rPr>
          <w:rFonts w:hint="eastAsia" w:ascii="宋体" w:hAnsi="宋体" w:eastAsia="宋体" w:cs="宋体"/>
          <w:color w:val="auto"/>
          <w:szCs w:val="20"/>
          <w:u w:val="single"/>
        </w:rPr>
        <w:t xml:space="preserve">                                                    </w:t>
      </w:r>
    </w:p>
    <w:p w14:paraId="5DFA8664">
      <w:pPr>
        <w:pageBreakBefore w:val="0"/>
        <w:kinsoku/>
        <w:wordWrap/>
        <w:overflowPunct/>
        <w:topLinePunct w:val="0"/>
        <w:bidi w:val="0"/>
        <w:spacing w:beforeAutospacing="0" w:line="360" w:lineRule="auto"/>
        <w:ind w:left="0" w:leftChars="0" w:right="0" w:firstLine="420"/>
        <w:rPr>
          <w:rFonts w:hint="eastAsia" w:ascii="宋体" w:hAnsi="宋体" w:eastAsia="宋体" w:cs="宋体"/>
          <w:color w:val="auto"/>
          <w:szCs w:val="20"/>
          <w:u w:val="single"/>
        </w:rPr>
      </w:pPr>
      <w:r>
        <w:rPr>
          <w:rFonts w:hint="eastAsia" w:ascii="宋体" w:hAnsi="宋体" w:eastAsia="宋体" w:cs="宋体"/>
          <w:color w:val="auto"/>
          <w:szCs w:val="20"/>
        </w:rPr>
        <w:t>开户名称：</w:t>
      </w:r>
      <w:r>
        <w:rPr>
          <w:rFonts w:hint="eastAsia" w:ascii="宋体" w:hAnsi="宋体" w:eastAsia="宋体" w:cs="宋体"/>
          <w:color w:val="auto"/>
          <w:szCs w:val="20"/>
          <w:u w:val="single"/>
        </w:rPr>
        <w:t xml:space="preserve">                                                    </w:t>
      </w:r>
    </w:p>
    <w:p w14:paraId="0BB5C9EE">
      <w:pPr>
        <w:pageBreakBefore w:val="0"/>
        <w:kinsoku/>
        <w:wordWrap/>
        <w:overflowPunct/>
        <w:topLinePunct w:val="0"/>
        <w:bidi w:val="0"/>
        <w:spacing w:beforeAutospacing="0" w:line="360" w:lineRule="auto"/>
        <w:ind w:left="0" w:leftChars="0" w:right="0" w:firstLine="420"/>
        <w:rPr>
          <w:rFonts w:hint="eastAsia" w:ascii="宋体" w:hAnsi="宋体" w:eastAsia="宋体" w:cs="宋体"/>
          <w:color w:val="auto"/>
          <w:szCs w:val="20"/>
          <w:u w:val="single"/>
        </w:rPr>
      </w:pPr>
      <w:r>
        <w:rPr>
          <w:rFonts w:hint="eastAsia" w:ascii="宋体" w:hAnsi="宋体" w:eastAsia="宋体" w:cs="宋体"/>
          <w:color w:val="auto"/>
          <w:szCs w:val="20"/>
        </w:rPr>
        <w:t>开户银行：</w:t>
      </w:r>
      <w:r>
        <w:rPr>
          <w:rFonts w:hint="eastAsia" w:ascii="宋体" w:hAnsi="宋体" w:eastAsia="宋体" w:cs="宋体"/>
          <w:color w:val="auto"/>
          <w:szCs w:val="20"/>
          <w:u w:val="single"/>
        </w:rPr>
        <w:t xml:space="preserve">                                                    </w:t>
      </w:r>
    </w:p>
    <w:p w14:paraId="28FD631A">
      <w:pPr>
        <w:pageBreakBefore w:val="0"/>
        <w:kinsoku/>
        <w:wordWrap/>
        <w:overflowPunct/>
        <w:topLinePunct w:val="0"/>
        <w:bidi w:val="0"/>
        <w:spacing w:beforeAutospacing="0" w:line="360" w:lineRule="auto"/>
        <w:ind w:left="0" w:leftChars="0" w:right="0" w:firstLine="420"/>
        <w:rPr>
          <w:rFonts w:hint="eastAsia" w:ascii="宋体" w:hAnsi="宋体" w:eastAsia="宋体" w:cs="宋体"/>
          <w:color w:val="auto"/>
          <w:szCs w:val="20"/>
          <w:u w:val="single"/>
        </w:rPr>
      </w:pPr>
      <w:r>
        <w:rPr>
          <w:rFonts w:hint="eastAsia" w:ascii="宋体" w:hAnsi="宋体" w:eastAsia="宋体" w:cs="宋体"/>
          <w:color w:val="auto"/>
          <w:szCs w:val="20"/>
        </w:rPr>
        <w:t>银行账号：</w:t>
      </w:r>
      <w:r>
        <w:rPr>
          <w:rFonts w:hint="eastAsia" w:ascii="宋体" w:hAnsi="宋体" w:eastAsia="宋体" w:cs="宋体"/>
          <w:color w:val="auto"/>
          <w:szCs w:val="20"/>
          <w:u w:val="single"/>
        </w:rPr>
        <w:t xml:space="preserve">                                                    </w:t>
      </w:r>
    </w:p>
    <w:p w14:paraId="4274D382">
      <w:pPr>
        <w:pageBreakBefore w:val="0"/>
        <w:kinsoku/>
        <w:wordWrap/>
        <w:overflowPunct/>
        <w:topLinePunct w:val="0"/>
        <w:bidi w:val="0"/>
        <w:snapToGrid w:val="0"/>
        <w:spacing w:beforeAutospacing="0" w:line="360" w:lineRule="auto"/>
        <w:ind w:left="0" w:leftChars="0" w:right="0" w:firstLine="5040" w:firstLineChars="2100"/>
        <w:rPr>
          <w:rFonts w:hint="eastAsia" w:ascii="宋体" w:hAnsi="宋体" w:eastAsia="宋体" w:cs="宋体"/>
          <w:color w:val="auto"/>
          <w:kern w:val="0"/>
          <w:sz w:val="24"/>
        </w:rPr>
      </w:pPr>
      <w:r>
        <w:rPr>
          <w:rFonts w:hint="eastAsia" w:ascii="宋体" w:hAnsi="宋体" w:eastAsia="宋体" w:cs="宋体"/>
          <w:color w:val="auto"/>
          <w:kern w:val="0"/>
          <w:sz w:val="24"/>
          <w:lang w:val="zh-CN"/>
        </w:rPr>
        <w:t>投标人名称(电子签章)：</w:t>
      </w:r>
    </w:p>
    <w:p w14:paraId="2CA5C178">
      <w:pPr>
        <w:pageBreakBefore w:val="0"/>
        <w:kinsoku/>
        <w:wordWrap/>
        <w:overflowPunct/>
        <w:topLinePunct w:val="0"/>
        <w:bidi w:val="0"/>
        <w:snapToGrid w:val="0"/>
        <w:spacing w:beforeAutospacing="0" w:line="360" w:lineRule="auto"/>
        <w:ind w:left="0" w:leftChars="0" w:right="0" w:firstLine="5160" w:firstLineChars="215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w:t>
      </w:r>
      <w:r>
        <w:rPr>
          <w:rFonts w:hint="eastAsia" w:ascii="宋体" w:hAnsi="宋体" w:eastAsia="宋体" w:cs="宋体"/>
          <w:color w:val="auto"/>
          <w:kern w:val="0"/>
          <w:sz w:val="24"/>
        </w:rPr>
        <w:t xml:space="preserve">：  年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w:t>
      </w:r>
    </w:p>
    <w:p w14:paraId="45F555C4">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24"/>
          <w:lang w:val="zh-CN"/>
        </w:rPr>
        <w:sectPr>
          <w:pgSz w:w="11906" w:h="16838"/>
          <w:pgMar w:top="1134" w:right="1134" w:bottom="1134" w:left="1134" w:header="720" w:footer="720" w:gutter="0"/>
          <w:cols w:space="720" w:num="1"/>
          <w:docGrid w:type="lines" w:linePitch="331" w:charSpace="0"/>
        </w:sectPr>
      </w:pPr>
    </w:p>
    <w:p w14:paraId="5A95A9C1">
      <w:pPr>
        <w:pageBreakBefore w:val="0"/>
        <w:kinsoku/>
        <w:wordWrap/>
        <w:overflowPunct/>
        <w:topLinePunct w:val="0"/>
        <w:bidi w:val="0"/>
        <w:spacing w:beforeAutospacing="0" w:line="360" w:lineRule="auto"/>
        <w:ind w:left="0" w:leftChars="0" w:right="0"/>
        <w:jc w:val="center"/>
        <w:rPr>
          <w:rFonts w:hint="eastAsia" w:ascii="宋体" w:hAnsi="宋体" w:eastAsia="宋体" w:cs="宋体"/>
          <w:b/>
          <w:color w:val="auto"/>
          <w:sz w:val="30"/>
          <w:szCs w:val="30"/>
        </w:rPr>
      </w:pPr>
      <w:r>
        <w:rPr>
          <w:rFonts w:hint="eastAsia" w:ascii="宋体" w:hAnsi="宋体" w:eastAsia="宋体" w:cs="宋体"/>
          <w:color w:val="auto"/>
          <w:sz w:val="30"/>
          <w:szCs w:val="20"/>
        </w:rPr>
        <w:t>二、</w:t>
      </w:r>
      <w:r>
        <w:rPr>
          <w:rFonts w:hint="eastAsia" w:ascii="宋体" w:hAnsi="宋体" w:eastAsia="宋体" w:cs="宋体"/>
          <w:b/>
          <w:color w:val="auto"/>
          <w:sz w:val="30"/>
          <w:szCs w:val="30"/>
        </w:rPr>
        <w:t>开标一览表</w:t>
      </w:r>
      <w:r>
        <w:rPr>
          <w:rFonts w:hint="eastAsia" w:ascii="宋体" w:hAnsi="宋体" w:eastAsia="宋体" w:cs="宋体"/>
          <w:b/>
          <w:color w:val="auto"/>
          <w:kern w:val="0"/>
          <w:sz w:val="24"/>
          <w:szCs w:val="20"/>
          <w:lang w:val="zh-CN"/>
        </w:rPr>
        <w:t>(单位均为人民币元)</w:t>
      </w:r>
    </w:p>
    <w:p w14:paraId="75D26254">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 w:val="24"/>
        </w:rPr>
      </w:pPr>
    </w:p>
    <w:p w14:paraId="276663D5">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 w:val="24"/>
        </w:rPr>
      </w:pPr>
      <w:r>
        <w:rPr>
          <w:rFonts w:hint="eastAsia" w:ascii="宋体" w:hAnsi="宋体" w:eastAsia="宋体" w:cs="宋体"/>
          <w:color w:val="auto"/>
          <w:sz w:val="24"/>
        </w:rPr>
        <w:t>项目名称：</w:t>
      </w:r>
      <w:r>
        <w:rPr>
          <w:rFonts w:hint="eastAsia" w:ascii="宋体" w:hAnsi="宋体" w:eastAsia="宋体" w:cs="宋体"/>
          <w:color w:val="auto"/>
          <w:sz w:val="24"/>
          <w:u w:val="single"/>
        </w:rPr>
        <w:t xml:space="preserve"> </w:t>
      </w:r>
      <w:r>
        <w:rPr>
          <w:rFonts w:hint="eastAsia" w:ascii="宋体" w:hAnsi="宋体" w:cs="宋体"/>
          <w:color w:val="auto"/>
          <w:sz w:val="24"/>
          <w:u w:val="single"/>
          <w:lang w:eastAsia="zh-CN"/>
        </w:rPr>
        <w:t>南宁市第二看守所在押人员伙房食材配送服务采购项目</w:t>
      </w:r>
      <w:r>
        <w:rPr>
          <w:rFonts w:hint="eastAsia" w:ascii="宋体" w:hAnsi="宋体" w:eastAsia="宋体" w:cs="宋体"/>
          <w:color w:val="auto"/>
          <w:sz w:val="24"/>
        </w:rPr>
        <w:t xml:space="preserve">  </w:t>
      </w:r>
    </w:p>
    <w:p w14:paraId="16E08852">
      <w:pPr>
        <w:pageBreakBefore w:val="0"/>
        <w:kinsoku/>
        <w:wordWrap/>
        <w:overflowPunct/>
        <w:topLinePunct w:val="0"/>
        <w:bidi w:val="0"/>
        <w:snapToGrid w:val="0"/>
        <w:spacing w:beforeAutospacing="0" w:line="360" w:lineRule="auto"/>
        <w:ind w:left="0" w:leftChars="0" w:right="0"/>
        <w:rPr>
          <w:rFonts w:hint="eastAsia" w:ascii="宋体" w:hAnsi="宋体" w:eastAsia="宋体" w:cs="宋体"/>
          <w:color w:val="auto"/>
          <w:sz w:val="24"/>
          <w:u w:val="single"/>
        </w:rPr>
      </w:pPr>
      <w:r>
        <w:rPr>
          <w:rFonts w:hint="eastAsia" w:ascii="宋体" w:hAnsi="宋体" w:eastAsia="宋体" w:cs="宋体"/>
          <w:color w:val="auto"/>
          <w:sz w:val="24"/>
        </w:rPr>
        <w:t>项目编号：</w:t>
      </w:r>
      <w:r>
        <w:rPr>
          <w:rFonts w:hint="eastAsia" w:ascii="宋体" w:hAnsi="宋体" w:eastAsia="宋体" w:cs="宋体"/>
          <w:color w:val="auto"/>
          <w:sz w:val="24"/>
          <w:u w:val="single"/>
        </w:rPr>
        <w:t xml:space="preserve"> </w:t>
      </w:r>
      <w:r>
        <w:rPr>
          <w:rFonts w:hint="eastAsia" w:ascii="宋体" w:hAnsi="宋体" w:cs="宋体"/>
          <w:color w:val="auto"/>
          <w:sz w:val="24"/>
          <w:u w:val="single"/>
          <w:lang w:eastAsia="zh-CN"/>
        </w:rPr>
        <w:t>NNZC2024-G3-990896-GXJZ</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56E7F4A0">
      <w:pPr>
        <w:pageBreakBefore w:val="0"/>
        <w:kinsoku/>
        <w:wordWrap/>
        <w:overflowPunct/>
        <w:topLinePunct w:val="0"/>
        <w:bidi w:val="0"/>
        <w:spacing w:beforeAutospacing="0" w:line="360" w:lineRule="auto"/>
        <w:ind w:left="0" w:leftChars="0" w:right="0"/>
        <w:rPr>
          <w:rFonts w:hint="eastAsia" w:ascii="宋体" w:hAnsi="宋体" w:eastAsia="宋体" w:cs="宋体"/>
          <w:b/>
          <w:color w:val="auto"/>
          <w:sz w:val="32"/>
          <w:szCs w:val="20"/>
        </w:rPr>
      </w:pPr>
      <w:r>
        <w:rPr>
          <w:rFonts w:hint="eastAsia" w:ascii="宋体" w:hAnsi="宋体" w:eastAsia="宋体" w:cs="宋体"/>
          <w:color w:val="auto"/>
          <w:sz w:val="24"/>
          <w:szCs w:val="20"/>
        </w:rPr>
        <w:t>投标人名称：</w:t>
      </w:r>
      <w:r>
        <w:rPr>
          <w:rFonts w:hint="eastAsia" w:ascii="宋体" w:hAnsi="宋体" w:eastAsia="宋体" w:cs="宋体"/>
          <w:color w:val="auto"/>
          <w:sz w:val="24"/>
          <w:szCs w:val="20"/>
          <w:u w:val="single"/>
        </w:rPr>
        <w:t xml:space="preserve">                     </w:t>
      </w:r>
      <w:r>
        <w:rPr>
          <w:rFonts w:hint="eastAsia" w:ascii="宋体" w:hAnsi="宋体" w:eastAsia="宋体" w:cs="宋体"/>
          <w:color w:val="auto"/>
          <w:sz w:val="24"/>
          <w:szCs w:val="20"/>
        </w:rPr>
        <w:t xml:space="preserve">   </w:t>
      </w:r>
    </w:p>
    <w:tbl>
      <w:tblPr>
        <w:tblStyle w:val="15"/>
        <w:tblW w:w="98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1516"/>
        <w:gridCol w:w="1914"/>
      </w:tblGrid>
      <w:tr w14:paraId="56CF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A17AC8A">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zCs w:val="22"/>
              </w:rPr>
            </w:pPr>
            <w:r>
              <w:rPr>
                <w:rFonts w:hint="eastAsia" w:ascii="宋体" w:hAnsi="宋体" w:eastAsia="宋体" w:cs="宋体"/>
                <w:color w:val="auto"/>
                <w:szCs w:val="22"/>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74639E8">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zCs w:val="22"/>
              </w:rPr>
            </w:pPr>
            <w:r>
              <w:rPr>
                <w:rFonts w:hint="eastAsia" w:ascii="宋体" w:hAnsi="宋体" w:eastAsia="宋体" w:cs="宋体"/>
                <w:color w:val="auto"/>
                <w:szCs w:val="22"/>
              </w:rPr>
              <w:t>服务名称</w:t>
            </w:r>
          </w:p>
        </w:tc>
        <w:tc>
          <w:tcPr>
            <w:tcW w:w="4404" w:type="dxa"/>
            <w:gridSpan w:val="3"/>
            <w:tcBorders>
              <w:top w:val="single" w:color="auto" w:sz="4" w:space="0"/>
              <w:left w:val="single" w:color="auto" w:sz="4" w:space="0"/>
              <w:bottom w:val="single" w:color="auto" w:sz="4" w:space="0"/>
              <w:right w:val="single" w:color="auto" w:sz="4" w:space="0"/>
            </w:tcBorders>
            <w:noWrap w:val="0"/>
            <w:vAlign w:val="center"/>
          </w:tcPr>
          <w:p w14:paraId="410EDFCF">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zCs w:val="22"/>
              </w:rPr>
            </w:pPr>
            <w:r>
              <w:rPr>
                <w:rFonts w:hint="eastAsia" w:ascii="宋体" w:hAnsi="宋体" w:eastAsia="宋体" w:cs="宋体"/>
                <w:color w:val="auto"/>
                <w:szCs w:val="22"/>
              </w:rPr>
              <w:t>具体服务内容</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2026B9B">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zCs w:val="22"/>
              </w:rPr>
            </w:pPr>
            <w:r>
              <w:rPr>
                <w:rFonts w:hint="eastAsia" w:ascii="宋体" w:hAnsi="宋体" w:eastAsia="宋体" w:cs="宋体"/>
                <w:color w:val="auto"/>
                <w:szCs w:val="20"/>
              </w:rPr>
              <w:t>折扣率</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74E6EB53">
            <w:pPr>
              <w:pageBreakBefore w:val="0"/>
              <w:kinsoku/>
              <w:wordWrap/>
              <w:overflowPunct/>
              <w:topLinePunct w:val="0"/>
              <w:bidi w:val="0"/>
              <w:spacing w:beforeAutospacing="0" w:line="360" w:lineRule="auto"/>
              <w:ind w:left="0" w:leftChars="0" w:right="0"/>
              <w:jc w:val="center"/>
              <w:rPr>
                <w:rFonts w:hint="eastAsia" w:ascii="宋体" w:hAnsi="宋体" w:eastAsia="宋体" w:cs="宋体"/>
                <w:color w:val="auto"/>
                <w:szCs w:val="22"/>
              </w:rPr>
            </w:pPr>
            <w:r>
              <w:rPr>
                <w:rFonts w:hint="eastAsia" w:ascii="宋体" w:hAnsi="宋体" w:eastAsia="宋体" w:cs="宋体"/>
                <w:color w:val="auto"/>
                <w:szCs w:val="22"/>
              </w:rPr>
              <w:t>服务期限</w:t>
            </w:r>
          </w:p>
        </w:tc>
      </w:tr>
      <w:tr w14:paraId="47C8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627C76A">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2"/>
              </w:rPr>
            </w:pPr>
            <w:r>
              <w:rPr>
                <w:rFonts w:hint="eastAsia" w:ascii="宋体" w:hAnsi="宋体" w:eastAsia="宋体" w:cs="宋体"/>
                <w:color w:val="auto"/>
                <w:szCs w:val="22"/>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A659CEC">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2"/>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4C276CD">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59B17AC">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575C4D0">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2"/>
              </w:rPr>
            </w:pPr>
          </w:p>
        </w:tc>
        <w:tc>
          <w:tcPr>
            <w:tcW w:w="1516" w:type="dxa"/>
            <w:vMerge w:val="restart"/>
            <w:tcBorders>
              <w:top w:val="single" w:color="auto" w:sz="4" w:space="0"/>
              <w:left w:val="single" w:color="auto" w:sz="4" w:space="0"/>
              <w:right w:val="single" w:color="auto" w:sz="4" w:space="0"/>
            </w:tcBorders>
            <w:noWrap w:val="0"/>
            <w:vAlign w:val="center"/>
          </w:tcPr>
          <w:p w14:paraId="7DE0C241">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2"/>
              </w:rPr>
            </w:pPr>
          </w:p>
        </w:tc>
        <w:tc>
          <w:tcPr>
            <w:tcW w:w="1914" w:type="dxa"/>
            <w:vMerge w:val="restart"/>
            <w:tcBorders>
              <w:top w:val="single" w:color="auto" w:sz="4" w:space="0"/>
              <w:left w:val="single" w:color="auto" w:sz="4" w:space="0"/>
              <w:right w:val="single" w:color="auto" w:sz="4" w:space="0"/>
            </w:tcBorders>
            <w:noWrap w:val="0"/>
            <w:vAlign w:val="top"/>
          </w:tcPr>
          <w:p w14:paraId="7BEA055D">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2"/>
              </w:rPr>
            </w:pPr>
          </w:p>
        </w:tc>
      </w:tr>
      <w:tr w14:paraId="7585D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45E8072">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2"/>
              </w:rPr>
            </w:pPr>
            <w:r>
              <w:rPr>
                <w:rFonts w:hint="eastAsia" w:ascii="宋体" w:hAnsi="宋体" w:eastAsia="宋体" w:cs="宋体"/>
                <w:color w:val="auto"/>
                <w:szCs w:val="22"/>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893828E">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2"/>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35B95AA">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AAB4876">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26F8C14">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2"/>
              </w:rPr>
            </w:pPr>
          </w:p>
        </w:tc>
        <w:tc>
          <w:tcPr>
            <w:tcW w:w="1516" w:type="dxa"/>
            <w:vMerge w:val="continue"/>
            <w:tcBorders>
              <w:left w:val="single" w:color="auto" w:sz="4" w:space="0"/>
              <w:right w:val="single" w:color="auto" w:sz="4" w:space="0"/>
            </w:tcBorders>
            <w:noWrap w:val="0"/>
            <w:vAlign w:val="center"/>
          </w:tcPr>
          <w:p w14:paraId="05EF4DF9">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2"/>
              </w:rPr>
            </w:pPr>
          </w:p>
        </w:tc>
        <w:tc>
          <w:tcPr>
            <w:tcW w:w="1914" w:type="dxa"/>
            <w:vMerge w:val="continue"/>
            <w:tcBorders>
              <w:left w:val="single" w:color="auto" w:sz="4" w:space="0"/>
              <w:right w:val="single" w:color="auto" w:sz="4" w:space="0"/>
            </w:tcBorders>
            <w:noWrap w:val="0"/>
            <w:vAlign w:val="top"/>
          </w:tcPr>
          <w:p w14:paraId="0DF77BEA">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2"/>
              </w:rPr>
            </w:pPr>
          </w:p>
        </w:tc>
      </w:tr>
      <w:tr w14:paraId="3388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960BE78">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2"/>
              </w:rPr>
            </w:pPr>
            <w:r>
              <w:rPr>
                <w:rFonts w:hint="eastAsia" w:ascii="宋体" w:hAnsi="宋体" w:eastAsia="宋体" w:cs="宋体"/>
                <w:color w:val="auto"/>
                <w:szCs w:val="22"/>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6990CE3">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2"/>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E0070BE">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BBD8710">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4F0DDC2">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2"/>
              </w:rPr>
            </w:pPr>
          </w:p>
        </w:tc>
        <w:tc>
          <w:tcPr>
            <w:tcW w:w="1516" w:type="dxa"/>
            <w:vMerge w:val="continue"/>
            <w:tcBorders>
              <w:left w:val="single" w:color="auto" w:sz="4" w:space="0"/>
              <w:bottom w:val="single" w:color="auto" w:sz="4" w:space="0"/>
              <w:right w:val="single" w:color="auto" w:sz="4" w:space="0"/>
            </w:tcBorders>
            <w:noWrap w:val="0"/>
            <w:vAlign w:val="center"/>
          </w:tcPr>
          <w:p w14:paraId="5224022B">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2"/>
              </w:rPr>
            </w:pPr>
          </w:p>
        </w:tc>
        <w:tc>
          <w:tcPr>
            <w:tcW w:w="1914" w:type="dxa"/>
            <w:vMerge w:val="continue"/>
            <w:tcBorders>
              <w:left w:val="single" w:color="auto" w:sz="4" w:space="0"/>
              <w:bottom w:val="single" w:color="auto" w:sz="4" w:space="0"/>
              <w:right w:val="single" w:color="auto" w:sz="4" w:space="0"/>
            </w:tcBorders>
            <w:noWrap w:val="0"/>
            <w:vAlign w:val="top"/>
          </w:tcPr>
          <w:p w14:paraId="54B2C09F">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2"/>
              </w:rPr>
            </w:pPr>
          </w:p>
        </w:tc>
      </w:tr>
      <w:tr w14:paraId="3AAD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280F6606">
            <w:pPr>
              <w:pageBreakBefore w:val="0"/>
              <w:kinsoku/>
              <w:wordWrap/>
              <w:overflowPunct/>
              <w:topLinePunct w:val="0"/>
              <w:bidi w:val="0"/>
              <w:spacing w:beforeAutospacing="0" w:line="360" w:lineRule="auto"/>
              <w:ind w:left="0" w:leftChars="0" w:right="0"/>
              <w:jc w:val="left"/>
              <w:rPr>
                <w:rFonts w:hint="eastAsia" w:ascii="宋体" w:hAnsi="宋体" w:eastAsia="宋体" w:cs="宋体"/>
                <w:color w:val="auto"/>
                <w:szCs w:val="22"/>
              </w:rPr>
            </w:pPr>
            <w:r>
              <w:rPr>
                <w:rFonts w:hint="eastAsia" w:ascii="宋体" w:hAnsi="宋体"/>
                <w:color w:val="auto"/>
              </w:rPr>
              <w:t>报价合计（包含税费等所有费用）：折扣率</w:t>
            </w:r>
            <w:r>
              <w:rPr>
                <w:rFonts w:hint="eastAsia" w:ascii="宋体" w:hAnsi="宋体"/>
                <w:color w:val="auto"/>
                <w:u w:val="single"/>
              </w:rPr>
              <w:t xml:space="preserve">      %</w:t>
            </w:r>
          </w:p>
        </w:tc>
      </w:tr>
    </w:tbl>
    <w:p w14:paraId="25D29A95">
      <w:pPr>
        <w:pageBreakBefore w:val="0"/>
        <w:kinsoku/>
        <w:wordWrap/>
        <w:overflowPunct/>
        <w:topLinePunct w:val="0"/>
        <w:bidi w:val="0"/>
        <w:snapToGrid w:val="0"/>
        <w:spacing w:beforeAutospacing="0" w:line="360" w:lineRule="auto"/>
        <w:ind w:left="0" w:leftChars="0" w:right="0" w:firstLine="480" w:firstLineChars="200"/>
        <w:jc w:val="left"/>
        <w:rPr>
          <w:rFonts w:hint="eastAsia" w:ascii="宋体" w:hAnsi="宋体" w:eastAsia="宋体" w:cs="宋体"/>
          <w:color w:val="auto"/>
          <w:kern w:val="0"/>
          <w:sz w:val="24"/>
          <w:lang w:val="zh-CN"/>
        </w:rPr>
      </w:pPr>
    </w:p>
    <w:p w14:paraId="27126541">
      <w:pPr>
        <w:pageBreakBefore w:val="0"/>
        <w:kinsoku/>
        <w:wordWrap/>
        <w:overflowPunct/>
        <w:topLinePunct w:val="0"/>
        <w:bidi w:val="0"/>
        <w:snapToGrid w:val="0"/>
        <w:spacing w:beforeAutospacing="0" w:line="360" w:lineRule="auto"/>
        <w:ind w:left="0" w:leftChars="0" w:right="0" w:firstLine="480" w:firstLineChars="200"/>
        <w:jc w:val="lef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注： </w:t>
      </w:r>
    </w:p>
    <w:p w14:paraId="4231B987">
      <w:pPr>
        <w:pageBreakBefore w:val="0"/>
        <w:kinsoku/>
        <w:wordWrap/>
        <w:overflowPunct/>
        <w:topLinePunct w:val="0"/>
        <w:bidi w:val="0"/>
        <w:snapToGrid w:val="0"/>
        <w:spacing w:beforeAutospacing="0" w:line="360" w:lineRule="auto"/>
        <w:ind w:left="0" w:leftChars="0" w:right="0" w:firstLine="480" w:firstLineChars="200"/>
        <w:jc w:val="lef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1、 投标人需按本表格式填写，不得自行更改，也不得留空, 如有多分标，按分标分别提供开标一览表，必须加盖投标人有效电子公章，</w:t>
      </w:r>
      <w:r>
        <w:rPr>
          <w:rFonts w:hint="eastAsia" w:ascii="宋体" w:hAnsi="宋体" w:eastAsia="宋体" w:cs="宋体"/>
          <w:b/>
          <w:color w:val="auto"/>
          <w:kern w:val="0"/>
          <w:sz w:val="24"/>
          <w:lang w:val="zh-CN"/>
        </w:rPr>
        <w:t>否则其投标作无效标处理。</w:t>
      </w:r>
    </w:p>
    <w:p w14:paraId="353CB1CD">
      <w:pPr>
        <w:pageBreakBefore w:val="0"/>
        <w:kinsoku/>
        <w:wordWrap/>
        <w:overflowPunct/>
        <w:topLinePunct w:val="0"/>
        <w:bidi w:val="0"/>
        <w:snapToGrid w:val="0"/>
        <w:spacing w:beforeAutospacing="0" w:line="360" w:lineRule="auto"/>
        <w:ind w:left="0" w:leftChars="0" w:right="0" w:firstLine="480" w:firstLineChars="200"/>
        <w:jc w:val="lef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2、本表内容均不能涂改，</w:t>
      </w:r>
      <w:r>
        <w:rPr>
          <w:rFonts w:hint="eastAsia" w:ascii="宋体" w:hAnsi="宋体" w:eastAsia="宋体" w:cs="宋体"/>
          <w:b/>
          <w:color w:val="auto"/>
          <w:kern w:val="0"/>
          <w:sz w:val="24"/>
          <w:lang w:val="zh-CN"/>
        </w:rPr>
        <w:t>否则其投标作无效标处理。</w:t>
      </w:r>
    </w:p>
    <w:p w14:paraId="43045439">
      <w:pPr>
        <w:pageBreakBefore w:val="0"/>
        <w:kinsoku/>
        <w:wordWrap/>
        <w:overflowPunct/>
        <w:topLinePunct w:val="0"/>
        <w:bidi w:val="0"/>
        <w:snapToGrid w:val="0"/>
        <w:spacing w:beforeAutospacing="0" w:line="360" w:lineRule="auto"/>
        <w:ind w:left="0" w:leftChars="0" w:right="0" w:firstLine="480" w:firstLineChars="200"/>
        <w:jc w:val="left"/>
        <w:rPr>
          <w:rFonts w:hint="eastAsia" w:ascii="宋体" w:hAnsi="宋体" w:eastAsia="宋体" w:cs="宋体"/>
          <w:b/>
          <w:color w:val="auto"/>
          <w:kern w:val="0"/>
          <w:sz w:val="24"/>
          <w:lang w:val="zh-CN"/>
        </w:rPr>
      </w:pPr>
      <w:r>
        <w:rPr>
          <w:rFonts w:hint="eastAsia" w:ascii="宋体" w:hAnsi="宋体" w:eastAsia="宋体" w:cs="宋体"/>
          <w:color w:val="auto"/>
          <w:kern w:val="0"/>
          <w:sz w:val="24"/>
          <w:lang w:val="zh-CN"/>
        </w:rPr>
        <w:t>3、如为联合体投标，“投标人名称”处必须列明联合体各方名称，并标注联合体牵头人名称，且盖章处须加盖联合体各方公章，</w:t>
      </w:r>
      <w:r>
        <w:rPr>
          <w:rFonts w:hint="eastAsia" w:ascii="宋体" w:hAnsi="宋体" w:eastAsia="宋体" w:cs="宋体"/>
          <w:b/>
          <w:color w:val="auto"/>
          <w:kern w:val="0"/>
          <w:sz w:val="24"/>
          <w:lang w:val="zh-CN"/>
        </w:rPr>
        <w:t>否则其投标作无效标处理。</w:t>
      </w:r>
    </w:p>
    <w:p w14:paraId="48531C89">
      <w:pPr>
        <w:pageBreakBefore w:val="0"/>
        <w:kinsoku/>
        <w:wordWrap/>
        <w:overflowPunct/>
        <w:topLinePunct w:val="0"/>
        <w:bidi w:val="0"/>
        <w:snapToGrid w:val="0"/>
        <w:spacing w:beforeAutospacing="0" w:line="360" w:lineRule="auto"/>
        <w:ind w:left="0" w:leftChars="0" w:right="0" w:firstLine="480" w:firstLineChars="200"/>
        <w:jc w:val="lef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4、以上表格要求细分项目及报价，在“具体服务内容”一栏中，填写具体服务范围、服务时间、服务标准，</w:t>
      </w:r>
      <w:r>
        <w:rPr>
          <w:rFonts w:hint="eastAsia" w:ascii="宋体" w:hAnsi="宋体" w:eastAsia="宋体" w:cs="宋体"/>
          <w:b/>
          <w:color w:val="auto"/>
          <w:kern w:val="0"/>
          <w:sz w:val="24"/>
          <w:lang w:val="zh-CN"/>
        </w:rPr>
        <w:t>否则其投标作无效标处理。</w:t>
      </w:r>
      <w:r>
        <w:rPr>
          <w:rFonts w:hint="eastAsia" w:ascii="宋体" w:hAnsi="宋体" w:eastAsia="宋体" w:cs="宋体"/>
          <w:color w:val="auto"/>
          <w:kern w:val="0"/>
          <w:sz w:val="24"/>
          <w:lang w:val="zh-CN"/>
        </w:rPr>
        <w:t>。</w:t>
      </w:r>
    </w:p>
    <w:p w14:paraId="3F986E54">
      <w:pPr>
        <w:pageBreakBefore w:val="0"/>
        <w:kinsoku/>
        <w:wordWrap/>
        <w:overflowPunct/>
        <w:topLinePunct w:val="0"/>
        <w:bidi w:val="0"/>
        <w:snapToGrid w:val="0"/>
        <w:spacing w:beforeAutospacing="0" w:line="360" w:lineRule="auto"/>
        <w:ind w:left="0" w:leftChars="0" w:right="0" w:firstLine="480" w:firstLineChars="200"/>
        <w:jc w:val="lef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5、特别提示：采购机构将对项目名称和项目编号，中标供应商名称、地址和中标金额，主要中标标的的名称、服务范围、服务要求、服务时间、服务标准等予以公示。</w:t>
      </w:r>
    </w:p>
    <w:p w14:paraId="2260A4AF">
      <w:pPr>
        <w:pageBreakBefore w:val="0"/>
        <w:kinsoku/>
        <w:wordWrap/>
        <w:overflowPunct/>
        <w:topLinePunct w:val="0"/>
        <w:bidi w:val="0"/>
        <w:snapToGrid w:val="0"/>
        <w:spacing w:beforeAutospacing="0" w:line="360" w:lineRule="auto"/>
        <w:ind w:left="0" w:leftChars="0" w:right="0" w:firstLine="480" w:firstLineChars="200"/>
        <w:jc w:val="left"/>
        <w:rPr>
          <w:rFonts w:hint="eastAsia" w:ascii="宋体" w:hAnsi="宋体" w:eastAsia="宋体" w:cs="宋体"/>
          <w:color w:val="auto"/>
          <w:kern w:val="0"/>
          <w:sz w:val="24"/>
          <w:lang w:val="zh-CN"/>
        </w:rPr>
      </w:pPr>
      <w:r>
        <w:rPr>
          <w:rFonts w:hint="eastAsia" w:ascii="宋体" w:hAnsi="宋体" w:eastAsia="宋体" w:cs="宋体"/>
          <w:color w:val="auto"/>
          <w:kern w:val="0"/>
          <w:sz w:val="24"/>
          <w:szCs w:val="22"/>
          <w:lang w:val="zh-CN"/>
        </w:rPr>
        <w:t>6、</w:t>
      </w:r>
      <w:r>
        <w:rPr>
          <w:rFonts w:hint="eastAsia" w:ascii="宋体" w:hAnsi="宋体" w:eastAsia="宋体" w:cs="宋体"/>
          <w:color w:val="auto"/>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077039D0">
      <w:pPr>
        <w:pageBreakBefore w:val="0"/>
        <w:kinsoku/>
        <w:wordWrap/>
        <w:overflowPunct/>
        <w:topLinePunct w:val="0"/>
        <w:bidi w:val="0"/>
        <w:snapToGrid w:val="0"/>
        <w:spacing w:beforeAutospacing="0" w:line="360" w:lineRule="auto"/>
        <w:ind w:left="0" w:leftChars="0" w:right="0" w:firstLine="5040" w:firstLineChars="2100"/>
        <w:rPr>
          <w:rFonts w:hint="eastAsia" w:ascii="宋体" w:hAnsi="宋体" w:eastAsia="宋体" w:cs="宋体"/>
          <w:color w:val="auto"/>
          <w:kern w:val="0"/>
          <w:sz w:val="24"/>
        </w:rPr>
      </w:pPr>
      <w:r>
        <w:rPr>
          <w:rFonts w:hint="eastAsia" w:ascii="宋体" w:hAnsi="宋体" w:eastAsia="宋体" w:cs="宋体"/>
          <w:color w:val="auto"/>
          <w:kern w:val="0"/>
          <w:sz w:val="24"/>
          <w:lang w:val="zh-CN"/>
        </w:rPr>
        <w:t>投标人名称(电子签章)：</w:t>
      </w:r>
    </w:p>
    <w:p w14:paraId="6A06EDC1">
      <w:pPr>
        <w:pageBreakBefore w:val="0"/>
        <w:kinsoku/>
        <w:wordWrap/>
        <w:overflowPunct/>
        <w:topLinePunct w:val="0"/>
        <w:bidi w:val="0"/>
        <w:snapToGrid w:val="0"/>
        <w:spacing w:beforeAutospacing="0" w:line="360" w:lineRule="auto"/>
        <w:ind w:left="0" w:leftChars="0" w:right="0" w:firstLine="5160" w:firstLineChars="215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w:t>
      </w:r>
      <w:r>
        <w:rPr>
          <w:rFonts w:hint="eastAsia" w:ascii="宋体" w:hAnsi="宋体" w:eastAsia="宋体" w:cs="宋体"/>
          <w:color w:val="auto"/>
          <w:kern w:val="0"/>
          <w:sz w:val="24"/>
        </w:rPr>
        <w:t xml:space="preserve">：  年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w:t>
      </w:r>
    </w:p>
    <w:p w14:paraId="4660D801">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 w:val="30"/>
          <w:szCs w:val="20"/>
        </w:rPr>
        <w:sectPr>
          <w:pgSz w:w="11906" w:h="16838"/>
          <w:pgMar w:top="1134" w:right="1134" w:bottom="1134" w:left="1134" w:header="720" w:footer="720" w:gutter="0"/>
          <w:cols w:space="720" w:num="1"/>
          <w:docGrid w:type="lines" w:linePitch="331" w:charSpace="0"/>
        </w:sectPr>
      </w:pPr>
    </w:p>
    <w:p w14:paraId="1097DD3B">
      <w:pPr>
        <w:pageBreakBefore w:val="0"/>
        <w:kinsoku/>
        <w:wordWrap/>
        <w:overflowPunct/>
        <w:topLinePunct w:val="0"/>
        <w:bidi w:val="0"/>
        <w:spacing w:beforeAutospacing="0" w:line="360" w:lineRule="auto"/>
        <w:ind w:left="0" w:leftChars="0" w:right="0"/>
        <w:jc w:val="center"/>
        <w:rPr>
          <w:rFonts w:hint="eastAsia" w:ascii="宋体" w:hAnsi="宋体" w:eastAsia="宋体" w:cs="宋体"/>
          <w:b/>
          <w:color w:val="auto"/>
          <w:sz w:val="30"/>
          <w:szCs w:val="30"/>
        </w:rPr>
      </w:pPr>
      <w:r>
        <w:rPr>
          <w:rFonts w:hint="eastAsia" w:ascii="宋体" w:hAnsi="宋体" w:eastAsia="宋体" w:cs="宋体"/>
          <w:b/>
          <w:color w:val="auto"/>
          <w:sz w:val="30"/>
          <w:szCs w:val="30"/>
        </w:rPr>
        <w:t>三、中小企业声明函</w:t>
      </w:r>
    </w:p>
    <w:p w14:paraId="1058AF7A">
      <w:pPr>
        <w:pageBreakBefore w:val="0"/>
        <w:kinsoku/>
        <w:wordWrap/>
        <w:overflowPunct/>
        <w:topLinePunct w:val="0"/>
        <w:bidi w:val="0"/>
        <w:spacing w:beforeAutospacing="0" w:line="360" w:lineRule="auto"/>
        <w:ind w:left="0" w:leftChars="0" w:right="0"/>
        <w:rPr>
          <w:rFonts w:hint="eastAsia" w:ascii="宋体" w:hAnsi="宋体" w:eastAsia="宋体" w:cs="宋体"/>
          <w:color w:val="auto"/>
          <w:spacing w:val="-4"/>
          <w:szCs w:val="21"/>
        </w:rPr>
      </w:pPr>
      <w:r>
        <w:rPr>
          <w:rFonts w:hint="eastAsia" w:ascii="宋体" w:hAnsi="宋体" w:eastAsia="宋体" w:cs="宋体"/>
          <w:color w:val="auto"/>
          <w:spacing w:val="-4"/>
          <w:szCs w:val="21"/>
        </w:rPr>
        <w:t>说明：</w:t>
      </w:r>
    </w:p>
    <w:p w14:paraId="78557F26">
      <w:pPr>
        <w:pageBreakBefore w:val="0"/>
        <w:kinsoku/>
        <w:wordWrap/>
        <w:overflowPunct/>
        <w:topLinePunct w:val="0"/>
        <w:bidi w:val="0"/>
        <w:spacing w:beforeAutospacing="0" w:line="360" w:lineRule="auto"/>
        <w:ind w:left="0" w:leftChars="0" w:right="0" w:firstLine="404" w:firstLineChars="200"/>
        <w:rPr>
          <w:rFonts w:hint="eastAsia" w:ascii="宋体" w:hAnsi="宋体" w:eastAsia="宋体" w:cs="宋体"/>
          <w:color w:val="auto"/>
          <w:spacing w:val="-4"/>
          <w:szCs w:val="21"/>
        </w:rPr>
      </w:pPr>
      <w:r>
        <w:rPr>
          <w:rFonts w:hint="eastAsia" w:ascii="宋体" w:hAnsi="宋体" w:eastAsia="宋体" w:cs="宋体"/>
          <w:color w:val="auto"/>
          <w:spacing w:val="-4"/>
          <w:szCs w:val="21"/>
        </w:rPr>
        <w:t>1、本声明函主要供参加政府采购活动的中小企业填写，非中小企业无需填写。</w:t>
      </w:r>
    </w:p>
    <w:p w14:paraId="6B42D593">
      <w:pPr>
        <w:pageBreakBefore w:val="0"/>
        <w:kinsoku/>
        <w:wordWrap/>
        <w:overflowPunct/>
        <w:topLinePunct w:val="0"/>
        <w:bidi w:val="0"/>
        <w:spacing w:beforeAutospacing="0" w:line="360" w:lineRule="auto"/>
        <w:ind w:left="0" w:leftChars="0" w:right="0" w:firstLine="404" w:firstLineChars="200"/>
        <w:rPr>
          <w:rFonts w:hint="eastAsia" w:ascii="宋体" w:hAnsi="宋体" w:eastAsia="宋体" w:cs="宋体"/>
          <w:color w:val="auto"/>
          <w:spacing w:val="-4"/>
          <w:szCs w:val="21"/>
        </w:rPr>
      </w:pPr>
      <w:r>
        <w:rPr>
          <w:rFonts w:hint="eastAsia" w:ascii="宋体" w:hAnsi="宋体" w:eastAsia="宋体" w:cs="宋体"/>
          <w:color w:val="auto"/>
          <w:spacing w:val="-4"/>
          <w:szCs w:val="21"/>
        </w:rPr>
        <w:t>2、小型、微型企业提供中型企业提供的服务的，视同为中型企业。</w:t>
      </w:r>
    </w:p>
    <w:p w14:paraId="6207ECC1">
      <w:pPr>
        <w:pageBreakBefore w:val="0"/>
        <w:kinsoku/>
        <w:wordWrap/>
        <w:overflowPunct/>
        <w:topLinePunct w:val="0"/>
        <w:bidi w:val="0"/>
        <w:spacing w:beforeAutospacing="0" w:line="360" w:lineRule="auto"/>
        <w:ind w:left="0" w:leftChars="0" w:right="0" w:firstLine="404" w:firstLineChars="200"/>
        <w:rPr>
          <w:rFonts w:hint="eastAsia" w:ascii="宋体" w:hAnsi="宋体" w:eastAsia="宋体" w:cs="宋体"/>
          <w:color w:val="auto"/>
          <w:spacing w:val="-4"/>
          <w:szCs w:val="21"/>
        </w:rPr>
      </w:pPr>
    </w:p>
    <w:p w14:paraId="31FB7BA0">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rPr>
      </w:pPr>
      <w:r>
        <w:rPr>
          <w:rFonts w:hint="eastAsia" w:ascii="宋体" w:hAnsi="宋体" w:eastAsia="宋体" w:cs="宋体"/>
          <w:color w:val="auto"/>
        </w:rPr>
        <w:t>本公司（联合体）郑重声明，根据《政府采购促进中小企业发展管理办法》（财库﹝2020﹞46号）的规定，本公司（联合体）参加</w:t>
      </w:r>
      <w:r>
        <w:rPr>
          <w:rFonts w:hint="eastAsia" w:ascii="宋体" w:hAnsi="宋体" w:cs="宋体"/>
          <w:color w:val="auto"/>
          <w:u w:val="single"/>
          <w:lang w:eastAsia="zh-CN"/>
        </w:rPr>
        <w:t>南宁市第二看守所</w:t>
      </w:r>
      <w:r>
        <w:rPr>
          <w:rFonts w:hint="eastAsia" w:ascii="宋体" w:hAnsi="宋体" w:eastAsia="宋体" w:cs="宋体"/>
          <w:color w:val="auto"/>
        </w:rPr>
        <w:t>的</w:t>
      </w:r>
      <w:r>
        <w:rPr>
          <w:rFonts w:hint="eastAsia" w:ascii="宋体" w:hAnsi="宋体" w:cs="宋体"/>
          <w:color w:val="auto"/>
          <w:u w:val="single"/>
          <w:lang w:eastAsia="zh-CN"/>
        </w:rPr>
        <w:t>南宁市第二看守所在押人员伙房食材配送服务采购项目</w:t>
      </w:r>
      <w:r>
        <w:rPr>
          <w:rFonts w:hint="eastAsia" w:ascii="宋体" w:hAnsi="宋体" w:eastAsia="宋体" w:cs="宋体"/>
          <w:color w:val="auto"/>
        </w:rPr>
        <w:t>采购活动，服务全部由符合政策要求的中小企业承接。相关企业（含联合体中的中小企业、签订分包意向协议的中小企业）的具体情况如下：</w:t>
      </w:r>
    </w:p>
    <w:p w14:paraId="73A57CDC">
      <w:pPr>
        <w:pageBreakBefore w:val="0"/>
        <w:tabs>
          <w:tab w:val="left" w:pos="1384"/>
          <w:tab w:val="left" w:pos="4562"/>
          <w:tab w:val="left" w:pos="6803"/>
        </w:tabs>
        <w:kinsoku/>
        <w:wordWrap/>
        <w:overflowPunct/>
        <w:topLinePunct w:val="0"/>
        <w:bidi w:val="0"/>
        <w:spacing w:beforeAutospacing="0" w:line="360" w:lineRule="auto"/>
        <w:ind w:left="0" w:leftChars="0" w:right="0" w:firstLine="600" w:firstLineChars="286"/>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u w:val="single"/>
        </w:rPr>
        <w:t>（标的名称）</w:t>
      </w:r>
      <w:r>
        <w:rPr>
          <w:rFonts w:hint="eastAsia" w:ascii="宋体" w:hAnsi="宋体" w:eastAsia="宋体" w:cs="宋体"/>
          <w:color w:val="auto"/>
          <w:szCs w:val="21"/>
        </w:rPr>
        <w:t>，属于</w:t>
      </w:r>
      <w:r>
        <w:rPr>
          <w:rFonts w:hint="eastAsia" w:ascii="宋体" w:hAnsi="宋体" w:eastAsia="宋体" w:cs="宋体"/>
          <w:color w:val="auto"/>
          <w:szCs w:val="21"/>
          <w:u w:val="single"/>
        </w:rPr>
        <w:t>（采购文件中明确的所属行业）</w:t>
      </w:r>
      <w:r>
        <w:rPr>
          <w:rFonts w:hint="eastAsia" w:ascii="宋体" w:hAnsi="宋体" w:eastAsia="宋体" w:cs="宋体"/>
          <w:color w:val="auto"/>
          <w:szCs w:val="21"/>
        </w:rPr>
        <w:t>；承接企业为</w:t>
      </w:r>
      <w:r>
        <w:rPr>
          <w:rFonts w:hint="eastAsia" w:ascii="宋体" w:hAnsi="宋体" w:eastAsia="宋体" w:cs="宋体"/>
          <w:color w:val="auto"/>
          <w:szCs w:val="21"/>
          <w:u w:val="single"/>
        </w:rPr>
        <w:t>（企业名称）</w:t>
      </w:r>
      <w:r>
        <w:rPr>
          <w:rFonts w:hint="eastAsia" w:ascii="宋体" w:hAnsi="宋体" w:eastAsia="宋体" w:cs="宋体"/>
          <w:color w:val="auto"/>
          <w:szCs w:val="21"/>
        </w:rPr>
        <w:t>，从业人员</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人，营业收入为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万元，资产总额为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万元，属于</w:t>
      </w:r>
      <w:r>
        <w:rPr>
          <w:rFonts w:hint="eastAsia" w:ascii="宋体" w:hAnsi="宋体" w:eastAsia="宋体" w:cs="宋体"/>
          <w:color w:val="auto"/>
          <w:szCs w:val="21"/>
          <w:u w:val="single"/>
        </w:rPr>
        <w:t>（中型企业、小型企业、微型企业）</w:t>
      </w:r>
      <w:r>
        <w:rPr>
          <w:rFonts w:hint="eastAsia" w:ascii="宋体" w:hAnsi="宋体" w:eastAsia="宋体" w:cs="宋体"/>
          <w:color w:val="auto"/>
          <w:szCs w:val="21"/>
        </w:rPr>
        <w:t>；</w:t>
      </w:r>
    </w:p>
    <w:p w14:paraId="1D91E937">
      <w:pPr>
        <w:pageBreakBefore w:val="0"/>
        <w:tabs>
          <w:tab w:val="left" w:pos="1065"/>
          <w:tab w:val="left" w:pos="4262"/>
          <w:tab w:val="left" w:pos="6477"/>
        </w:tabs>
        <w:kinsoku/>
        <w:wordWrap/>
        <w:overflowPunct/>
        <w:topLinePunct w:val="0"/>
        <w:bidi w:val="0"/>
        <w:spacing w:beforeAutospacing="0" w:line="360" w:lineRule="auto"/>
        <w:ind w:left="0" w:leftChars="0" w:right="0" w:firstLine="600" w:firstLineChars="286"/>
        <w:rPr>
          <w:rFonts w:hint="eastAsia" w:ascii="宋体" w:hAnsi="宋体" w:eastAsia="宋体" w:cs="宋体"/>
          <w:color w:val="auto"/>
          <w:szCs w:val="21"/>
          <w:u w:val="single"/>
        </w:rPr>
      </w:pPr>
      <w:r>
        <w:rPr>
          <w:rFonts w:hint="eastAsia" w:ascii="宋体" w:hAnsi="宋体" w:eastAsia="宋体" w:cs="宋体"/>
          <w:color w:val="auto"/>
          <w:szCs w:val="21"/>
        </w:rPr>
        <w:t>2.</w:t>
      </w:r>
      <w:r>
        <w:rPr>
          <w:rFonts w:hint="eastAsia" w:ascii="宋体" w:hAnsi="宋体" w:eastAsia="宋体" w:cs="宋体"/>
          <w:color w:val="auto"/>
          <w:szCs w:val="21"/>
          <w:u w:val="single"/>
        </w:rPr>
        <w:t>（标的名称）</w:t>
      </w:r>
      <w:r>
        <w:rPr>
          <w:rFonts w:hint="eastAsia" w:ascii="宋体" w:hAnsi="宋体" w:eastAsia="宋体" w:cs="宋体"/>
          <w:color w:val="auto"/>
          <w:szCs w:val="21"/>
        </w:rPr>
        <w:t>，属于</w:t>
      </w:r>
      <w:r>
        <w:rPr>
          <w:rFonts w:hint="eastAsia" w:ascii="宋体" w:hAnsi="宋体" w:eastAsia="宋体" w:cs="宋体"/>
          <w:color w:val="auto"/>
          <w:szCs w:val="21"/>
          <w:u w:val="single"/>
        </w:rPr>
        <w:t>（采购文件中明确的所属行业）</w:t>
      </w:r>
      <w:r>
        <w:rPr>
          <w:rFonts w:hint="eastAsia" w:ascii="宋体" w:hAnsi="宋体" w:eastAsia="宋体" w:cs="宋体"/>
          <w:color w:val="auto"/>
          <w:szCs w:val="21"/>
        </w:rPr>
        <w:t>；承接企业为</w:t>
      </w:r>
      <w:r>
        <w:rPr>
          <w:rFonts w:hint="eastAsia" w:ascii="宋体" w:hAnsi="宋体" w:eastAsia="宋体" w:cs="宋体"/>
          <w:color w:val="auto"/>
          <w:szCs w:val="21"/>
          <w:u w:val="single"/>
        </w:rPr>
        <w:t>（企业名称）</w:t>
      </w:r>
      <w:r>
        <w:rPr>
          <w:rFonts w:hint="eastAsia" w:ascii="宋体" w:hAnsi="宋体" w:eastAsia="宋体" w:cs="宋体"/>
          <w:color w:val="auto"/>
          <w:szCs w:val="21"/>
        </w:rPr>
        <w:t>，从业人员</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人，营业收入为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万元，资产总额为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万元，属于</w:t>
      </w:r>
      <w:r>
        <w:rPr>
          <w:rFonts w:hint="eastAsia" w:ascii="宋体" w:hAnsi="宋体" w:eastAsia="宋体" w:cs="宋体"/>
          <w:color w:val="auto"/>
          <w:szCs w:val="21"/>
          <w:u w:val="single"/>
        </w:rPr>
        <w:t>（中型企业、小型企业、微型企业）</w:t>
      </w:r>
      <w:r>
        <w:rPr>
          <w:rFonts w:hint="eastAsia" w:ascii="宋体" w:hAnsi="宋体" w:eastAsia="宋体" w:cs="宋体"/>
          <w:color w:val="auto"/>
          <w:szCs w:val="21"/>
        </w:rPr>
        <w:t>；</w:t>
      </w:r>
    </w:p>
    <w:p w14:paraId="35F7971E">
      <w:pPr>
        <w:pageBreakBefore w:val="0"/>
        <w:kinsoku/>
        <w:wordWrap/>
        <w:overflowPunct/>
        <w:topLinePunct w:val="0"/>
        <w:bidi w:val="0"/>
        <w:spacing w:beforeAutospacing="0" w:line="360" w:lineRule="auto"/>
        <w:ind w:left="0" w:leftChars="0" w:right="0" w:hanging="5"/>
        <w:rPr>
          <w:rFonts w:hint="eastAsia" w:ascii="宋体" w:hAnsi="宋体" w:eastAsia="宋体" w:cs="宋体"/>
          <w:color w:val="auto"/>
        </w:rPr>
      </w:pPr>
      <w:r>
        <w:rPr>
          <w:rFonts w:hint="eastAsia" w:ascii="宋体" w:hAnsi="宋体" w:eastAsia="宋体" w:cs="宋体"/>
          <w:color w:val="auto"/>
        </w:rPr>
        <w:t xml:space="preserve">…… </w:t>
      </w:r>
    </w:p>
    <w:p w14:paraId="1FD249C3">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rPr>
      </w:pPr>
      <w:r>
        <w:rPr>
          <w:rFonts w:hint="eastAsia" w:ascii="宋体" w:hAnsi="宋体" w:eastAsia="宋体" w:cs="宋体"/>
          <w:color w:val="auto"/>
        </w:rPr>
        <w:t>以上企业，不属于大企业的分支机构，不存在控股股东为大企业的情形，也不存在与大企业的负责人为同一人的情形。</w:t>
      </w:r>
    </w:p>
    <w:p w14:paraId="7447339A">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rPr>
      </w:pPr>
      <w:r>
        <w:rPr>
          <w:rFonts w:hint="eastAsia" w:ascii="宋体" w:hAnsi="宋体" w:eastAsia="宋体" w:cs="宋体"/>
          <w:color w:val="auto"/>
        </w:rPr>
        <w:t>本企业对上述声明内容的真实性负责。如有虚假，将依法承担相应责任。</w:t>
      </w:r>
    </w:p>
    <w:p w14:paraId="29E9F0EB">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rPr>
      </w:pPr>
    </w:p>
    <w:p w14:paraId="281AACFA">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rPr>
      </w:pPr>
    </w:p>
    <w:p w14:paraId="7D497616">
      <w:pPr>
        <w:pageBreakBefore w:val="0"/>
        <w:kinsoku/>
        <w:wordWrap/>
        <w:overflowPunct/>
        <w:topLinePunct w:val="0"/>
        <w:bidi w:val="0"/>
        <w:snapToGrid w:val="0"/>
        <w:spacing w:beforeAutospacing="0" w:line="360" w:lineRule="auto"/>
        <w:ind w:left="0" w:leftChars="0" w:right="0" w:firstLine="5040" w:firstLineChars="2100"/>
        <w:rPr>
          <w:rFonts w:hint="eastAsia" w:ascii="宋体" w:hAnsi="宋体" w:eastAsia="宋体" w:cs="宋体"/>
          <w:color w:val="auto"/>
          <w:kern w:val="0"/>
          <w:sz w:val="24"/>
        </w:rPr>
      </w:pPr>
      <w:r>
        <w:rPr>
          <w:rFonts w:hint="eastAsia" w:ascii="宋体" w:hAnsi="宋体" w:eastAsia="宋体" w:cs="宋体"/>
          <w:color w:val="auto"/>
          <w:kern w:val="0"/>
          <w:sz w:val="24"/>
          <w:lang w:val="zh-CN"/>
        </w:rPr>
        <w:t>投标人名称(电子签章)：</w:t>
      </w:r>
    </w:p>
    <w:p w14:paraId="67CB501E">
      <w:pPr>
        <w:pageBreakBefore w:val="0"/>
        <w:kinsoku/>
        <w:wordWrap/>
        <w:overflowPunct/>
        <w:topLinePunct w:val="0"/>
        <w:bidi w:val="0"/>
        <w:snapToGrid w:val="0"/>
        <w:spacing w:beforeAutospacing="0" w:line="360" w:lineRule="auto"/>
        <w:ind w:left="0" w:leftChars="0" w:right="0" w:firstLine="5160" w:firstLineChars="215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w:t>
      </w:r>
      <w:r>
        <w:rPr>
          <w:rFonts w:hint="eastAsia" w:ascii="宋体" w:hAnsi="宋体" w:eastAsia="宋体" w:cs="宋体"/>
          <w:color w:val="auto"/>
          <w:kern w:val="0"/>
          <w:sz w:val="24"/>
        </w:rPr>
        <w:t xml:space="preserve">：  年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w:t>
      </w:r>
    </w:p>
    <w:p w14:paraId="6B78616B">
      <w:pPr>
        <w:pageBreakBefore w:val="0"/>
        <w:kinsoku/>
        <w:wordWrap/>
        <w:overflowPunct/>
        <w:topLinePunct w:val="0"/>
        <w:bidi w:val="0"/>
        <w:spacing w:beforeAutospacing="0" w:line="360" w:lineRule="auto"/>
        <w:ind w:left="0" w:leftChars="0" w:right="0" w:firstLine="420" w:firstLineChars="200"/>
        <w:rPr>
          <w:rFonts w:hint="eastAsia" w:ascii="宋体" w:hAnsi="宋体" w:eastAsia="宋体" w:cs="宋体"/>
          <w:color w:val="auto"/>
          <w:szCs w:val="21"/>
        </w:rPr>
      </w:pPr>
    </w:p>
    <w:p w14:paraId="65365E89">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0"/>
        </w:rPr>
      </w:pPr>
      <w:r>
        <w:rPr>
          <w:rFonts w:hint="eastAsia" w:ascii="宋体" w:hAnsi="宋体" w:eastAsia="宋体" w:cs="宋体"/>
          <w:color w:val="auto"/>
          <w:sz w:val="20"/>
        </w:rPr>
        <w:t>注：</w:t>
      </w:r>
    </w:p>
    <w:p w14:paraId="7F6FD884">
      <w:pPr>
        <w:pageBreakBefore w:val="0"/>
        <w:numPr>
          <w:ilvl w:val="0"/>
          <w:numId w:val="6"/>
        </w:numPr>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0"/>
        </w:rPr>
      </w:pPr>
      <w:r>
        <w:rPr>
          <w:rFonts w:hint="eastAsia" w:ascii="宋体" w:hAnsi="宋体" w:eastAsia="宋体" w:cs="宋体"/>
          <w:color w:val="auto"/>
          <w:sz w:val="20"/>
        </w:rPr>
        <w:t>从业人员、营业收入、资产总额填报上一年度数据，无上一年度数据的新成立企业可不填报。</w:t>
      </w:r>
    </w:p>
    <w:p w14:paraId="47083204">
      <w:pPr>
        <w:pageBreakBefore w:val="0"/>
        <w:kinsoku/>
        <w:wordWrap/>
        <w:overflowPunct/>
        <w:topLinePunct w:val="0"/>
        <w:bidi w:val="0"/>
        <w:snapToGrid w:val="0"/>
        <w:spacing w:beforeAutospacing="0" w:line="360" w:lineRule="auto"/>
        <w:ind w:left="0" w:leftChars="0" w:right="0" w:firstLine="300" w:firstLineChars="150"/>
        <w:jc w:val="left"/>
        <w:rPr>
          <w:rFonts w:hint="eastAsia" w:ascii="宋体" w:hAnsi="宋体" w:eastAsia="宋体" w:cs="宋体"/>
          <w:color w:val="auto"/>
          <w:sz w:val="20"/>
        </w:rPr>
      </w:pPr>
      <w:r>
        <w:rPr>
          <w:rFonts w:hint="eastAsia" w:ascii="宋体" w:hAnsi="宋体" w:eastAsia="宋体" w:cs="宋体"/>
          <w:color w:val="auto"/>
          <w:sz w:val="20"/>
        </w:rPr>
        <w:t>2、请根据自己的真实情况出具《中小企业声明函》。依法享受中小企业优惠政策的，采购人或者采购代理机构在公告中标结果时，同时公告其《中小企业声明函》，接受社会监督。</w:t>
      </w:r>
    </w:p>
    <w:p w14:paraId="5C2CF181">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 w:val="20"/>
        </w:rPr>
        <w:sectPr>
          <w:pgSz w:w="11906" w:h="16838"/>
          <w:pgMar w:top="1134" w:right="1134" w:bottom="1134" w:left="1134" w:header="720" w:footer="720" w:gutter="0"/>
          <w:cols w:space="720" w:num="1"/>
          <w:docGrid w:type="lines" w:linePitch="331" w:charSpace="0"/>
        </w:sectPr>
      </w:pPr>
    </w:p>
    <w:p w14:paraId="3C0EBD39">
      <w:pPr>
        <w:pageBreakBefore w:val="0"/>
        <w:kinsoku/>
        <w:wordWrap/>
        <w:overflowPunct/>
        <w:topLinePunct w:val="0"/>
        <w:bidi w:val="0"/>
        <w:snapToGrid w:val="0"/>
        <w:spacing w:beforeAutospacing="0" w:line="360" w:lineRule="auto"/>
        <w:ind w:left="0" w:leftChars="0" w:right="0"/>
        <w:jc w:val="center"/>
        <w:outlineLvl w:val="1"/>
        <w:rPr>
          <w:rFonts w:hint="eastAsia" w:ascii="宋体" w:hAnsi="宋体" w:eastAsia="宋体" w:cs="宋体"/>
          <w:b/>
          <w:bCs/>
          <w:color w:val="auto"/>
          <w:sz w:val="28"/>
          <w:szCs w:val="28"/>
        </w:rPr>
      </w:pPr>
      <w:bookmarkStart w:id="340" w:name="_Toc16923"/>
      <w:bookmarkStart w:id="341" w:name="_Toc19686840"/>
      <w:r>
        <w:rPr>
          <w:rFonts w:hint="eastAsia" w:ascii="宋体" w:hAnsi="宋体" w:eastAsia="宋体" w:cs="宋体"/>
          <w:b/>
          <w:bCs/>
          <w:color w:val="auto"/>
          <w:sz w:val="28"/>
          <w:szCs w:val="28"/>
        </w:rPr>
        <w:t>第六节 其他文书、文件格式</w:t>
      </w:r>
      <w:bookmarkEnd w:id="340"/>
      <w:bookmarkEnd w:id="341"/>
    </w:p>
    <w:p w14:paraId="0F157F41">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sz w:val="32"/>
          <w:szCs w:val="32"/>
          <w:lang w:val="en"/>
        </w:rPr>
      </w:pPr>
    </w:p>
    <w:p w14:paraId="25428645">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sz w:val="32"/>
          <w:szCs w:val="32"/>
          <w:lang w:val="en"/>
        </w:rPr>
      </w:pPr>
      <w:r>
        <w:rPr>
          <w:rFonts w:hint="eastAsia" w:ascii="宋体" w:hAnsi="宋体" w:eastAsia="宋体" w:cs="宋体"/>
          <w:b/>
          <w:bCs/>
          <w:color w:val="auto"/>
          <w:sz w:val="32"/>
          <w:szCs w:val="32"/>
          <w:lang w:val="en"/>
        </w:rPr>
        <w:t>知识产权合规性声明</w:t>
      </w:r>
    </w:p>
    <w:p w14:paraId="6DC021B4">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0"/>
          <w:szCs w:val="30"/>
        </w:rPr>
      </w:pPr>
      <w:r>
        <w:rPr>
          <w:rFonts w:hint="eastAsia" w:ascii="宋体" w:hAnsi="宋体" w:eastAsia="宋体" w:cs="宋体"/>
          <w:color w:val="auto"/>
          <w:sz w:val="30"/>
          <w:szCs w:val="30"/>
        </w:rPr>
        <w:t xml:space="preserve">    </w:t>
      </w:r>
    </w:p>
    <w:p w14:paraId="5C85292E">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0"/>
          <w:szCs w:val="30"/>
          <w:lang w:val="en"/>
        </w:rPr>
      </w:pPr>
      <w:r>
        <w:rPr>
          <w:rFonts w:hint="eastAsia" w:ascii="宋体" w:hAnsi="宋体" w:eastAsia="宋体" w:cs="宋体"/>
          <w:color w:val="auto"/>
          <w:sz w:val="30"/>
          <w:szCs w:val="30"/>
        </w:rPr>
        <w:t xml:space="preserve">    本</w:t>
      </w:r>
      <w:r>
        <w:rPr>
          <w:rFonts w:hint="eastAsia" w:ascii="宋体" w:hAnsi="宋体" w:eastAsia="宋体" w:cs="宋体"/>
          <w:color w:val="auto"/>
          <w:sz w:val="30"/>
          <w:szCs w:val="30"/>
          <w:lang w:val="en"/>
        </w:rPr>
        <w:t>企业自愿参与政府投资政府采购的</w:t>
      </w:r>
      <w:r>
        <w:rPr>
          <w:rFonts w:hint="eastAsia" w:ascii="宋体" w:hAnsi="宋体" w:cs="宋体"/>
          <w:color w:val="auto"/>
          <w:sz w:val="30"/>
          <w:szCs w:val="30"/>
          <w:u w:val="single"/>
          <w:lang w:eastAsia="zh-CN"/>
        </w:rPr>
        <w:t>南宁市第二看守所在押人员伙房食材配送服务采购项目</w:t>
      </w:r>
      <w:r>
        <w:rPr>
          <w:rFonts w:hint="eastAsia" w:ascii="宋体" w:hAnsi="宋体" w:eastAsia="宋体" w:cs="宋体"/>
          <w:color w:val="auto"/>
          <w:sz w:val="30"/>
          <w:szCs w:val="30"/>
          <w:lang w:val="en"/>
        </w:rPr>
        <w:t>项目，</w:t>
      </w:r>
      <w:r>
        <w:rPr>
          <w:rFonts w:hint="eastAsia" w:ascii="宋体" w:hAnsi="宋体" w:eastAsia="宋体" w:cs="宋体"/>
          <w:b/>
          <w:bCs/>
          <w:color w:val="auto"/>
          <w:sz w:val="30"/>
          <w:szCs w:val="30"/>
          <w:lang w:val="en"/>
        </w:rPr>
        <w:t>在此郑重承诺：</w:t>
      </w:r>
      <w:r>
        <w:rPr>
          <w:rFonts w:hint="eastAsia" w:ascii="宋体" w:hAnsi="宋体" w:eastAsia="宋体" w:cs="宋体"/>
          <w:color w:val="auto"/>
          <w:sz w:val="30"/>
          <w:szCs w:val="30"/>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4FEB8670">
      <w:pPr>
        <w:pageBreakBefore w:val="0"/>
        <w:kinsoku/>
        <w:wordWrap/>
        <w:overflowPunct/>
        <w:topLinePunct w:val="0"/>
        <w:bidi w:val="0"/>
        <w:snapToGrid w:val="0"/>
        <w:spacing w:beforeAutospacing="0" w:line="360" w:lineRule="auto"/>
        <w:ind w:left="1491" w:leftChars="0" w:right="0" w:hanging="1491" w:hangingChars="825"/>
        <w:rPr>
          <w:rFonts w:hint="eastAsia" w:ascii="宋体" w:hAnsi="宋体" w:eastAsia="宋体" w:cs="宋体"/>
          <w:b/>
          <w:color w:val="auto"/>
          <w:sz w:val="18"/>
          <w:szCs w:val="18"/>
        </w:rPr>
      </w:pPr>
      <w:r>
        <w:rPr>
          <w:rFonts w:hint="eastAsia" w:ascii="宋体" w:hAnsi="宋体" w:eastAsia="宋体" w:cs="宋体"/>
          <w:b/>
          <w:color w:val="auto"/>
          <w:sz w:val="18"/>
          <w:szCs w:val="18"/>
        </w:rPr>
        <w:t xml:space="preserve">           </w:t>
      </w:r>
    </w:p>
    <w:p w14:paraId="03C5B574">
      <w:pPr>
        <w:pageBreakBefore w:val="0"/>
        <w:kinsoku/>
        <w:wordWrap/>
        <w:overflowPunct/>
        <w:topLinePunct w:val="0"/>
        <w:bidi w:val="0"/>
        <w:snapToGrid w:val="0"/>
        <w:spacing w:beforeAutospacing="0" w:line="360" w:lineRule="auto"/>
        <w:ind w:left="1491" w:leftChars="0" w:right="0" w:hanging="1491" w:hangingChars="825"/>
        <w:rPr>
          <w:rFonts w:hint="eastAsia" w:ascii="宋体" w:hAnsi="宋体" w:eastAsia="宋体" w:cs="宋体"/>
          <w:b/>
          <w:color w:val="auto"/>
          <w:sz w:val="18"/>
          <w:szCs w:val="18"/>
        </w:rPr>
      </w:pPr>
    </w:p>
    <w:p w14:paraId="6D6FB11B">
      <w:pPr>
        <w:pageBreakBefore w:val="0"/>
        <w:kinsoku/>
        <w:wordWrap/>
        <w:overflowPunct/>
        <w:topLinePunct w:val="0"/>
        <w:bidi w:val="0"/>
        <w:snapToGrid w:val="0"/>
        <w:spacing w:beforeAutospacing="0" w:line="360" w:lineRule="auto"/>
        <w:ind w:left="1491" w:leftChars="0" w:right="0" w:hanging="1491" w:hangingChars="825"/>
        <w:rPr>
          <w:rFonts w:hint="eastAsia" w:ascii="宋体" w:hAnsi="宋体" w:eastAsia="宋体" w:cs="宋体"/>
          <w:b/>
          <w:color w:val="auto"/>
          <w:sz w:val="18"/>
          <w:szCs w:val="18"/>
        </w:rPr>
      </w:pPr>
    </w:p>
    <w:p w14:paraId="5A2DF77C">
      <w:pPr>
        <w:pageBreakBefore w:val="0"/>
        <w:kinsoku/>
        <w:wordWrap/>
        <w:overflowPunct/>
        <w:topLinePunct w:val="0"/>
        <w:bidi w:val="0"/>
        <w:snapToGrid w:val="0"/>
        <w:spacing w:beforeAutospacing="0" w:line="360" w:lineRule="auto"/>
        <w:ind w:left="1491" w:leftChars="0" w:right="0" w:hanging="1491" w:hangingChars="825"/>
        <w:rPr>
          <w:rFonts w:hint="eastAsia" w:ascii="宋体" w:hAnsi="宋体" w:eastAsia="宋体" w:cs="宋体"/>
          <w:b/>
          <w:color w:val="auto"/>
          <w:sz w:val="18"/>
          <w:szCs w:val="18"/>
        </w:rPr>
      </w:pPr>
    </w:p>
    <w:p w14:paraId="44389D5C">
      <w:pPr>
        <w:pageBreakBefore w:val="0"/>
        <w:kinsoku/>
        <w:wordWrap/>
        <w:overflowPunct/>
        <w:topLinePunct w:val="0"/>
        <w:bidi w:val="0"/>
        <w:snapToGrid w:val="0"/>
        <w:spacing w:beforeAutospacing="0" w:line="360" w:lineRule="auto"/>
        <w:ind w:left="1491" w:leftChars="0" w:right="0" w:hanging="1491" w:hangingChars="825"/>
        <w:rPr>
          <w:rFonts w:hint="eastAsia" w:ascii="宋体" w:hAnsi="宋体" w:eastAsia="宋体" w:cs="宋体"/>
          <w:color w:val="auto"/>
          <w:kern w:val="0"/>
          <w:sz w:val="24"/>
        </w:rPr>
      </w:pPr>
      <w:r>
        <w:rPr>
          <w:rFonts w:hint="eastAsia" w:ascii="宋体" w:hAnsi="宋体" w:eastAsia="宋体" w:cs="宋体"/>
          <w:b/>
          <w:color w:val="auto"/>
          <w:sz w:val="18"/>
          <w:szCs w:val="18"/>
        </w:rPr>
        <w:t xml:space="preserve">      </w:t>
      </w:r>
      <w:r>
        <w:rPr>
          <w:rFonts w:hint="eastAsia" w:ascii="宋体" w:hAnsi="宋体" w:eastAsia="宋体" w:cs="宋体"/>
          <w:color w:val="auto"/>
          <w:kern w:val="0"/>
          <w:sz w:val="24"/>
          <w:lang w:val="zh-CN"/>
        </w:rPr>
        <w:t>投标人名称(电子签章)：</w:t>
      </w:r>
    </w:p>
    <w:p w14:paraId="4C64A6B3">
      <w:pPr>
        <w:pageBreakBefore w:val="0"/>
        <w:kinsoku/>
        <w:wordWrap/>
        <w:overflowPunct/>
        <w:topLinePunct w:val="0"/>
        <w:bidi w:val="0"/>
        <w:snapToGrid w:val="0"/>
        <w:spacing w:beforeAutospacing="0" w:line="360" w:lineRule="auto"/>
        <w:ind w:left="0" w:leftChars="0" w:right="0" w:firstLine="5160" w:firstLineChars="215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w:t>
      </w:r>
      <w:r>
        <w:rPr>
          <w:rFonts w:hint="eastAsia" w:ascii="宋体" w:hAnsi="宋体" w:eastAsia="宋体" w:cs="宋体"/>
          <w:color w:val="auto"/>
          <w:kern w:val="0"/>
          <w:sz w:val="24"/>
        </w:rPr>
        <w:t xml:space="preserve">：  年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w:t>
      </w:r>
    </w:p>
    <w:p w14:paraId="617E0FC4">
      <w:pPr>
        <w:pageBreakBefore w:val="0"/>
        <w:kinsoku/>
        <w:wordWrap/>
        <w:overflowPunct/>
        <w:topLinePunct w:val="0"/>
        <w:bidi w:val="0"/>
        <w:spacing w:beforeAutospacing="0" w:line="360" w:lineRule="auto"/>
        <w:ind w:left="0" w:leftChars="0" w:right="0"/>
        <w:jc w:val="center"/>
        <w:rPr>
          <w:rFonts w:hint="eastAsia" w:ascii="宋体" w:hAnsi="宋体" w:eastAsia="宋体" w:cs="宋体"/>
          <w:b/>
          <w:color w:val="auto"/>
          <w:sz w:val="30"/>
          <w:szCs w:val="30"/>
        </w:rPr>
      </w:pPr>
      <w:r>
        <w:rPr>
          <w:rFonts w:hint="eastAsia" w:ascii="宋体" w:hAnsi="宋体" w:eastAsia="宋体" w:cs="宋体"/>
          <w:b/>
          <w:color w:val="auto"/>
          <w:sz w:val="30"/>
          <w:szCs w:val="30"/>
        </w:rPr>
        <w:br w:type="page"/>
      </w:r>
      <w:r>
        <w:rPr>
          <w:rFonts w:hint="eastAsia" w:ascii="宋体" w:hAnsi="宋体" w:eastAsia="宋体" w:cs="宋体"/>
          <w:b/>
          <w:color w:val="auto"/>
          <w:sz w:val="30"/>
          <w:szCs w:val="30"/>
        </w:rPr>
        <w:t>残疾人福利性单位声明函（如有）</w:t>
      </w:r>
    </w:p>
    <w:p w14:paraId="4073C78A">
      <w:pPr>
        <w:pageBreakBefore w:val="0"/>
        <w:kinsoku/>
        <w:wordWrap/>
        <w:overflowPunct/>
        <w:topLinePunct w:val="0"/>
        <w:bidi w:val="0"/>
        <w:spacing w:beforeAutospacing="0" w:line="360" w:lineRule="auto"/>
        <w:ind w:left="0" w:leftChars="0" w:right="0"/>
        <w:jc w:val="center"/>
        <w:rPr>
          <w:rFonts w:hint="eastAsia" w:ascii="宋体" w:hAnsi="宋体" w:eastAsia="宋体" w:cs="宋体"/>
          <w:b/>
          <w:color w:val="auto"/>
          <w:sz w:val="30"/>
          <w:szCs w:val="30"/>
        </w:rPr>
      </w:pPr>
    </w:p>
    <w:p w14:paraId="0069D3C4">
      <w:pPr>
        <w:pageBreakBefore w:val="0"/>
        <w:kinsoku/>
        <w:wordWrap/>
        <w:overflowPunct/>
        <w:topLinePunct w:val="0"/>
        <w:bidi w:val="0"/>
        <w:spacing w:beforeAutospacing="0" w:line="360" w:lineRule="auto"/>
        <w:ind w:left="0" w:leftChars="0" w:right="0"/>
        <w:jc w:val="left"/>
        <w:rPr>
          <w:rFonts w:hint="eastAsia" w:ascii="宋体" w:hAnsi="宋体" w:eastAsia="宋体" w:cs="宋体"/>
          <w:color w:val="auto"/>
          <w:sz w:val="24"/>
        </w:rPr>
      </w:pPr>
      <w:r>
        <w:rPr>
          <w:rFonts w:hint="eastAsia" w:ascii="宋体" w:hAnsi="宋体" w:eastAsia="宋体" w:cs="宋体"/>
          <w:color w:val="auto"/>
          <w:sz w:val="30"/>
          <w:szCs w:val="30"/>
        </w:rPr>
        <w:t xml:space="preserve">   </w:t>
      </w:r>
      <w:r>
        <w:rPr>
          <w:rFonts w:hint="eastAsia" w:ascii="宋体" w:hAnsi="宋体" w:eastAsia="宋体" w:cs="宋体"/>
          <w:color w:val="auto"/>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u w:val="single"/>
        </w:rPr>
        <w:t xml:space="preserve"> </w:t>
      </w:r>
      <w:r>
        <w:rPr>
          <w:rFonts w:hint="eastAsia" w:ascii="宋体" w:hAnsi="宋体" w:cs="宋体"/>
          <w:color w:val="auto"/>
          <w:sz w:val="24"/>
          <w:u w:val="single"/>
          <w:lang w:eastAsia="zh-CN"/>
        </w:rPr>
        <w:t>南宁市第二看守所</w:t>
      </w:r>
      <w:r>
        <w:rPr>
          <w:rFonts w:hint="eastAsia" w:ascii="宋体" w:hAnsi="宋体" w:eastAsia="宋体" w:cs="宋体"/>
          <w:color w:val="auto"/>
          <w:sz w:val="24"/>
          <w:u w:val="single"/>
        </w:rPr>
        <w:t xml:space="preserve"> </w:t>
      </w:r>
      <w:r>
        <w:rPr>
          <w:rFonts w:hint="eastAsia" w:ascii="宋体" w:hAnsi="宋体" w:eastAsia="宋体" w:cs="宋体"/>
          <w:color w:val="auto"/>
          <w:sz w:val="24"/>
        </w:rPr>
        <w:t>单位的</w:t>
      </w:r>
      <w:r>
        <w:rPr>
          <w:rFonts w:hint="eastAsia" w:ascii="宋体" w:hAnsi="宋体" w:cs="宋体"/>
          <w:color w:val="auto"/>
          <w:sz w:val="24"/>
          <w:u w:val="single"/>
          <w:lang w:eastAsia="zh-CN"/>
        </w:rPr>
        <w:t>南宁市第二看守所在押人员伙房食材配送服务采购项目</w:t>
      </w:r>
      <w:r>
        <w:rPr>
          <w:rFonts w:hint="eastAsia" w:ascii="宋体" w:hAnsi="宋体" w:eastAsia="宋体" w:cs="宋体"/>
          <w:color w:val="auto"/>
          <w:sz w:val="24"/>
        </w:rPr>
        <w:t>项目采购活动提供本单位制造的货物（由本单位承担工程/提供服务），或者提供其他残疾人福利性单位制造的货物（不包括使用非残疾人福利性单位注册商标的货物）。</w:t>
      </w:r>
    </w:p>
    <w:p w14:paraId="66F3F081">
      <w:pPr>
        <w:pageBreakBefore w:val="0"/>
        <w:kinsoku/>
        <w:wordWrap/>
        <w:overflowPunct/>
        <w:topLinePunct w:val="0"/>
        <w:bidi w:val="0"/>
        <w:spacing w:beforeAutospacing="0" w:line="360" w:lineRule="auto"/>
        <w:ind w:left="0" w:leftChars="0" w:right="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本公司对上述声明的真实性负责。如有虚假，将依法承担相应责任。</w:t>
      </w:r>
    </w:p>
    <w:p w14:paraId="3B01E0B2">
      <w:pPr>
        <w:pageBreakBefore w:val="0"/>
        <w:kinsoku/>
        <w:wordWrap/>
        <w:overflowPunct/>
        <w:topLinePunct w:val="0"/>
        <w:bidi w:val="0"/>
        <w:spacing w:beforeAutospacing="0" w:line="360" w:lineRule="auto"/>
        <w:ind w:left="0" w:leftChars="0" w:right="0"/>
        <w:jc w:val="left"/>
        <w:rPr>
          <w:rFonts w:hint="eastAsia" w:ascii="宋体" w:hAnsi="宋体" w:eastAsia="宋体" w:cs="宋体"/>
          <w:b/>
          <w:color w:val="auto"/>
          <w:szCs w:val="21"/>
        </w:rPr>
      </w:pPr>
    </w:p>
    <w:p w14:paraId="3BF095C0">
      <w:pPr>
        <w:pageBreakBefore w:val="0"/>
        <w:kinsoku/>
        <w:wordWrap/>
        <w:overflowPunct/>
        <w:topLinePunct w:val="0"/>
        <w:bidi w:val="0"/>
        <w:spacing w:beforeAutospacing="0" w:line="360" w:lineRule="auto"/>
        <w:ind w:left="0" w:leftChars="0" w:right="0"/>
        <w:jc w:val="left"/>
        <w:rPr>
          <w:rFonts w:hint="eastAsia" w:ascii="宋体" w:hAnsi="宋体" w:eastAsia="宋体" w:cs="宋体"/>
          <w:b/>
          <w:color w:val="auto"/>
          <w:szCs w:val="21"/>
        </w:rPr>
      </w:pPr>
    </w:p>
    <w:p w14:paraId="0F014396">
      <w:pPr>
        <w:pageBreakBefore w:val="0"/>
        <w:kinsoku/>
        <w:wordWrap/>
        <w:overflowPunct/>
        <w:topLinePunct w:val="0"/>
        <w:bidi w:val="0"/>
        <w:snapToGrid w:val="0"/>
        <w:spacing w:beforeAutospacing="0" w:line="360" w:lineRule="auto"/>
        <w:ind w:left="1491" w:leftChars="0" w:right="0" w:hanging="1491" w:hangingChars="825"/>
        <w:rPr>
          <w:rFonts w:hint="eastAsia" w:ascii="宋体" w:hAnsi="宋体" w:eastAsia="宋体" w:cs="宋体"/>
          <w:color w:val="auto"/>
          <w:kern w:val="0"/>
          <w:sz w:val="24"/>
        </w:rPr>
      </w:pPr>
      <w:r>
        <w:rPr>
          <w:rFonts w:hint="eastAsia" w:ascii="宋体" w:hAnsi="宋体" w:eastAsia="宋体" w:cs="宋体"/>
          <w:b/>
          <w:color w:val="auto"/>
          <w:sz w:val="18"/>
          <w:szCs w:val="18"/>
        </w:rPr>
        <w:t xml:space="preserve">                                                                    </w:t>
      </w:r>
      <w:r>
        <w:rPr>
          <w:rFonts w:hint="eastAsia" w:ascii="宋体" w:hAnsi="宋体" w:eastAsia="宋体" w:cs="宋体"/>
          <w:color w:val="auto"/>
          <w:kern w:val="0"/>
          <w:sz w:val="24"/>
          <w:lang w:val="zh-CN"/>
        </w:rPr>
        <w:t>投标人名称(电子签章)：</w:t>
      </w:r>
    </w:p>
    <w:p w14:paraId="4F5786EF">
      <w:pPr>
        <w:pageBreakBefore w:val="0"/>
        <w:kinsoku/>
        <w:wordWrap/>
        <w:overflowPunct/>
        <w:topLinePunct w:val="0"/>
        <w:bidi w:val="0"/>
        <w:snapToGrid w:val="0"/>
        <w:spacing w:beforeAutospacing="0" w:line="360" w:lineRule="auto"/>
        <w:ind w:left="0" w:leftChars="0" w:right="0" w:firstLine="5160" w:firstLineChars="215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w:t>
      </w:r>
      <w:r>
        <w:rPr>
          <w:rFonts w:hint="eastAsia" w:ascii="宋体" w:hAnsi="宋体" w:eastAsia="宋体" w:cs="宋体"/>
          <w:color w:val="auto"/>
          <w:kern w:val="0"/>
          <w:sz w:val="24"/>
        </w:rPr>
        <w:t xml:space="preserve">：  年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w:t>
      </w:r>
    </w:p>
    <w:p w14:paraId="5F082968">
      <w:pPr>
        <w:pageBreakBefore w:val="0"/>
        <w:kinsoku/>
        <w:wordWrap/>
        <w:overflowPunct/>
        <w:topLinePunct w:val="0"/>
        <w:bidi w:val="0"/>
        <w:spacing w:beforeAutospacing="0" w:line="360" w:lineRule="auto"/>
        <w:ind w:left="976" w:leftChars="0" w:right="0" w:hanging="976" w:hangingChars="488"/>
        <w:rPr>
          <w:rFonts w:hint="eastAsia" w:ascii="宋体" w:hAnsi="宋体" w:eastAsia="宋体" w:cs="宋体"/>
          <w:color w:val="auto"/>
          <w:sz w:val="20"/>
          <w:szCs w:val="20"/>
        </w:rPr>
      </w:pPr>
    </w:p>
    <w:p w14:paraId="0A90C563">
      <w:pPr>
        <w:pageBreakBefore w:val="0"/>
        <w:kinsoku/>
        <w:wordWrap/>
        <w:overflowPunct/>
        <w:topLinePunct w:val="0"/>
        <w:bidi w:val="0"/>
        <w:spacing w:beforeAutospacing="0"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5C274699">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 w:val="20"/>
        </w:rPr>
        <w:sectPr>
          <w:pgSz w:w="11906" w:h="16838"/>
          <w:pgMar w:top="1134" w:right="1134" w:bottom="1134" w:left="1134" w:header="720" w:footer="720" w:gutter="0"/>
          <w:cols w:space="720" w:num="1"/>
          <w:docGrid w:type="lines" w:linePitch="331" w:charSpace="0"/>
        </w:sectPr>
      </w:pPr>
    </w:p>
    <w:p w14:paraId="3ABDF853">
      <w:pPr>
        <w:pageBreakBefore w:val="0"/>
        <w:kinsoku/>
        <w:wordWrap/>
        <w:overflowPunct/>
        <w:topLinePunct w:val="0"/>
        <w:bidi w:val="0"/>
        <w:snapToGrid w:val="0"/>
        <w:spacing w:beforeAutospacing="0" w:line="360" w:lineRule="auto"/>
        <w:ind w:left="0" w:leftChars="0" w:right="0"/>
        <w:jc w:val="left"/>
        <w:rPr>
          <w:rFonts w:hint="eastAsia" w:ascii="宋体" w:hAnsi="宋体" w:eastAsia="宋体" w:cs="宋体"/>
          <w:color w:val="auto"/>
          <w:sz w:val="20"/>
        </w:rPr>
      </w:pPr>
    </w:p>
    <w:p w14:paraId="782E8837">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rPr>
      </w:pPr>
    </w:p>
    <w:p w14:paraId="38044970">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rPr>
      </w:pPr>
    </w:p>
    <w:p w14:paraId="345BEDD8">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rPr>
      </w:pPr>
    </w:p>
    <w:p w14:paraId="364BE466">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rPr>
      </w:pPr>
    </w:p>
    <w:p w14:paraId="4A19CAD8">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rPr>
      </w:pPr>
    </w:p>
    <w:p w14:paraId="362DBD34">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rPr>
      </w:pPr>
    </w:p>
    <w:p w14:paraId="4D0CB7AA">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rPr>
      </w:pPr>
    </w:p>
    <w:p w14:paraId="5A351712">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rPr>
      </w:pPr>
    </w:p>
    <w:p w14:paraId="1382659E">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rPr>
      </w:pPr>
    </w:p>
    <w:p w14:paraId="32A4370E">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rPr>
      </w:pPr>
    </w:p>
    <w:p w14:paraId="75442A1B">
      <w:pPr>
        <w:pageBreakBefore w:val="0"/>
        <w:tabs>
          <w:tab w:val="left" w:pos="2472"/>
        </w:tabs>
        <w:kinsoku/>
        <w:wordWrap/>
        <w:overflowPunct/>
        <w:topLinePunct w:val="0"/>
        <w:bidi w:val="0"/>
        <w:spacing w:beforeAutospacing="0" w:line="360" w:lineRule="auto"/>
        <w:ind w:left="0" w:leftChars="0" w:right="0"/>
        <w:jc w:val="center"/>
        <w:rPr>
          <w:rFonts w:hint="eastAsia" w:ascii="宋体" w:hAnsi="宋体" w:eastAsia="宋体" w:cs="宋体"/>
          <w:b/>
          <w:color w:val="auto"/>
          <w:sz w:val="36"/>
          <w:szCs w:val="20"/>
        </w:rPr>
      </w:pPr>
    </w:p>
    <w:p w14:paraId="1B0AEC6F">
      <w:pPr>
        <w:pageBreakBefore w:val="0"/>
        <w:tabs>
          <w:tab w:val="left" w:pos="2472"/>
        </w:tabs>
        <w:kinsoku/>
        <w:wordWrap/>
        <w:overflowPunct/>
        <w:topLinePunct w:val="0"/>
        <w:bidi w:val="0"/>
        <w:spacing w:beforeAutospacing="0" w:line="360" w:lineRule="auto"/>
        <w:ind w:left="0" w:leftChars="0" w:right="0"/>
        <w:jc w:val="center"/>
        <w:outlineLvl w:val="0"/>
        <w:rPr>
          <w:rFonts w:hint="eastAsia" w:ascii="宋体" w:hAnsi="宋体" w:eastAsia="宋体" w:cs="宋体"/>
          <w:b/>
          <w:color w:val="auto"/>
          <w:sz w:val="36"/>
          <w:szCs w:val="20"/>
        </w:rPr>
      </w:pPr>
      <w:bookmarkStart w:id="342" w:name="_Toc20984"/>
      <w:r>
        <w:rPr>
          <w:rFonts w:hint="eastAsia" w:ascii="宋体" w:hAnsi="宋体" w:eastAsia="宋体" w:cs="宋体"/>
          <w:b/>
          <w:color w:val="auto"/>
          <w:sz w:val="36"/>
          <w:szCs w:val="20"/>
        </w:rPr>
        <w:t>第七章 质疑、投诉证明材料格式</w:t>
      </w:r>
      <w:bookmarkEnd w:id="342"/>
    </w:p>
    <w:p w14:paraId="3EC4B3F2">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sz w:val="20"/>
        </w:rPr>
        <w:sectPr>
          <w:pgSz w:w="11906" w:h="16838"/>
          <w:pgMar w:top="1134" w:right="1134" w:bottom="1134" w:left="1134" w:header="720" w:footer="720" w:gutter="0"/>
          <w:cols w:space="720" w:num="1"/>
          <w:docGrid w:type="lines" w:linePitch="331" w:charSpace="0"/>
        </w:sectPr>
      </w:pPr>
    </w:p>
    <w:p w14:paraId="23D5A8C8">
      <w:pPr>
        <w:pageBreakBefore w:val="0"/>
        <w:widowControl/>
        <w:shd w:val="clear" w:color="auto" w:fill="FFFFFF"/>
        <w:kinsoku/>
        <w:wordWrap/>
        <w:overflowPunct/>
        <w:topLinePunct w:val="0"/>
        <w:bidi w:val="0"/>
        <w:spacing w:beforeAutospacing="0" w:line="360" w:lineRule="auto"/>
        <w:ind w:left="0" w:leftChars="0" w:right="0"/>
        <w:jc w:val="left"/>
        <w:rPr>
          <w:rFonts w:hint="eastAsia" w:ascii="宋体" w:hAnsi="宋体" w:eastAsia="宋体" w:cs="宋体"/>
          <w:b/>
          <w:bCs/>
          <w:color w:val="auto"/>
          <w:sz w:val="28"/>
          <w:szCs w:val="28"/>
        </w:rPr>
      </w:pPr>
    </w:p>
    <w:p w14:paraId="2FD0A01D">
      <w:pPr>
        <w:keepNext/>
        <w:keepLines/>
        <w:pageBreakBefore w:val="0"/>
        <w:kinsoku/>
        <w:wordWrap/>
        <w:overflowPunct/>
        <w:topLinePunct w:val="0"/>
        <w:bidi w:val="0"/>
        <w:spacing w:beforeAutospacing="0" w:line="360" w:lineRule="auto"/>
        <w:ind w:left="0" w:leftChars="0" w:right="0"/>
        <w:jc w:val="center"/>
        <w:outlineLvl w:val="1"/>
        <w:rPr>
          <w:rFonts w:hint="eastAsia" w:ascii="宋体" w:hAnsi="宋体" w:eastAsia="宋体" w:cs="宋体"/>
          <w:color w:val="auto"/>
          <w:sz w:val="32"/>
          <w:szCs w:val="32"/>
        </w:rPr>
      </w:pPr>
      <w:bookmarkStart w:id="343" w:name="_Toc11363"/>
      <w:r>
        <w:rPr>
          <w:rFonts w:hint="eastAsia" w:ascii="宋体" w:hAnsi="宋体" w:eastAsia="宋体" w:cs="宋体"/>
          <w:color w:val="auto"/>
          <w:sz w:val="32"/>
          <w:szCs w:val="32"/>
        </w:rPr>
        <w:t>第一节 质疑函（格式）</w:t>
      </w:r>
      <w:bookmarkEnd w:id="343"/>
    </w:p>
    <w:p w14:paraId="1A925E94">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质疑函范本</w:t>
      </w:r>
    </w:p>
    <w:p w14:paraId="031F181E">
      <w:pPr>
        <w:pageBreakBefore w:val="0"/>
        <w:kinsoku/>
        <w:wordWrap/>
        <w:overflowPunct/>
        <w:topLinePunct w:val="0"/>
        <w:bidi w:val="0"/>
        <w:adjustRightInd w:val="0"/>
        <w:snapToGrid w:val="0"/>
        <w:spacing w:beforeAutospacing="0" w:line="360" w:lineRule="auto"/>
        <w:ind w:left="0" w:leftChars="0" w:right="0"/>
        <w:rPr>
          <w:rFonts w:hint="eastAsia" w:ascii="宋体" w:hAnsi="宋体" w:eastAsia="宋体" w:cs="宋体"/>
          <w:bCs/>
          <w:color w:val="auto"/>
          <w:sz w:val="32"/>
          <w:szCs w:val="32"/>
        </w:rPr>
      </w:pPr>
      <w:r>
        <w:rPr>
          <w:rFonts w:hint="eastAsia" w:ascii="宋体" w:hAnsi="宋体" w:eastAsia="宋体" w:cs="宋体"/>
          <w:bCs/>
          <w:color w:val="auto"/>
          <w:sz w:val="32"/>
          <w:szCs w:val="32"/>
        </w:rPr>
        <w:t>一、质疑供应商基本信息</w:t>
      </w:r>
    </w:p>
    <w:p w14:paraId="1398482D">
      <w:pPr>
        <w:pageBreakBefore w:val="0"/>
        <w:kinsoku/>
        <w:wordWrap/>
        <w:overflowPunct/>
        <w:topLinePunct w:val="0"/>
        <w:bidi w:val="0"/>
        <w:adjustRightInd w:val="0"/>
        <w:snapToGrid w:val="0"/>
        <w:spacing w:beforeAutospacing="0" w:line="360" w:lineRule="auto"/>
        <w:ind w:left="0" w:leftChars="0" w:right="0"/>
        <w:rPr>
          <w:rFonts w:hint="eastAsia" w:ascii="宋体" w:hAnsi="宋体" w:eastAsia="宋体" w:cs="宋体"/>
          <w:color w:val="auto"/>
          <w:sz w:val="32"/>
          <w:szCs w:val="32"/>
          <w:u w:val="dotted"/>
        </w:rPr>
      </w:pPr>
      <w:r>
        <w:rPr>
          <w:rFonts w:hint="eastAsia" w:ascii="宋体" w:hAnsi="宋体" w:eastAsia="宋体" w:cs="宋体"/>
          <w:color w:val="auto"/>
          <w:sz w:val="32"/>
          <w:szCs w:val="32"/>
        </w:rPr>
        <w:t>质疑供应商：</w:t>
      </w:r>
      <w:r>
        <w:rPr>
          <w:rFonts w:hint="eastAsia" w:ascii="宋体" w:hAnsi="宋体" w:eastAsia="宋体" w:cs="宋体"/>
          <w:color w:val="auto"/>
          <w:sz w:val="32"/>
          <w:szCs w:val="32"/>
          <w:u w:val="dotted"/>
        </w:rPr>
        <w:t xml:space="preserve">                                        </w:t>
      </w:r>
    </w:p>
    <w:p w14:paraId="05EE117C">
      <w:pPr>
        <w:pageBreakBefore w:val="0"/>
        <w:kinsoku/>
        <w:wordWrap/>
        <w:overflowPunct/>
        <w:topLinePunct w:val="0"/>
        <w:bidi w:val="0"/>
        <w:adjustRightInd w:val="0"/>
        <w:snapToGrid w:val="0"/>
        <w:spacing w:beforeAutospacing="0" w:line="360" w:lineRule="auto"/>
        <w:ind w:left="0" w:leftChars="0" w:right="0"/>
        <w:rPr>
          <w:rFonts w:hint="eastAsia" w:ascii="宋体" w:hAnsi="宋体" w:eastAsia="宋体" w:cs="宋体"/>
          <w:color w:val="auto"/>
          <w:sz w:val="32"/>
          <w:szCs w:val="32"/>
        </w:rPr>
      </w:pPr>
      <w:r>
        <w:rPr>
          <w:rFonts w:hint="eastAsia" w:ascii="宋体" w:hAnsi="宋体" w:eastAsia="宋体" w:cs="宋体"/>
          <w:color w:val="auto"/>
          <w:sz w:val="32"/>
          <w:szCs w:val="32"/>
        </w:rPr>
        <w:t>地址：</w:t>
      </w:r>
      <w:r>
        <w:rPr>
          <w:rFonts w:hint="eastAsia" w:ascii="宋体" w:hAnsi="宋体" w:eastAsia="宋体" w:cs="宋体"/>
          <w:color w:val="auto"/>
          <w:sz w:val="32"/>
          <w:szCs w:val="32"/>
          <w:u w:val="dotted"/>
        </w:rPr>
        <w:t xml:space="preserve">                          </w:t>
      </w:r>
      <w:r>
        <w:rPr>
          <w:rFonts w:hint="eastAsia" w:ascii="宋体" w:hAnsi="宋体" w:eastAsia="宋体" w:cs="宋体"/>
          <w:color w:val="auto"/>
          <w:sz w:val="32"/>
          <w:szCs w:val="32"/>
        </w:rPr>
        <w:t>邮编：</w:t>
      </w:r>
      <w:r>
        <w:rPr>
          <w:rFonts w:hint="eastAsia" w:ascii="宋体" w:hAnsi="宋体" w:eastAsia="宋体" w:cs="宋体"/>
          <w:color w:val="auto"/>
          <w:sz w:val="32"/>
          <w:szCs w:val="32"/>
          <w:u w:val="dotted"/>
        </w:rPr>
        <w:t xml:space="preserve">                                                   </w:t>
      </w:r>
    </w:p>
    <w:p w14:paraId="011F8B20">
      <w:pPr>
        <w:pageBreakBefore w:val="0"/>
        <w:kinsoku/>
        <w:wordWrap/>
        <w:overflowPunct/>
        <w:topLinePunct w:val="0"/>
        <w:bidi w:val="0"/>
        <w:adjustRightInd w:val="0"/>
        <w:snapToGrid w:val="0"/>
        <w:spacing w:beforeAutospacing="0" w:line="360" w:lineRule="auto"/>
        <w:ind w:left="0" w:leftChars="0" w:right="0"/>
        <w:rPr>
          <w:rFonts w:hint="eastAsia" w:ascii="宋体" w:hAnsi="宋体" w:eastAsia="宋体" w:cs="宋体"/>
          <w:color w:val="auto"/>
          <w:sz w:val="32"/>
          <w:szCs w:val="32"/>
        </w:rPr>
      </w:pPr>
      <w:r>
        <w:rPr>
          <w:rFonts w:hint="eastAsia" w:ascii="宋体" w:hAnsi="宋体" w:eastAsia="宋体" w:cs="宋体"/>
          <w:color w:val="auto"/>
          <w:sz w:val="32"/>
          <w:szCs w:val="32"/>
        </w:rPr>
        <w:t>联系人：</w:t>
      </w:r>
      <w:r>
        <w:rPr>
          <w:rFonts w:hint="eastAsia" w:ascii="宋体" w:hAnsi="宋体" w:eastAsia="宋体" w:cs="宋体"/>
          <w:color w:val="auto"/>
          <w:sz w:val="32"/>
          <w:szCs w:val="32"/>
          <w:u w:val="dotted"/>
        </w:rPr>
        <w:t xml:space="preserve">                      </w:t>
      </w:r>
      <w:r>
        <w:rPr>
          <w:rFonts w:hint="eastAsia" w:ascii="宋体" w:hAnsi="宋体" w:eastAsia="宋体" w:cs="宋体"/>
          <w:color w:val="auto"/>
          <w:sz w:val="32"/>
          <w:szCs w:val="32"/>
        </w:rPr>
        <w:t>联系电话：</w:t>
      </w:r>
      <w:r>
        <w:rPr>
          <w:rFonts w:hint="eastAsia" w:ascii="宋体" w:hAnsi="宋体" w:eastAsia="宋体" w:cs="宋体"/>
          <w:color w:val="auto"/>
          <w:sz w:val="32"/>
          <w:szCs w:val="32"/>
          <w:u w:val="dotted"/>
        </w:rPr>
        <w:t xml:space="preserve">                              </w:t>
      </w:r>
    </w:p>
    <w:p w14:paraId="2FF7CFF9">
      <w:pPr>
        <w:pageBreakBefore w:val="0"/>
        <w:kinsoku/>
        <w:wordWrap/>
        <w:overflowPunct/>
        <w:topLinePunct w:val="0"/>
        <w:bidi w:val="0"/>
        <w:adjustRightInd w:val="0"/>
        <w:snapToGrid w:val="0"/>
        <w:spacing w:beforeAutospacing="0" w:line="360" w:lineRule="auto"/>
        <w:ind w:left="0" w:leftChars="0" w:right="0"/>
        <w:rPr>
          <w:rFonts w:hint="eastAsia" w:ascii="宋体" w:hAnsi="宋体" w:eastAsia="宋体" w:cs="宋体"/>
          <w:color w:val="auto"/>
          <w:sz w:val="32"/>
          <w:szCs w:val="32"/>
          <w:u w:val="dotted"/>
        </w:rPr>
      </w:pPr>
      <w:r>
        <w:rPr>
          <w:rFonts w:hint="eastAsia" w:ascii="宋体" w:hAnsi="宋体" w:eastAsia="宋体" w:cs="宋体"/>
          <w:color w:val="auto"/>
          <w:sz w:val="32"/>
          <w:szCs w:val="32"/>
        </w:rPr>
        <w:t>授权代表：</w:t>
      </w:r>
      <w:r>
        <w:rPr>
          <w:rFonts w:hint="eastAsia" w:ascii="宋体" w:hAnsi="宋体" w:eastAsia="宋体" w:cs="宋体"/>
          <w:color w:val="auto"/>
          <w:sz w:val="32"/>
          <w:szCs w:val="32"/>
          <w:u w:val="dotted"/>
        </w:rPr>
        <w:t xml:space="preserve">                                          </w:t>
      </w:r>
    </w:p>
    <w:p w14:paraId="210AA824">
      <w:pPr>
        <w:pageBreakBefore w:val="0"/>
        <w:kinsoku/>
        <w:wordWrap/>
        <w:overflowPunct/>
        <w:topLinePunct w:val="0"/>
        <w:bidi w:val="0"/>
        <w:adjustRightInd w:val="0"/>
        <w:snapToGrid w:val="0"/>
        <w:spacing w:beforeAutospacing="0" w:line="360" w:lineRule="auto"/>
        <w:ind w:left="0" w:leftChars="0" w:right="0"/>
        <w:rPr>
          <w:rFonts w:hint="eastAsia" w:ascii="宋体" w:hAnsi="宋体" w:eastAsia="宋体" w:cs="宋体"/>
          <w:color w:val="auto"/>
          <w:sz w:val="32"/>
          <w:szCs w:val="32"/>
        </w:rPr>
      </w:pPr>
      <w:r>
        <w:rPr>
          <w:rFonts w:hint="eastAsia" w:ascii="宋体" w:hAnsi="宋体" w:eastAsia="宋体" w:cs="宋体"/>
          <w:color w:val="auto"/>
          <w:sz w:val="32"/>
          <w:szCs w:val="32"/>
        </w:rPr>
        <w:t>联系电话：</w:t>
      </w:r>
      <w:r>
        <w:rPr>
          <w:rFonts w:hint="eastAsia" w:ascii="宋体" w:hAnsi="宋体" w:eastAsia="宋体" w:cs="宋体"/>
          <w:color w:val="auto"/>
          <w:sz w:val="32"/>
          <w:szCs w:val="32"/>
          <w:u w:val="dotted"/>
        </w:rPr>
        <w:t xml:space="preserve">                                           </w:t>
      </w:r>
      <w:r>
        <w:rPr>
          <w:rFonts w:hint="eastAsia" w:ascii="宋体" w:hAnsi="宋体" w:eastAsia="宋体" w:cs="宋体"/>
          <w:color w:val="auto"/>
          <w:sz w:val="32"/>
          <w:szCs w:val="32"/>
        </w:rPr>
        <w:t xml:space="preserve"> </w:t>
      </w:r>
    </w:p>
    <w:p w14:paraId="615A053A">
      <w:pPr>
        <w:pageBreakBefore w:val="0"/>
        <w:kinsoku/>
        <w:wordWrap/>
        <w:overflowPunct/>
        <w:topLinePunct w:val="0"/>
        <w:bidi w:val="0"/>
        <w:adjustRightInd w:val="0"/>
        <w:snapToGrid w:val="0"/>
        <w:spacing w:beforeAutospacing="0" w:line="360" w:lineRule="auto"/>
        <w:ind w:left="0" w:leftChars="0" w:right="0"/>
        <w:rPr>
          <w:rFonts w:hint="eastAsia" w:ascii="宋体" w:hAnsi="宋体" w:eastAsia="宋体" w:cs="宋体"/>
          <w:color w:val="auto"/>
          <w:sz w:val="32"/>
          <w:szCs w:val="32"/>
        </w:rPr>
      </w:pPr>
      <w:r>
        <w:rPr>
          <w:rFonts w:hint="eastAsia" w:ascii="宋体" w:hAnsi="宋体" w:eastAsia="宋体" w:cs="宋体"/>
          <w:color w:val="auto"/>
          <w:sz w:val="32"/>
          <w:szCs w:val="32"/>
        </w:rPr>
        <w:t xml:space="preserve">地址： </w:t>
      </w:r>
      <w:r>
        <w:rPr>
          <w:rFonts w:hint="eastAsia" w:ascii="宋体" w:hAnsi="宋体" w:eastAsia="宋体" w:cs="宋体"/>
          <w:color w:val="auto"/>
          <w:sz w:val="32"/>
          <w:szCs w:val="32"/>
          <w:u w:val="dotted"/>
        </w:rPr>
        <w:t xml:space="preserve">                        </w:t>
      </w:r>
      <w:r>
        <w:rPr>
          <w:rFonts w:hint="eastAsia" w:ascii="宋体" w:hAnsi="宋体" w:eastAsia="宋体" w:cs="宋体"/>
          <w:color w:val="auto"/>
          <w:sz w:val="32"/>
          <w:szCs w:val="32"/>
        </w:rPr>
        <w:t>邮编：</w:t>
      </w:r>
      <w:r>
        <w:rPr>
          <w:rFonts w:hint="eastAsia" w:ascii="宋体" w:hAnsi="宋体" w:eastAsia="宋体" w:cs="宋体"/>
          <w:color w:val="auto"/>
          <w:sz w:val="32"/>
          <w:szCs w:val="32"/>
          <w:u w:val="dotted"/>
        </w:rPr>
        <w:t xml:space="preserve">                                                </w:t>
      </w:r>
    </w:p>
    <w:p w14:paraId="172074FA">
      <w:pPr>
        <w:pageBreakBefore w:val="0"/>
        <w:kinsoku/>
        <w:wordWrap/>
        <w:overflowPunct/>
        <w:topLinePunct w:val="0"/>
        <w:bidi w:val="0"/>
        <w:adjustRightInd w:val="0"/>
        <w:snapToGrid w:val="0"/>
        <w:spacing w:beforeAutospacing="0" w:line="360" w:lineRule="auto"/>
        <w:ind w:left="0" w:leftChars="0" w:right="0"/>
        <w:rPr>
          <w:rFonts w:hint="eastAsia" w:ascii="宋体" w:hAnsi="宋体" w:eastAsia="宋体" w:cs="宋体"/>
          <w:bCs/>
          <w:color w:val="auto"/>
          <w:sz w:val="32"/>
          <w:szCs w:val="32"/>
        </w:rPr>
      </w:pPr>
      <w:r>
        <w:rPr>
          <w:rFonts w:hint="eastAsia" w:ascii="宋体" w:hAnsi="宋体" w:eastAsia="宋体" w:cs="宋体"/>
          <w:bCs/>
          <w:color w:val="auto"/>
          <w:sz w:val="32"/>
          <w:szCs w:val="32"/>
        </w:rPr>
        <w:t>二、质疑项目基本情况</w:t>
      </w:r>
    </w:p>
    <w:p w14:paraId="56C4D130">
      <w:pPr>
        <w:pageBreakBefore w:val="0"/>
        <w:kinsoku/>
        <w:wordWrap/>
        <w:overflowPunct/>
        <w:topLinePunct w:val="0"/>
        <w:bidi w:val="0"/>
        <w:adjustRightInd w:val="0"/>
        <w:snapToGrid w:val="0"/>
        <w:spacing w:beforeAutospacing="0" w:line="360" w:lineRule="auto"/>
        <w:ind w:left="0" w:leftChars="0" w:right="0"/>
        <w:rPr>
          <w:rFonts w:hint="eastAsia" w:ascii="宋体" w:hAnsi="宋体" w:eastAsia="宋体" w:cs="宋体"/>
          <w:color w:val="auto"/>
          <w:sz w:val="32"/>
          <w:szCs w:val="32"/>
        </w:rPr>
      </w:pPr>
      <w:r>
        <w:rPr>
          <w:rFonts w:hint="eastAsia" w:ascii="宋体" w:hAnsi="宋体" w:eastAsia="宋体" w:cs="宋体"/>
          <w:color w:val="auto"/>
          <w:sz w:val="32"/>
          <w:szCs w:val="32"/>
        </w:rPr>
        <w:t>质疑项目的名称：</w:t>
      </w:r>
      <w:r>
        <w:rPr>
          <w:rFonts w:hint="eastAsia" w:ascii="宋体" w:hAnsi="宋体" w:eastAsia="宋体" w:cs="宋体"/>
          <w:color w:val="auto"/>
          <w:sz w:val="32"/>
          <w:szCs w:val="32"/>
          <w:u w:val="dotted"/>
        </w:rPr>
        <w:t xml:space="preserve">   </w:t>
      </w:r>
      <w:r>
        <w:rPr>
          <w:rFonts w:hint="eastAsia" w:ascii="宋体" w:hAnsi="宋体" w:cs="宋体"/>
          <w:color w:val="auto"/>
          <w:sz w:val="32"/>
          <w:szCs w:val="32"/>
          <w:u w:val="dotted"/>
          <w:lang w:eastAsia="zh-CN"/>
        </w:rPr>
        <w:t>南宁市第二看守所在押人员伙房食材配送服务采购项目</w:t>
      </w:r>
      <w:r>
        <w:rPr>
          <w:rFonts w:hint="eastAsia" w:ascii="宋体" w:hAnsi="宋体" w:eastAsia="宋体" w:cs="宋体"/>
          <w:color w:val="auto"/>
          <w:sz w:val="32"/>
          <w:szCs w:val="32"/>
          <w:u w:val="dotted"/>
        </w:rPr>
        <w:t xml:space="preserve">     </w:t>
      </w:r>
    </w:p>
    <w:p w14:paraId="52D7B461">
      <w:pPr>
        <w:pageBreakBefore w:val="0"/>
        <w:kinsoku/>
        <w:wordWrap/>
        <w:overflowPunct/>
        <w:topLinePunct w:val="0"/>
        <w:bidi w:val="0"/>
        <w:adjustRightInd w:val="0"/>
        <w:snapToGrid w:val="0"/>
        <w:spacing w:beforeAutospacing="0" w:line="360" w:lineRule="auto"/>
        <w:ind w:left="0" w:leftChars="0" w:right="0"/>
        <w:rPr>
          <w:rFonts w:hint="eastAsia" w:ascii="宋体" w:hAnsi="宋体" w:eastAsia="宋体" w:cs="宋体"/>
          <w:color w:val="auto"/>
          <w:sz w:val="32"/>
          <w:szCs w:val="32"/>
        </w:rPr>
      </w:pPr>
      <w:r>
        <w:rPr>
          <w:rFonts w:hint="eastAsia" w:ascii="宋体" w:hAnsi="宋体" w:eastAsia="宋体" w:cs="宋体"/>
          <w:color w:val="auto"/>
          <w:sz w:val="32"/>
          <w:szCs w:val="32"/>
        </w:rPr>
        <w:t>质疑项目的编号：</w:t>
      </w:r>
      <w:r>
        <w:rPr>
          <w:rFonts w:hint="eastAsia" w:ascii="宋体" w:hAnsi="宋体" w:cs="宋体"/>
          <w:color w:val="auto"/>
          <w:sz w:val="32"/>
          <w:szCs w:val="32"/>
          <w:u w:val="dotted"/>
          <w:lang w:eastAsia="zh-CN"/>
        </w:rPr>
        <w:t>NNZC2024-G3-990896-GXJZ</w:t>
      </w:r>
      <w:r>
        <w:rPr>
          <w:rFonts w:hint="eastAsia" w:ascii="宋体" w:hAnsi="宋体" w:eastAsia="宋体" w:cs="宋体"/>
          <w:color w:val="auto"/>
          <w:sz w:val="32"/>
          <w:szCs w:val="32"/>
          <w:u w:val="dotted"/>
        </w:rPr>
        <w:t xml:space="preserve"> </w:t>
      </w:r>
      <w:r>
        <w:rPr>
          <w:rFonts w:hint="eastAsia" w:ascii="宋体" w:hAnsi="宋体" w:eastAsia="宋体" w:cs="宋体"/>
          <w:color w:val="auto"/>
          <w:sz w:val="32"/>
          <w:szCs w:val="32"/>
        </w:rPr>
        <w:t>包号：</w:t>
      </w:r>
      <w:r>
        <w:rPr>
          <w:rFonts w:hint="eastAsia" w:ascii="宋体" w:hAnsi="宋体" w:eastAsia="宋体" w:cs="宋体"/>
          <w:color w:val="auto"/>
          <w:sz w:val="32"/>
          <w:szCs w:val="32"/>
          <w:u w:val="dotted"/>
        </w:rPr>
        <w:t xml:space="preserve">                 </w:t>
      </w:r>
    </w:p>
    <w:p w14:paraId="63D4B7A3">
      <w:pPr>
        <w:pageBreakBefore w:val="0"/>
        <w:kinsoku/>
        <w:wordWrap/>
        <w:overflowPunct/>
        <w:topLinePunct w:val="0"/>
        <w:bidi w:val="0"/>
        <w:adjustRightInd w:val="0"/>
        <w:snapToGrid w:val="0"/>
        <w:spacing w:beforeAutospacing="0" w:line="360" w:lineRule="auto"/>
        <w:ind w:left="0" w:leftChars="0" w:right="0"/>
        <w:rPr>
          <w:rFonts w:hint="eastAsia" w:ascii="宋体" w:hAnsi="宋体" w:eastAsia="宋体" w:cs="宋体"/>
          <w:color w:val="auto"/>
          <w:sz w:val="32"/>
          <w:szCs w:val="32"/>
          <w:u w:val="dotted"/>
        </w:rPr>
      </w:pPr>
      <w:r>
        <w:rPr>
          <w:rFonts w:hint="eastAsia" w:ascii="宋体" w:hAnsi="宋体" w:eastAsia="宋体" w:cs="宋体"/>
          <w:color w:val="auto"/>
          <w:sz w:val="32"/>
          <w:szCs w:val="32"/>
        </w:rPr>
        <w:t>采购人名称：</w:t>
      </w:r>
      <w:r>
        <w:rPr>
          <w:rFonts w:hint="eastAsia" w:ascii="宋体" w:hAnsi="宋体" w:eastAsia="宋体" w:cs="宋体"/>
          <w:color w:val="auto"/>
          <w:sz w:val="32"/>
          <w:szCs w:val="32"/>
          <w:u w:val="dotted"/>
        </w:rPr>
        <w:t xml:space="preserve">     </w:t>
      </w:r>
      <w:r>
        <w:rPr>
          <w:rFonts w:hint="eastAsia" w:ascii="宋体" w:hAnsi="宋体" w:cs="宋体"/>
          <w:color w:val="auto"/>
          <w:sz w:val="32"/>
          <w:szCs w:val="32"/>
          <w:u w:val="dotted"/>
          <w:lang w:eastAsia="zh-CN"/>
        </w:rPr>
        <w:t>南宁市第二看守所</w:t>
      </w:r>
      <w:r>
        <w:rPr>
          <w:rFonts w:hint="eastAsia" w:ascii="宋体" w:hAnsi="宋体" w:eastAsia="宋体" w:cs="宋体"/>
          <w:color w:val="auto"/>
          <w:sz w:val="32"/>
          <w:szCs w:val="32"/>
          <w:u w:val="dotted"/>
        </w:rPr>
        <w:t xml:space="preserve">  </w:t>
      </w:r>
    </w:p>
    <w:p w14:paraId="4187F6C6">
      <w:pPr>
        <w:pageBreakBefore w:val="0"/>
        <w:kinsoku/>
        <w:wordWrap/>
        <w:overflowPunct/>
        <w:topLinePunct w:val="0"/>
        <w:bidi w:val="0"/>
        <w:adjustRightInd w:val="0"/>
        <w:snapToGrid w:val="0"/>
        <w:spacing w:beforeAutospacing="0" w:line="360" w:lineRule="auto"/>
        <w:ind w:left="0" w:leftChars="0" w:right="0"/>
        <w:rPr>
          <w:rFonts w:hint="eastAsia" w:ascii="宋体" w:hAnsi="宋体" w:eastAsia="宋体" w:cs="宋体"/>
          <w:color w:val="auto"/>
          <w:sz w:val="32"/>
          <w:szCs w:val="32"/>
        </w:rPr>
      </w:pPr>
      <w:r>
        <w:rPr>
          <w:rFonts w:hint="eastAsia" w:ascii="宋体" w:hAnsi="宋体" w:eastAsia="宋体" w:cs="宋体"/>
          <w:color w:val="auto"/>
          <w:sz w:val="32"/>
          <w:szCs w:val="32"/>
        </w:rPr>
        <w:t>采购文件获取日期：</w:t>
      </w:r>
      <w:r>
        <w:rPr>
          <w:rFonts w:hint="eastAsia" w:ascii="宋体" w:hAnsi="宋体" w:eastAsia="宋体" w:cs="宋体"/>
          <w:color w:val="auto"/>
          <w:sz w:val="32"/>
          <w:szCs w:val="32"/>
          <w:u w:val="dotted"/>
        </w:rPr>
        <w:t xml:space="preserve">                                           </w:t>
      </w:r>
    </w:p>
    <w:p w14:paraId="0AA887C3">
      <w:pPr>
        <w:pageBreakBefore w:val="0"/>
        <w:kinsoku/>
        <w:wordWrap/>
        <w:overflowPunct/>
        <w:topLinePunct w:val="0"/>
        <w:bidi w:val="0"/>
        <w:adjustRightInd w:val="0"/>
        <w:snapToGrid w:val="0"/>
        <w:spacing w:beforeAutospacing="0" w:line="360" w:lineRule="auto"/>
        <w:ind w:left="0" w:leftChars="0" w:right="0"/>
        <w:rPr>
          <w:rFonts w:hint="eastAsia" w:ascii="宋体" w:hAnsi="宋体" w:eastAsia="宋体" w:cs="宋体"/>
          <w:bCs/>
          <w:color w:val="auto"/>
          <w:sz w:val="32"/>
          <w:szCs w:val="32"/>
        </w:rPr>
      </w:pPr>
      <w:r>
        <w:rPr>
          <w:rFonts w:hint="eastAsia" w:ascii="宋体" w:hAnsi="宋体" w:eastAsia="宋体" w:cs="宋体"/>
          <w:bCs/>
          <w:color w:val="auto"/>
          <w:sz w:val="32"/>
          <w:szCs w:val="32"/>
        </w:rPr>
        <w:t>三、质疑事项具体内容</w:t>
      </w:r>
    </w:p>
    <w:p w14:paraId="50403EFA">
      <w:pPr>
        <w:pageBreakBefore w:val="0"/>
        <w:kinsoku/>
        <w:wordWrap/>
        <w:overflowPunct/>
        <w:topLinePunct w:val="0"/>
        <w:bidi w:val="0"/>
        <w:adjustRightInd w:val="0"/>
        <w:snapToGrid w:val="0"/>
        <w:spacing w:beforeAutospacing="0" w:line="360" w:lineRule="auto"/>
        <w:ind w:left="0" w:leftChars="0" w:right="0"/>
        <w:rPr>
          <w:rFonts w:hint="eastAsia" w:ascii="宋体" w:hAnsi="宋体" w:eastAsia="宋体" w:cs="宋体"/>
          <w:color w:val="auto"/>
          <w:sz w:val="32"/>
          <w:szCs w:val="32"/>
          <w:u w:val="dotted"/>
        </w:rPr>
      </w:pPr>
      <w:r>
        <w:rPr>
          <w:rFonts w:hint="eastAsia" w:ascii="宋体" w:hAnsi="宋体" w:eastAsia="宋体" w:cs="宋体"/>
          <w:color w:val="auto"/>
          <w:sz w:val="32"/>
          <w:szCs w:val="32"/>
        </w:rPr>
        <w:t>质疑事项1：</w:t>
      </w:r>
      <w:r>
        <w:rPr>
          <w:rFonts w:hint="eastAsia" w:ascii="宋体" w:hAnsi="宋体" w:eastAsia="宋体" w:cs="宋体"/>
          <w:color w:val="auto"/>
          <w:sz w:val="32"/>
          <w:szCs w:val="32"/>
          <w:u w:val="dotted"/>
        </w:rPr>
        <w:t xml:space="preserve">                                         </w:t>
      </w:r>
    </w:p>
    <w:p w14:paraId="0CDA686A">
      <w:pPr>
        <w:pageBreakBefore w:val="0"/>
        <w:kinsoku/>
        <w:wordWrap/>
        <w:overflowPunct/>
        <w:topLinePunct w:val="0"/>
        <w:bidi w:val="0"/>
        <w:adjustRightInd w:val="0"/>
        <w:snapToGrid w:val="0"/>
        <w:spacing w:beforeAutospacing="0" w:line="360" w:lineRule="auto"/>
        <w:ind w:left="0" w:leftChars="0" w:right="0"/>
        <w:rPr>
          <w:rFonts w:hint="eastAsia" w:ascii="宋体" w:hAnsi="宋体" w:eastAsia="宋体" w:cs="宋体"/>
          <w:color w:val="auto"/>
          <w:sz w:val="32"/>
          <w:szCs w:val="32"/>
          <w:u w:val="dotted"/>
        </w:rPr>
      </w:pPr>
      <w:r>
        <w:rPr>
          <w:rFonts w:hint="eastAsia" w:ascii="宋体" w:hAnsi="宋体" w:eastAsia="宋体" w:cs="宋体"/>
          <w:color w:val="auto"/>
          <w:sz w:val="32"/>
          <w:szCs w:val="32"/>
        </w:rPr>
        <w:t>事实依据：</w:t>
      </w:r>
      <w:r>
        <w:rPr>
          <w:rFonts w:hint="eastAsia" w:ascii="宋体" w:hAnsi="宋体" w:eastAsia="宋体" w:cs="宋体"/>
          <w:color w:val="auto"/>
          <w:sz w:val="32"/>
          <w:szCs w:val="32"/>
          <w:u w:val="dotted"/>
        </w:rPr>
        <w:t xml:space="preserve">                                          </w:t>
      </w:r>
    </w:p>
    <w:p w14:paraId="1005F3DE">
      <w:pPr>
        <w:pageBreakBefore w:val="0"/>
        <w:kinsoku/>
        <w:wordWrap/>
        <w:overflowPunct/>
        <w:topLinePunct w:val="0"/>
        <w:bidi w:val="0"/>
        <w:adjustRightInd w:val="0"/>
        <w:snapToGrid w:val="0"/>
        <w:spacing w:beforeAutospacing="0" w:line="360" w:lineRule="auto"/>
        <w:ind w:left="0" w:leftChars="0" w:right="0"/>
        <w:rPr>
          <w:rFonts w:hint="eastAsia" w:ascii="宋体" w:hAnsi="宋体" w:eastAsia="宋体" w:cs="宋体"/>
          <w:color w:val="auto"/>
          <w:sz w:val="32"/>
          <w:szCs w:val="32"/>
        </w:rPr>
      </w:pPr>
      <w:r>
        <w:rPr>
          <w:rFonts w:hint="eastAsia" w:ascii="宋体" w:hAnsi="宋体" w:eastAsia="宋体" w:cs="宋体"/>
          <w:color w:val="auto"/>
          <w:sz w:val="32"/>
          <w:szCs w:val="32"/>
          <w:u w:val="dotted"/>
        </w:rPr>
        <w:t xml:space="preserve">                                                       </w:t>
      </w:r>
    </w:p>
    <w:p w14:paraId="78F22626">
      <w:pPr>
        <w:pageBreakBefore w:val="0"/>
        <w:kinsoku/>
        <w:wordWrap/>
        <w:overflowPunct/>
        <w:topLinePunct w:val="0"/>
        <w:bidi w:val="0"/>
        <w:adjustRightInd w:val="0"/>
        <w:snapToGrid w:val="0"/>
        <w:spacing w:beforeAutospacing="0" w:line="360" w:lineRule="auto"/>
        <w:ind w:left="0" w:leftChars="0" w:right="0"/>
        <w:rPr>
          <w:rFonts w:hint="eastAsia" w:ascii="宋体" w:hAnsi="宋体" w:eastAsia="宋体" w:cs="宋体"/>
          <w:color w:val="auto"/>
          <w:sz w:val="32"/>
          <w:szCs w:val="32"/>
          <w:u w:val="dotted"/>
        </w:rPr>
      </w:pPr>
      <w:r>
        <w:rPr>
          <w:rFonts w:hint="eastAsia" w:ascii="宋体" w:hAnsi="宋体" w:eastAsia="宋体" w:cs="宋体"/>
          <w:color w:val="auto"/>
          <w:sz w:val="32"/>
          <w:szCs w:val="32"/>
        </w:rPr>
        <w:t>法律依据：</w:t>
      </w:r>
      <w:r>
        <w:rPr>
          <w:rFonts w:hint="eastAsia" w:ascii="宋体" w:hAnsi="宋体" w:eastAsia="宋体" w:cs="宋体"/>
          <w:color w:val="auto"/>
          <w:sz w:val="32"/>
          <w:szCs w:val="32"/>
          <w:u w:val="dotted"/>
        </w:rPr>
        <w:t xml:space="preserve">                                          </w:t>
      </w:r>
    </w:p>
    <w:p w14:paraId="49712C9E">
      <w:pPr>
        <w:pageBreakBefore w:val="0"/>
        <w:kinsoku/>
        <w:wordWrap/>
        <w:overflowPunct/>
        <w:topLinePunct w:val="0"/>
        <w:bidi w:val="0"/>
        <w:adjustRightInd w:val="0"/>
        <w:snapToGrid w:val="0"/>
        <w:spacing w:beforeAutospacing="0" w:line="360" w:lineRule="auto"/>
        <w:ind w:left="0" w:leftChars="0" w:right="0"/>
        <w:rPr>
          <w:rFonts w:hint="eastAsia" w:ascii="宋体" w:hAnsi="宋体" w:eastAsia="宋体" w:cs="宋体"/>
          <w:color w:val="auto"/>
          <w:sz w:val="32"/>
          <w:szCs w:val="32"/>
          <w:u w:val="dotted"/>
        </w:rPr>
      </w:pPr>
      <w:r>
        <w:rPr>
          <w:rFonts w:hint="eastAsia" w:ascii="宋体" w:hAnsi="宋体" w:eastAsia="宋体" w:cs="宋体"/>
          <w:color w:val="auto"/>
          <w:sz w:val="32"/>
          <w:szCs w:val="32"/>
          <w:u w:val="dotted"/>
        </w:rPr>
        <w:t xml:space="preserve">                                                     </w:t>
      </w:r>
    </w:p>
    <w:p w14:paraId="6694A6A2">
      <w:pPr>
        <w:pageBreakBefore w:val="0"/>
        <w:kinsoku/>
        <w:wordWrap/>
        <w:overflowPunct/>
        <w:topLinePunct w:val="0"/>
        <w:bidi w:val="0"/>
        <w:adjustRightInd w:val="0"/>
        <w:snapToGrid w:val="0"/>
        <w:spacing w:beforeAutospacing="0" w:line="360" w:lineRule="auto"/>
        <w:ind w:left="0" w:leftChars="0" w:right="0"/>
        <w:rPr>
          <w:rFonts w:hint="eastAsia" w:ascii="宋体" w:hAnsi="宋体" w:eastAsia="宋体" w:cs="宋体"/>
          <w:color w:val="auto"/>
          <w:sz w:val="32"/>
          <w:szCs w:val="32"/>
          <w:u w:val="dotted"/>
        </w:rPr>
      </w:pPr>
      <w:r>
        <w:rPr>
          <w:rFonts w:hint="eastAsia" w:ascii="宋体" w:hAnsi="宋体" w:eastAsia="宋体" w:cs="宋体"/>
          <w:color w:val="auto"/>
          <w:sz w:val="32"/>
          <w:szCs w:val="32"/>
        </w:rPr>
        <w:t>质疑事项2</w:t>
      </w:r>
    </w:p>
    <w:p w14:paraId="136E5F4C">
      <w:pPr>
        <w:pageBreakBefore w:val="0"/>
        <w:kinsoku/>
        <w:wordWrap/>
        <w:overflowPunct/>
        <w:topLinePunct w:val="0"/>
        <w:bidi w:val="0"/>
        <w:adjustRightInd w:val="0"/>
        <w:snapToGrid w:val="0"/>
        <w:spacing w:beforeAutospacing="0" w:line="360" w:lineRule="auto"/>
        <w:ind w:left="0" w:leftChars="0" w:right="0"/>
        <w:rPr>
          <w:rFonts w:hint="eastAsia" w:ascii="宋体" w:hAnsi="宋体" w:eastAsia="宋体" w:cs="宋体"/>
          <w:color w:val="auto"/>
          <w:sz w:val="32"/>
          <w:szCs w:val="32"/>
        </w:rPr>
      </w:pPr>
      <w:r>
        <w:rPr>
          <w:rFonts w:hint="eastAsia" w:ascii="宋体" w:hAnsi="宋体" w:eastAsia="宋体" w:cs="宋体"/>
          <w:color w:val="auto"/>
          <w:sz w:val="32"/>
          <w:szCs w:val="32"/>
        </w:rPr>
        <w:t>……</w:t>
      </w:r>
    </w:p>
    <w:p w14:paraId="0D86550A">
      <w:pPr>
        <w:pageBreakBefore w:val="0"/>
        <w:kinsoku/>
        <w:wordWrap/>
        <w:overflowPunct/>
        <w:topLinePunct w:val="0"/>
        <w:bidi w:val="0"/>
        <w:adjustRightInd w:val="0"/>
        <w:snapToGrid w:val="0"/>
        <w:spacing w:beforeAutospacing="0" w:line="360" w:lineRule="auto"/>
        <w:ind w:left="0" w:leftChars="0" w:right="0"/>
        <w:rPr>
          <w:rFonts w:hint="eastAsia" w:ascii="宋体" w:hAnsi="宋体" w:eastAsia="宋体" w:cs="宋体"/>
          <w:bCs/>
          <w:color w:val="auto"/>
          <w:sz w:val="32"/>
          <w:szCs w:val="32"/>
        </w:rPr>
      </w:pPr>
      <w:r>
        <w:rPr>
          <w:rFonts w:hint="eastAsia" w:ascii="宋体" w:hAnsi="宋体" w:eastAsia="宋体" w:cs="宋体"/>
          <w:bCs/>
          <w:color w:val="auto"/>
          <w:sz w:val="32"/>
          <w:szCs w:val="32"/>
        </w:rPr>
        <w:t>四、与质疑事项相关的质疑请求</w:t>
      </w:r>
    </w:p>
    <w:p w14:paraId="3CCEBDD0">
      <w:pPr>
        <w:pageBreakBefore w:val="0"/>
        <w:kinsoku/>
        <w:wordWrap/>
        <w:overflowPunct/>
        <w:topLinePunct w:val="0"/>
        <w:bidi w:val="0"/>
        <w:adjustRightInd w:val="0"/>
        <w:snapToGrid w:val="0"/>
        <w:spacing w:beforeAutospacing="0" w:line="360" w:lineRule="auto"/>
        <w:ind w:left="0" w:leftChars="0" w:right="0"/>
        <w:rPr>
          <w:rFonts w:hint="eastAsia" w:ascii="宋体" w:hAnsi="宋体" w:eastAsia="宋体" w:cs="宋体"/>
          <w:color w:val="auto"/>
          <w:sz w:val="32"/>
          <w:szCs w:val="32"/>
          <w:u w:val="dotted"/>
        </w:rPr>
      </w:pPr>
      <w:r>
        <w:rPr>
          <w:rFonts w:hint="eastAsia" w:ascii="宋体" w:hAnsi="宋体" w:eastAsia="宋体" w:cs="宋体"/>
          <w:color w:val="auto"/>
          <w:sz w:val="32"/>
          <w:szCs w:val="32"/>
        </w:rPr>
        <w:t>请求：</w:t>
      </w:r>
      <w:r>
        <w:rPr>
          <w:rFonts w:hint="eastAsia" w:ascii="宋体" w:hAnsi="宋体" w:eastAsia="宋体" w:cs="宋体"/>
          <w:color w:val="auto"/>
          <w:sz w:val="32"/>
          <w:szCs w:val="32"/>
          <w:u w:val="dotted"/>
        </w:rPr>
        <w:t xml:space="preserve">                                               </w:t>
      </w:r>
    </w:p>
    <w:p w14:paraId="225BAD12">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0"/>
          <w:szCs w:val="30"/>
        </w:rPr>
      </w:pPr>
      <w:r>
        <w:rPr>
          <w:rFonts w:hint="eastAsia" w:ascii="宋体" w:hAnsi="宋体" w:eastAsia="宋体" w:cs="宋体"/>
          <w:color w:val="auto"/>
          <w:sz w:val="30"/>
          <w:szCs w:val="30"/>
        </w:rPr>
        <w:t xml:space="preserve">签字(签章)：                   公章：                      </w:t>
      </w:r>
    </w:p>
    <w:p w14:paraId="30CCDBA4">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0"/>
          <w:szCs w:val="30"/>
        </w:rPr>
      </w:pPr>
      <w:r>
        <w:rPr>
          <w:rFonts w:hint="eastAsia" w:ascii="宋体" w:hAnsi="宋体" w:eastAsia="宋体" w:cs="宋体"/>
          <w:color w:val="auto"/>
          <w:sz w:val="30"/>
          <w:szCs w:val="30"/>
        </w:rPr>
        <w:t xml:space="preserve">日期：    </w:t>
      </w:r>
    </w:p>
    <w:p w14:paraId="4E3C0C4C">
      <w:pPr>
        <w:pageBreakBefore w:val="0"/>
        <w:kinsoku/>
        <w:wordWrap/>
        <w:overflowPunct/>
        <w:topLinePunct w:val="0"/>
        <w:bidi w:val="0"/>
        <w:adjustRightInd w:val="0"/>
        <w:snapToGrid w:val="0"/>
        <w:spacing w:beforeAutospacing="0" w:line="360" w:lineRule="auto"/>
        <w:ind w:left="0" w:leftChars="0" w:right="0"/>
        <w:rPr>
          <w:rFonts w:hint="eastAsia" w:ascii="宋体" w:hAnsi="宋体" w:eastAsia="宋体" w:cs="宋体"/>
          <w:color w:val="auto"/>
          <w:sz w:val="32"/>
          <w:szCs w:val="32"/>
        </w:rPr>
      </w:pPr>
    </w:p>
    <w:p w14:paraId="72BBB4C9">
      <w:pPr>
        <w:pageBreakBefore w:val="0"/>
        <w:kinsoku/>
        <w:wordWrap/>
        <w:overflowPunct/>
        <w:topLinePunct w:val="0"/>
        <w:bidi w:val="0"/>
        <w:adjustRightInd w:val="0"/>
        <w:snapToGrid w:val="0"/>
        <w:spacing w:beforeAutospacing="0" w:line="360" w:lineRule="auto"/>
        <w:ind w:left="0" w:leftChars="0" w:right="0"/>
        <w:rPr>
          <w:rFonts w:hint="eastAsia" w:ascii="宋体" w:hAnsi="宋体" w:eastAsia="宋体" w:cs="宋体"/>
          <w:color w:val="auto"/>
          <w:sz w:val="32"/>
          <w:szCs w:val="32"/>
        </w:rPr>
      </w:pPr>
    </w:p>
    <w:p w14:paraId="55C06F70">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sz w:val="32"/>
          <w:szCs w:val="32"/>
        </w:rPr>
      </w:pPr>
    </w:p>
    <w:p w14:paraId="76060AE3">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sz w:val="32"/>
          <w:szCs w:val="32"/>
        </w:rPr>
      </w:pPr>
    </w:p>
    <w:p w14:paraId="3896060A">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sz w:val="32"/>
          <w:szCs w:val="32"/>
        </w:rPr>
      </w:pPr>
    </w:p>
    <w:p w14:paraId="06CD33AD">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sz w:val="32"/>
          <w:szCs w:val="32"/>
        </w:rPr>
      </w:pPr>
    </w:p>
    <w:p w14:paraId="5801064B">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sz w:val="32"/>
          <w:szCs w:val="32"/>
        </w:rPr>
      </w:pPr>
    </w:p>
    <w:p w14:paraId="0E048756">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sz w:val="32"/>
          <w:szCs w:val="32"/>
        </w:rPr>
      </w:pPr>
    </w:p>
    <w:p w14:paraId="04DE4160">
      <w:pPr>
        <w:pageBreakBefore w:val="0"/>
        <w:kinsoku/>
        <w:wordWrap/>
        <w:overflowPunct/>
        <w:topLinePunct w:val="0"/>
        <w:bidi w:val="0"/>
        <w:spacing w:beforeAutospacing="0" w:line="360" w:lineRule="auto"/>
        <w:ind w:left="0" w:leftChars="0" w:right="0"/>
        <w:jc w:val="center"/>
        <w:rPr>
          <w:rFonts w:hint="eastAsia" w:ascii="宋体" w:hAnsi="宋体" w:eastAsia="宋体" w:cs="宋体"/>
          <w:b/>
          <w:bCs/>
          <w:color w:val="auto"/>
          <w:sz w:val="32"/>
          <w:szCs w:val="32"/>
        </w:rPr>
      </w:pPr>
    </w:p>
    <w:p w14:paraId="5012C9DD">
      <w:pPr>
        <w:pageBreakBefore w:val="0"/>
        <w:kinsoku/>
        <w:wordWrap/>
        <w:overflowPunct/>
        <w:topLinePunct w:val="0"/>
        <w:bidi w:val="0"/>
        <w:spacing w:beforeAutospacing="0" w:line="360" w:lineRule="auto"/>
        <w:ind w:left="0" w:leftChars="0" w:right="0"/>
        <w:rPr>
          <w:rFonts w:hint="eastAsia" w:ascii="宋体" w:hAnsi="宋体" w:eastAsia="宋体" w:cs="宋体"/>
          <w:b/>
          <w:color w:val="auto"/>
          <w:sz w:val="32"/>
          <w:szCs w:val="32"/>
        </w:rPr>
      </w:pPr>
    </w:p>
    <w:p w14:paraId="7A4825E5">
      <w:pPr>
        <w:pageBreakBefore w:val="0"/>
        <w:kinsoku/>
        <w:wordWrap/>
        <w:overflowPunct/>
        <w:topLinePunct w:val="0"/>
        <w:bidi w:val="0"/>
        <w:spacing w:beforeAutospacing="0" w:line="360" w:lineRule="auto"/>
        <w:ind w:left="0" w:leftChars="0" w:right="0"/>
        <w:rPr>
          <w:rFonts w:hint="eastAsia" w:ascii="宋体" w:hAnsi="宋体" w:eastAsia="宋体" w:cs="宋体"/>
          <w:b/>
          <w:color w:val="auto"/>
          <w:sz w:val="32"/>
          <w:szCs w:val="32"/>
        </w:rPr>
      </w:pPr>
    </w:p>
    <w:p w14:paraId="45467B75">
      <w:pPr>
        <w:pageBreakBefore w:val="0"/>
        <w:kinsoku/>
        <w:wordWrap/>
        <w:overflowPunct/>
        <w:topLinePunct w:val="0"/>
        <w:bidi w:val="0"/>
        <w:spacing w:beforeAutospacing="0" w:line="360" w:lineRule="auto"/>
        <w:ind w:left="0" w:leftChars="0" w:right="0"/>
        <w:rPr>
          <w:rFonts w:hint="eastAsia" w:ascii="宋体" w:hAnsi="宋体" w:eastAsia="宋体" w:cs="宋体"/>
          <w:b/>
          <w:color w:val="auto"/>
          <w:sz w:val="32"/>
          <w:szCs w:val="32"/>
        </w:rPr>
      </w:pPr>
    </w:p>
    <w:p w14:paraId="2FBECEED">
      <w:pPr>
        <w:pageBreakBefore w:val="0"/>
        <w:kinsoku/>
        <w:wordWrap/>
        <w:overflowPunct/>
        <w:topLinePunct w:val="0"/>
        <w:bidi w:val="0"/>
        <w:spacing w:beforeAutospacing="0" w:line="360" w:lineRule="auto"/>
        <w:ind w:left="0" w:leftChars="0" w:right="0"/>
        <w:rPr>
          <w:rFonts w:hint="eastAsia" w:ascii="宋体" w:hAnsi="宋体" w:eastAsia="宋体" w:cs="宋体"/>
          <w:b/>
          <w:color w:val="auto"/>
          <w:sz w:val="32"/>
          <w:szCs w:val="32"/>
        </w:rPr>
      </w:pPr>
    </w:p>
    <w:p w14:paraId="344BAAB7">
      <w:pPr>
        <w:pageBreakBefore w:val="0"/>
        <w:kinsoku/>
        <w:wordWrap/>
        <w:overflowPunct/>
        <w:topLinePunct w:val="0"/>
        <w:bidi w:val="0"/>
        <w:spacing w:beforeAutospacing="0" w:line="360" w:lineRule="auto"/>
        <w:ind w:left="0" w:leftChars="0" w:right="0"/>
        <w:rPr>
          <w:rFonts w:hint="eastAsia" w:ascii="宋体" w:hAnsi="宋体" w:eastAsia="宋体" w:cs="宋体"/>
          <w:b/>
          <w:color w:val="auto"/>
          <w:sz w:val="32"/>
          <w:szCs w:val="32"/>
        </w:rPr>
      </w:pPr>
    </w:p>
    <w:p w14:paraId="7FC294A3">
      <w:pPr>
        <w:pageBreakBefore w:val="0"/>
        <w:kinsoku/>
        <w:wordWrap/>
        <w:overflowPunct/>
        <w:topLinePunct w:val="0"/>
        <w:bidi w:val="0"/>
        <w:spacing w:beforeAutospacing="0" w:line="360" w:lineRule="auto"/>
        <w:ind w:left="0" w:leftChars="0" w:right="0"/>
        <w:rPr>
          <w:rFonts w:hint="eastAsia" w:ascii="宋体" w:hAnsi="宋体" w:eastAsia="宋体" w:cs="宋体"/>
          <w:b/>
          <w:color w:val="auto"/>
          <w:sz w:val="32"/>
          <w:szCs w:val="32"/>
        </w:rPr>
      </w:pPr>
    </w:p>
    <w:p w14:paraId="2B787743">
      <w:pPr>
        <w:pageBreakBefore w:val="0"/>
        <w:kinsoku/>
        <w:wordWrap/>
        <w:overflowPunct/>
        <w:topLinePunct w:val="0"/>
        <w:bidi w:val="0"/>
        <w:spacing w:beforeAutospacing="0" w:line="360" w:lineRule="auto"/>
        <w:ind w:left="0" w:leftChars="0" w:right="0"/>
        <w:rPr>
          <w:rFonts w:hint="eastAsia" w:ascii="宋体" w:hAnsi="宋体" w:eastAsia="宋体" w:cs="宋体"/>
          <w:b/>
          <w:color w:val="auto"/>
          <w:sz w:val="32"/>
          <w:szCs w:val="32"/>
        </w:rPr>
      </w:pPr>
    </w:p>
    <w:p w14:paraId="29F40ABE">
      <w:pPr>
        <w:pageBreakBefore w:val="0"/>
        <w:kinsoku/>
        <w:wordWrap/>
        <w:overflowPunct/>
        <w:topLinePunct w:val="0"/>
        <w:bidi w:val="0"/>
        <w:spacing w:beforeAutospacing="0" w:line="360" w:lineRule="auto"/>
        <w:ind w:left="0" w:leftChars="0" w:right="0"/>
        <w:rPr>
          <w:rFonts w:hint="eastAsia" w:ascii="宋体" w:hAnsi="宋体" w:eastAsia="宋体" w:cs="宋体"/>
          <w:b/>
          <w:color w:val="auto"/>
          <w:sz w:val="32"/>
          <w:szCs w:val="32"/>
        </w:rPr>
      </w:pPr>
    </w:p>
    <w:p w14:paraId="297A7C84">
      <w:pPr>
        <w:pageBreakBefore w:val="0"/>
        <w:kinsoku/>
        <w:wordWrap/>
        <w:overflowPunct/>
        <w:topLinePunct w:val="0"/>
        <w:bidi w:val="0"/>
        <w:spacing w:beforeAutospacing="0" w:line="360" w:lineRule="auto"/>
        <w:ind w:left="0" w:leftChars="0" w:right="0"/>
        <w:rPr>
          <w:rFonts w:hint="eastAsia" w:ascii="宋体" w:hAnsi="宋体" w:eastAsia="宋体" w:cs="宋体"/>
          <w:b/>
          <w:color w:val="auto"/>
          <w:sz w:val="32"/>
          <w:szCs w:val="32"/>
        </w:rPr>
      </w:pPr>
    </w:p>
    <w:p w14:paraId="1E2558B0">
      <w:pPr>
        <w:pageBreakBefore w:val="0"/>
        <w:kinsoku/>
        <w:wordWrap/>
        <w:overflowPunct/>
        <w:topLinePunct w:val="0"/>
        <w:bidi w:val="0"/>
        <w:spacing w:beforeAutospacing="0" w:line="360" w:lineRule="auto"/>
        <w:ind w:left="0" w:leftChars="0" w:right="0"/>
        <w:rPr>
          <w:rFonts w:hint="eastAsia" w:ascii="宋体" w:hAnsi="宋体" w:eastAsia="宋体" w:cs="宋体"/>
          <w:b/>
          <w:color w:val="auto"/>
          <w:sz w:val="32"/>
          <w:szCs w:val="32"/>
        </w:rPr>
      </w:pPr>
      <w:r>
        <w:rPr>
          <w:rFonts w:hint="eastAsia" w:ascii="宋体" w:hAnsi="宋体" w:eastAsia="宋体" w:cs="宋体"/>
          <w:b/>
          <w:color w:val="auto"/>
          <w:sz w:val="32"/>
          <w:szCs w:val="32"/>
        </w:rPr>
        <w:t>质疑函制作说明：</w:t>
      </w:r>
    </w:p>
    <w:p w14:paraId="3ABC748F">
      <w:pPr>
        <w:pageBreakBefore w:val="0"/>
        <w:widowControl/>
        <w:kinsoku/>
        <w:wordWrap/>
        <w:overflowPunct/>
        <w:topLinePunct w:val="0"/>
        <w:bidi w:val="0"/>
        <w:spacing w:beforeAutospacing="0" w:line="360" w:lineRule="auto"/>
        <w:ind w:left="0" w:leftChars="0" w:right="0" w:firstLine="640" w:firstLineChars="200"/>
        <w:jc w:val="left"/>
        <w:rPr>
          <w:rFonts w:hint="eastAsia" w:ascii="宋体" w:hAnsi="宋体" w:eastAsia="宋体" w:cs="宋体"/>
          <w:color w:val="auto"/>
          <w:sz w:val="32"/>
          <w:szCs w:val="32"/>
        </w:rPr>
      </w:pPr>
      <w:r>
        <w:rPr>
          <w:rFonts w:hint="eastAsia" w:ascii="宋体" w:hAnsi="宋体" w:eastAsia="宋体" w:cs="宋体"/>
          <w:color w:val="auto"/>
          <w:sz w:val="32"/>
          <w:szCs w:val="32"/>
        </w:rPr>
        <w:t>1.供应商提出质疑时，应提交质疑函和必要的证明材料。</w:t>
      </w:r>
    </w:p>
    <w:p w14:paraId="5AFF6DB3">
      <w:pPr>
        <w:pageBreakBefore w:val="0"/>
        <w:widowControl/>
        <w:kinsoku/>
        <w:wordWrap/>
        <w:overflowPunct/>
        <w:topLinePunct w:val="0"/>
        <w:bidi w:val="0"/>
        <w:spacing w:beforeAutospacing="0" w:line="360" w:lineRule="auto"/>
        <w:ind w:left="0" w:leftChars="0" w:right="0" w:firstLine="640" w:firstLineChars="200"/>
        <w:jc w:val="left"/>
        <w:rPr>
          <w:rFonts w:hint="eastAsia" w:ascii="宋体" w:hAnsi="宋体" w:eastAsia="宋体" w:cs="宋体"/>
          <w:color w:val="auto"/>
          <w:sz w:val="32"/>
          <w:szCs w:val="32"/>
        </w:rPr>
      </w:pPr>
      <w:r>
        <w:rPr>
          <w:rFonts w:hint="eastAsia" w:ascii="宋体" w:hAnsi="宋体" w:eastAsia="宋体" w:cs="宋体"/>
          <w:color w:val="auto"/>
          <w:sz w:val="32"/>
          <w:szCs w:val="32"/>
        </w:rPr>
        <w:t>2.质疑供应商若委托代理人进行质疑的，质疑函应按要求列明“授权代表”的有关内容，并在附件中提交由质疑</w:t>
      </w:r>
      <w:r>
        <w:rPr>
          <w:rFonts w:hint="eastAsia" w:ascii="宋体" w:hAnsi="宋体" w:eastAsia="宋体" w:cs="宋体"/>
          <w:color w:val="auto"/>
          <w:kern w:val="0"/>
          <w:sz w:val="32"/>
          <w:szCs w:val="32"/>
        </w:rPr>
        <w:t>供应商签署的授权委托书。授权委托书应载明代理人的姓名或者名称、代理事项、具体权限、期限和相关事项。</w:t>
      </w:r>
    </w:p>
    <w:p w14:paraId="25204148">
      <w:pPr>
        <w:pageBreakBefore w:val="0"/>
        <w:widowControl/>
        <w:kinsoku/>
        <w:wordWrap/>
        <w:overflowPunct/>
        <w:topLinePunct w:val="0"/>
        <w:bidi w:val="0"/>
        <w:spacing w:beforeAutospacing="0" w:line="360" w:lineRule="auto"/>
        <w:ind w:left="0" w:leftChars="0" w:right="0" w:firstLine="640" w:firstLineChars="200"/>
        <w:jc w:val="left"/>
        <w:rPr>
          <w:rFonts w:hint="eastAsia" w:ascii="宋体" w:hAnsi="宋体" w:eastAsia="宋体" w:cs="宋体"/>
          <w:color w:val="auto"/>
          <w:sz w:val="32"/>
          <w:szCs w:val="32"/>
        </w:rPr>
      </w:pPr>
      <w:r>
        <w:rPr>
          <w:rFonts w:hint="eastAsia" w:ascii="宋体" w:hAnsi="宋体" w:eastAsia="宋体" w:cs="宋体"/>
          <w:color w:val="auto"/>
          <w:sz w:val="32"/>
          <w:szCs w:val="32"/>
        </w:rPr>
        <w:t>3.质疑供应商若对项目的某一分包进行质疑，质疑函中应列明具体分包号。</w:t>
      </w:r>
    </w:p>
    <w:p w14:paraId="2E5B4FDB">
      <w:pPr>
        <w:pageBreakBefore w:val="0"/>
        <w:widowControl/>
        <w:kinsoku/>
        <w:wordWrap/>
        <w:overflowPunct/>
        <w:topLinePunct w:val="0"/>
        <w:bidi w:val="0"/>
        <w:spacing w:beforeAutospacing="0" w:line="360" w:lineRule="auto"/>
        <w:ind w:left="0" w:leftChars="0" w:right="0" w:firstLine="640" w:firstLineChars="200"/>
        <w:jc w:val="left"/>
        <w:rPr>
          <w:rFonts w:hint="eastAsia" w:ascii="宋体" w:hAnsi="宋体" w:eastAsia="宋体" w:cs="宋体"/>
          <w:color w:val="auto"/>
          <w:sz w:val="32"/>
          <w:szCs w:val="32"/>
        </w:rPr>
      </w:pPr>
      <w:r>
        <w:rPr>
          <w:rFonts w:hint="eastAsia" w:ascii="宋体" w:hAnsi="宋体" w:eastAsia="宋体" w:cs="宋体"/>
          <w:color w:val="auto"/>
          <w:sz w:val="32"/>
          <w:szCs w:val="32"/>
        </w:rPr>
        <w:t>4.质疑函的质疑事项应具体、明确，并有必要的事实依据和法律依据。</w:t>
      </w:r>
    </w:p>
    <w:p w14:paraId="33F6C340">
      <w:pPr>
        <w:pageBreakBefore w:val="0"/>
        <w:widowControl/>
        <w:kinsoku/>
        <w:wordWrap/>
        <w:overflowPunct/>
        <w:topLinePunct w:val="0"/>
        <w:bidi w:val="0"/>
        <w:spacing w:beforeAutospacing="0" w:line="360" w:lineRule="auto"/>
        <w:ind w:left="0" w:leftChars="0" w:right="0" w:firstLine="640" w:firstLineChars="200"/>
        <w:jc w:val="left"/>
        <w:rPr>
          <w:rFonts w:hint="eastAsia" w:ascii="宋体" w:hAnsi="宋体" w:eastAsia="宋体" w:cs="宋体"/>
          <w:color w:val="auto"/>
          <w:sz w:val="32"/>
          <w:szCs w:val="32"/>
        </w:rPr>
      </w:pPr>
      <w:r>
        <w:rPr>
          <w:rFonts w:hint="eastAsia" w:ascii="宋体" w:hAnsi="宋体" w:eastAsia="宋体" w:cs="宋体"/>
          <w:color w:val="auto"/>
          <w:sz w:val="32"/>
          <w:szCs w:val="32"/>
        </w:rPr>
        <w:t>5.质疑函的质疑请求应与质疑事项相关。</w:t>
      </w:r>
    </w:p>
    <w:p w14:paraId="49997AEC">
      <w:pPr>
        <w:pageBreakBefore w:val="0"/>
        <w:widowControl/>
        <w:kinsoku/>
        <w:wordWrap/>
        <w:overflowPunct/>
        <w:topLinePunct w:val="0"/>
        <w:bidi w:val="0"/>
        <w:spacing w:beforeAutospacing="0" w:line="360" w:lineRule="auto"/>
        <w:ind w:left="0" w:leftChars="0" w:right="0" w:firstLine="640" w:firstLineChars="200"/>
        <w:jc w:val="left"/>
        <w:rPr>
          <w:rFonts w:hint="eastAsia" w:ascii="宋体" w:hAnsi="宋体" w:eastAsia="宋体" w:cs="宋体"/>
          <w:color w:val="auto"/>
          <w:sz w:val="32"/>
          <w:szCs w:val="32"/>
        </w:rPr>
      </w:pPr>
      <w:r>
        <w:rPr>
          <w:rFonts w:hint="eastAsia" w:ascii="宋体" w:hAnsi="宋体" w:eastAsia="宋体" w:cs="宋体"/>
          <w:color w:val="auto"/>
          <w:sz w:val="32"/>
          <w:szCs w:val="32"/>
        </w:rPr>
        <w:t>6.质疑供应商为自然人的，质疑函应由本人签字；质疑供应商为法人或者其他组织的，质疑函应由法定代表人、主要负责人，或者其授权代表签字或者盖章，并加盖公章。</w:t>
      </w:r>
    </w:p>
    <w:p w14:paraId="66A621CB">
      <w:pPr>
        <w:pageBreakBefore w:val="0"/>
        <w:widowControl/>
        <w:kinsoku/>
        <w:wordWrap/>
        <w:overflowPunct/>
        <w:topLinePunct w:val="0"/>
        <w:bidi w:val="0"/>
        <w:spacing w:beforeAutospacing="0" w:line="360" w:lineRule="auto"/>
        <w:ind w:left="0" w:leftChars="0" w:right="0" w:firstLine="600" w:firstLineChars="200"/>
        <w:jc w:val="left"/>
        <w:rPr>
          <w:rFonts w:hint="eastAsia" w:ascii="宋体" w:hAnsi="宋体" w:eastAsia="宋体" w:cs="宋体"/>
          <w:color w:val="auto"/>
          <w:sz w:val="30"/>
          <w:szCs w:val="30"/>
        </w:rPr>
      </w:pPr>
    </w:p>
    <w:p w14:paraId="34ED0225">
      <w:pPr>
        <w:pageBreakBefore w:val="0"/>
        <w:widowControl/>
        <w:kinsoku/>
        <w:wordWrap/>
        <w:overflowPunct/>
        <w:topLinePunct w:val="0"/>
        <w:bidi w:val="0"/>
        <w:spacing w:beforeAutospacing="0" w:line="360" w:lineRule="auto"/>
        <w:ind w:left="0" w:leftChars="0" w:right="0"/>
        <w:jc w:val="left"/>
        <w:rPr>
          <w:rFonts w:hint="eastAsia" w:ascii="宋体" w:hAnsi="宋体" w:eastAsia="宋体" w:cs="宋体"/>
          <w:color w:val="auto"/>
          <w:kern w:val="0"/>
          <w:sz w:val="24"/>
        </w:rPr>
        <w:sectPr>
          <w:pgSz w:w="11906" w:h="16838"/>
          <w:pgMar w:top="1134" w:right="1134" w:bottom="1134" w:left="1134" w:header="720" w:footer="720" w:gutter="0"/>
          <w:cols w:space="720" w:num="1"/>
          <w:docGrid w:type="lines" w:linePitch="331" w:charSpace="0"/>
        </w:sectPr>
      </w:pPr>
    </w:p>
    <w:p w14:paraId="66B53ECC">
      <w:pPr>
        <w:keepNext/>
        <w:keepLines/>
        <w:pageBreakBefore w:val="0"/>
        <w:kinsoku/>
        <w:wordWrap/>
        <w:overflowPunct/>
        <w:topLinePunct w:val="0"/>
        <w:bidi w:val="0"/>
        <w:spacing w:beforeAutospacing="0" w:line="360" w:lineRule="auto"/>
        <w:ind w:left="0" w:leftChars="0" w:right="0"/>
        <w:jc w:val="center"/>
        <w:outlineLvl w:val="1"/>
        <w:rPr>
          <w:rFonts w:hint="eastAsia" w:ascii="宋体" w:hAnsi="宋体" w:eastAsia="宋体" w:cs="宋体"/>
          <w:color w:val="auto"/>
          <w:sz w:val="32"/>
          <w:szCs w:val="32"/>
        </w:rPr>
      </w:pPr>
      <w:bookmarkStart w:id="344" w:name="_Toc14539"/>
      <w:r>
        <w:rPr>
          <w:rFonts w:hint="eastAsia" w:ascii="宋体" w:hAnsi="宋体" w:eastAsia="宋体" w:cs="宋体"/>
          <w:color w:val="auto"/>
          <w:sz w:val="32"/>
          <w:szCs w:val="32"/>
        </w:rPr>
        <w:t>第二节 投诉书（格式）</w:t>
      </w:r>
      <w:bookmarkEnd w:id="344"/>
    </w:p>
    <w:p w14:paraId="410B109B">
      <w:pPr>
        <w:pageBreakBefore w:val="0"/>
        <w:kinsoku/>
        <w:wordWrap/>
        <w:overflowPunct/>
        <w:topLinePunct w:val="0"/>
        <w:bidi w:val="0"/>
        <w:spacing w:beforeAutospacing="0" w:line="360" w:lineRule="auto"/>
        <w:ind w:left="0" w:leftChars="0" w:right="0"/>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投诉书范本</w:t>
      </w:r>
    </w:p>
    <w:p w14:paraId="1F37C905">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rPr>
      </w:pPr>
      <w:r>
        <w:rPr>
          <w:rFonts w:hint="eastAsia" w:ascii="宋体" w:hAnsi="宋体" w:eastAsia="宋体" w:cs="宋体"/>
          <w:color w:val="auto"/>
          <w:sz w:val="32"/>
          <w:szCs w:val="32"/>
        </w:rPr>
        <w:t>一、投诉相关主体基本情况</w:t>
      </w:r>
    </w:p>
    <w:p w14:paraId="78096E91">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u w:val="dotted"/>
        </w:rPr>
      </w:pPr>
      <w:r>
        <w:rPr>
          <w:rFonts w:hint="eastAsia" w:ascii="宋体" w:hAnsi="宋体" w:eastAsia="宋体" w:cs="宋体"/>
          <w:color w:val="auto"/>
          <w:sz w:val="32"/>
          <w:szCs w:val="32"/>
        </w:rPr>
        <w:t>投诉人：</w:t>
      </w:r>
      <w:r>
        <w:rPr>
          <w:rFonts w:hint="eastAsia" w:ascii="宋体" w:hAnsi="宋体" w:eastAsia="宋体" w:cs="宋体"/>
          <w:color w:val="auto"/>
          <w:sz w:val="32"/>
          <w:szCs w:val="32"/>
          <w:u w:val="dotted"/>
        </w:rPr>
        <w:t xml:space="preserve">                                               </w:t>
      </w:r>
    </w:p>
    <w:p w14:paraId="0B7D3854">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u w:val="single"/>
        </w:rPr>
      </w:pPr>
      <w:r>
        <w:rPr>
          <w:rFonts w:hint="eastAsia" w:ascii="宋体" w:hAnsi="宋体" w:eastAsia="宋体" w:cs="宋体"/>
          <w:color w:val="auto"/>
          <w:sz w:val="32"/>
          <w:szCs w:val="32"/>
        </w:rPr>
        <w:t>地     址：</w:t>
      </w:r>
      <w:r>
        <w:rPr>
          <w:rFonts w:hint="eastAsia" w:ascii="宋体" w:hAnsi="宋体" w:eastAsia="宋体" w:cs="宋体"/>
          <w:color w:val="auto"/>
          <w:sz w:val="32"/>
          <w:szCs w:val="32"/>
          <w:u w:val="dotted"/>
        </w:rPr>
        <w:t xml:space="preserve">                             </w:t>
      </w:r>
      <w:r>
        <w:rPr>
          <w:rFonts w:hint="eastAsia" w:ascii="宋体" w:hAnsi="宋体" w:eastAsia="宋体" w:cs="宋体"/>
          <w:color w:val="auto"/>
          <w:sz w:val="32"/>
          <w:szCs w:val="32"/>
        </w:rPr>
        <w:t>邮编：</w:t>
      </w:r>
      <w:r>
        <w:rPr>
          <w:rFonts w:hint="eastAsia" w:ascii="宋体" w:hAnsi="宋体" w:eastAsia="宋体" w:cs="宋体"/>
          <w:color w:val="auto"/>
          <w:sz w:val="32"/>
          <w:szCs w:val="32"/>
          <w:u w:val="dotted"/>
        </w:rPr>
        <w:t xml:space="preserve">         </w:t>
      </w:r>
      <w:r>
        <w:rPr>
          <w:rFonts w:hint="eastAsia" w:ascii="宋体" w:hAnsi="宋体" w:eastAsia="宋体" w:cs="宋体"/>
          <w:color w:val="auto"/>
          <w:sz w:val="32"/>
          <w:szCs w:val="32"/>
          <w:u w:val="single"/>
        </w:rPr>
        <w:t xml:space="preserve">   </w:t>
      </w:r>
    </w:p>
    <w:p w14:paraId="5238A7E3">
      <w:pPr>
        <w:pageBreakBefore w:val="0"/>
        <w:tabs>
          <w:tab w:val="left" w:pos="6510"/>
        </w:tabs>
        <w:kinsoku/>
        <w:wordWrap/>
        <w:overflowPunct/>
        <w:topLinePunct w:val="0"/>
        <w:bidi w:val="0"/>
        <w:spacing w:beforeAutospacing="0" w:line="360" w:lineRule="auto"/>
        <w:ind w:left="0" w:leftChars="0" w:right="0"/>
        <w:jc w:val="left"/>
        <w:rPr>
          <w:rFonts w:hint="eastAsia" w:ascii="宋体" w:hAnsi="宋体" w:eastAsia="宋体" w:cs="宋体"/>
          <w:color w:val="auto"/>
          <w:sz w:val="32"/>
          <w:szCs w:val="32"/>
        </w:rPr>
      </w:pPr>
      <w:r>
        <w:rPr>
          <w:rFonts w:hint="eastAsia" w:ascii="宋体" w:hAnsi="宋体" w:eastAsia="宋体" w:cs="宋体"/>
          <w:color w:val="auto"/>
          <w:sz w:val="32"/>
          <w:szCs w:val="32"/>
        </w:rPr>
        <w:t>法定代表人/主要负责人：</w:t>
      </w:r>
      <w:r>
        <w:rPr>
          <w:rFonts w:hint="eastAsia" w:ascii="宋体" w:hAnsi="宋体" w:eastAsia="宋体" w:cs="宋体"/>
          <w:color w:val="auto"/>
          <w:sz w:val="32"/>
          <w:szCs w:val="32"/>
          <w:u w:val="dotted"/>
        </w:rPr>
        <w:t xml:space="preserve">                                   </w:t>
      </w:r>
      <w:r>
        <w:rPr>
          <w:rFonts w:hint="eastAsia" w:ascii="宋体" w:hAnsi="宋体" w:eastAsia="宋体" w:cs="宋体"/>
          <w:color w:val="auto"/>
          <w:sz w:val="32"/>
          <w:szCs w:val="32"/>
        </w:rPr>
        <w:t xml:space="preserve">  </w:t>
      </w:r>
    </w:p>
    <w:p w14:paraId="2D81F0AC">
      <w:pPr>
        <w:pageBreakBefore w:val="0"/>
        <w:tabs>
          <w:tab w:val="left" w:pos="6510"/>
        </w:tabs>
        <w:kinsoku/>
        <w:wordWrap/>
        <w:overflowPunct/>
        <w:topLinePunct w:val="0"/>
        <w:bidi w:val="0"/>
        <w:spacing w:beforeAutospacing="0" w:line="360" w:lineRule="auto"/>
        <w:ind w:left="0" w:leftChars="0" w:right="0"/>
        <w:rPr>
          <w:rFonts w:hint="eastAsia" w:ascii="宋体" w:hAnsi="宋体" w:eastAsia="宋体" w:cs="宋体"/>
          <w:color w:val="auto"/>
          <w:sz w:val="32"/>
          <w:szCs w:val="32"/>
          <w:u w:val="dotted"/>
        </w:rPr>
      </w:pPr>
      <w:r>
        <w:rPr>
          <w:rFonts w:hint="eastAsia" w:ascii="宋体" w:hAnsi="宋体" w:eastAsia="宋体" w:cs="宋体"/>
          <w:color w:val="auto"/>
          <w:sz w:val="32"/>
          <w:szCs w:val="32"/>
        </w:rPr>
        <w:t>联系电话：</w:t>
      </w:r>
      <w:r>
        <w:rPr>
          <w:rFonts w:hint="eastAsia" w:ascii="宋体" w:hAnsi="宋体" w:eastAsia="宋体" w:cs="宋体"/>
          <w:color w:val="auto"/>
          <w:sz w:val="32"/>
          <w:szCs w:val="32"/>
          <w:u w:val="dotted"/>
        </w:rPr>
        <w:t xml:space="preserve">                                             </w:t>
      </w:r>
    </w:p>
    <w:p w14:paraId="4FA18E6D">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u w:val="dotted"/>
        </w:rPr>
      </w:pPr>
      <w:r>
        <w:rPr>
          <w:rFonts w:hint="eastAsia" w:ascii="宋体" w:hAnsi="宋体" w:eastAsia="宋体" w:cs="宋体"/>
          <w:color w:val="auto"/>
          <w:sz w:val="32"/>
          <w:szCs w:val="32"/>
        </w:rPr>
        <w:t>授权代表：</w:t>
      </w:r>
      <w:r>
        <w:rPr>
          <w:rFonts w:hint="eastAsia" w:ascii="宋体" w:hAnsi="宋体" w:eastAsia="宋体" w:cs="宋体"/>
          <w:color w:val="auto"/>
          <w:sz w:val="32"/>
          <w:szCs w:val="32"/>
          <w:u w:val="dotted"/>
        </w:rPr>
        <w:t xml:space="preserve">             </w:t>
      </w:r>
      <w:r>
        <w:rPr>
          <w:rFonts w:hint="eastAsia" w:ascii="宋体" w:hAnsi="宋体" w:eastAsia="宋体" w:cs="宋体"/>
          <w:color w:val="auto"/>
          <w:sz w:val="32"/>
          <w:szCs w:val="32"/>
        </w:rPr>
        <w:t>联系电话</w:t>
      </w:r>
      <w:r>
        <w:rPr>
          <w:rFonts w:hint="eastAsia" w:ascii="宋体" w:hAnsi="宋体" w:eastAsia="宋体" w:cs="宋体"/>
          <w:color w:val="auto"/>
          <w:sz w:val="32"/>
          <w:szCs w:val="32"/>
          <w:u w:val="dotted"/>
        </w:rPr>
        <w:t xml:space="preserve">：                  </w:t>
      </w:r>
    </w:p>
    <w:p w14:paraId="2AA8B3CE">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u w:val="dotted"/>
        </w:rPr>
      </w:pPr>
      <w:r>
        <w:rPr>
          <w:rFonts w:hint="eastAsia" w:ascii="宋体" w:hAnsi="宋体" w:eastAsia="宋体" w:cs="宋体"/>
          <w:color w:val="auto"/>
          <w:sz w:val="32"/>
          <w:szCs w:val="32"/>
        </w:rPr>
        <w:t>地     址：</w:t>
      </w:r>
      <w:r>
        <w:rPr>
          <w:rFonts w:hint="eastAsia" w:ascii="宋体" w:hAnsi="宋体" w:eastAsia="宋体" w:cs="宋体"/>
          <w:color w:val="auto"/>
          <w:sz w:val="32"/>
          <w:szCs w:val="32"/>
          <w:u w:val="dotted"/>
        </w:rPr>
        <w:t xml:space="preserve">                             </w:t>
      </w:r>
      <w:r>
        <w:rPr>
          <w:rFonts w:hint="eastAsia" w:ascii="宋体" w:hAnsi="宋体" w:eastAsia="宋体" w:cs="宋体"/>
          <w:color w:val="auto"/>
          <w:sz w:val="32"/>
          <w:szCs w:val="32"/>
        </w:rPr>
        <w:t>邮编：</w:t>
      </w:r>
      <w:r>
        <w:rPr>
          <w:rFonts w:hint="eastAsia" w:ascii="宋体" w:hAnsi="宋体" w:eastAsia="宋体" w:cs="宋体"/>
          <w:color w:val="auto"/>
          <w:sz w:val="32"/>
          <w:szCs w:val="32"/>
          <w:u w:val="dotted"/>
        </w:rPr>
        <w:t xml:space="preserve">         </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u w:val="dotted"/>
        </w:rPr>
        <w:t xml:space="preserve">                   </w:t>
      </w:r>
    </w:p>
    <w:p w14:paraId="11919680">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u w:val="single"/>
        </w:rPr>
      </w:pPr>
      <w:r>
        <w:rPr>
          <w:rFonts w:hint="eastAsia" w:ascii="宋体" w:hAnsi="宋体" w:eastAsia="宋体" w:cs="宋体"/>
          <w:color w:val="auto"/>
          <w:sz w:val="32"/>
          <w:szCs w:val="32"/>
        </w:rPr>
        <w:t>被投诉人1：</w:t>
      </w:r>
      <w:r>
        <w:rPr>
          <w:rFonts w:hint="eastAsia" w:ascii="宋体" w:hAnsi="宋体" w:eastAsia="宋体" w:cs="宋体"/>
          <w:color w:val="auto"/>
          <w:sz w:val="32"/>
          <w:szCs w:val="32"/>
          <w:u w:val="dotted"/>
        </w:rPr>
        <w:t xml:space="preserve">                                           </w:t>
      </w:r>
      <w:r>
        <w:rPr>
          <w:rFonts w:hint="eastAsia" w:ascii="宋体" w:hAnsi="宋体" w:eastAsia="宋体" w:cs="宋体"/>
          <w:color w:val="auto"/>
          <w:sz w:val="32"/>
          <w:szCs w:val="32"/>
          <w:u w:val="single"/>
        </w:rPr>
        <w:t xml:space="preserve">  </w:t>
      </w:r>
    </w:p>
    <w:p w14:paraId="2E8B0A55">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u w:val="single"/>
        </w:rPr>
      </w:pPr>
      <w:r>
        <w:rPr>
          <w:rFonts w:hint="eastAsia" w:ascii="宋体" w:hAnsi="宋体" w:eastAsia="宋体" w:cs="宋体"/>
          <w:color w:val="auto"/>
          <w:sz w:val="32"/>
          <w:szCs w:val="32"/>
        </w:rPr>
        <w:t>地     址：</w:t>
      </w:r>
      <w:r>
        <w:rPr>
          <w:rFonts w:hint="eastAsia" w:ascii="宋体" w:hAnsi="宋体" w:eastAsia="宋体" w:cs="宋体"/>
          <w:color w:val="auto"/>
          <w:sz w:val="32"/>
          <w:szCs w:val="32"/>
          <w:u w:val="dotted"/>
        </w:rPr>
        <w:t xml:space="preserve">                             </w:t>
      </w:r>
      <w:r>
        <w:rPr>
          <w:rFonts w:hint="eastAsia" w:ascii="宋体" w:hAnsi="宋体" w:eastAsia="宋体" w:cs="宋体"/>
          <w:color w:val="auto"/>
          <w:sz w:val="32"/>
          <w:szCs w:val="32"/>
        </w:rPr>
        <w:t>邮编：</w:t>
      </w:r>
      <w:r>
        <w:rPr>
          <w:rFonts w:hint="eastAsia" w:ascii="宋体" w:hAnsi="宋体" w:eastAsia="宋体" w:cs="宋体"/>
          <w:color w:val="auto"/>
          <w:sz w:val="32"/>
          <w:szCs w:val="32"/>
          <w:u w:val="dotted"/>
        </w:rPr>
        <w:t xml:space="preserve">          </w:t>
      </w:r>
      <w:r>
        <w:rPr>
          <w:rFonts w:hint="eastAsia" w:ascii="宋体" w:hAnsi="宋体" w:eastAsia="宋体" w:cs="宋体"/>
          <w:color w:val="auto"/>
          <w:sz w:val="32"/>
          <w:szCs w:val="32"/>
          <w:u w:val="single"/>
        </w:rPr>
        <w:t xml:space="preserve"> </w:t>
      </w:r>
    </w:p>
    <w:p w14:paraId="29A0705D">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u w:val="single"/>
        </w:rPr>
      </w:pPr>
      <w:r>
        <w:rPr>
          <w:rFonts w:hint="eastAsia" w:ascii="宋体" w:hAnsi="宋体" w:eastAsia="宋体" w:cs="宋体"/>
          <w:color w:val="auto"/>
          <w:sz w:val="32"/>
          <w:szCs w:val="32"/>
        </w:rPr>
        <w:t>联系人：</w:t>
      </w:r>
      <w:r>
        <w:rPr>
          <w:rFonts w:hint="eastAsia" w:ascii="宋体" w:hAnsi="宋体" w:eastAsia="宋体" w:cs="宋体"/>
          <w:color w:val="auto"/>
          <w:sz w:val="32"/>
          <w:szCs w:val="32"/>
          <w:u w:val="dotted"/>
        </w:rPr>
        <w:t xml:space="preserve">               </w:t>
      </w:r>
      <w:r>
        <w:rPr>
          <w:rFonts w:hint="eastAsia" w:ascii="宋体" w:hAnsi="宋体" w:eastAsia="宋体" w:cs="宋体"/>
          <w:color w:val="auto"/>
          <w:sz w:val="32"/>
          <w:szCs w:val="32"/>
        </w:rPr>
        <w:t>联系电话：</w:t>
      </w:r>
      <w:r>
        <w:rPr>
          <w:rFonts w:hint="eastAsia" w:ascii="宋体" w:hAnsi="宋体" w:eastAsia="宋体" w:cs="宋体"/>
          <w:color w:val="auto"/>
          <w:sz w:val="32"/>
          <w:szCs w:val="32"/>
          <w:u w:val="dotted"/>
        </w:rPr>
        <w:t xml:space="preserve">                      </w:t>
      </w:r>
      <w:r>
        <w:rPr>
          <w:rFonts w:hint="eastAsia" w:ascii="宋体" w:hAnsi="宋体" w:eastAsia="宋体" w:cs="宋体"/>
          <w:color w:val="auto"/>
          <w:sz w:val="32"/>
          <w:szCs w:val="32"/>
          <w:u w:val="single"/>
        </w:rPr>
        <w:t xml:space="preserve"> </w:t>
      </w:r>
    </w:p>
    <w:p w14:paraId="4F55E497">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rPr>
      </w:pPr>
      <w:r>
        <w:rPr>
          <w:rFonts w:hint="eastAsia" w:ascii="宋体" w:hAnsi="宋体" w:eastAsia="宋体" w:cs="宋体"/>
          <w:color w:val="auto"/>
          <w:sz w:val="32"/>
          <w:szCs w:val="32"/>
        </w:rPr>
        <w:t>被投诉人2</w:t>
      </w:r>
    </w:p>
    <w:p w14:paraId="7F02EC94">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u w:val="dotted"/>
        </w:rPr>
      </w:pPr>
      <w:r>
        <w:rPr>
          <w:rFonts w:hint="eastAsia" w:ascii="宋体" w:hAnsi="宋体" w:eastAsia="宋体" w:cs="宋体"/>
          <w:color w:val="auto"/>
          <w:sz w:val="32"/>
          <w:szCs w:val="32"/>
        </w:rPr>
        <w:t>……</w:t>
      </w:r>
    </w:p>
    <w:p w14:paraId="10825758">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u w:val="single"/>
        </w:rPr>
      </w:pPr>
      <w:r>
        <w:rPr>
          <w:rFonts w:hint="eastAsia" w:ascii="宋体" w:hAnsi="宋体" w:eastAsia="宋体" w:cs="宋体"/>
          <w:color w:val="auto"/>
          <w:sz w:val="32"/>
          <w:szCs w:val="32"/>
        </w:rPr>
        <w:t>相关供应商：</w:t>
      </w:r>
      <w:r>
        <w:rPr>
          <w:rFonts w:hint="eastAsia" w:ascii="宋体" w:hAnsi="宋体" w:eastAsia="宋体" w:cs="宋体"/>
          <w:color w:val="auto"/>
          <w:sz w:val="32"/>
          <w:szCs w:val="32"/>
          <w:u w:val="dotted"/>
        </w:rPr>
        <w:t xml:space="preserve">                                           </w:t>
      </w:r>
      <w:r>
        <w:rPr>
          <w:rFonts w:hint="eastAsia" w:ascii="宋体" w:hAnsi="宋体" w:eastAsia="宋体" w:cs="宋体"/>
          <w:color w:val="auto"/>
          <w:sz w:val="32"/>
          <w:szCs w:val="32"/>
          <w:u w:val="single"/>
        </w:rPr>
        <w:t xml:space="preserve">    </w:t>
      </w:r>
    </w:p>
    <w:p w14:paraId="103080D8">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u w:val="single"/>
        </w:rPr>
      </w:pPr>
      <w:r>
        <w:rPr>
          <w:rFonts w:hint="eastAsia" w:ascii="宋体" w:hAnsi="宋体" w:eastAsia="宋体" w:cs="宋体"/>
          <w:color w:val="auto"/>
          <w:sz w:val="32"/>
          <w:szCs w:val="32"/>
        </w:rPr>
        <w:t>地     址：</w:t>
      </w:r>
      <w:r>
        <w:rPr>
          <w:rFonts w:hint="eastAsia" w:ascii="宋体" w:hAnsi="宋体" w:eastAsia="宋体" w:cs="宋体"/>
          <w:color w:val="auto"/>
          <w:sz w:val="32"/>
          <w:szCs w:val="32"/>
          <w:u w:val="dotted"/>
        </w:rPr>
        <w:t xml:space="preserve">                             </w:t>
      </w:r>
      <w:r>
        <w:rPr>
          <w:rFonts w:hint="eastAsia" w:ascii="宋体" w:hAnsi="宋体" w:eastAsia="宋体" w:cs="宋体"/>
          <w:color w:val="auto"/>
          <w:sz w:val="32"/>
          <w:szCs w:val="32"/>
        </w:rPr>
        <w:t>邮编：</w:t>
      </w:r>
      <w:r>
        <w:rPr>
          <w:rFonts w:hint="eastAsia" w:ascii="宋体" w:hAnsi="宋体" w:eastAsia="宋体" w:cs="宋体"/>
          <w:color w:val="auto"/>
          <w:sz w:val="32"/>
          <w:szCs w:val="32"/>
          <w:u w:val="dotted"/>
        </w:rPr>
        <w:t xml:space="preserve">          </w:t>
      </w:r>
      <w:r>
        <w:rPr>
          <w:rFonts w:hint="eastAsia" w:ascii="宋体" w:hAnsi="宋体" w:eastAsia="宋体" w:cs="宋体"/>
          <w:color w:val="auto"/>
          <w:sz w:val="32"/>
          <w:szCs w:val="32"/>
          <w:u w:val="single"/>
        </w:rPr>
        <w:t xml:space="preserve"> </w:t>
      </w:r>
    </w:p>
    <w:p w14:paraId="5B70D725">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u w:val="single"/>
        </w:rPr>
      </w:pPr>
      <w:r>
        <w:rPr>
          <w:rFonts w:hint="eastAsia" w:ascii="宋体" w:hAnsi="宋体" w:eastAsia="宋体" w:cs="宋体"/>
          <w:color w:val="auto"/>
          <w:sz w:val="32"/>
          <w:szCs w:val="32"/>
        </w:rPr>
        <w:t>联系人：</w:t>
      </w:r>
      <w:r>
        <w:rPr>
          <w:rFonts w:hint="eastAsia" w:ascii="宋体" w:hAnsi="宋体" w:eastAsia="宋体" w:cs="宋体"/>
          <w:color w:val="auto"/>
          <w:sz w:val="32"/>
          <w:szCs w:val="32"/>
          <w:u w:val="dotted"/>
        </w:rPr>
        <w:t xml:space="preserve">               </w:t>
      </w:r>
      <w:r>
        <w:rPr>
          <w:rFonts w:hint="eastAsia" w:ascii="宋体" w:hAnsi="宋体" w:eastAsia="宋体" w:cs="宋体"/>
          <w:color w:val="auto"/>
          <w:sz w:val="32"/>
          <w:szCs w:val="32"/>
        </w:rPr>
        <w:t>联系电话：</w:t>
      </w:r>
      <w:r>
        <w:rPr>
          <w:rFonts w:hint="eastAsia" w:ascii="宋体" w:hAnsi="宋体" w:eastAsia="宋体" w:cs="宋体"/>
          <w:color w:val="auto"/>
          <w:sz w:val="32"/>
          <w:szCs w:val="32"/>
          <w:u w:val="dotted"/>
        </w:rPr>
        <w:t xml:space="preserve">                      </w:t>
      </w:r>
      <w:r>
        <w:rPr>
          <w:rFonts w:hint="eastAsia" w:ascii="宋体" w:hAnsi="宋体" w:eastAsia="宋体" w:cs="宋体"/>
          <w:color w:val="auto"/>
          <w:sz w:val="32"/>
          <w:szCs w:val="32"/>
          <w:u w:val="single"/>
        </w:rPr>
        <w:t xml:space="preserve">      </w:t>
      </w:r>
    </w:p>
    <w:p w14:paraId="113C9666">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rPr>
      </w:pPr>
      <w:r>
        <w:rPr>
          <w:rFonts w:hint="eastAsia" w:ascii="宋体" w:hAnsi="宋体" w:eastAsia="宋体" w:cs="宋体"/>
          <w:color w:val="auto"/>
          <w:sz w:val="32"/>
          <w:szCs w:val="32"/>
        </w:rPr>
        <w:t>二、投诉项目基本情况</w:t>
      </w:r>
    </w:p>
    <w:p w14:paraId="39F2BA9F">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u w:val="dotted"/>
        </w:rPr>
      </w:pPr>
      <w:r>
        <w:rPr>
          <w:rFonts w:hint="eastAsia" w:ascii="宋体" w:hAnsi="宋体" w:eastAsia="宋体" w:cs="宋体"/>
          <w:color w:val="auto"/>
          <w:sz w:val="32"/>
          <w:szCs w:val="32"/>
        </w:rPr>
        <w:t>采购项目名称：</w:t>
      </w:r>
      <w:r>
        <w:rPr>
          <w:rFonts w:hint="eastAsia" w:ascii="宋体" w:hAnsi="宋体" w:eastAsia="宋体" w:cs="宋体"/>
          <w:color w:val="auto"/>
          <w:sz w:val="32"/>
          <w:szCs w:val="32"/>
          <w:u w:val="dotted"/>
        </w:rPr>
        <w:t xml:space="preserve"> </w:t>
      </w:r>
      <w:r>
        <w:rPr>
          <w:rFonts w:hint="eastAsia" w:ascii="宋体" w:hAnsi="宋体" w:cs="宋体"/>
          <w:color w:val="auto"/>
          <w:sz w:val="32"/>
          <w:szCs w:val="32"/>
          <w:u w:val="dotted"/>
          <w:lang w:eastAsia="zh-CN"/>
        </w:rPr>
        <w:t>南宁市第二看守所在押人员伙房食材配送服务采购项目</w:t>
      </w:r>
      <w:r>
        <w:rPr>
          <w:rFonts w:hint="eastAsia" w:ascii="宋体" w:hAnsi="宋体" w:eastAsia="宋体" w:cs="宋体"/>
          <w:color w:val="auto"/>
          <w:sz w:val="32"/>
          <w:szCs w:val="32"/>
          <w:u w:val="dotted"/>
        </w:rPr>
        <w:t xml:space="preserve">   </w:t>
      </w:r>
    </w:p>
    <w:p w14:paraId="7F9E13FA">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u w:val="single"/>
        </w:rPr>
      </w:pPr>
      <w:r>
        <w:rPr>
          <w:rFonts w:hint="eastAsia" w:ascii="宋体" w:hAnsi="宋体" w:eastAsia="宋体" w:cs="宋体"/>
          <w:color w:val="auto"/>
          <w:sz w:val="32"/>
          <w:szCs w:val="32"/>
        </w:rPr>
        <w:t>采购项目编号：</w:t>
      </w:r>
      <w:r>
        <w:rPr>
          <w:rFonts w:hint="eastAsia" w:ascii="宋体" w:hAnsi="宋体" w:eastAsia="宋体" w:cs="宋体"/>
          <w:color w:val="auto"/>
          <w:sz w:val="32"/>
          <w:szCs w:val="32"/>
          <w:u w:val="dotted"/>
        </w:rPr>
        <w:t xml:space="preserve"> </w:t>
      </w:r>
      <w:r>
        <w:rPr>
          <w:rFonts w:hint="eastAsia" w:ascii="宋体" w:hAnsi="宋体" w:cs="宋体"/>
          <w:color w:val="auto"/>
          <w:sz w:val="32"/>
          <w:szCs w:val="32"/>
          <w:u w:val="dotted"/>
          <w:lang w:eastAsia="zh-CN"/>
        </w:rPr>
        <w:t>NNZC2024-G3-990896-GXJZ</w:t>
      </w:r>
      <w:r>
        <w:rPr>
          <w:rFonts w:hint="eastAsia" w:ascii="宋体" w:hAnsi="宋体" w:eastAsia="宋体" w:cs="宋体"/>
          <w:color w:val="auto"/>
          <w:sz w:val="32"/>
          <w:szCs w:val="32"/>
          <w:u w:val="dotted"/>
        </w:rPr>
        <w:t xml:space="preserve">  </w:t>
      </w:r>
      <w:r>
        <w:rPr>
          <w:rFonts w:hint="eastAsia" w:ascii="宋体" w:hAnsi="宋体" w:eastAsia="宋体" w:cs="宋体"/>
          <w:color w:val="auto"/>
          <w:sz w:val="32"/>
          <w:szCs w:val="32"/>
        </w:rPr>
        <w:t>包号：</w:t>
      </w:r>
      <w:r>
        <w:rPr>
          <w:rFonts w:hint="eastAsia" w:ascii="宋体" w:hAnsi="宋体" w:eastAsia="宋体" w:cs="宋体"/>
          <w:color w:val="auto"/>
          <w:sz w:val="32"/>
          <w:szCs w:val="32"/>
          <w:u w:val="dotted"/>
        </w:rPr>
        <w:t xml:space="preserve">              </w:t>
      </w:r>
    </w:p>
    <w:p w14:paraId="56E42B85">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rPr>
      </w:pPr>
      <w:r>
        <w:rPr>
          <w:rFonts w:hint="eastAsia" w:ascii="宋体" w:hAnsi="宋体" w:eastAsia="宋体" w:cs="宋体"/>
          <w:color w:val="auto"/>
          <w:sz w:val="32"/>
          <w:szCs w:val="32"/>
        </w:rPr>
        <w:t>采购人名称：</w:t>
      </w:r>
      <w:r>
        <w:rPr>
          <w:rFonts w:hint="eastAsia" w:ascii="宋体" w:hAnsi="宋体" w:eastAsia="宋体" w:cs="宋体"/>
          <w:color w:val="auto"/>
          <w:sz w:val="32"/>
          <w:szCs w:val="32"/>
          <w:u w:val="dotted"/>
        </w:rPr>
        <w:t xml:space="preserve">  </w:t>
      </w:r>
      <w:r>
        <w:rPr>
          <w:rFonts w:hint="eastAsia" w:ascii="宋体" w:hAnsi="宋体" w:cs="宋体"/>
          <w:color w:val="auto"/>
          <w:sz w:val="32"/>
          <w:szCs w:val="32"/>
          <w:u w:val="dotted"/>
          <w:lang w:eastAsia="zh-CN"/>
        </w:rPr>
        <w:t>南宁市第二看守所</w:t>
      </w:r>
      <w:r>
        <w:rPr>
          <w:rFonts w:hint="eastAsia" w:ascii="宋体" w:hAnsi="宋体" w:eastAsia="宋体" w:cs="宋体"/>
          <w:color w:val="auto"/>
          <w:sz w:val="32"/>
          <w:szCs w:val="32"/>
          <w:u w:val="single"/>
        </w:rPr>
        <w:t xml:space="preserve">  </w:t>
      </w:r>
    </w:p>
    <w:p w14:paraId="267F467A">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u w:val="single"/>
        </w:rPr>
      </w:pPr>
      <w:r>
        <w:rPr>
          <w:rFonts w:hint="eastAsia" w:ascii="宋体" w:hAnsi="宋体" w:eastAsia="宋体" w:cs="宋体"/>
          <w:color w:val="auto"/>
          <w:sz w:val="32"/>
          <w:szCs w:val="32"/>
        </w:rPr>
        <w:t>代理机构名称：</w:t>
      </w:r>
      <w:r>
        <w:rPr>
          <w:rFonts w:hint="eastAsia" w:ascii="宋体" w:hAnsi="宋体" w:eastAsia="宋体" w:cs="宋体"/>
          <w:color w:val="auto"/>
          <w:sz w:val="32"/>
          <w:szCs w:val="32"/>
          <w:u w:val="dotted"/>
        </w:rPr>
        <w:t xml:space="preserve">                                         </w:t>
      </w:r>
    </w:p>
    <w:p w14:paraId="40655968">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u w:val="dotted"/>
        </w:rPr>
      </w:pPr>
      <w:r>
        <w:rPr>
          <w:rFonts w:hint="eastAsia" w:ascii="宋体" w:hAnsi="宋体" w:eastAsia="宋体" w:cs="宋体"/>
          <w:color w:val="auto"/>
          <w:sz w:val="32"/>
          <w:szCs w:val="32"/>
        </w:rPr>
        <w:t>采购文件公告:</w:t>
      </w:r>
      <w:r>
        <w:rPr>
          <w:rFonts w:hint="eastAsia" w:ascii="宋体" w:hAnsi="宋体" w:eastAsia="宋体" w:cs="宋体"/>
          <w:color w:val="auto"/>
          <w:sz w:val="32"/>
          <w:szCs w:val="32"/>
          <w:u w:val="dotted"/>
        </w:rPr>
        <w:t xml:space="preserve">是/否 </w:t>
      </w:r>
      <w:r>
        <w:rPr>
          <w:rFonts w:hint="eastAsia" w:ascii="宋体" w:hAnsi="宋体" w:eastAsia="宋体" w:cs="宋体"/>
          <w:color w:val="auto"/>
          <w:sz w:val="32"/>
          <w:szCs w:val="32"/>
        </w:rPr>
        <w:t>公告期限：</w:t>
      </w:r>
      <w:r>
        <w:rPr>
          <w:rFonts w:hint="eastAsia" w:ascii="宋体" w:hAnsi="宋体" w:eastAsia="宋体" w:cs="宋体"/>
          <w:color w:val="auto"/>
          <w:sz w:val="32"/>
          <w:szCs w:val="32"/>
          <w:u w:val="dotted"/>
        </w:rPr>
        <w:t xml:space="preserve">                                 </w:t>
      </w:r>
    </w:p>
    <w:p w14:paraId="226050D9">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u w:val="single"/>
        </w:rPr>
      </w:pPr>
      <w:r>
        <w:rPr>
          <w:rFonts w:hint="eastAsia" w:ascii="宋体" w:hAnsi="宋体" w:eastAsia="宋体" w:cs="宋体"/>
          <w:color w:val="auto"/>
          <w:sz w:val="32"/>
          <w:szCs w:val="32"/>
        </w:rPr>
        <w:t>采购结果公告:</w:t>
      </w:r>
      <w:r>
        <w:rPr>
          <w:rFonts w:hint="eastAsia" w:ascii="宋体" w:hAnsi="宋体" w:eastAsia="宋体" w:cs="宋体"/>
          <w:color w:val="auto"/>
          <w:sz w:val="32"/>
          <w:szCs w:val="32"/>
          <w:u w:val="dotted"/>
        </w:rPr>
        <w:t xml:space="preserve">是/否 </w:t>
      </w:r>
      <w:r>
        <w:rPr>
          <w:rFonts w:hint="eastAsia" w:ascii="宋体" w:hAnsi="宋体" w:eastAsia="宋体" w:cs="宋体"/>
          <w:color w:val="auto"/>
          <w:sz w:val="32"/>
          <w:szCs w:val="32"/>
        </w:rPr>
        <w:t>公告期限：</w:t>
      </w:r>
      <w:r>
        <w:rPr>
          <w:rFonts w:hint="eastAsia" w:ascii="宋体" w:hAnsi="宋体" w:eastAsia="宋体" w:cs="宋体"/>
          <w:color w:val="auto"/>
          <w:sz w:val="32"/>
          <w:szCs w:val="32"/>
          <w:u w:val="dotted"/>
        </w:rPr>
        <w:t xml:space="preserve">                        </w:t>
      </w:r>
    </w:p>
    <w:p w14:paraId="184D3492">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rPr>
      </w:pPr>
      <w:r>
        <w:rPr>
          <w:rFonts w:hint="eastAsia" w:ascii="宋体" w:hAnsi="宋体" w:eastAsia="宋体" w:cs="宋体"/>
          <w:color w:val="auto"/>
          <w:sz w:val="32"/>
          <w:szCs w:val="32"/>
        </w:rPr>
        <w:t>三、质疑基本情况</w:t>
      </w:r>
    </w:p>
    <w:p w14:paraId="72ACC117">
      <w:pPr>
        <w:pageBreakBefore w:val="0"/>
        <w:kinsoku/>
        <w:wordWrap/>
        <w:overflowPunct/>
        <w:topLinePunct w:val="0"/>
        <w:bidi w:val="0"/>
        <w:spacing w:beforeAutospacing="0" w:line="360" w:lineRule="auto"/>
        <w:ind w:left="0" w:leftChars="0" w:right="0" w:firstLine="640" w:firstLineChars="200"/>
        <w:rPr>
          <w:rFonts w:hint="eastAsia" w:ascii="宋体" w:hAnsi="宋体" w:eastAsia="宋体" w:cs="宋体"/>
          <w:color w:val="auto"/>
          <w:sz w:val="32"/>
          <w:szCs w:val="32"/>
          <w:u w:val="dotted"/>
        </w:rPr>
      </w:pPr>
      <w:r>
        <w:rPr>
          <w:rFonts w:hint="eastAsia" w:ascii="宋体" w:hAnsi="宋体" w:eastAsia="宋体" w:cs="宋体"/>
          <w:color w:val="auto"/>
          <w:sz w:val="32"/>
          <w:szCs w:val="32"/>
        </w:rPr>
        <w:t>投诉人于</w:t>
      </w:r>
      <w:r>
        <w:rPr>
          <w:rFonts w:hint="eastAsia" w:ascii="宋体" w:hAnsi="宋体" w:eastAsia="宋体" w:cs="宋体"/>
          <w:color w:val="auto"/>
          <w:sz w:val="32"/>
          <w:szCs w:val="32"/>
          <w:u w:val="dotted"/>
        </w:rPr>
        <w:t xml:space="preserve">   </w:t>
      </w:r>
      <w:r>
        <w:rPr>
          <w:rFonts w:hint="eastAsia" w:ascii="宋体" w:hAnsi="宋体" w:eastAsia="宋体" w:cs="宋体"/>
          <w:color w:val="auto"/>
          <w:sz w:val="32"/>
          <w:szCs w:val="32"/>
        </w:rPr>
        <w:t>年</w:t>
      </w:r>
      <w:r>
        <w:rPr>
          <w:rFonts w:hint="eastAsia" w:ascii="宋体" w:hAnsi="宋体" w:eastAsia="宋体" w:cs="宋体"/>
          <w:color w:val="auto"/>
          <w:sz w:val="32"/>
          <w:szCs w:val="32"/>
          <w:u w:val="dotted"/>
        </w:rPr>
        <w:t xml:space="preserve">   </w:t>
      </w:r>
      <w:r>
        <w:rPr>
          <w:rFonts w:hint="eastAsia" w:ascii="宋体" w:hAnsi="宋体" w:eastAsia="宋体" w:cs="宋体"/>
          <w:color w:val="auto"/>
          <w:sz w:val="32"/>
          <w:szCs w:val="32"/>
        </w:rPr>
        <w:t>月</w:t>
      </w:r>
      <w:r>
        <w:rPr>
          <w:rFonts w:hint="eastAsia" w:ascii="宋体" w:hAnsi="宋体" w:eastAsia="宋体" w:cs="宋体"/>
          <w:color w:val="auto"/>
          <w:sz w:val="32"/>
          <w:szCs w:val="32"/>
          <w:u w:val="dotted"/>
        </w:rPr>
        <w:t xml:space="preserve">  </w:t>
      </w:r>
      <w:r>
        <w:rPr>
          <w:rFonts w:hint="eastAsia" w:ascii="宋体" w:hAnsi="宋体" w:eastAsia="宋体" w:cs="宋体"/>
          <w:color w:val="auto"/>
          <w:sz w:val="32"/>
          <w:szCs w:val="32"/>
        </w:rPr>
        <w:t>日,向</w:t>
      </w:r>
      <w:r>
        <w:rPr>
          <w:rFonts w:hint="eastAsia" w:ascii="宋体" w:hAnsi="宋体" w:eastAsia="宋体" w:cs="宋体"/>
          <w:color w:val="auto"/>
          <w:sz w:val="32"/>
          <w:szCs w:val="32"/>
          <w:u w:val="dotted"/>
        </w:rPr>
        <w:t xml:space="preserve">                   </w:t>
      </w:r>
      <w:r>
        <w:rPr>
          <w:rFonts w:hint="eastAsia" w:ascii="宋体" w:hAnsi="宋体" w:eastAsia="宋体" w:cs="宋体"/>
          <w:color w:val="auto"/>
          <w:sz w:val="32"/>
          <w:szCs w:val="32"/>
        </w:rPr>
        <w:t>提出质疑，质疑事项为：</w:t>
      </w:r>
      <w:r>
        <w:rPr>
          <w:rFonts w:hint="eastAsia" w:ascii="宋体" w:hAnsi="宋体" w:eastAsia="宋体" w:cs="宋体"/>
          <w:color w:val="auto"/>
          <w:sz w:val="32"/>
          <w:szCs w:val="32"/>
          <w:u w:val="dotted"/>
        </w:rPr>
        <w:t xml:space="preserve">                                </w:t>
      </w:r>
    </w:p>
    <w:p w14:paraId="0B6A22E1">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u w:val="dotted"/>
        </w:rPr>
      </w:pPr>
      <w:r>
        <w:rPr>
          <w:rFonts w:hint="eastAsia" w:ascii="宋体" w:hAnsi="宋体" w:eastAsia="宋体" w:cs="宋体"/>
          <w:color w:val="auto"/>
          <w:sz w:val="32"/>
          <w:szCs w:val="32"/>
          <w:u w:val="dotted"/>
        </w:rPr>
        <w:t xml:space="preserve">                                                     </w:t>
      </w:r>
      <w:r>
        <w:rPr>
          <w:rFonts w:hint="eastAsia" w:ascii="宋体" w:hAnsi="宋体" w:eastAsia="宋体" w:cs="宋体"/>
          <w:color w:val="auto"/>
          <w:sz w:val="32"/>
          <w:szCs w:val="32"/>
        </w:rPr>
        <w:t xml:space="preserve">  </w:t>
      </w:r>
    </w:p>
    <w:p w14:paraId="7BBC1D7C">
      <w:pPr>
        <w:pageBreakBefore w:val="0"/>
        <w:kinsoku/>
        <w:wordWrap/>
        <w:overflowPunct/>
        <w:topLinePunct w:val="0"/>
        <w:bidi w:val="0"/>
        <w:spacing w:beforeAutospacing="0" w:line="360" w:lineRule="auto"/>
        <w:ind w:left="0" w:leftChars="0" w:right="0" w:firstLine="480" w:firstLineChars="150"/>
        <w:rPr>
          <w:rFonts w:hint="eastAsia" w:ascii="宋体" w:hAnsi="宋体" w:eastAsia="宋体" w:cs="宋体"/>
          <w:color w:val="auto"/>
          <w:sz w:val="32"/>
          <w:szCs w:val="32"/>
        </w:rPr>
      </w:pPr>
      <w:r>
        <w:rPr>
          <w:rFonts w:hint="eastAsia" w:ascii="宋体" w:hAnsi="宋体" w:eastAsia="宋体" w:cs="宋体"/>
          <w:color w:val="auto"/>
          <w:sz w:val="32"/>
          <w:szCs w:val="32"/>
          <w:u w:val="dotted"/>
        </w:rPr>
        <w:t>采购人/代理机构</w:t>
      </w:r>
      <w:r>
        <w:rPr>
          <w:rFonts w:hint="eastAsia" w:ascii="宋体" w:hAnsi="宋体" w:eastAsia="宋体" w:cs="宋体"/>
          <w:color w:val="auto"/>
          <w:sz w:val="32"/>
          <w:szCs w:val="32"/>
        </w:rPr>
        <w:t>于</w:t>
      </w:r>
      <w:r>
        <w:rPr>
          <w:rFonts w:hint="eastAsia" w:ascii="宋体" w:hAnsi="宋体" w:eastAsia="宋体" w:cs="宋体"/>
          <w:color w:val="auto"/>
          <w:sz w:val="32"/>
          <w:szCs w:val="32"/>
          <w:u w:val="dotted"/>
        </w:rPr>
        <w:t xml:space="preserve">   </w:t>
      </w:r>
      <w:r>
        <w:rPr>
          <w:rFonts w:hint="eastAsia" w:ascii="宋体" w:hAnsi="宋体" w:eastAsia="宋体" w:cs="宋体"/>
          <w:color w:val="auto"/>
          <w:sz w:val="32"/>
          <w:szCs w:val="32"/>
        </w:rPr>
        <w:t>年</w:t>
      </w:r>
      <w:r>
        <w:rPr>
          <w:rFonts w:hint="eastAsia" w:ascii="宋体" w:hAnsi="宋体" w:eastAsia="宋体" w:cs="宋体"/>
          <w:color w:val="auto"/>
          <w:sz w:val="32"/>
          <w:szCs w:val="32"/>
          <w:u w:val="dotted"/>
        </w:rPr>
        <w:t xml:space="preserve">   </w:t>
      </w:r>
      <w:r>
        <w:rPr>
          <w:rFonts w:hint="eastAsia" w:ascii="宋体" w:hAnsi="宋体" w:eastAsia="宋体" w:cs="宋体"/>
          <w:color w:val="auto"/>
          <w:sz w:val="32"/>
          <w:szCs w:val="32"/>
        </w:rPr>
        <w:t>月</w:t>
      </w:r>
      <w:r>
        <w:rPr>
          <w:rFonts w:hint="eastAsia" w:ascii="宋体" w:hAnsi="宋体" w:eastAsia="宋体" w:cs="宋体"/>
          <w:color w:val="auto"/>
          <w:sz w:val="32"/>
          <w:szCs w:val="32"/>
          <w:u w:val="dotted"/>
        </w:rPr>
        <w:t xml:space="preserve">   </w:t>
      </w:r>
      <w:r>
        <w:rPr>
          <w:rFonts w:hint="eastAsia" w:ascii="宋体" w:hAnsi="宋体" w:eastAsia="宋体" w:cs="宋体"/>
          <w:color w:val="auto"/>
          <w:sz w:val="32"/>
          <w:szCs w:val="32"/>
        </w:rPr>
        <w:t>日,就质疑事项作出了答复/没有在法定期限内作出答复。</w:t>
      </w:r>
    </w:p>
    <w:p w14:paraId="3D6384D2">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rPr>
      </w:pPr>
      <w:r>
        <w:rPr>
          <w:rFonts w:hint="eastAsia" w:ascii="宋体" w:hAnsi="宋体" w:eastAsia="宋体" w:cs="宋体"/>
          <w:color w:val="auto"/>
          <w:sz w:val="32"/>
          <w:szCs w:val="32"/>
        </w:rPr>
        <w:t>四、投诉事项具体内容</w:t>
      </w:r>
    </w:p>
    <w:p w14:paraId="357C30E7">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u w:val="single"/>
        </w:rPr>
      </w:pPr>
      <w:r>
        <w:rPr>
          <w:rFonts w:hint="eastAsia" w:ascii="宋体" w:hAnsi="宋体" w:eastAsia="宋体" w:cs="宋体"/>
          <w:color w:val="auto"/>
          <w:sz w:val="32"/>
          <w:szCs w:val="32"/>
        </w:rPr>
        <w:t>投诉事项 1：</w:t>
      </w:r>
      <w:r>
        <w:rPr>
          <w:rFonts w:hint="eastAsia" w:ascii="宋体" w:hAnsi="宋体" w:eastAsia="宋体" w:cs="宋体"/>
          <w:color w:val="auto"/>
          <w:sz w:val="32"/>
          <w:szCs w:val="32"/>
          <w:u w:val="dotted"/>
        </w:rPr>
        <w:t xml:space="preserve">                                       </w:t>
      </w:r>
    </w:p>
    <w:p w14:paraId="218CC2F4">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rPr>
      </w:pPr>
      <w:r>
        <w:rPr>
          <w:rFonts w:hint="eastAsia" w:ascii="宋体" w:hAnsi="宋体" w:eastAsia="宋体" w:cs="宋体"/>
          <w:color w:val="auto"/>
          <w:sz w:val="32"/>
          <w:szCs w:val="32"/>
        </w:rPr>
        <w:t>事实依据：</w:t>
      </w:r>
      <w:r>
        <w:rPr>
          <w:rFonts w:hint="eastAsia" w:ascii="宋体" w:hAnsi="宋体" w:eastAsia="宋体" w:cs="宋体"/>
          <w:color w:val="auto"/>
          <w:sz w:val="32"/>
          <w:szCs w:val="32"/>
          <w:u w:val="dotted"/>
        </w:rPr>
        <w:t xml:space="preserve">                                         </w:t>
      </w:r>
    </w:p>
    <w:p w14:paraId="731D721F">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u w:val="dotted"/>
        </w:rPr>
      </w:pPr>
      <w:r>
        <w:rPr>
          <w:rFonts w:hint="eastAsia" w:ascii="宋体" w:hAnsi="宋体" w:eastAsia="宋体" w:cs="宋体"/>
          <w:color w:val="auto"/>
          <w:sz w:val="32"/>
          <w:szCs w:val="32"/>
          <w:u w:val="dotted"/>
        </w:rPr>
        <w:t xml:space="preserve">                                                      </w:t>
      </w:r>
    </w:p>
    <w:p w14:paraId="6B64442C">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u w:val="single"/>
        </w:rPr>
      </w:pPr>
      <w:r>
        <w:rPr>
          <w:rFonts w:hint="eastAsia" w:ascii="宋体" w:hAnsi="宋体" w:eastAsia="宋体" w:cs="宋体"/>
          <w:color w:val="auto"/>
          <w:sz w:val="32"/>
          <w:szCs w:val="32"/>
        </w:rPr>
        <w:t>法律依据：</w:t>
      </w:r>
      <w:r>
        <w:rPr>
          <w:rFonts w:hint="eastAsia" w:ascii="宋体" w:hAnsi="宋体" w:eastAsia="宋体" w:cs="宋体"/>
          <w:color w:val="auto"/>
          <w:sz w:val="32"/>
          <w:szCs w:val="32"/>
          <w:u w:val="dotted"/>
        </w:rPr>
        <w:t xml:space="preserve">                                          </w:t>
      </w:r>
    </w:p>
    <w:p w14:paraId="5E5B1964">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u w:val="dotted"/>
        </w:rPr>
      </w:pPr>
      <w:r>
        <w:rPr>
          <w:rFonts w:hint="eastAsia" w:ascii="宋体" w:hAnsi="宋体" w:eastAsia="宋体" w:cs="宋体"/>
          <w:color w:val="auto"/>
          <w:sz w:val="32"/>
          <w:szCs w:val="32"/>
          <w:u w:val="dotted"/>
        </w:rPr>
        <w:t xml:space="preserve">                                                      </w:t>
      </w:r>
    </w:p>
    <w:p w14:paraId="2CCF34A1">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rPr>
      </w:pPr>
      <w:r>
        <w:rPr>
          <w:rFonts w:hint="eastAsia" w:ascii="宋体" w:hAnsi="宋体" w:eastAsia="宋体" w:cs="宋体"/>
          <w:color w:val="auto"/>
          <w:sz w:val="32"/>
          <w:szCs w:val="32"/>
        </w:rPr>
        <w:t>投诉事项2</w:t>
      </w:r>
    </w:p>
    <w:p w14:paraId="50288B6D">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u w:val="dotted"/>
        </w:rPr>
      </w:pPr>
      <w:r>
        <w:rPr>
          <w:rFonts w:hint="eastAsia" w:ascii="宋体" w:hAnsi="宋体" w:eastAsia="宋体" w:cs="宋体"/>
          <w:color w:val="auto"/>
          <w:sz w:val="32"/>
          <w:szCs w:val="32"/>
        </w:rPr>
        <w:t>……</w:t>
      </w:r>
    </w:p>
    <w:p w14:paraId="791587EE">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rPr>
      </w:pPr>
      <w:r>
        <w:rPr>
          <w:rFonts w:hint="eastAsia" w:ascii="宋体" w:hAnsi="宋体" w:eastAsia="宋体" w:cs="宋体"/>
          <w:color w:val="auto"/>
          <w:sz w:val="32"/>
          <w:szCs w:val="32"/>
        </w:rPr>
        <w:t>五、与投诉事项相关的投诉请求</w:t>
      </w:r>
    </w:p>
    <w:p w14:paraId="57420D1A">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rPr>
      </w:pPr>
      <w:r>
        <w:rPr>
          <w:rFonts w:hint="eastAsia" w:ascii="宋体" w:hAnsi="宋体" w:eastAsia="宋体" w:cs="宋体"/>
          <w:color w:val="auto"/>
          <w:sz w:val="32"/>
          <w:szCs w:val="32"/>
        </w:rPr>
        <w:t>请求：</w:t>
      </w:r>
      <w:r>
        <w:rPr>
          <w:rFonts w:hint="eastAsia" w:ascii="宋体" w:hAnsi="宋体" w:eastAsia="宋体" w:cs="宋体"/>
          <w:color w:val="auto"/>
          <w:sz w:val="32"/>
          <w:szCs w:val="32"/>
          <w:u w:val="dotted"/>
        </w:rPr>
        <w:t xml:space="preserve">                                              </w:t>
      </w:r>
      <w:r>
        <w:rPr>
          <w:rFonts w:hint="eastAsia" w:ascii="宋体" w:hAnsi="宋体" w:eastAsia="宋体" w:cs="宋体"/>
          <w:color w:val="auto"/>
          <w:sz w:val="32"/>
          <w:szCs w:val="32"/>
        </w:rPr>
        <w:t xml:space="preserve"> </w:t>
      </w:r>
    </w:p>
    <w:p w14:paraId="5087D0BF">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u w:val="single"/>
        </w:rPr>
      </w:pPr>
      <w:r>
        <w:rPr>
          <w:rFonts w:hint="eastAsia" w:ascii="宋体" w:hAnsi="宋体" w:eastAsia="宋体" w:cs="宋体"/>
          <w:color w:val="auto"/>
          <w:sz w:val="32"/>
          <w:szCs w:val="32"/>
        </w:rPr>
        <w:t xml:space="preserve">                                                                                                    </w:t>
      </w:r>
    </w:p>
    <w:p w14:paraId="0E03A290">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rPr>
      </w:pPr>
      <w:r>
        <w:rPr>
          <w:rFonts w:hint="eastAsia" w:ascii="宋体" w:hAnsi="宋体" w:eastAsia="宋体" w:cs="宋体"/>
          <w:color w:val="auto"/>
          <w:sz w:val="32"/>
          <w:szCs w:val="32"/>
        </w:rPr>
        <w:t xml:space="preserve">签字(签章)：                   公章：                      </w:t>
      </w:r>
    </w:p>
    <w:p w14:paraId="6205CD75">
      <w:pPr>
        <w:pageBreakBefore w:val="0"/>
        <w:kinsoku/>
        <w:wordWrap/>
        <w:overflowPunct/>
        <w:topLinePunct w:val="0"/>
        <w:bidi w:val="0"/>
        <w:spacing w:beforeAutospacing="0" w:line="360" w:lineRule="auto"/>
        <w:ind w:left="0" w:leftChars="0" w:right="0"/>
        <w:rPr>
          <w:rFonts w:hint="eastAsia" w:ascii="宋体" w:hAnsi="宋体" w:eastAsia="宋体" w:cs="宋体"/>
          <w:color w:val="auto"/>
          <w:sz w:val="32"/>
          <w:szCs w:val="32"/>
        </w:rPr>
      </w:pPr>
      <w:r>
        <w:rPr>
          <w:rFonts w:hint="eastAsia" w:ascii="宋体" w:hAnsi="宋体" w:eastAsia="宋体" w:cs="宋体"/>
          <w:color w:val="auto"/>
          <w:sz w:val="32"/>
          <w:szCs w:val="32"/>
        </w:rPr>
        <w:t xml:space="preserve">日期：    </w:t>
      </w:r>
    </w:p>
    <w:p w14:paraId="2896F615">
      <w:pPr>
        <w:pageBreakBefore w:val="0"/>
        <w:kinsoku/>
        <w:wordWrap/>
        <w:overflowPunct/>
        <w:topLinePunct w:val="0"/>
        <w:bidi w:val="0"/>
        <w:spacing w:beforeAutospacing="0" w:line="360" w:lineRule="auto"/>
        <w:ind w:left="0" w:leftChars="0" w:right="0"/>
        <w:rPr>
          <w:rFonts w:hint="eastAsia" w:ascii="宋体" w:hAnsi="宋体" w:eastAsia="宋体" w:cs="宋体"/>
          <w:b/>
          <w:color w:val="auto"/>
          <w:sz w:val="32"/>
          <w:szCs w:val="32"/>
        </w:rPr>
      </w:pPr>
    </w:p>
    <w:p w14:paraId="1DBD7C5A">
      <w:pPr>
        <w:pageBreakBefore w:val="0"/>
        <w:kinsoku/>
        <w:wordWrap/>
        <w:overflowPunct/>
        <w:topLinePunct w:val="0"/>
        <w:bidi w:val="0"/>
        <w:spacing w:beforeAutospacing="0" w:line="360" w:lineRule="auto"/>
        <w:ind w:left="0" w:leftChars="0" w:right="0"/>
        <w:rPr>
          <w:rFonts w:hint="eastAsia" w:ascii="宋体" w:hAnsi="宋体" w:eastAsia="宋体" w:cs="宋体"/>
          <w:b/>
          <w:color w:val="auto"/>
          <w:sz w:val="32"/>
          <w:szCs w:val="32"/>
        </w:rPr>
      </w:pPr>
      <w:r>
        <w:rPr>
          <w:rFonts w:hint="eastAsia" w:ascii="宋体" w:hAnsi="宋体" w:eastAsia="宋体" w:cs="宋体"/>
          <w:b/>
          <w:color w:val="auto"/>
          <w:sz w:val="32"/>
          <w:szCs w:val="32"/>
        </w:rPr>
        <w:t>投诉书制作说明：</w:t>
      </w:r>
    </w:p>
    <w:p w14:paraId="768D42D8">
      <w:pPr>
        <w:pageBreakBefore w:val="0"/>
        <w:widowControl/>
        <w:kinsoku/>
        <w:wordWrap/>
        <w:overflowPunct/>
        <w:topLinePunct w:val="0"/>
        <w:bidi w:val="0"/>
        <w:spacing w:beforeAutospacing="0" w:line="360" w:lineRule="auto"/>
        <w:ind w:left="0" w:leftChars="0" w:right="0" w:firstLine="640" w:firstLineChars="200"/>
        <w:rPr>
          <w:rFonts w:hint="eastAsia" w:ascii="宋体" w:hAnsi="宋体" w:eastAsia="宋体" w:cs="宋体"/>
          <w:color w:val="auto"/>
          <w:kern w:val="0"/>
          <w:sz w:val="32"/>
          <w:szCs w:val="32"/>
        </w:rPr>
      </w:pPr>
      <w:r>
        <w:rPr>
          <w:rFonts w:hint="eastAsia" w:ascii="宋体" w:hAnsi="宋体" w:eastAsia="宋体" w:cs="宋体"/>
          <w:color w:val="auto"/>
          <w:sz w:val="32"/>
          <w:szCs w:val="32"/>
        </w:rPr>
        <w:t>1.投诉人提起投诉时，应当提交投诉书和必要的证明材料，并按照被投诉人和与投诉事项有关的供应商数量提供投诉书副本。</w:t>
      </w:r>
    </w:p>
    <w:p w14:paraId="70AE4B98">
      <w:pPr>
        <w:pageBreakBefore w:val="0"/>
        <w:widowControl/>
        <w:kinsoku/>
        <w:wordWrap/>
        <w:overflowPunct/>
        <w:topLinePunct w:val="0"/>
        <w:bidi w:val="0"/>
        <w:spacing w:beforeAutospacing="0" w:line="360" w:lineRule="auto"/>
        <w:ind w:left="0" w:leftChars="0" w:right="0" w:firstLine="640" w:firstLineChars="200"/>
        <w:jc w:val="left"/>
        <w:rPr>
          <w:rFonts w:hint="eastAsia" w:ascii="宋体" w:hAnsi="宋体" w:eastAsia="宋体" w:cs="宋体"/>
          <w:color w:val="auto"/>
          <w:kern w:val="0"/>
          <w:sz w:val="32"/>
          <w:szCs w:val="32"/>
        </w:rPr>
      </w:pPr>
      <w:r>
        <w:rPr>
          <w:rFonts w:hint="eastAsia" w:ascii="宋体" w:hAnsi="宋体" w:eastAsia="宋体" w:cs="宋体"/>
          <w:color w:val="auto"/>
          <w:sz w:val="32"/>
          <w:szCs w:val="32"/>
        </w:rPr>
        <w:t>2.投诉人若委托代理人进行投诉的，投诉书应按照要求列明“授权代表”的有关内容，并在附件中提交由</w:t>
      </w:r>
      <w:r>
        <w:rPr>
          <w:rFonts w:hint="eastAsia" w:ascii="宋体" w:hAnsi="宋体" w:eastAsia="宋体" w:cs="宋体"/>
          <w:color w:val="auto"/>
          <w:kern w:val="0"/>
          <w:sz w:val="32"/>
          <w:szCs w:val="32"/>
        </w:rPr>
        <w:t>投诉人签署的授权委托书。授权委托书应当载明代理人的姓名或者名称、代理事项、具体权限、期限和相关事项。</w:t>
      </w:r>
    </w:p>
    <w:p w14:paraId="43675D3E">
      <w:pPr>
        <w:pageBreakBefore w:val="0"/>
        <w:widowControl/>
        <w:kinsoku/>
        <w:wordWrap/>
        <w:overflowPunct/>
        <w:topLinePunct w:val="0"/>
        <w:bidi w:val="0"/>
        <w:spacing w:beforeAutospacing="0" w:line="360" w:lineRule="auto"/>
        <w:ind w:left="0" w:leftChars="0" w:right="0" w:firstLine="640" w:firstLineChars="200"/>
        <w:jc w:val="left"/>
        <w:rPr>
          <w:rFonts w:hint="eastAsia" w:ascii="宋体" w:hAnsi="宋体" w:eastAsia="宋体" w:cs="宋体"/>
          <w:color w:val="auto"/>
          <w:sz w:val="32"/>
          <w:szCs w:val="32"/>
        </w:rPr>
      </w:pPr>
      <w:r>
        <w:rPr>
          <w:rFonts w:hint="eastAsia" w:ascii="宋体" w:hAnsi="宋体" w:eastAsia="宋体" w:cs="宋体"/>
          <w:color w:val="auto"/>
          <w:sz w:val="32"/>
          <w:szCs w:val="32"/>
        </w:rPr>
        <w:t>3.投诉人若对项目的某一分包进行投诉，投诉书应列明具体分包号。</w:t>
      </w:r>
    </w:p>
    <w:p w14:paraId="67991FB1">
      <w:pPr>
        <w:pageBreakBefore w:val="0"/>
        <w:widowControl/>
        <w:kinsoku/>
        <w:wordWrap/>
        <w:overflowPunct/>
        <w:topLinePunct w:val="0"/>
        <w:bidi w:val="0"/>
        <w:spacing w:beforeAutospacing="0" w:line="360" w:lineRule="auto"/>
        <w:ind w:left="0" w:leftChars="0" w:right="0" w:firstLine="640" w:firstLineChars="200"/>
        <w:jc w:val="left"/>
        <w:rPr>
          <w:rFonts w:hint="eastAsia" w:ascii="宋体" w:hAnsi="宋体" w:eastAsia="宋体" w:cs="宋体"/>
          <w:color w:val="auto"/>
          <w:sz w:val="32"/>
          <w:szCs w:val="32"/>
        </w:rPr>
      </w:pPr>
      <w:r>
        <w:rPr>
          <w:rFonts w:hint="eastAsia" w:ascii="宋体" w:hAnsi="宋体" w:eastAsia="宋体" w:cs="宋体"/>
          <w:color w:val="auto"/>
          <w:sz w:val="32"/>
          <w:szCs w:val="32"/>
        </w:rPr>
        <w:t>4.投诉书应简要列明质疑事项，质疑函、质疑答复等作为附件材料提供。</w:t>
      </w:r>
    </w:p>
    <w:p w14:paraId="2B4216B8">
      <w:pPr>
        <w:pageBreakBefore w:val="0"/>
        <w:widowControl/>
        <w:kinsoku/>
        <w:wordWrap/>
        <w:overflowPunct/>
        <w:topLinePunct w:val="0"/>
        <w:bidi w:val="0"/>
        <w:spacing w:beforeAutospacing="0" w:line="360" w:lineRule="auto"/>
        <w:ind w:left="0" w:leftChars="0" w:right="0" w:firstLine="640" w:firstLineChars="200"/>
        <w:jc w:val="left"/>
        <w:rPr>
          <w:rFonts w:hint="eastAsia" w:ascii="宋体" w:hAnsi="宋体" w:eastAsia="宋体" w:cs="宋体"/>
          <w:color w:val="auto"/>
          <w:sz w:val="32"/>
          <w:szCs w:val="32"/>
        </w:rPr>
      </w:pPr>
      <w:r>
        <w:rPr>
          <w:rFonts w:hint="eastAsia" w:ascii="宋体" w:hAnsi="宋体" w:eastAsia="宋体" w:cs="宋体"/>
          <w:color w:val="auto"/>
          <w:sz w:val="32"/>
          <w:szCs w:val="32"/>
        </w:rPr>
        <w:t>5.投诉书的投诉事项应具体、明确，并有必要的事实依据和法律依据。</w:t>
      </w:r>
    </w:p>
    <w:p w14:paraId="3A1EB635">
      <w:pPr>
        <w:pageBreakBefore w:val="0"/>
        <w:widowControl/>
        <w:kinsoku/>
        <w:wordWrap/>
        <w:overflowPunct/>
        <w:topLinePunct w:val="0"/>
        <w:bidi w:val="0"/>
        <w:spacing w:beforeAutospacing="0" w:line="360" w:lineRule="auto"/>
        <w:ind w:left="0" w:leftChars="0" w:right="0" w:firstLine="640" w:firstLineChars="200"/>
        <w:jc w:val="left"/>
        <w:rPr>
          <w:rFonts w:hint="eastAsia" w:ascii="宋体" w:hAnsi="宋体" w:eastAsia="宋体" w:cs="宋体"/>
          <w:color w:val="auto"/>
          <w:sz w:val="32"/>
          <w:szCs w:val="32"/>
        </w:rPr>
      </w:pPr>
      <w:r>
        <w:rPr>
          <w:rFonts w:hint="eastAsia" w:ascii="宋体" w:hAnsi="宋体" w:eastAsia="宋体" w:cs="宋体"/>
          <w:color w:val="auto"/>
          <w:sz w:val="32"/>
          <w:szCs w:val="32"/>
        </w:rPr>
        <w:t>6.投诉书的投诉请求应与投诉事项相关。</w:t>
      </w:r>
    </w:p>
    <w:p w14:paraId="2D17C3D7">
      <w:pPr>
        <w:pageBreakBefore w:val="0"/>
        <w:widowControl/>
        <w:kinsoku/>
        <w:wordWrap/>
        <w:overflowPunct/>
        <w:topLinePunct w:val="0"/>
        <w:bidi w:val="0"/>
        <w:spacing w:beforeAutospacing="0" w:line="360" w:lineRule="auto"/>
        <w:ind w:left="0" w:leftChars="0" w:right="0" w:firstLine="640" w:firstLineChars="200"/>
        <w:jc w:val="left"/>
        <w:rPr>
          <w:rFonts w:hint="eastAsia" w:ascii="宋体" w:hAnsi="宋体" w:eastAsia="宋体" w:cs="宋体"/>
          <w:color w:val="auto"/>
          <w:sz w:val="24"/>
        </w:rPr>
      </w:pPr>
      <w:r>
        <w:rPr>
          <w:rFonts w:hint="eastAsia" w:ascii="宋体" w:hAnsi="宋体" w:eastAsia="宋体" w:cs="宋体"/>
          <w:color w:val="auto"/>
          <w:sz w:val="32"/>
          <w:szCs w:val="32"/>
        </w:rPr>
        <w:t>7.投诉人为自然人的，投诉书应当由本人签字；投诉人为法人或者其他组织的，投诉书应当由法定代表人、主要负责人，或者其授权代表签字或者盖章，并加盖公章。</w:t>
      </w:r>
    </w:p>
    <w:p w14:paraId="2F443950">
      <w:pPr>
        <w:pageBreakBefore w:val="0"/>
        <w:kinsoku/>
        <w:wordWrap/>
        <w:overflowPunct/>
        <w:topLinePunct w:val="0"/>
        <w:bidi w:val="0"/>
        <w:spacing w:beforeAutospacing="0" w:line="360" w:lineRule="auto"/>
        <w:ind w:left="0" w:leftChars="0" w:right="0"/>
        <w:rPr>
          <w:rFonts w:hint="eastAsia" w:ascii="宋体" w:hAnsi="宋体" w:eastAsia="宋体" w:cs="宋体"/>
          <w:color w:val="auto"/>
        </w:rPr>
      </w:pPr>
    </w:p>
    <w:p w14:paraId="0B92EA68">
      <w:pPr>
        <w:pageBreakBefore w:val="0"/>
        <w:kinsoku/>
        <w:wordWrap/>
        <w:overflowPunct/>
        <w:topLinePunct w:val="0"/>
        <w:bidi w:val="0"/>
        <w:spacing w:beforeAutospacing="0" w:line="360" w:lineRule="auto"/>
        <w:ind w:left="0" w:leftChars="0" w:right="0"/>
        <w:rPr>
          <w:rFonts w:hint="eastAsia" w:ascii="宋体" w:hAnsi="宋体" w:eastAsia="宋体" w:cs="宋体"/>
          <w:color w:val="auto"/>
          <w:szCs w:val="22"/>
        </w:rPr>
      </w:pPr>
    </w:p>
    <w:p w14:paraId="5304508D">
      <w:pPr>
        <w:pageBreakBefore w:val="0"/>
        <w:kinsoku/>
        <w:wordWrap/>
        <w:overflowPunct/>
        <w:topLinePunct w:val="0"/>
        <w:bidi w:val="0"/>
        <w:spacing w:beforeAutospacing="0" w:line="360" w:lineRule="auto"/>
        <w:ind w:left="0" w:leftChars="0" w:right="0"/>
        <w:rPr>
          <w:rFonts w:hint="eastAsia" w:ascii="宋体" w:hAnsi="宋体" w:eastAsia="宋体" w:cs="宋体"/>
          <w:color w:val="auto"/>
        </w:rPr>
      </w:pPr>
    </w:p>
    <w:p w14:paraId="2150FF01">
      <w:pPr>
        <w:pageBreakBefore w:val="0"/>
        <w:kinsoku/>
        <w:wordWrap/>
        <w:overflowPunct/>
        <w:topLinePunct w:val="0"/>
        <w:bidi w:val="0"/>
        <w:spacing w:beforeAutospacing="0" w:line="360" w:lineRule="auto"/>
        <w:ind w:left="0" w:leftChars="0" w:right="0"/>
        <w:rPr>
          <w:rFonts w:hint="eastAsia" w:ascii="宋体" w:hAnsi="宋体" w:eastAsia="宋体" w:cs="宋体"/>
          <w:color w:val="auto"/>
        </w:rPr>
      </w:pPr>
    </w:p>
    <w:p w14:paraId="4337EACD">
      <w:pPr>
        <w:rPr>
          <w:color w:val="auto"/>
        </w:rPr>
      </w:pPr>
    </w:p>
    <w:sectPr>
      <w:footerReference r:id="rId6" w:type="first"/>
      <w:headerReference r:id="rId3" w:type="default"/>
      <w:footerReference r:id="rId4" w:type="default"/>
      <w:footerReference r:id="rId5" w:type="even"/>
      <w:pgSz w:w="11906" w:h="16838"/>
      <w:pgMar w:top="1134" w:right="1134" w:bottom="1134" w:left="1134"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MS PGothic">
    <w:panose1 w:val="020B0600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04C55">
    <w:pPr>
      <w:pStyle w:val="10"/>
      <w:jc w:val="center"/>
    </w:pPr>
    <w:r>
      <w:fldChar w:fldCharType="begin"/>
    </w:r>
    <w:r>
      <w:instrText xml:space="preserve"> PAGE   \* MERGEFORMAT </w:instrText>
    </w:r>
    <w:r>
      <w:fldChar w:fldCharType="separate"/>
    </w:r>
    <w:r>
      <w:rPr>
        <w:lang w:val="zh-CN"/>
      </w:rPr>
      <w:t>120</w:t>
    </w:r>
    <w:r>
      <w:fldChar w:fldCharType="end"/>
    </w:r>
  </w:p>
  <w:p w14:paraId="72ADA2D1">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F7A01">
    <w:pPr>
      <w:pStyle w:val="10"/>
      <w:framePr w:wrap="around" w:vAnchor="text" w:hAnchor="margin" w:xAlign="center" w:y="1"/>
      <w:rPr>
        <w:rStyle w:val="17"/>
      </w:rPr>
    </w:pPr>
    <w:r>
      <w:fldChar w:fldCharType="begin"/>
    </w:r>
    <w:r>
      <w:rPr>
        <w:rStyle w:val="17"/>
      </w:rPr>
      <w:instrText xml:space="preserve">PAGE  </w:instrText>
    </w:r>
    <w:r>
      <w:fldChar w:fldCharType="end"/>
    </w:r>
  </w:p>
  <w:p w14:paraId="3395E22D">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1564C">
    <w:pPr>
      <w:pStyle w:val="10"/>
      <w:framePr w:wrap="around" w:vAnchor="text" w:hAnchor="margin" w:xAlign="right" w:y="1"/>
      <w:rPr>
        <w:rStyle w:val="17"/>
      </w:rPr>
    </w:pPr>
    <w:r>
      <w:fldChar w:fldCharType="begin"/>
    </w:r>
    <w:r>
      <w:rPr>
        <w:rStyle w:val="17"/>
      </w:rPr>
      <w:instrText xml:space="preserve">PAGE  </w:instrText>
    </w:r>
    <w:r>
      <w:fldChar w:fldCharType="separate"/>
    </w:r>
    <w:r>
      <w:rPr>
        <w:rStyle w:val="17"/>
      </w:rPr>
      <w:t>122</w:t>
    </w:r>
    <w:r>
      <w:fldChar w:fldCharType="end"/>
    </w:r>
  </w:p>
  <w:p w14:paraId="0B5161DD">
    <w:pPr>
      <w:pStyle w:val="10"/>
      <w:ind w:right="360"/>
      <w:jc w:val="both"/>
      <w:rPr>
        <w:rFonts w:hint="eastAsia"/>
      </w:rPr>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0D7A5">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2">
    <w:nsid w:val="41367BD3"/>
    <w:multiLevelType w:val="multilevel"/>
    <w:tmpl w:val="41367BD3"/>
    <w:lvl w:ilvl="0" w:tentative="0">
      <w:start w:val="6"/>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1536378"/>
    <w:multiLevelType w:val="singleLevel"/>
    <w:tmpl w:val="51536378"/>
    <w:lvl w:ilvl="0" w:tentative="0">
      <w:start w:val="1"/>
      <w:numFmt w:val="decimal"/>
      <w:suff w:val="nothing"/>
      <w:lvlText w:val="（%1）"/>
      <w:lvlJc w:val="left"/>
      <w:pPr>
        <w:ind w:left="0" w:firstLine="0"/>
      </w:pPr>
    </w:lvl>
  </w:abstractNum>
  <w:abstractNum w:abstractNumId="4">
    <w:nsid w:val="5F7058B3"/>
    <w:multiLevelType w:val="singleLevel"/>
    <w:tmpl w:val="5F7058B3"/>
    <w:lvl w:ilvl="0" w:tentative="0">
      <w:start w:val="19"/>
      <w:numFmt w:val="decimal"/>
      <w:suff w:val="nothing"/>
      <w:lvlText w:val="%1、"/>
      <w:lvlJc w:val="left"/>
    </w:lvl>
  </w:abstractNum>
  <w:abstractNum w:abstractNumId="5">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4"/>
  </w:num>
  <w:num w:numId="2">
    <w:abstractNumId w:val="2"/>
  </w:num>
  <w:num w:numId="3">
    <w:abstractNumId w:val="3"/>
    <w:lvlOverride w:ilvl="0">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ZmVlMWNhZjMwYWFiZjU2MDIzN2NiY2U0NGUzN2QifQ=="/>
  </w:docVars>
  <w:rsids>
    <w:rsidRoot w:val="372F2F1C"/>
    <w:rsid w:val="00BE7797"/>
    <w:rsid w:val="03670FD5"/>
    <w:rsid w:val="049744CC"/>
    <w:rsid w:val="0F8D2DBA"/>
    <w:rsid w:val="112227E3"/>
    <w:rsid w:val="16236EB2"/>
    <w:rsid w:val="217D2826"/>
    <w:rsid w:val="2FC35981"/>
    <w:rsid w:val="372F2F1C"/>
    <w:rsid w:val="420F5463"/>
    <w:rsid w:val="4D1901C7"/>
    <w:rsid w:val="51310020"/>
    <w:rsid w:val="5737087F"/>
    <w:rsid w:val="5AF727FF"/>
    <w:rsid w:val="5D681792"/>
    <w:rsid w:val="5FAF4F41"/>
    <w:rsid w:val="60177EB2"/>
    <w:rsid w:val="69CC6E4F"/>
    <w:rsid w:val="6DEE3743"/>
    <w:rsid w:val="71342E44"/>
    <w:rsid w:val="733C5016"/>
    <w:rsid w:val="76BD2FED"/>
    <w:rsid w:val="78166FD8"/>
    <w:rsid w:val="7CFC6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line="600" w:lineRule="exact"/>
      <w:ind w:firstLine="643" w:firstLineChars="200"/>
      <w:outlineLvl w:val="2"/>
    </w:pPr>
    <w:rPr>
      <w:b/>
      <w:bCs/>
      <w:sz w:val="32"/>
      <w:szCs w:val="32"/>
    </w:rPr>
  </w:style>
  <w:style w:type="paragraph" w:styleId="4">
    <w:name w:val="heading 5"/>
    <w:basedOn w:val="1"/>
    <w:next w:val="1"/>
    <w:qFormat/>
    <w:uiPriority w:val="9"/>
    <w:pPr>
      <w:keepNext/>
      <w:keepLines/>
      <w:spacing w:before="280" w:after="290" w:line="376" w:lineRule="auto"/>
      <w:outlineLvl w:val="4"/>
    </w:pPr>
    <w:rPr>
      <w:b/>
      <w:bCs/>
      <w:sz w:val="28"/>
      <w:szCs w:val="28"/>
    </w:rPr>
  </w:style>
  <w:style w:type="character" w:default="1" w:styleId="16">
    <w:name w:val="Default Paragraph Font"/>
    <w:semiHidden/>
    <w:qFormat/>
    <w:uiPriority w:val="0"/>
  </w:style>
  <w:style w:type="table" w:default="1" w:styleId="15">
    <w:name w:val="Normal Table"/>
    <w:semiHidden/>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5">
    <w:name w:val="annotation text"/>
    <w:basedOn w:val="1"/>
    <w:qFormat/>
    <w:uiPriority w:val="0"/>
    <w:pPr>
      <w:jc w:val="left"/>
    </w:pPr>
  </w:style>
  <w:style w:type="paragraph" w:styleId="6">
    <w:name w:val="Body Text"/>
    <w:basedOn w:val="1"/>
    <w:next w:val="1"/>
    <w:qFormat/>
    <w:uiPriority w:val="0"/>
    <w:pPr>
      <w:spacing w:line="520" w:lineRule="exact"/>
    </w:pPr>
    <w:rPr>
      <w:rFonts w:ascii="仿宋_GB2312" w:eastAsia="仿宋_GB2312"/>
      <w:sz w:val="32"/>
      <w:szCs w:val="32"/>
    </w:rPr>
  </w:style>
  <w:style w:type="paragraph" w:styleId="7">
    <w:name w:val="Body Text Indent"/>
    <w:basedOn w:val="1"/>
    <w:qFormat/>
    <w:uiPriority w:val="0"/>
    <w:pPr>
      <w:spacing w:line="200" w:lineRule="exact"/>
      <w:ind w:firstLine="301"/>
    </w:pPr>
    <w:rPr>
      <w:rFonts w:ascii="宋体" w:hAnsi="Courier New"/>
      <w:spacing w:val="-4"/>
      <w:sz w:val="18"/>
      <w:szCs w:val="20"/>
    </w:rPr>
  </w:style>
  <w:style w:type="paragraph" w:styleId="8">
    <w:name w:val="toc 3"/>
    <w:basedOn w:val="1"/>
    <w:next w:val="1"/>
    <w:qFormat/>
    <w:uiPriority w:val="0"/>
    <w:pPr>
      <w:ind w:left="840" w:leftChars="400"/>
    </w:pPr>
  </w:style>
  <w:style w:type="paragraph" w:styleId="9">
    <w:name w:val="Plain Text"/>
    <w:basedOn w:val="1"/>
    <w:qFormat/>
    <w:uiPriority w:val="0"/>
    <w:rPr>
      <w:rFonts w:ascii="宋体" w:hAnsi="Courier New"/>
      <w:szCs w:val="20"/>
    </w:rPr>
  </w:style>
  <w:style w:type="paragraph" w:styleId="10">
    <w:name w:val="footer"/>
    <w:basedOn w:val="1"/>
    <w:next w:val="11"/>
    <w:qFormat/>
    <w:uiPriority w:val="99"/>
    <w:pPr>
      <w:tabs>
        <w:tab w:val="center" w:pos="4153"/>
        <w:tab w:val="right" w:pos="8306"/>
      </w:tabs>
      <w:snapToGrid w:val="0"/>
      <w:jc w:val="left"/>
    </w:pPr>
    <w:rPr>
      <w:sz w:val="18"/>
      <w:szCs w:val="18"/>
    </w:rPr>
  </w:style>
  <w:style w:type="paragraph" w:styleId="11">
    <w:name w:val="header"/>
    <w:basedOn w:val="1"/>
    <w:next w:val="12"/>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next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character" w:styleId="17">
    <w:name w:val="page number"/>
    <w:qFormat/>
    <w:uiPriority w:val="0"/>
  </w:style>
  <w:style w:type="paragraph" w:customStyle="1" w:styleId="18">
    <w:name w:val="正文2"/>
    <w:basedOn w:val="1"/>
    <w:qFormat/>
    <w:uiPriority w:val="0"/>
    <w:pPr>
      <w:adjustRightInd w:val="0"/>
      <w:spacing w:before="156" w:line="360" w:lineRule="auto"/>
      <w:ind w:firstLine="510" w:firstLineChars="200"/>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127</Pages>
  <Words>65920</Words>
  <Characters>69984</Characters>
  <Lines>0</Lines>
  <Paragraphs>0</Paragraphs>
  <TotalTime>138</TotalTime>
  <ScaleCrop>false</ScaleCrop>
  <LinksUpToDate>false</LinksUpToDate>
  <CharactersWithSpaces>76304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2024-07-16T01:24:00Z</dcterms:created>
  <dc:creator>Administrator</dc:creator>
  <cp:lastModifiedBy>贝加尔湖畔的涟漪</cp:lastModifiedBy>
  <dcterms:modified xsi:type="dcterms:W3CDTF">2024-07-22T03:54:45Z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775D504860944A4087800BA93BBDE270_13</vt:lpwstr>
  </property>
</Properties>
</file>