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宋体" w:eastAsia="方正小标宋简体"/>
          <w:color w:val="auto"/>
          <w:sz w:val="52"/>
          <w:szCs w:val="52"/>
          <w:highlight w:val="none"/>
        </w:rPr>
      </w:pPr>
    </w:p>
    <w:p>
      <w:pPr>
        <w:spacing w:line="360" w:lineRule="auto"/>
        <w:jc w:val="center"/>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pPr>
        <w:spacing w:before="120" w:beforeLines="50" w:line="360" w:lineRule="auto"/>
        <w:jc w:val="center"/>
        <w:rPr>
          <w:rFonts w:ascii="宋体" w:hAnsi="宋体"/>
          <w:color w:val="auto"/>
          <w:sz w:val="52"/>
          <w:szCs w:val="52"/>
          <w:highlight w:val="none"/>
        </w:rPr>
      </w:pPr>
    </w:p>
    <w:p>
      <w:pPr>
        <w:spacing w:line="360" w:lineRule="auto"/>
        <w:rPr>
          <w:rFonts w:ascii="仿宋_GB2312" w:hAnsi="宋体" w:eastAsia="仿宋_GB2312"/>
          <w:b/>
          <w:color w:val="auto"/>
          <w:sz w:val="48"/>
          <w:szCs w:val="48"/>
          <w:highlight w:val="none"/>
        </w:rPr>
      </w:pPr>
    </w:p>
    <w:p>
      <w:pPr>
        <w:snapToGrid w:val="0"/>
        <w:spacing w:before="120"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招 标 文 件</w:t>
      </w:r>
    </w:p>
    <w:p>
      <w:pPr>
        <w:snapToGrid w:val="0"/>
        <w:spacing w:before="120" w:beforeLines="50" w:line="360" w:lineRule="auto"/>
        <w:jc w:val="center"/>
        <w:rPr>
          <w:rFonts w:ascii="仿宋_GB2312" w:hAnsi="宋体" w:eastAsia="仿宋_GB2312"/>
          <w:b/>
          <w:color w:val="auto"/>
          <w:sz w:val="48"/>
          <w:szCs w:val="48"/>
          <w:highlight w:val="none"/>
        </w:rPr>
      </w:pPr>
      <w:r>
        <w:rPr>
          <w:rFonts w:hint="eastAsia" w:ascii="仿宋_GB2312" w:hAnsi="宋体" w:eastAsia="仿宋_GB2312"/>
          <w:b/>
          <w:color w:val="auto"/>
          <w:sz w:val="48"/>
          <w:szCs w:val="48"/>
          <w:highlight w:val="none"/>
        </w:rPr>
        <w:t>（全流程电子化采购）</w:t>
      </w:r>
    </w:p>
    <w:p>
      <w:pPr>
        <w:snapToGrid w:val="0"/>
        <w:spacing w:line="360" w:lineRule="auto"/>
        <w:rPr>
          <w:rFonts w:ascii="仿宋_GB2312" w:hAnsi="宋体" w:eastAsia="仿宋_GB2312"/>
          <w:color w:val="auto"/>
          <w:sz w:val="30"/>
          <w:szCs w:val="72"/>
          <w:highlight w:val="none"/>
        </w:rPr>
      </w:pPr>
    </w:p>
    <w:p>
      <w:pPr>
        <w:pStyle w:val="24"/>
        <w:snapToGrid w:val="0"/>
        <w:spacing w:line="360" w:lineRule="auto"/>
        <w:ind w:firstLine="1133" w:firstLineChars="396"/>
        <w:rPr>
          <w:rFonts w:ascii="仿宋_GB2312" w:hAnsi="宋体" w:eastAsia="仿宋_GB2312" w:cs="Courier New"/>
          <w:b/>
          <w:bCs/>
          <w:color w:val="auto"/>
          <w:w w:val="95"/>
          <w:sz w:val="30"/>
          <w:szCs w:val="30"/>
          <w:highlight w:val="none"/>
        </w:rPr>
      </w:pPr>
      <w:r>
        <w:rPr>
          <w:rFonts w:hint="eastAsia" w:ascii="仿宋_GB2312" w:hAnsi="宋体" w:eastAsia="仿宋_GB2312" w:cs="Courier New"/>
          <w:b/>
          <w:bCs/>
          <w:color w:val="auto"/>
          <w:w w:val="95"/>
          <w:sz w:val="30"/>
          <w:szCs w:val="30"/>
          <w:highlight w:val="none"/>
        </w:rPr>
        <w:t>项目名称：</w:t>
      </w:r>
      <w:r>
        <w:rPr>
          <w:rFonts w:ascii="仿宋_GB2312" w:hAnsi="宋体" w:eastAsia="仿宋_GB2312" w:cs="Courier New"/>
          <w:b/>
          <w:bCs/>
          <w:color w:val="auto"/>
          <w:w w:val="95"/>
          <w:sz w:val="30"/>
          <w:szCs w:val="30"/>
          <w:highlight w:val="none"/>
        </w:rPr>
        <w:t>广西艺术学院民族艺术教育教学综合楼中央空调采购安装项目</w:t>
      </w:r>
    </w:p>
    <w:p>
      <w:pPr>
        <w:pStyle w:val="24"/>
        <w:snapToGrid w:val="0"/>
        <w:spacing w:line="360" w:lineRule="auto"/>
        <w:ind w:firstLine="1133" w:firstLineChars="396"/>
        <w:rPr>
          <w:rFonts w:ascii="仿宋_GB2312" w:hAnsi="宋体" w:eastAsia="仿宋_GB2312"/>
          <w:color w:val="auto"/>
          <w:sz w:val="30"/>
          <w:szCs w:val="72"/>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ascii="仿宋_GB2312" w:hAnsi="宋体" w:eastAsia="仿宋_GB2312" w:cs="Courier New"/>
          <w:b/>
          <w:bCs/>
          <w:color w:val="auto"/>
          <w:w w:val="95"/>
          <w:sz w:val="30"/>
          <w:szCs w:val="30"/>
          <w:highlight w:val="none"/>
        </w:rPr>
        <w:t>GXZC2024-G1-004599-YZLZ</w:t>
      </w:r>
    </w:p>
    <w:p>
      <w:pPr>
        <w:pStyle w:val="24"/>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 广西艺术学院</w:t>
      </w:r>
    </w:p>
    <w:p>
      <w:pPr>
        <w:pStyle w:val="24"/>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pPr>
        <w:pStyle w:val="24"/>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（采购代理机构编号：</w:t>
      </w:r>
      <w:r>
        <w:rPr>
          <w:rFonts w:ascii="仿宋_GB2312" w:hAnsi="宋体" w:eastAsia="仿宋_GB2312"/>
          <w:b/>
          <w:bCs/>
          <w:color w:val="auto"/>
          <w:w w:val="95"/>
          <w:sz w:val="30"/>
          <w:szCs w:val="30"/>
          <w:highlight w:val="none"/>
        </w:rPr>
        <w:t>YZLNN2024-G1-187-GXZC</w:t>
      </w:r>
      <w:r>
        <w:rPr>
          <w:rFonts w:hint="eastAsia" w:ascii="仿宋_GB2312" w:hAnsi="宋体" w:eastAsia="仿宋_GB2312"/>
          <w:b/>
          <w:bCs/>
          <w:color w:val="auto"/>
          <w:w w:val="95"/>
          <w:sz w:val="30"/>
          <w:szCs w:val="30"/>
          <w:highlight w:val="none"/>
        </w:rPr>
        <w:t>）</w:t>
      </w:r>
    </w:p>
    <w:p>
      <w:pPr>
        <w:pStyle w:val="24"/>
        <w:snapToGrid w:val="0"/>
        <w:spacing w:line="360" w:lineRule="auto"/>
        <w:ind w:firstLine="1125" w:firstLineChars="393"/>
        <w:rPr>
          <w:rFonts w:ascii="仿宋_GB2312" w:hAnsi="宋体" w:eastAsia="仿宋_GB2312"/>
          <w:b/>
          <w:bCs/>
          <w:color w:val="auto"/>
          <w:w w:val="95"/>
          <w:sz w:val="30"/>
          <w:szCs w:val="30"/>
          <w:highlight w:val="none"/>
        </w:rPr>
      </w:pPr>
    </w:p>
    <w:p>
      <w:pPr>
        <w:pStyle w:val="24"/>
        <w:snapToGrid w:val="0"/>
        <w:spacing w:line="360" w:lineRule="auto"/>
        <w:ind w:firstLine="841" w:firstLineChars="294"/>
        <w:jc w:val="center"/>
        <w:rPr>
          <w:rFonts w:ascii="仿宋_GB2312" w:hAnsi="宋体" w:eastAsia="仿宋_GB2312"/>
          <w:b/>
          <w:bCs/>
          <w:color w:val="auto"/>
          <w:w w:val="95"/>
          <w:sz w:val="30"/>
          <w:szCs w:val="30"/>
          <w:highlight w:val="none"/>
        </w:rPr>
      </w:pPr>
      <w:r>
        <w:rPr>
          <w:rFonts w:ascii="仿宋_GB2312" w:hAnsi="宋体" w:eastAsia="仿宋_GB2312"/>
          <w:b/>
          <w:bCs/>
          <w:color w:val="auto"/>
          <w:w w:val="95"/>
          <w:sz w:val="30"/>
          <w:szCs w:val="30"/>
          <w:highlight w:val="none"/>
        </w:rPr>
        <w:t>2024</w:t>
      </w:r>
      <w:r>
        <w:rPr>
          <w:rFonts w:hint="eastAsia" w:ascii="仿宋_GB2312" w:hAnsi="宋体" w:eastAsia="仿宋_GB2312"/>
          <w:b/>
          <w:bCs/>
          <w:color w:val="auto"/>
          <w:w w:val="95"/>
          <w:sz w:val="30"/>
          <w:szCs w:val="30"/>
          <w:highlight w:val="none"/>
        </w:rPr>
        <w:t>年7月</w:t>
      </w:r>
      <w:r>
        <w:rPr>
          <w:rFonts w:ascii="仿宋_GB2312" w:hAnsi="宋体" w:eastAsia="仿宋_GB2312"/>
          <w:b/>
          <w:bCs/>
          <w:color w:val="auto"/>
          <w:w w:val="95"/>
          <w:sz w:val="30"/>
          <w:szCs w:val="30"/>
          <w:highlight w:val="none"/>
        </w:rPr>
        <w:t>22</w:t>
      </w:r>
      <w:r>
        <w:rPr>
          <w:rFonts w:hint="eastAsia" w:ascii="仿宋_GB2312" w:hAnsi="宋体" w:eastAsia="仿宋_GB2312"/>
          <w:b/>
          <w:bCs/>
          <w:color w:val="auto"/>
          <w:w w:val="95"/>
          <w:sz w:val="30"/>
          <w:szCs w:val="30"/>
          <w:highlight w:val="none"/>
        </w:rPr>
        <w:t>日</w:t>
      </w:r>
    </w:p>
    <w:p>
      <w:pPr>
        <w:pStyle w:val="16"/>
        <w:ind w:firstLine="803"/>
        <w:jc w:val="center"/>
        <w:rPr>
          <w:rFonts w:ascii="仿宋_GB2312" w:hAnsi="宋体" w:eastAsia="仿宋_GB2312"/>
          <w:color w:val="auto"/>
          <w:highlight w:val="none"/>
        </w:rPr>
      </w:pPr>
      <w:r>
        <w:rPr>
          <w:rFonts w:ascii="Arial" w:hAnsi="Arial" w:eastAsia="黑体"/>
          <w:bCs/>
          <w:color w:val="auto"/>
          <w:kern w:val="0"/>
          <w:sz w:val="32"/>
          <w:szCs w:val="32"/>
          <w:highlight w:val="none"/>
        </w:rPr>
        <w:br w:type="page"/>
      </w:r>
    </w:p>
    <w:p>
      <w:pPr>
        <w:pStyle w:val="24"/>
        <w:spacing w:before="120" w:after="120" w:line="360" w:lineRule="auto"/>
        <w:jc w:val="center"/>
        <w:rPr>
          <w:rFonts w:ascii="仿宋_GB2312" w:hAnsi="宋体" w:eastAsia="仿宋_GB2312"/>
          <w:color w:val="auto"/>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pStyle w:val="2"/>
        <w:rPr>
          <w:rFonts w:ascii="Calibri" w:hAnsi="Calibri"/>
          <w:b w:val="0"/>
          <w:bCs w:val="0"/>
          <w:caps w:val="0"/>
          <w:color w:val="auto"/>
          <w:sz w:val="21"/>
          <w:szCs w:val="22"/>
          <w:highlight w:val="none"/>
        </w:rPr>
      </w:pPr>
      <w:r>
        <w:rPr>
          <w:rFonts w:ascii="仿宋_GB2312" w:eastAsia="仿宋_GB2312"/>
          <w:b w:val="0"/>
          <w:color w:val="auto"/>
          <w:highlight w:val="none"/>
        </w:rPr>
        <w:fldChar w:fldCharType="begin"/>
      </w:r>
      <w:r>
        <w:rPr>
          <w:rFonts w:hint="eastAsia" w:ascii="仿宋_GB2312" w:eastAsia="仿宋_GB2312"/>
          <w:b w:val="0"/>
          <w:color w:val="auto"/>
          <w:highlight w:val="none"/>
        </w:rPr>
        <w:instrText xml:space="preserve">TOC \o "1-2" \h \z \u</w:instrText>
      </w:r>
      <w:r>
        <w:rPr>
          <w:rFonts w:ascii="仿宋_GB2312" w:eastAsia="仿宋_GB2312"/>
          <w:b w:val="0"/>
          <w:color w:val="auto"/>
          <w:highlight w:val="none"/>
        </w:rPr>
        <w:fldChar w:fldCharType="separate"/>
      </w:r>
      <w:r>
        <w:rPr>
          <w:color w:val="auto"/>
          <w:highlight w:val="none"/>
        </w:rPr>
        <w:fldChar w:fldCharType="begin"/>
      </w:r>
      <w:r>
        <w:rPr>
          <w:color w:val="auto"/>
          <w:highlight w:val="none"/>
        </w:rPr>
        <w:instrText xml:space="preserve"> HYPERLINK \l "_Toc74320800" </w:instrText>
      </w:r>
      <w:r>
        <w:rPr>
          <w:color w:val="auto"/>
          <w:highlight w:val="none"/>
        </w:rPr>
        <w:fldChar w:fldCharType="separate"/>
      </w:r>
      <w:r>
        <w:rPr>
          <w:rStyle w:val="51"/>
          <w:rFonts w:hint="eastAsia"/>
          <w:color w:val="auto"/>
          <w:highlight w:val="none"/>
        </w:rPr>
        <w:t>第一章招标公告</w:t>
      </w:r>
      <w:r>
        <w:rPr>
          <w:color w:val="auto"/>
          <w:highlight w:val="none"/>
        </w:rPr>
        <w:tab/>
      </w:r>
      <w:r>
        <w:rPr>
          <w:color w:val="auto"/>
          <w:highlight w:val="none"/>
        </w:rPr>
        <w:fldChar w:fldCharType="begin"/>
      </w:r>
      <w:r>
        <w:rPr>
          <w:color w:val="auto"/>
          <w:highlight w:val="none"/>
        </w:rPr>
        <w:instrText xml:space="preserve"> PAGEREF _Toc74320800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"_Toc74320801" </w:instrText>
      </w:r>
      <w:r>
        <w:rPr>
          <w:color w:val="auto"/>
          <w:highlight w:val="none"/>
        </w:rPr>
        <w:fldChar w:fldCharType="separate"/>
      </w:r>
      <w:r>
        <w:rPr>
          <w:rStyle w:val="51"/>
          <w:rFonts w:hint="eastAsia"/>
          <w:color w:val="auto"/>
          <w:highlight w:val="none"/>
        </w:rPr>
        <w:t>第二章采购需求</w:t>
      </w:r>
      <w:r>
        <w:rPr>
          <w:color w:val="auto"/>
          <w:highlight w:val="none"/>
        </w:rPr>
        <w:tab/>
      </w:r>
      <w:r>
        <w:rPr>
          <w:color w:val="auto"/>
          <w:highlight w:val="none"/>
        </w:rPr>
        <w:fldChar w:fldCharType="begin"/>
      </w:r>
      <w:r>
        <w:rPr>
          <w:color w:val="auto"/>
          <w:highlight w:val="none"/>
        </w:rPr>
        <w:instrText xml:space="preserve"> PAGEREF _Toc74320801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"_Toc74320802" </w:instrText>
      </w:r>
      <w:r>
        <w:rPr>
          <w:color w:val="auto"/>
          <w:highlight w:val="none"/>
        </w:rPr>
        <w:fldChar w:fldCharType="separate"/>
      </w:r>
      <w:r>
        <w:rPr>
          <w:rStyle w:val="51"/>
          <w:rFonts w:hint="eastAsia"/>
          <w:color w:val="auto"/>
          <w:highlight w:val="none"/>
        </w:rPr>
        <w:t>第三章投标人须</w:t>
      </w:r>
      <w:bookmarkStart w:id="0" w:name="_Hlt79572744"/>
      <w:bookmarkStart w:id="1" w:name="_Hlt79572745"/>
      <w:r>
        <w:rPr>
          <w:rStyle w:val="51"/>
          <w:rFonts w:hint="eastAsia"/>
          <w:color w:val="auto"/>
          <w:highlight w:val="none"/>
        </w:rPr>
        <w:t>知</w:t>
      </w:r>
      <w:bookmarkEnd w:id="0"/>
      <w:bookmarkEnd w:id="1"/>
      <w:r>
        <w:rPr>
          <w:color w:val="auto"/>
          <w:highlight w:val="none"/>
        </w:rPr>
        <w:tab/>
      </w:r>
      <w:r>
        <w:rPr>
          <w:color w:val="auto"/>
          <w:highlight w:val="none"/>
        </w:rPr>
        <w:fldChar w:fldCharType="begin"/>
      </w:r>
      <w:r>
        <w:rPr>
          <w:color w:val="auto"/>
          <w:highlight w:val="none"/>
        </w:rPr>
        <w:instrText xml:space="preserve"> PAGEREF _Toc74320802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"_Toc74320803" </w:instrText>
      </w:r>
      <w:r>
        <w:rPr>
          <w:color w:val="auto"/>
          <w:highlight w:val="none"/>
        </w:rPr>
        <w:fldChar w:fldCharType="separate"/>
      </w:r>
      <w:r>
        <w:rPr>
          <w:rStyle w:val="51"/>
          <w:rFonts w:hint="eastAsia"/>
          <w:color w:val="auto"/>
          <w:highlight w:val="none"/>
        </w:rPr>
        <w:t>第四章评标方</w:t>
      </w:r>
      <w:bookmarkStart w:id="2" w:name="_Hlt82186273"/>
      <w:bookmarkStart w:id="3" w:name="_Hlt82186274"/>
      <w:r>
        <w:rPr>
          <w:rStyle w:val="51"/>
          <w:rFonts w:hint="eastAsia"/>
          <w:color w:val="auto"/>
          <w:highlight w:val="none"/>
        </w:rPr>
        <w:t>法</w:t>
      </w:r>
      <w:bookmarkEnd w:id="2"/>
      <w:bookmarkEnd w:id="3"/>
      <w:r>
        <w:rPr>
          <w:rStyle w:val="51"/>
          <w:rFonts w:hint="eastAsia"/>
          <w:color w:val="auto"/>
          <w:highlight w:val="none"/>
        </w:rPr>
        <w:t>及评标标准</w:t>
      </w:r>
      <w:r>
        <w:rPr>
          <w:color w:val="auto"/>
          <w:highlight w:val="none"/>
        </w:rPr>
        <w:tab/>
      </w:r>
      <w:r>
        <w:rPr>
          <w:color w:val="auto"/>
          <w:highlight w:val="none"/>
        </w:rPr>
        <w:fldChar w:fldCharType="begin"/>
      </w:r>
      <w:r>
        <w:rPr>
          <w:color w:val="auto"/>
          <w:highlight w:val="none"/>
        </w:rPr>
        <w:instrText xml:space="preserve"> PAGEREF _Toc74320803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2"/>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"_Toc74320804" </w:instrText>
      </w:r>
      <w:r>
        <w:rPr>
          <w:color w:val="auto"/>
          <w:highlight w:val="none"/>
        </w:rPr>
        <w:fldChar w:fldCharType="separate"/>
      </w:r>
      <w:r>
        <w:rPr>
          <w:rStyle w:val="51"/>
          <w:rFonts w:hint="eastAsia"/>
          <w:color w:val="auto"/>
          <w:highlight w:val="none"/>
        </w:rPr>
        <w:t>第五章拟签订的合同文本</w:t>
      </w:r>
      <w:r>
        <w:rPr>
          <w:color w:val="auto"/>
          <w:highlight w:val="none"/>
        </w:rPr>
        <w:tab/>
      </w:r>
      <w:r>
        <w:rPr>
          <w:color w:val="auto"/>
          <w:highlight w:val="none"/>
        </w:rPr>
        <w:fldChar w:fldCharType="begin"/>
      </w:r>
      <w:r>
        <w:rPr>
          <w:color w:val="auto"/>
          <w:highlight w:val="none"/>
        </w:rPr>
        <w:instrText xml:space="preserve"> PAGEREF _Toc74320804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2"/>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"_Toc74320805" </w:instrText>
      </w:r>
      <w:r>
        <w:rPr>
          <w:color w:val="auto"/>
          <w:highlight w:val="none"/>
        </w:rPr>
        <w:fldChar w:fldCharType="separate"/>
      </w:r>
      <w:r>
        <w:rPr>
          <w:rStyle w:val="51"/>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_Toc74320805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spacing w:before="120" w:beforeLines="50" w:line="480" w:lineRule="exact"/>
        <w:rPr>
          <w:rFonts w:ascii="仿宋_GB2312" w:hAnsi="宋体" w:eastAsia="仿宋_GB2312"/>
          <w:color w:val="auto"/>
          <w:sz w:val="24"/>
          <w:highlight w:val="none"/>
        </w:rPr>
      </w:pPr>
      <w:r>
        <w:rPr>
          <w:rFonts w:ascii="仿宋_GB2312" w:hAnsi="宋体" w:eastAsia="仿宋_GB2312"/>
          <w:b/>
          <w:color w:val="auto"/>
          <w:sz w:val="24"/>
          <w:highlight w:val="none"/>
        </w:rPr>
        <w:fldChar w:fldCharType="end"/>
      </w:r>
    </w:p>
    <w:p>
      <w:pPr>
        <w:spacing w:before="120" w:beforeLines="50" w:line="480" w:lineRule="exact"/>
        <w:rPr>
          <w:rFonts w:ascii="仿宋_GB2312" w:hAnsi="宋体" w:eastAsia="仿宋_GB2312"/>
          <w:color w:val="auto"/>
          <w:sz w:val="30"/>
          <w:highlight w:val="none"/>
        </w:rPr>
      </w:pPr>
    </w:p>
    <w:p>
      <w:pPr>
        <w:rPr>
          <w:color w:val="auto"/>
          <w:highlight w:val="none"/>
        </w:rPr>
      </w:pPr>
    </w:p>
    <w:p>
      <w:pPr>
        <w:spacing w:before="120" w:beforeLines="50" w:line="480" w:lineRule="exact"/>
        <w:rPr>
          <w:rFonts w:ascii="仿宋_GB2312" w:hAnsi="宋体" w:eastAsia="仿宋_GB2312"/>
          <w:color w:val="auto"/>
          <w:sz w:val="30"/>
          <w:highlight w:val="none"/>
        </w:rPr>
      </w:pPr>
    </w:p>
    <w:p>
      <w:pPr>
        <w:spacing w:before="120" w:beforeLines="50" w:line="480" w:lineRule="exact"/>
        <w:rPr>
          <w:rFonts w:ascii="仿宋_GB2312" w:hAnsi="宋体" w:eastAsia="仿宋_GB2312"/>
          <w:color w:val="auto"/>
          <w:sz w:val="30"/>
          <w:highlight w:val="none"/>
        </w:rPr>
      </w:pPr>
    </w:p>
    <w:p>
      <w:pPr>
        <w:pStyle w:val="16"/>
        <w:rPr>
          <w:rFonts w:ascii="宋体" w:hAnsi="宋体" w:cs="宋体"/>
          <w:b/>
          <w:bCs/>
          <w:color w:val="auto"/>
          <w:highlight w:val="none"/>
        </w:rPr>
      </w:pPr>
      <w:bookmarkStart w:id="4" w:name="_Toc254970489"/>
      <w:bookmarkStart w:id="5" w:name="_Toc254970630"/>
    </w:p>
    <w:p>
      <w:pPr>
        <w:pStyle w:val="3"/>
        <w:keepNext w:val="0"/>
        <w:keepLines w:val="0"/>
        <w:tabs>
          <w:tab w:val="left" w:pos="0"/>
          <w:tab w:val="left" w:pos="3165"/>
          <w:tab w:val="center" w:pos="4153"/>
        </w:tabs>
        <w:autoSpaceDE w:val="0"/>
        <w:autoSpaceDN w:val="0"/>
        <w:adjustRightInd w:val="0"/>
        <w:spacing w:before="0" w:after="0" w:line="360" w:lineRule="auto"/>
        <w:jc w:val="center"/>
        <w:rPr>
          <w:color w:val="auto"/>
          <w:highlight w:val="none"/>
        </w:rPr>
      </w:pPr>
      <w:r>
        <w:rPr>
          <w:rFonts w:ascii="宋体" w:hAnsi="宋体" w:cs="宋体"/>
          <w:b w:val="0"/>
          <w:bCs w:val="0"/>
          <w:color w:val="auto"/>
          <w:highlight w:val="none"/>
        </w:rPr>
        <w:br w:type="page"/>
      </w:r>
      <w:bookmarkStart w:id="6" w:name="_Toc74320800"/>
      <w:r>
        <w:rPr>
          <w:rFonts w:hint="eastAsia"/>
          <w:color w:val="auto"/>
          <w:highlight w:val="none"/>
        </w:rPr>
        <w:t>第一章</w:t>
      </w:r>
      <w:bookmarkEnd w:id="4"/>
      <w:bookmarkEnd w:id="5"/>
      <w:bookmarkStart w:id="7" w:name="_Toc35393789"/>
      <w:bookmarkStart w:id="8" w:name="_Toc28359001"/>
      <w:r>
        <w:rPr>
          <w:rFonts w:hint="eastAsia"/>
          <w:color w:val="auto"/>
          <w:highlight w:val="none"/>
        </w:rPr>
        <w:t xml:space="preserve"> 招标公告</w:t>
      </w:r>
      <w:bookmarkEnd w:id="6"/>
      <w:bookmarkEnd w:id="7"/>
      <w:bookmarkEnd w:id="8"/>
    </w:p>
    <w:p>
      <w:pPr>
        <w:spacing w:line="360" w:lineRule="auto"/>
        <w:rPr>
          <w:rFonts w:ascii="宋体" w:hAnsi="宋体"/>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广西艺术学院民族艺术教育教学综合楼中央空调采购安装项目</w:t>
      </w:r>
      <w:r>
        <w:rPr>
          <w:rFonts w:hint="eastAsia" w:ascii="宋体" w:hAnsi="宋体"/>
          <w:color w:val="auto"/>
          <w:szCs w:val="21"/>
          <w:highlight w:val="none"/>
        </w:rPr>
        <w:t>的潜在投标人应在广西政府采购云平台（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）获取（下载）招标文件，并于</w:t>
      </w:r>
      <w:r>
        <w:rPr>
          <w:rFonts w:ascii="宋体" w:hAnsi="宋体"/>
          <w:color w:val="auto"/>
          <w:szCs w:val="21"/>
          <w:highlight w:val="none"/>
          <w:u w:val="single"/>
        </w:rPr>
        <w:t xml:space="preserve"> 2024</w:t>
      </w:r>
      <w:r>
        <w:rPr>
          <w:rFonts w:hint="eastAsia" w:ascii="宋体" w:hAnsi="宋体"/>
          <w:bCs/>
          <w:color w:val="auto"/>
          <w:szCs w:val="21"/>
          <w:highlight w:val="none"/>
          <w:u w:val="single"/>
        </w:rPr>
        <w:t>年8月</w:t>
      </w:r>
      <w:r>
        <w:rPr>
          <w:rFonts w:ascii="宋体" w:hAnsi="宋体"/>
          <w:bCs/>
          <w:color w:val="auto"/>
          <w:szCs w:val="21"/>
          <w:highlight w:val="none"/>
          <w:u w:val="single"/>
        </w:rPr>
        <w:t>12</w:t>
      </w:r>
      <w:r>
        <w:rPr>
          <w:rFonts w:hint="eastAsia" w:ascii="宋体" w:hAnsi="宋体"/>
          <w:bCs/>
          <w:color w:val="auto"/>
          <w:szCs w:val="21"/>
          <w:highlight w:val="none"/>
          <w:u w:val="single"/>
        </w:rPr>
        <w:t>日</w:t>
      </w:r>
      <w:r>
        <w:rPr>
          <w:rFonts w:ascii="宋体" w:hAnsi="宋体"/>
          <w:bCs/>
          <w:color w:val="auto"/>
          <w:szCs w:val="21"/>
          <w:highlight w:val="none"/>
          <w:u w:val="single"/>
        </w:rPr>
        <w:t>9</w:t>
      </w:r>
      <w:r>
        <w:rPr>
          <w:rFonts w:hint="eastAsia" w:ascii="宋体" w:hAnsi="宋体"/>
          <w:bCs/>
          <w:color w:val="auto"/>
          <w:szCs w:val="21"/>
          <w:highlight w:val="none"/>
          <w:u w:val="single"/>
        </w:rPr>
        <w:t xml:space="preserve">时 </w:t>
      </w:r>
      <w:r>
        <w:rPr>
          <w:rFonts w:ascii="宋体" w:hAnsi="宋体"/>
          <w:bCs/>
          <w:color w:val="auto"/>
          <w:szCs w:val="21"/>
          <w:highlight w:val="none"/>
          <w:u w:val="single"/>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北京时间）前按要求递交（上传）投标</w:t>
      </w:r>
      <w:r>
        <w:rPr>
          <w:rFonts w:ascii="宋体" w:hAnsi="宋体"/>
          <w:bCs/>
          <w:color w:val="auto"/>
          <w:szCs w:val="21"/>
          <w:highlight w:val="none"/>
        </w:rPr>
        <w:t>文件</w:t>
      </w:r>
      <w:r>
        <w:rPr>
          <w:rFonts w:hint="eastAsia" w:ascii="宋体" w:hAnsi="宋体"/>
          <w:color w:val="auto"/>
          <w:szCs w:val="21"/>
          <w:highlight w:val="none"/>
        </w:rPr>
        <w:t>。</w:t>
      </w:r>
    </w:p>
    <w:p>
      <w:pPr>
        <w:spacing w:line="360" w:lineRule="auto"/>
        <w:rPr>
          <w:rFonts w:ascii="宋体" w:hAnsi="宋体"/>
          <w:color w:val="auto"/>
          <w:szCs w:val="21"/>
          <w:highlight w:val="none"/>
        </w:rPr>
      </w:pPr>
    </w:p>
    <w:p>
      <w:pPr>
        <w:spacing w:line="360" w:lineRule="auto"/>
        <w:rPr>
          <w:rFonts w:ascii="黑体" w:hAnsi="黑体" w:eastAsia="黑体"/>
          <w:b/>
          <w:bCs/>
          <w:color w:val="auto"/>
          <w:sz w:val="24"/>
          <w:highlight w:val="none"/>
        </w:rPr>
      </w:pPr>
      <w:bookmarkStart w:id="9" w:name="_Toc28359002"/>
      <w:bookmarkStart w:id="10" w:name="_Toc28359079"/>
      <w:bookmarkStart w:id="11" w:name="_Toc35393621"/>
      <w:bookmarkStart w:id="12" w:name="_Toc35393790"/>
      <w:bookmarkStart w:id="13" w:name="_Hlk24379207"/>
      <w:r>
        <w:rPr>
          <w:rFonts w:hint="eastAsia" w:ascii="黑体" w:hAnsi="黑体" w:eastAsia="黑体"/>
          <w:b/>
          <w:bCs/>
          <w:color w:val="auto"/>
          <w:sz w:val="24"/>
          <w:highlight w:val="none"/>
        </w:rPr>
        <w:t>一、项目基本情况</w:t>
      </w:r>
      <w:bookmarkEnd w:id="9"/>
      <w:bookmarkEnd w:id="10"/>
      <w:bookmarkEnd w:id="11"/>
      <w:bookmarkEnd w:id="1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w:t>
      </w:r>
      <w:r>
        <w:rPr>
          <w:rFonts w:ascii="宋体" w:hAnsi="宋体"/>
          <w:color w:val="auto"/>
          <w:szCs w:val="21"/>
          <w:highlight w:val="none"/>
        </w:rPr>
        <w:t>GXZC2024-G1-004599-YZLZ</w:t>
      </w:r>
      <w:r>
        <w:rPr>
          <w:rFonts w:hint="eastAsia" w:ascii="宋体" w:hAnsi="宋体"/>
          <w:color w:val="auto"/>
          <w:szCs w:val="21"/>
          <w:highlight w:val="none"/>
        </w:rPr>
        <w:t>（采购计划编号：广西政采[2024]13334号）</w:t>
      </w:r>
    </w:p>
    <w:p>
      <w:pPr>
        <w:spacing w:line="360" w:lineRule="auto"/>
        <w:ind w:left="420" w:leftChars="200"/>
        <w:rPr>
          <w:rFonts w:ascii="宋体" w:hAnsi="宋体"/>
          <w:color w:val="auto"/>
          <w:szCs w:val="21"/>
          <w:highlight w:val="none"/>
        </w:rPr>
      </w:pPr>
      <w:r>
        <w:rPr>
          <w:rFonts w:hint="eastAsia" w:ascii="宋体" w:hAnsi="宋体"/>
          <w:color w:val="auto"/>
          <w:szCs w:val="21"/>
          <w:highlight w:val="none"/>
        </w:rPr>
        <w:t>项目名称：</w:t>
      </w:r>
      <w:bookmarkEnd w:id="13"/>
      <w:r>
        <w:rPr>
          <w:rFonts w:hint="eastAsia" w:ascii="宋体" w:hAnsi="宋体"/>
          <w:color w:val="auto"/>
          <w:szCs w:val="21"/>
          <w:highlight w:val="none"/>
        </w:rPr>
        <w:t>广西艺术学院民族艺术教育教学综合楼中央空调采购安装项目</w:t>
      </w:r>
    </w:p>
    <w:p>
      <w:pPr>
        <w:spacing w:line="360" w:lineRule="auto"/>
        <w:ind w:left="420" w:leftChars="200"/>
        <w:rPr>
          <w:rFonts w:ascii="宋体" w:hAnsi="宋体"/>
          <w:color w:val="auto"/>
          <w:szCs w:val="21"/>
          <w:highlight w:val="none"/>
          <w:u w:val="single"/>
        </w:rPr>
      </w:pPr>
      <w:r>
        <w:rPr>
          <w:rFonts w:hint="eastAsia"/>
          <w:color w:val="auto"/>
          <w:highlight w:val="none"/>
        </w:rPr>
        <w:t>预算总金额</w:t>
      </w:r>
      <w:r>
        <w:rPr>
          <w:rFonts w:hint="eastAsia" w:ascii="宋体" w:hAnsi="宋体"/>
          <w:color w:val="auto"/>
          <w:szCs w:val="21"/>
          <w:highlight w:val="none"/>
        </w:rPr>
        <w:t>：</w:t>
      </w:r>
      <w:bookmarkStart w:id="14" w:name="OLE_LINK3"/>
      <w:r>
        <w:rPr>
          <w:rFonts w:ascii="宋体" w:hAnsi="宋体"/>
          <w:color w:val="auto"/>
          <w:szCs w:val="21"/>
          <w:highlight w:val="none"/>
        </w:rPr>
        <w:t>10</w:t>
      </w:r>
      <w:r>
        <w:rPr>
          <w:rFonts w:hint="eastAsia" w:ascii="宋体" w:hAnsi="宋体"/>
          <w:color w:val="auto"/>
          <w:szCs w:val="21"/>
          <w:highlight w:val="none"/>
        </w:rPr>
        <w:t>25万元</w:t>
      </w:r>
      <w:bookmarkEnd w:id="1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w:t>
      </w:r>
      <w:r>
        <w:rPr>
          <w:rFonts w:ascii="宋体" w:hAnsi="宋体"/>
          <w:color w:val="auto"/>
          <w:szCs w:val="21"/>
          <w:highlight w:val="none"/>
        </w:rPr>
        <w:t>10</w:t>
      </w:r>
      <w:r>
        <w:rPr>
          <w:rFonts w:hint="eastAsia" w:ascii="宋体" w:hAnsi="宋体"/>
          <w:color w:val="auto"/>
          <w:szCs w:val="21"/>
          <w:highlight w:val="none"/>
        </w:rPr>
        <w:t>25万元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p>
    <w:tbl>
      <w:tblPr>
        <w:tblStyle w:val="45"/>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559"/>
        <w:gridCol w:w="4962"/>
        <w:gridCol w:w="708"/>
        <w:gridCol w:w="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496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简要技术需求或者服务要求</w:t>
            </w:r>
          </w:p>
        </w:tc>
        <w:tc>
          <w:tcPr>
            <w:tcW w:w="7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70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新风机组</w:t>
            </w:r>
          </w:p>
        </w:tc>
        <w:tc>
          <w:tcPr>
            <w:tcW w:w="496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color w:val="auto"/>
                <w:highlight w:val="none"/>
              </w:rPr>
            </w:pPr>
            <w:r>
              <w:rPr>
                <w:rFonts w:hint="eastAsia" w:ascii="宋体" w:hAnsi="宋体"/>
                <w:color w:val="auto"/>
                <w:szCs w:val="21"/>
                <w:highlight w:val="none"/>
              </w:rPr>
              <w:t>1、风量≥5000m³/h,冷量≥</w:t>
            </w:r>
            <w:r>
              <w:rPr>
                <w:color w:val="auto"/>
                <w:highlight w:val="none"/>
              </w:rPr>
              <w:t>70.0kW；</w:t>
            </w:r>
          </w:p>
          <w:p>
            <w:pPr>
              <w:widowControl/>
              <w:jc w:val="left"/>
              <w:textAlignment w:val="center"/>
              <w:rPr>
                <w:color w:val="auto"/>
                <w:highlight w:val="none"/>
              </w:rPr>
            </w:pPr>
            <w:r>
              <w:rPr>
                <w:color w:val="auto"/>
                <w:highlight w:val="none"/>
              </w:rPr>
              <w:t>2、风压（余压）≥350Pa；</w:t>
            </w:r>
          </w:p>
          <w:p>
            <w:pPr>
              <w:widowControl/>
              <w:jc w:val="left"/>
              <w:textAlignment w:val="center"/>
              <w:rPr>
                <w:color w:val="auto"/>
                <w:highlight w:val="none"/>
              </w:rPr>
            </w:pPr>
            <w:r>
              <w:rPr>
                <w:color w:val="auto"/>
                <w:highlight w:val="none"/>
              </w:rPr>
              <w:t>3、输入功率</w:t>
            </w:r>
            <w:r>
              <w:rPr>
                <w:rFonts w:hint="eastAsia"/>
                <w:color w:val="auto"/>
                <w:highlight w:val="none"/>
              </w:rPr>
              <w:t>≤</w:t>
            </w:r>
            <w:r>
              <w:rPr>
                <w:color w:val="auto"/>
                <w:highlight w:val="none"/>
              </w:rPr>
              <w:t>2.2kW；电压:380V；</w:t>
            </w:r>
          </w:p>
          <w:p>
            <w:pPr>
              <w:widowControl/>
              <w:jc w:val="left"/>
              <w:textAlignment w:val="center"/>
              <w:rPr>
                <w:color w:val="auto"/>
                <w:highlight w:val="none"/>
              </w:rPr>
            </w:pPr>
            <w:r>
              <w:rPr>
                <w:color w:val="auto"/>
                <w:highlight w:val="none"/>
              </w:rPr>
              <w:t>4、空气进口温度 干球：35℃，湿球：28℃，水量</w:t>
            </w:r>
            <w:r>
              <w:rPr>
                <w:rFonts w:hint="eastAsia" w:ascii="宋体" w:hAnsi="宋体"/>
                <w:color w:val="auto"/>
                <w:szCs w:val="21"/>
                <w:highlight w:val="none"/>
              </w:rPr>
              <w:t>≥</w:t>
            </w:r>
            <w:r>
              <w:rPr>
                <w:color w:val="auto"/>
                <w:highlight w:val="none"/>
              </w:rPr>
              <w:t>12</w:t>
            </w:r>
            <w:r>
              <w:rPr>
                <w:rFonts w:ascii="宋体" w:hAnsi="宋体"/>
                <w:color w:val="auto"/>
                <w:szCs w:val="21"/>
                <w:highlight w:val="none"/>
              </w:rPr>
              <w:t>.00</w:t>
            </w:r>
            <w:r>
              <w:rPr>
                <w:color w:val="auto"/>
                <w:highlight w:val="none"/>
              </w:rPr>
              <w:t>m³/h；</w:t>
            </w:r>
          </w:p>
          <w:p>
            <w:pPr>
              <w:widowControl/>
              <w:jc w:val="left"/>
              <w:textAlignment w:val="center"/>
              <w:rPr>
                <w:color w:val="auto"/>
                <w:highlight w:val="none"/>
              </w:rPr>
            </w:pPr>
            <w:r>
              <w:rPr>
                <w:color w:val="auto"/>
                <w:highlight w:val="none"/>
              </w:rPr>
              <w:t>5、噪声</w:t>
            </w:r>
            <w:r>
              <w:rPr>
                <w:rFonts w:hint="eastAsia"/>
                <w:color w:val="auto"/>
                <w:highlight w:val="none"/>
              </w:rPr>
              <w:t>≤</w:t>
            </w:r>
            <w:r>
              <w:rPr>
                <w:color w:val="auto"/>
                <w:highlight w:val="none"/>
              </w:rPr>
              <w:t>68dB(A)；盘管水压降</w:t>
            </w:r>
            <w:r>
              <w:rPr>
                <w:rFonts w:hint="eastAsia"/>
                <w:color w:val="auto"/>
                <w:highlight w:val="none"/>
              </w:rPr>
              <w:t>≤</w:t>
            </w:r>
            <w:r>
              <w:rPr>
                <w:color w:val="auto"/>
                <w:highlight w:val="none"/>
              </w:rPr>
              <w:t>76kPa；</w:t>
            </w:r>
          </w:p>
          <w:p>
            <w:pPr>
              <w:widowControl/>
              <w:jc w:val="left"/>
              <w:textAlignment w:val="center"/>
              <w:rPr>
                <w:color w:val="auto"/>
                <w:highlight w:val="none"/>
              </w:rPr>
            </w:pPr>
            <w:r>
              <w:rPr>
                <w:color w:val="auto"/>
                <w:highlight w:val="none"/>
              </w:rPr>
              <w:t>6、机组箱体采用铝合金边框及无冷桥概念设计，双层面板通过铝合金边框发泡而成，箱体内表面光滑平整，不易积灰滋菌；</w:t>
            </w:r>
          </w:p>
          <w:p>
            <w:pPr>
              <w:widowControl/>
              <w:jc w:val="left"/>
              <w:textAlignment w:val="center"/>
              <w:rPr>
                <w:color w:val="auto"/>
                <w:highlight w:val="none"/>
              </w:rPr>
            </w:pPr>
            <w:r>
              <w:rPr>
                <w:color w:val="auto"/>
                <w:highlight w:val="none"/>
              </w:rPr>
              <w:t>7、面板采用无冷桥设计，双层三明治夹心结构，传热系数满足T2级，冷桥因子满足TB1级。</w:t>
            </w:r>
          </w:p>
          <w:p>
            <w:pPr>
              <w:widowControl/>
              <w:jc w:val="left"/>
              <w:textAlignment w:val="center"/>
              <w:rPr>
                <w:color w:val="auto"/>
                <w:highlight w:val="none"/>
              </w:rPr>
            </w:pPr>
            <w:r>
              <w:rPr>
                <w:color w:val="auto"/>
                <w:highlight w:val="none"/>
              </w:rPr>
              <w:t>8、面板内部采用聚氨脂发泡材料，发泡密度</w:t>
            </w:r>
            <w:r>
              <w:rPr>
                <w:rFonts w:hint="eastAsia" w:ascii="宋体" w:hAnsi="宋体"/>
                <w:color w:val="auto"/>
                <w:szCs w:val="21"/>
                <w:highlight w:val="none"/>
              </w:rPr>
              <w:t>≥</w:t>
            </w:r>
            <w:r>
              <w:rPr>
                <w:color w:val="auto"/>
                <w:highlight w:val="none"/>
              </w:rPr>
              <w:t>45kg/m³。面板中间采用环保无氟聚氨脂整体高压发泡，氧指数</w:t>
            </w:r>
            <w:r>
              <w:rPr>
                <w:rFonts w:hint="eastAsia" w:ascii="宋体" w:hAnsi="宋体"/>
                <w:color w:val="auto"/>
                <w:szCs w:val="21"/>
                <w:highlight w:val="none"/>
              </w:rPr>
              <w:t>≥</w:t>
            </w:r>
            <w:r>
              <w:rPr>
                <w:color w:val="auto"/>
                <w:highlight w:val="none"/>
              </w:rPr>
              <w:t>30%。不得采用石棉或玻璃棉作为保温材料。</w:t>
            </w:r>
          </w:p>
          <w:p>
            <w:pPr>
              <w:widowControl/>
              <w:jc w:val="left"/>
              <w:textAlignment w:val="center"/>
              <w:rPr>
                <w:color w:val="auto"/>
                <w:highlight w:val="none"/>
              </w:rPr>
            </w:pPr>
            <w:r>
              <w:rPr>
                <w:color w:val="auto"/>
                <w:highlight w:val="none"/>
              </w:rPr>
              <w:t>9、换热器采用水铝翅片，不腐蚀。</w:t>
            </w:r>
          </w:p>
          <w:p>
            <w:pPr>
              <w:widowControl/>
              <w:jc w:val="left"/>
              <w:textAlignment w:val="center"/>
              <w:rPr>
                <w:color w:val="auto"/>
                <w:highlight w:val="none"/>
              </w:rPr>
            </w:pPr>
            <w:r>
              <w:rPr>
                <w:color w:val="auto"/>
                <w:highlight w:val="none"/>
              </w:rPr>
              <w:t>10、采用三相鼠笼式交流电机，IP54防护等级，F级绝缘。</w:t>
            </w:r>
          </w:p>
          <w:p>
            <w:pPr>
              <w:widowControl/>
              <w:jc w:val="left"/>
              <w:textAlignment w:val="center"/>
              <w:rPr>
                <w:rFonts w:ascii="宋体" w:hAnsi="宋体"/>
                <w:color w:val="auto"/>
                <w:szCs w:val="21"/>
                <w:highlight w:val="none"/>
              </w:rPr>
            </w:pPr>
            <w:r>
              <w:rPr>
                <w:color w:val="auto"/>
                <w:highlight w:val="none"/>
              </w:rPr>
              <w:t>11、设备形式：卧柜式</w:t>
            </w:r>
          </w:p>
        </w:tc>
        <w:tc>
          <w:tcPr>
            <w:tcW w:w="7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台</w:t>
            </w:r>
          </w:p>
        </w:tc>
        <w:tc>
          <w:tcPr>
            <w:tcW w:w="70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Cs w:val="21"/>
                <w:highlight w:val="none"/>
              </w:rPr>
            </w:pPr>
            <w:r>
              <w:rPr>
                <w:rFonts w:hint="eastAsia" w:ascii="宋体" w:hAnsi="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s="宋体"/>
                <w:color w:val="auto"/>
                <w:kern w:val="0"/>
                <w:szCs w:val="21"/>
                <w:highlight w:val="none"/>
              </w:rPr>
              <w:t>2</w:t>
            </w: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rFonts w:hint="eastAsia" w:ascii="宋体" w:hAnsi="宋体" w:cs="宋体"/>
                <w:bCs/>
                <w:color w:val="auto"/>
                <w:szCs w:val="21"/>
                <w:highlight w:val="none"/>
              </w:rPr>
              <w:t>风机盘管</w:t>
            </w:r>
          </w:p>
        </w:tc>
        <w:tc>
          <w:tcPr>
            <w:tcW w:w="496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1、风量≥1360m³/h,冷量≥8.0kW；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2、风压（余压）=30Pa；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3、输入功率≤156W；电压=220V；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4、空气进口温度 干球：27℃，湿球：19.5℃，水量≥1.35m³/h</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5、噪声≤48dB(A)；盘管水压降≤50kPa</w:t>
            </w:r>
          </w:p>
          <w:p>
            <w:pPr>
              <w:rPr>
                <w:color w:val="auto"/>
                <w:highlight w:val="none"/>
              </w:rPr>
            </w:pPr>
            <w:r>
              <w:rPr>
                <w:rFonts w:hint="eastAsia" w:ascii="宋体" w:hAnsi="宋体" w:cs="宋体"/>
                <w:color w:val="auto"/>
                <w:kern w:val="0"/>
                <w:szCs w:val="21"/>
                <w:highlight w:val="none"/>
              </w:rPr>
              <w:t>6、设备形式：卧式暗装</w:t>
            </w:r>
          </w:p>
        </w:tc>
        <w:tc>
          <w:tcPr>
            <w:tcW w:w="708"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rFonts w:hint="eastAsia" w:ascii="宋体" w:hAnsi="宋体" w:cs="宋体"/>
                <w:color w:val="auto"/>
                <w:kern w:val="0"/>
                <w:szCs w:val="21"/>
                <w:highlight w:val="none"/>
              </w:rPr>
              <w:t>台</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color w:val="auto"/>
                <w:szCs w:val="21"/>
                <w:highlight w:val="none"/>
              </w:rPr>
            </w:pPr>
            <w:r>
              <w:rPr>
                <w:rFonts w:hint="eastAsia" w:ascii="宋体" w:hAnsi="宋体" w:cs="宋体"/>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s="宋体"/>
                <w:color w:val="auto"/>
                <w:kern w:val="0"/>
                <w:szCs w:val="21"/>
                <w:highlight w:val="none"/>
              </w:rPr>
              <w:t>3</w:t>
            </w: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rFonts w:hint="eastAsia" w:ascii="宋体" w:hAnsi="宋体" w:cs="宋体"/>
                <w:bCs/>
                <w:color w:val="auto"/>
                <w:szCs w:val="21"/>
                <w:highlight w:val="none"/>
              </w:rPr>
              <w:t>风机盘管</w:t>
            </w:r>
          </w:p>
        </w:tc>
        <w:tc>
          <w:tcPr>
            <w:tcW w:w="496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1、风量≥1020m³/h,冷量≥6.0kW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2、风压（余压）=30Pa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3、输入功率≤108W；电压=220V；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4、空气进口温度 干球：27℃，湿球：19.5℃，水量≥1.00m³/h</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5、噪声≤47dB(A)；盘管水压降≤50kPa</w:t>
            </w:r>
          </w:p>
          <w:p>
            <w:pPr>
              <w:rPr>
                <w:color w:val="auto"/>
                <w:highlight w:val="none"/>
              </w:rPr>
            </w:pPr>
            <w:r>
              <w:rPr>
                <w:rFonts w:hint="eastAsia" w:ascii="宋体" w:hAnsi="宋体" w:cs="宋体"/>
                <w:color w:val="auto"/>
                <w:kern w:val="0"/>
                <w:szCs w:val="21"/>
                <w:highlight w:val="none"/>
              </w:rPr>
              <w:t>6、设备形式：卧式暗装</w:t>
            </w:r>
          </w:p>
        </w:tc>
        <w:tc>
          <w:tcPr>
            <w:tcW w:w="708"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rFonts w:hint="eastAsia" w:ascii="宋体" w:hAnsi="宋体" w:cs="宋体"/>
                <w:color w:val="auto"/>
                <w:kern w:val="0"/>
                <w:szCs w:val="21"/>
                <w:highlight w:val="none"/>
              </w:rPr>
              <w:t>台</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18"/>
              <w:rPr>
                <w:color w:val="auto"/>
                <w:szCs w:val="21"/>
                <w:highlight w:val="none"/>
              </w:rPr>
            </w:pPr>
            <w:r>
              <w:rPr>
                <w:rFonts w:hint="eastAsia" w:ascii="宋体" w:hAnsi="宋体" w:cs="宋体"/>
                <w:color w:val="auto"/>
                <w:szCs w:val="21"/>
                <w:highlight w:val="none"/>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w:t>
            </w:r>
          </w:p>
        </w:tc>
        <w:tc>
          <w:tcPr>
            <w:tcW w:w="4962"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w:t>
            </w:r>
          </w:p>
        </w:tc>
        <w:tc>
          <w:tcPr>
            <w:tcW w:w="708" w:type="dxa"/>
            <w:tcBorders>
              <w:top w:val="single" w:color="auto" w:sz="4" w:space="0"/>
              <w:left w:val="single" w:color="auto" w:sz="4" w:space="0"/>
              <w:bottom w:val="single" w:color="auto" w:sz="4" w:space="0"/>
              <w:right w:val="single" w:color="auto" w:sz="4" w:space="0"/>
            </w:tcBorders>
            <w:noWrap/>
          </w:tcPr>
          <w:p>
            <w:pPr>
              <w:jc w:val="center"/>
              <w:rPr>
                <w:color w:val="auto"/>
                <w:highlight w:val="none"/>
              </w:rPr>
            </w:pPr>
            <w:r>
              <w:rPr>
                <w:color w:val="auto"/>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18"/>
              <w:rPr>
                <w:color w:val="auto"/>
                <w:szCs w:val="21"/>
                <w:highlight w:val="none"/>
              </w:rPr>
            </w:pP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8755" w:type="dxa"/>
            <w:gridSpan w:val="5"/>
            <w:tcBorders>
              <w:top w:val="single" w:color="auto" w:sz="4" w:space="0"/>
              <w:left w:val="single" w:color="auto" w:sz="4" w:space="0"/>
              <w:bottom w:val="single" w:color="auto" w:sz="4" w:space="0"/>
              <w:right w:val="single" w:color="auto" w:sz="4" w:space="0"/>
            </w:tcBorders>
            <w:noWrap/>
            <w:vAlign w:val="center"/>
          </w:tcPr>
          <w:p>
            <w:pPr>
              <w:pStyle w:val="18"/>
              <w:rPr>
                <w:color w:val="auto"/>
                <w:szCs w:val="21"/>
                <w:highlight w:val="none"/>
              </w:rPr>
            </w:pPr>
            <w:r>
              <w:rPr>
                <w:rFonts w:hint="eastAsia"/>
                <w:color w:val="auto"/>
                <w:szCs w:val="21"/>
                <w:highlight w:val="none"/>
              </w:rPr>
              <w:t>具体详见《第二章 采购需求》</w:t>
            </w:r>
          </w:p>
        </w:tc>
      </w:tr>
    </w:tbl>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合同履行期限：2024年9月1日之前第85至122项设备到货，之后根据采购人的民族艺术教育教学综合楼主体工程进度要求，按图纸要求进行完成安装调试。</w:t>
      </w:r>
      <w:bookmarkStart w:id="155" w:name="_GoBack"/>
      <w:bookmarkEnd w:id="15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本项目不接受联合体投标。</w:t>
      </w:r>
    </w:p>
    <w:p>
      <w:pPr>
        <w:spacing w:line="360" w:lineRule="auto"/>
        <w:rPr>
          <w:rFonts w:ascii="黑体" w:hAnsi="黑体" w:eastAsia="黑体"/>
          <w:b/>
          <w:bCs/>
          <w:color w:val="auto"/>
          <w:sz w:val="24"/>
          <w:highlight w:val="none"/>
        </w:rPr>
      </w:pPr>
      <w:bookmarkStart w:id="15" w:name="_Toc28359080"/>
      <w:bookmarkStart w:id="16" w:name="_Toc28359003"/>
      <w:bookmarkStart w:id="17" w:name="_Toc35393622"/>
      <w:bookmarkStart w:id="18" w:name="_Toc35393791"/>
      <w:r>
        <w:rPr>
          <w:rFonts w:hint="eastAsia" w:ascii="黑体" w:hAnsi="黑体" w:eastAsia="黑体"/>
          <w:b/>
          <w:bCs/>
          <w:color w:val="auto"/>
          <w:sz w:val="24"/>
          <w:highlight w:val="none"/>
        </w:rPr>
        <w:t>二、申请人的资格要求：</w:t>
      </w:r>
      <w:bookmarkEnd w:id="15"/>
      <w:bookmarkEnd w:id="16"/>
      <w:bookmarkEnd w:id="17"/>
      <w:bookmarkEnd w:id="18"/>
    </w:p>
    <w:p>
      <w:pPr>
        <w:spacing w:line="360" w:lineRule="auto"/>
        <w:ind w:firstLine="420" w:firstLineChars="200"/>
        <w:rPr>
          <w:rFonts w:ascii="宋体" w:hAnsi="宋体"/>
          <w:color w:val="auto"/>
          <w:szCs w:val="21"/>
          <w:highlight w:val="none"/>
        </w:rPr>
      </w:pPr>
      <w:bookmarkStart w:id="19" w:name="_Hlk51746371"/>
      <w:r>
        <w:rPr>
          <w:rFonts w:hint="eastAsia" w:ascii="宋体" w:hAnsi="宋体"/>
          <w:color w:val="auto"/>
          <w:szCs w:val="21"/>
          <w:highlight w:val="none"/>
        </w:rPr>
        <w:t>1.满足《中华人民共和国政府采购法》第二十二条规定；</w:t>
      </w:r>
    </w:p>
    <w:p>
      <w:pPr>
        <w:spacing w:line="360" w:lineRule="auto"/>
        <w:ind w:firstLine="420" w:firstLineChars="200"/>
        <w:rPr>
          <w:rFonts w:ascii="宋体" w:hAnsi="宋体"/>
          <w:color w:val="auto"/>
          <w:szCs w:val="21"/>
          <w:highlight w:val="none"/>
        </w:rPr>
      </w:pPr>
      <w:bookmarkStart w:id="20" w:name="_Toc28359081"/>
      <w:bookmarkStart w:id="21" w:name="_Toc28359004"/>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pPr>
        <w:spacing w:line="360" w:lineRule="auto"/>
        <w:ind w:firstLine="420" w:firstLineChars="200"/>
        <w:rPr>
          <w:rStyle w:val="52"/>
          <w:color w:val="auto"/>
          <w:highlight w:val="none"/>
        </w:rPr>
      </w:pPr>
      <w:r>
        <w:rPr>
          <w:rFonts w:hint="eastAsia" w:ascii="宋体" w:hAnsi="宋体"/>
          <w:color w:val="auto"/>
          <w:szCs w:val="21"/>
          <w:highlight w:val="none"/>
        </w:rPr>
        <w:t>3.本项目的特定资格要求：无</w:t>
      </w:r>
    </w:p>
    <w:bookmarkEnd w:id="19"/>
    <w:p>
      <w:pPr>
        <w:spacing w:line="360" w:lineRule="auto"/>
        <w:rPr>
          <w:rFonts w:ascii="黑体" w:hAnsi="黑体" w:eastAsia="黑体"/>
          <w:b/>
          <w:bCs/>
          <w:color w:val="auto"/>
          <w:sz w:val="24"/>
          <w:highlight w:val="none"/>
        </w:rPr>
      </w:pPr>
      <w:bookmarkStart w:id="22" w:name="_Toc35393623"/>
      <w:bookmarkStart w:id="23" w:name="_Toc35393792"/>
      <w:r>
        <w:rPr>
          <w:rFonts w:hint="eastAsia" w:ascii="黑体" w:hAnsi="黑体" w:eastAsia="黑体"/>
          <w:b/>
          <w:bCs/>
          <w:color w:val="auto"/>
          <w:sz w:val="24"/>
          <w:highlight w:val="none"/>
        </w:rPr>
        <w:t>三、获取招标文件</w:t>
      </w:r>
      <w:bookmarkEnd w:id="20"/>
      <w:bookmarkEnd w:id="21"/>
      <w:bookmarkEnd w:id="22"/>
      <w:bookmarkEnd w:id="23"/>
    </w:p>
    <w:p>
      <w:pPr>
        <w:spacing w:line="360" w:lineRule="auto"/>
        <w:ind w:firstLine="540"/>
        <w:rPr>
          <w:rFonts w:ascii="Cambria" w:hAnsi="Cambria" w:cs="Cambria"/>
          <w:bCs/>
          <w:color w:val="auto"/>
          <w:kern w:val="0"/>
          <w:szCs w:val="21"/>
          <w:highlight w:val="none"/>
        </w:rPr>
      </w:pPr>
      <w:r>
        <w:rPr>
          <w:rFonts w:hint="eastAsia" w:ascii="宋体" w:hAnsi="宋体" w:cs="宋体"/>
          <w:bCs/>
          <w:color w:val="auto"/>
          <w:kern w:val="0"/>
          <w:szCs w:val="21"/>
          <w:highlight w:val="none"/>
        </w:rPr>
        <w:t xml:space="preserve">时间： </w:t>
      </w:r>
      <w:r>
        <w:rPr>
          <w:rFonts w:hint="eastAsia" w:ascii="宋体" w:hAnsi="宋体" w:cs="宋体"/>
          <w:bCs/>
          <w:color w:val="auto"/>
          <w:kern w:val="0"/>
          <w:szCs w:val="21"/>
          <w:highlight w:val="none"/>
          <w:u w:val="single"/>
        </w:rPr>
        <w:t>202</w:t>
      </w:r>
      <w:r>
        <w:rPr>
          <w:rFonts w:ascii="宋体" w:hAnsi="宋体" w:cs="宋体"/>
          <w:bCs/>
          <w:color w:val="auto"/>
          <w:kern w:val="0"/>
          <w:szCs w:val="21"/>
          <w:highlight w:val="none"/>
          <w:u w:val="single"/>
        </w:rPr>
        <w:t>4</w:t>
      </w:r>
      <w:r>
        <w:rPr>
          <w:rFonts w:hint="eastAsia" w:ascii="宋体" w:hAnsi="宋体" w:cs="宋体"/>
          <w:bCs/>
          <w:color w:val="auto"/>
          <w:kern w:val="0"/>
          <w:szCs w:val="21"/>
          <w:highlight w:val="none"/>
          <w:u w:val="single"/>
        </w:rPr>
        <w:t xml:space="preserve">年 </w:t>
      </w:r>
      <w:r>
        <w:rPr>
          <w:rFonts w:ascii="宋体" w:hAnsi="宋体" w:cs="宋体"/>
          <w:bCs/>
          <w:color w:val="auto"/>
          <w:kern w:val="0"/>
          <w:szCs w:val="21"/>
          <w:highlight w:val="none"/>
          <w:u w:val="single"/>
        </w:rPr>
        <w:t>7</w:t>
      </w:r>
      <w:r>
        <w:rPr>
          <w:rFonts w:hint="eastAsia" w:ascii="宋体" w:hAnsi="宋体" w:cs="宋体"/>
          <w:bCs/>
          <w:color w:val="auto"/>
          <w:kern w:val="0"/>
          <w:szCs w:val="21"/>
          <w:highlight w:val="none"/>
          <w:u w:val="single"/>
        </w:rPr>
        <w:t>月</w:t>
      </w:r>
      <w:r>
        <w:rPr>
          <w:rFonts w:ascii="宋体" w:hAnsi="宋体" w:cs="宋体"/>
          <w:bCs/>
          <w:color w:val="auto"/>
          <w:kern w:val="0"/>
          <w:szCs w:val="21"/>
          <w:highlight w:val="none"/>
          <w:u w:val="single"/>
        </w:rPr>
        <w:t>22</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202</w:t>
      </w:r>
      <w:r>
        <w:rPr>
          <w:rFonts w:ascii="宋体" w:hAnsi="宋体" w:cs="宋体"/>
          <w:bCs/>
          <w:color w:val="auto"/>
          <w:kern w:val="0"/>
          <w:szCs w:val="21"/>
          <w:highlight w:val="none"/>
          <w:u w:val="single"/>
        </w:rPr>
        <w:t>4</w:t>
      </w:r>
      <w:r>
        <w:rPr>
          <w:rFonts w:hint="eastAsia" w:ascii="宋体" w:hAnsi="宋体" w:cs="宋体"/>
          <w:bCs/>
          <w:color w:val="auto"/>
          <w:kern w:val="0"/>
          <w:szCs w:val="21"/>
          <w:highlight w:val="none"/>
          <w:u w:val="single"/>
        </w:rPr>
        <w:t xml:space="preserve">年 </w:t>
      </w:r>
      <w:r>
        <w:rPr>
          <w:rFonts w:ascii="宋体" w:hAnsi="宋体" w:cs="宋体"/>
          <w:bCs/>
          <w:color w:val="auto"/>
          <w:kern w:val="0"/>
          <w:szCs w:val="21"/>
          <w:highlight w:val="none"/>
          <w:u w:val="single"/>
        </w:rPr>
        <w:t>7</w:t>
      </w:r>
      <w:r>
        <w:rPr>
          <w:rFonts w:hint="eastAsia" w:ascii="宋体" w:hAnsi="宋体" w:cs="宋体"/>
          <w:bCs/>
          <w:color w:val="auto"/>
          <w:kern w:val="0"/>
          <w:szCs w:val="21"/>
          <w:highlight w:val="none"/>
          <w:u w:val="single"/>
        </w:rPr>
        <w:t>月</w:t>
      </w:r>
      <w:r>
        <w:rPr>
          <w:rFonts w:ascii="宋体" w:hAnsi="宋体" w:cs="宋体"/>
          <w:bCs/>
          <w:color w:val="auto"/>
          <w:kern w:val="0"/>
          <w:szCs w:val="21"/>
          <w:highlight w:val="none"/>
          <w:u w:val="single"/>
        </w:rPr>
        <w:t>29</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Cambria" w:hAnsi="Cambria" w:cs="Cambria"/>
          <w:bCs/>
          <w:color w:val="auto"/>
          <w:kern w:val="0"/>
          <w:szCs w:val="21"/>
          <w:highlight w:val="none"/>
        </w:rPr>
        <w:t>每天上午</w:t>
      </w:r>
      <w:r>
        <w:rPr>
          <w:rFonts w:ascii="Cambria" w:hAnsi="Cambria" w:cs="Cambria"/>
          <w:bCs/>
          <w:color w:val="auto"/>
          <w:kern w:val="0"/>
          <w:szCs w:val="21"/>
          <w:highlight w:val="none"/>
          <w:u w:val="single"/>
        </w:rPr>
        <w:t>0</w:t>
      </w:r>
      <w:r>
        <w:rPr>
          <w:rFonts w:hint="eastAsia" w:ascii="Cambria" w:hAnsi="Cambria" w:cs="Cambria"/>
          <w:bCs/>
          <w:color w:val="auto"/>
          <w:kern w:val="0"/>
          <w:szCs w:val="21"/>
          <w:highlight w:val="none"/>
          <w:u w:val="single"/>
        </w:rPr>
        <w:t>：</w:t>
      </w:r>
      <w:r>
        <w:rPr>
          <w:rFonts w:ascii="Cambria" w:hAnsi="Cambria" w:cs="Cambria"/>
          <w:bCs/>
          <w:color w:val="auto"/>
          <w:kern w:val="0"/>
          <w:szCs w:val="21"/>
          <w:highlight w:val="none"/>
          <w:u w:val="single"/>
        </w:rPr>
        <w:t>00</w:t>
      </w:r>
      <w:r>
        <w:rPr>
          <w:rFonts w:hint="eastAsia" w:ascii="Cambria" w:hAnsi="Cambria" w:cs="Cambria"/>
          <w:bCs/>
          <w:color w:val="auto"/>
          <w:kern w:val="0"/>
          <w:szCs w:val="21"/>
          <w:highlight w:val="none"/>
          <w:u w:val="single"/>
        </w:rPr>
        <w:t>至</w:t>
      </w:r>
      <w:r>
        <w:rPr>
          <w:rFonts w:ascii="Cambria" w:hAnsi="Cambria" w:cs="Cambria"/>
          <w:bCs/>
          <w:color w:val="auto"/>
          <w:kern w:val="0"/>
          <w:szCs w:val="21"/>
          <w:highlight w:val="none"/>
          <w:u w:val="single"/>
        </w:rPr>
        <w:t>12:00</w:t>
      </w:r>
      <w:r>
        <w:rPr>
          <w:rFonts w:hint="eastAsia" w:ascii="Cambria" w:hAnsi="Cambria" w:cs="Cambria"/>
          <w:bCs/>
          <w:color w:val="auto"/>
          <w:kern w:val="0"/>
          <w:szCs w:val="21"/>
          <w:highlight w:val="none"/>
        </w:rPr>
        <w:t>，</w:t>
      </w:r>
      <w:r>
        <w:rPr>
          <w:rFonts w:hint="eastAsia" w:ascii="Cambria" w:hAnsi="Cambria" w:cs="Cambria"/>
          <w:bCs/>
          <w:color w:val="auto"/>
          <w:kern w:val="0"/>
          <w:szCs w:val="21"/>
          <w:highlight w:val="none"/>
          <w:u w:val="single"/>
        </w:rPr>
        <w:t>下午</w:t>
      </w:r>
      <w:r>
        <w:rPr>
          <w:rFonts w:ascii="Cambria" w:hAnsi="Cambria" w:cs="Cambria"/>
          <w:bCs/>
          <w:color w:val="auto"/>
          <w:kern w:val="0"/>
          <w:szCs w:val="21"/>
          <w:highlight w:val="none"/>
          <w:u w:val="single"/>
        </w:rPr>
        <w:t>12:00</w:t>
      </w:r>
      <w:r>
        <w:rPr>
          <w:rFonts w:hint="eastAsia" w:ascii="Cambria" w:hAnsi="Cambria" w:cs="Cambria"/>
          <w:bCs/>
          <w:color w:val="auto"/>
          <w:kern w:val="0"/>
          <w:szCs w:val="21"/>
          <w:highlight w:val="none"/>
          <w:u w:val="single"/>
        </w:rPr>
        <w:t>至</w:t>
      </w:r>
      <w:r>
        <w:rPr>
          <w:rFonts w:ascii="Cambria" w:hAnsi="Cambria" w:cs="Cambria"/>
          <w:bCs/>
          <w:color w:val="auto"/>
          <w:kern w:val="0"/>
          <w:szCs w:val="21"/>
          <w:highlight w:val="none"/>
          <w:u w:val="single"/>
        </w:rPr>
        <w:t>23:59</w:t>
      </w:r>
      <w:r>
        <w:rPr>
          <w:rFonts w:hint="eastAsia" w:ascii="Cambria" w:hAnsi="Cambria" w:cs="Cambria"/>
          <w:bCs/>
          <w:color w:val="auto"/>
          <w:kern w:val="0"/>
          <w:szCs w:val="21"/>
          <w:highlight w:val="none"/>
          <w:u w:val="single"/>
        </w:rPr>
        <w:t>　</w:t>
      </w:r>
      <w:r>
        <w:rPr>
          <w:rFonts w:hint="eastAsia" w:ascii="Cambria" w:hAnsi="Cambria" w:cs="Cambria"/>
          <w:bCs/>
          <w:color w:val="auto"/>
          <w:kern w:val="0"/>
          <w:szCs w:val="21"/>
          <w:highlight w:val="none"/>
        </w:rPr>
        <w:t>（北京时间）</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r>
        <w:rPr>
          <w:rFonts w:hint="eastAsia" w:ascii="宋体" w:hAnsi="宋体" w:cs="宋体"/>
          <w:bCs/>
          <w:color w:val="auto"/>
          <w:kern w:val="0"/>
          <w:szCs w:val="21"/>
          <w:highlight w:val="none"/>
        </w:rPr>
        <w:t>-进入“项目采购”应用，在获取采购文件菜单中选择项目，获取招标文件。</w:t>
      </w:r>
      <w:r>
        <w:rPr>
          <w:rFonts w:hint="eastAsia" w:ascii="宋体" w:hAnsi="宋体"/>
          <w:color w:val="auto"/>
          <w:szCs w:val="21"/>
          <w:highlight w:val="none"/>
        </w:rPr>
        <w:t>电子投标文件制作需要基于广西政府采购云平台获取的招标文件编制，</w:t>
      </w:r>
      <w:r>
        <w:rPr>
          <w:rFonts w:hint="eastAsia" w:ascii="宋体" w:hAnsi="宋体" w:cs="宋体"/>
          <w:bCs/>
          <w:color w:val="auto"/>
          <w:kern w:val="0"/>
          <w:szCs w:val="21"/>
          <w:highlight w:val="none"/>
        </w:rPr>
        <w:t>通过其他方式获取招标文件的，将有可能导致供应商无法在</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编制及上传投标文件。</w:t>
      </w:r>
    </w:p>
    <w:p>
      <w:pPr>
        <w:spacing w:line="360" w:lineRule="auto"/>
        <w:ind w:firstLine="54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
          <w:color w:val="auto"/>
          <w:szCs w:val="21"/>
          <w:highlight w:val="none"/>
          <w:u w:val="single"/>
        </w:rPr>
        <w:t>0</w:t>
      </w:r>
      <w:r>
        <w:rPr>
          <w:rFonts w:hint="eastAsia" w:ascii="宋体" w:hAnsi="宋体" w:cs="宋体"/>
          <w:color w:val="auto"/>
          <w:szCs w:val="21"/>
          <w:highlight w:val="none"/>
        </w:rPr>
        <w:t>元</w:t>
      </w:r>
    </w:p>
    <w:p>
      <w:pPr>
        <w:spacing w:line="360" w:lineRule="auto"/>
        <w:rPr>
          <w:rFonts w:ascii="黑体" w:hAnsi="黑体" w:eastAsia="黑体"/>
          <w:b/>
          <w:bCs/>
          <w:color w:val="auto"/>
          <w:sz w:val="24"/>
          <w:highlight w:val="none"/>
        </w:rPr>
      </w:pPr>
      <w:bookmarkStart w:id="24" w:name="_Toc28359005"/>
      <w:bookmarkStart w:id="25" w:name="_Toc28359082"/>
      <w:bookmarkStart w:id="26" w:name="_Toc35393624"/>
      <w:bookmarkStart w:id="27" w:name="_Toc35393793"/>
      <w:r>
        <w:rPr>
          <w:rFonts w:hint="eastAsia" w:ascii="黑体" w:hAnsi="黑体" w:eastAsia="黑体"/>
          <w:b/>
          <w:bCs/>
          <w:color w:val="auto"/>
          <w:sz w:val="24"/>
          <w:highlight w:val="none"/>
        </w:rPr>
        <w:t>四、提交投标文件</w:t>
      </w:r>
      <w:bookmarkEnd w:id="24"/>
      <w:bookmarkEnd w:id="25"/>
      <w:r>
        <w:rPr>
          <w:rFonts w:hint="eastAsia" w:ascii="黑体" w:hAnsi="黑体" w:eastAsia="黑体"/>
          <w:b/>
          <w:bCs/>
          <w:color w:val="auto"/>
          <w:sz w:val="24"/>
          <w:highlight w:val="none"/>
        </w:rPr>
        <w:t>截止时间、开标时间和地点</w:t>
      </w:r>
      <w:bookmarkEnd w:id="26"/>
      <w:bookmarkEnd w:id="27"/>
    </w:p>
    <w:p>
      <w:pPr>
        <w:spacing w:line="360" w:lineRule="auto"/>
        <w:ind w:firstLine="420" w:firstLineChars="200"/>
        <w:rPr>
          <w:rFonts w:ascii="宋体" w:hAnsi="宋体"/>
          <w:bCs/>
          <w:color w:val="auto"/>
          <w:szCs w:val="21"/>
          <w:highlight w:val="none"/>
        </w:rPr>
      </w:pPr>
      <w:bookmarkStart w:id="28" w:name="_Toc35393625"/>
      <w:bookmarkStart w:id="29" w:name="_Toc28359007"/>
      <w:bookmarkStart w:id="30" w:name="_Toc35393794"/>
      <w:bookmarkStart w:id="31" w:name="_Toc28359084"/>
      <w:r>
        <w:rPr>
          <w:rFonts w:ascii="宋体" w:hAnsi="宋体"/>
          <w:bCs/>
          <w:color w:val="auto"/>
          <w:szCs w:val="21"/>
          <w:highlight w:val="none"/>
          <w:u w:val="single"/>
        </w:rPr>
        <w:t>2024</w:t>
      </w:r>
      <w:r>
        <w:rPr>
          <w:rFonts w:hint="eastAsia" w:ascii="宋体" w:hAnsi="宋体"/>
          <w:bCs/>
          <w:color w:val="auto"/>
          <w:szCs w:val="21"/>
          <w:highlight w:val="none"/>
          <w:u w:val="single"/>
        </w:rPr>
        <w:t xml:space="preserve"> 年</w:t>
      </w:r>
      <w:r>
        <w:rPr>
          <w:rFonts w:ascii="宋体" w:hAnsi="宋体"/>
          <w:bCs/>
          <w:color w:val="auto"/>
          <w:szCs w:val="21"/>
          <w:highlight w:val="none"/>
          <w:u w:val="single"/>
        </w:rPr>
        <w:t>8</w:t>
      </w:r>
      <w:r>
        <w:rPr>
          <w:rFonts w:hint="eastAsia" w:ascii="宋体" w:hAnsi="宋体"/>
          <w:bCs/>
          <w:color w:val="auto"/>
          <w:szCs w:val="21"/>
          <w:highlight w:val="none"/>
          <w:u w:val="single"/>
        </w:rPr>
        <w:t>月</w:t>
      </w:r>
      <w:r>
        <w:rPr>
          <w:rFonts w:ascii="宋体" w:hAnsi="宋体"/>
          <w:bCs/>
          <w:color w:val="auto"/>
          <w:szCs w:val="21"/>
          <w:highlight w:val="none"/>
          <w:u w:val="single"/>
        </w:rPr>
        <w:t>12</w:t>
      </w:r>
      <w:r>
        <w:rPr>
          <w:rFonts w:hint="eastAsia" w:ascii="宋体" w:hAnsi="宋体"/>
          <w:bCs/>
          <w:color w:val="auto"/>
          <w:szCs w:val="21"/>
          <w:highlight w:val="none"/>
          <w:u w:val="single"/>
        </w:rPr>
        <w:t>日</w:t>
      </w:r>
      <w:r>
        <w:rPr>
          <w:rFonts w:ascii="宋体" w:hAnsi="宋体"/>
          <w:bCs/>
          <w:color w:val="auto"/>
          <w:szCs w:val="21"/>
          <w:highlight w:val="none"/>
          <w:u w:val="single"/>
        </w:rPr>
        <w:t>9</w:t>
      </w:r>
      <w:r>
        <w:rPr>
          <w:rFonts w:hint="eastAsia" w:ascii="宋体" w:hAnsi="宋体"/>
          <w:bCs/>
          <w:color w:val="auto"/>
          <w:szCs w:val="21"/>
          <w:highlight w:val="none"/>
          <w:u w:val="single"/>
        </w:rPr>
        <w:t>时</w:t>
      </w:r>
      <w:r>
        <w:rPr>
          <w:rFonts w:ascii="宋体" w:hAnsi="宋体"/>
          <w:bCs/>
          <w:color w:val="auto"/>
          <w:szCs w:val="21"/>
          <w:highlight w:val="none"/>
          <w:u w:val="single"/>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投标地点：广西政府采购云平台（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开标地点：广西政府采购云平台电子开标大厅</w:t>
      </w:r>
    </w:p>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ascii="黑体" w:hAnsi="黑体" w:eastAsia="黑体"/>
          <w:b/>
          <w:bCs/>
          <w:color w:val="auto"/>
          <w:sz w:val="24"/>
          <w:highlight w:val="none"/>
        </w:rPr>
      </w:pPr>
      <w:bookmarkStart w:id="32" w:name="_Toc35393626"/>
      <w:bookmarkStart w:id="33" w:name="_Toc35393795"/>
      <w:r>
        <w:rPr>
          <w:rFonts w:hint="eastAsia" w:ascii="黑体" w:hAnsi="黑体" w:eastAsia="黑体"/>
          <w:b/>
          <w:bCs/>
          <w:color w:val="auto"/>
          <w:sz w:val="24"/>
          <w:highlight w:val="none"/>
        </w:rPr>
        <w:t>六、其他补充事宜</w:t>
      </w:r>
      <w:bookmarkEnd w:id="32"/>
      <w:bookmarkEnd w:id="33"/>
    </w:p>
    <w:p>
      <w:pPr>
        <w:spacing w:line="360" w:lineRule="auto"/>
        <w:ind w:firstLine="420" w:firstLineChars="200"/>
        <w:rPr>
          <w:rFonts w:ascii="宋体" w:hAnsi="宋体" w:cs="宋体"/>
          <w:color w:val="auto"/>
          <w:kern w:val="0"/>
          <w:szCs w:val="21"/>
          <w:highlight w:val="none"/>
        </w:rPr>
      </w:pPr>
      <w:bookmarkStart w:id="34" w:name="_Hlk37429595"/>
      <w:bookmarkStart w:id="35" w:name="_Hlk37429585"/>
      <w:r>
        <w:rPr>
          <w:rFonts w:hint="eastAsia" w:ascii="宋体" w:hAnsi="宋体" w:cs="宋体"/>
          <w:color w:val="auto"/>
          <w:kern w:val="0"/>
          <w:szCs w:val="21"/>
          <w:highlight w:val="none"/>
        </w:rPr>
        <w:t>1.网上查询地址</w:t>
      </w:r>
    </w:p>
    <w:bookmarkEnd w:id="34"/>
    <w:bookmarkEnd w:id="35"/>
    <w:p>
      <w:pPr>
        <w:spacing w:line="360" w:lineRule="auto"/>
        <w:ind w:firstLine="424" w:firstLineChars="202"/>
        <w:rPr>
          <w:rFonts w:ascii="宋体" w:hAnsi="宋体" w:cs="宋体"/>
          <w:color w:val="auto"/>
          <w:kern w:val="0"/>
          <w:szCs w:val="21"/>
          <w:highlight w:val="none"/>
        </w:rPr>
      </w:pPr>
      <w:bookmarkStart w:id="36" w:name="_Hlk37429674"/>
      <w:r>
        <w:rPr>
          <w:rFonts w:hint="eastAsia" w:ascii="宋体" w:hAnsi="宋体" w:cs="宋体"/>
          <w:color w:val="auto"/>
          <w:kern w:val="0"/>
          <w:szCs w:val="21"/>
          <w:highlight w:val="none"/>
        </w:rPr>
        <w:t>中国政府采购网（ http://www.ccgp.gov.cn）</w:t>
      </w:r>
    </w:p>
    <w:p>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广西壮族自治区政府采购网（ http://zfcg.gxzf.gov.cn）</w:t>
      </w:r>
    </w:p>
    <w:p>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 xml:space="preserve">广西壮族自治区公共资源交易中心（ </w:t>
      </w:r>
      <w:r>
        <w:rPr>
          <w:color w:val="auto"/>
          <w:highlight w:val="none"/>
        </w:rPr>
        <w:fldChar w:fldCharType="begin"/>
      </w:r>
      <w:r>
        <w:rPr>
          <w:color w:val="auto"/>
          <w:highlight w:val="none"/>
        </w:rPr>
        <w:instrText xml:space="preserve"> HYPERLINK "http://gxggzy.gxzf.gov.cn/" </w:instrText>
      </w:r>
      <w:r>
        <w:rPr>
          <w:color w:val="auto"/>
          <w:highlight w:val="none"/>
        </w:rPr>
        <w:fldChar w:fldCharType="separate"/>
      </w:r>
      <w:r>
        <w:rPr>
          <w:rFonts w:hint="eastAsia"/>
          <w:color w:val="auto"/>
          <w:highlight w:val="none"/>
        </w:rPr>
        <w:t>http://gxggzy.gxzf.gov.cn/</w:t>
      </w:r>
      <w:r>
        <w:rPr>
          <w:rFonts w:hint="eastAsia"/>
          <w:color w:val="auto"/>
          <w:highlight w:val="none"/>
        </w:rPr>
        <w:fldChar w:fldCharType="end"/>
      </w:r>
      <w:r>
        <w:rPr>
          <w:rFonts w:hint="eastAsia" w:ascii="宋体" w:hAnsi="宋体" w:cs="宋体"/>
          <w:color w:val="auto"/>
          <w:kern w:val="0"/>
          <w:szCs w:val="21"/>
          <w:highlight w:val="none"/>
        </w:rPr>
        <w:t>）</w:t>
      </w:r>
    </w:p>
    <w:p>
      <w:pPr>
        <w:spacing w:line="360" w:lineRule="auto"/>
        <w:ind w:firstLine="424" w:firstLineChars="202"/>
        <w:rPr>
          <w:rFonts w:ascii="宋体" w:hAnsi="宋体" w:cs="宋体"/>
          <w:color w:val="auto"/>
          <w:kern w:val="0"/>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36"/>
    <w:p>
      <w:pPr>
        <w:widowControl/>
        <w:spacing w:line="360" w:lineRule="auto"/>
        <w:ind w:firstLine="420" w:firstLineChars="200"/>
        <w:jc w:val="left"/>
        <w:rPr>
          <w:rFonts w:ascii="宋体" w:hAnsi="宋体"/>
          <w:color w:val="auto"/>
          <w:szCs w:val="21"/>
          <w:highlight w:val="none"/>
        </w:rPr>
      </w:pPr>
      <w:bookmarkStart w:id="37" w:name="_Toc28359008"/>
      <w:bookmarkStart w:id="38" w:name="_Toc35393627"/>
      <w:bookmarkStart w:id="39" w:name="_Toc28359085"/>
      <w:bookmarkStart w:id="40" w:name="_Toc35393796"/>
      <w:r>
        <w:rPr>
          <w:rFonts w:hint="eastAsia" w:ascii="宋体" w:hAnsi="宋体" w:cs="宋体"/>
          <w:color w:val="auto"/>
          <w:kern w:val="0"/>
          <w:szCs w:val="21"/>
          <w:highlight w:val="none"/>
        </w:rPr>
        <w:t>3.投标人</w:t>
      </w:r>
      <w:r>
        <w:rPr>
          <w:rFonts w:hint="eastAsia" w:ascii="宋体" w:hAnsi="宋体"/>
          <w:color w:val="auto"/>
          <w:szCs w:val="21"/>
          <w:highlight w:val="none"/>
        </w:rPr>
        <w:t>投标注意事项</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）实行在线电子投标，投标人应按照本项目招标文件和广西政府采购云平台的要求编制、加密后在投标截止时间前通过网络上传至广西政府采购云平台（加密的电子投标文件是指</w:t>
      </w:r>
      <w:r>
        <w:rPr>
          <w:rFonts w:hint="eastAsia"/>
          <w:color w:val="auto"/>
          <w:highlight w:val="none"/>
        </w:rPr>
        <w:t>后缀名为“</w:t>
      </w:r>
      <w:r>
        <w:rPr>
          <w:color w:val="auto"/>
          <w:highlight w:val="none"/>
        </w:rPr>
        <w:t>jmbs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投标人在</w:t>
      </w:r>
      <w:r>
        <w:rPr>
          <w:rFonts w:hint="eastAsia" w:ascii="宋体" w:hAnsi="宋体"/>
          <w:color w:val="auto"/>
          <w:szCs w:val="21"/>
          <w:highlight w:val="none"/>
        </w:rPr>
        <w:t>广西政府采购云平台</w:t>
      </w:r>
      <w:r>
        <w:rPr>
          <w:rFonts w:hint="eastAsia" w:ascii="宋体" w:hAnsi="宋体"/>
          <w:b/>
          <w:color w:val="auto"/>
          <w:szCs w:val="21"/>
          <w:highlight w:val="none"/>
        </w:rPr>
        <w:t>提交电子投标文件时，请填写参加远程开标活动经办人联系方式。</w:t>
      </w:r>
      <w:r>
        <w:rPr>
          <w:rFonts w:hint="eastAsia" w:ascii="宋体" w:hAnsi="宋体"/>
          <w:color w:val="auto"/>
          <w:szCs w:val="21"/>
          <w:highlight w:val="none"/>
        </w:rPr>
        <w:t>投标人登录广西政府采购云平台，依次进入“服务中心-帮助文档-操作流程-电子招投标-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”查看电子投标具体操作流程。</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w:t>
      </w:r>
      <w:r>
        <w:rPr>
          <w:rFonts w:hint="eastAsia" w:ascii="宋体" w:hAnsi="宋体"/>
          <w:color w:val="auto"/>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电子开标大厅现场按规定时间对加密的投标文件进行解密，否则后果自负。</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w:t>
      </w:r>
    </w:p>
    <w:p>
      <w:pPr>
        <w:spacing w:line="360" w:lineRule="auto"/>
        <w:ind w:firstLine="424" w:firstLineChars="202"/>
        <w:rPr>
          <w:rFonts w:ascii="宋体" w:hAnsi="宋体" w:cs="宋体"/>
          <w:color w:val="auto"/>
          <w:kern w:val="0"/>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37"/>
      <w:bookmarkEnd w:id="38"/>
      <w:bookmarkEnd w:id="39"/>
      <w:bookmarkEnd w:id="40"/>
    </w:p>
    <w:p>
      <w:pPr>
        <w:spacing w:line="400" w:lineRule="exact"/>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1.采购人信息</w:t>
      </w:r>
    </w:p>
    <w:p>
      <w:pPr>
        <w:spacing w:line="400" w:lineRule="exact"/>
        <w:ind w:firstLine="567" w:firstLineChars="270"/>
        <w:jc w:val="left"/>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广西艺术学院　　</w:t>
      </w:r>
    </w:p>
    <w:p>
      <w:pPr>
        <w:spacing w:line="400" w:lineRule="exact"/>
        <w:ind w:firstLine="567" w:firstLineChars="270"/>
        <w:jc w:val="left"/>
        <w:rPr>
          <w:rFonts w:ascii="宋体" w:hAnsi="宋体"/>
          <w:color w:val="auto"/>
          <w:szCs w:val="21"/>
          <w:highlight w:val="none"/>
        </w:rPr>
      </w:pPr>
      <w:r>
        <w:rPr>
          <w:rFonts w:hint="eastAsia" w:ascii="宋体" w:hAnsi="宋体"/>
          <w:color w:val="auto"/>
          <w:szCs w:val="21"/>
          <w:highlight w:val="none"/>
        </w:rPr>
        <w:t>地址：</w:t>
      </w:r>
    </w:p>
    <w:p>
      <w:pPr>
        <w:spacing w:line="400" w:lineRule="exact"/>
        <w:ind w:firstLine="567" w:firstLineChars="270"/>
        <w:jc w:val="left"/>
        <w:rPr>
          <w:rFonts w:ascii="宋体" w:hAnsi="宋体"/>
          <w:color w:val="auto"/>
          <w:szCs w:val="21"/>
          <w:highlight w:val="none"/>
          <w:u w:val="single"/>
        </w:rPr>
      </w:pPr>
      <w:r>
        <w:rPr>
          <w:rFonts w:hint="eastAsia" w:ascii="宋体" w:hAnsi="宋体"/>
          <w:color w:val="auto"/>
          <w:szCs w:val="21"/>
          <w:highlight w:val="none"/>
          <w:u w:val="single"/>
        </w:rPr>
        <w:t>南湖校区 南宁市教育路7号，邮编530022</w:t>
      </w:r>
    </w:p>
    <w:p>
      <w:pPr>
        <w:spacing w:line="400" w:lineRule="exact"/>
        <w:ind w:firstLine="567" w:firstLineChars="270"/>
        <w:jc w:val="left"/>
        <w:rPr>
          <w:rFonts w:ascii="宋体" w:hAnsi="宋体"/>
          <w:color w:val="auto"/>
          <w:szCs w:val="21"/>
          <w:highlight w:val="none"/>
        </w:rPr>
      </w:pPr>
      <w:r>
        <w:rPr>
          <w:rFonts w:hint="eastAsia" w:ascii="宋体" w:hAnsi="宋体"/>
          <w:color w:val="auto"/>
          <w:szCs w:val="21"/>
          <w:highlight w:val="none"/>
          <w:u w:val="single"/>
        </w:rPr>
        <w:t>相思湖校区 南宁市罗文大道8号，邮编530007</w:t>
      </w:r>
    </w:p>
    <w:p>
      <w:pPr>
        <w:spacing w:line="400" w:lineRule="exact"/>
        <w:ind w:firstLine="567" w:firstLineChars="270"/>
        <w:jc w:val="left"/>
        <w:rPr>
          <w:rFonts w:ascii="宋体" w:hAnsi="宋体"/>
          <w:color w:val="auto"/>
          <w:szCs w:val="21"/>
          <w:highlight w:val="none"/>
          <w:u w:val="single"/>
        </w:rPr>
      </w:pPr>
      <w:r>
        <w:rPr>
          <w:rFonts w:hint="eastAsia" w:ascii="宋体" w:hAnsi="宋体"/>
          <w:color w:val="auto"/>
          <w:szCs w:val="21"/>
          <w:highlight w:val="none"/>
        </w:rPr>
        <w:t>联系方式：</w:t>
      </w:r>
      <w:bookmarkStart w:id="41" w:name="OLE_LINK5"/>
      <w:r>
        <w:rPr>
          <w:rFonts w:hint="eastAsia" w:ascii="宋体" w:hAnsi="宋体"/>
          <w:color w:val="auto"/>
          <w:szCs w:val="21"/>
          <w:highlight w:val="none"/>
          <w:u w:val="single"/>
        </w:rPr>
        <w:t xml:space="preserve">杨朝标； </w:t>
      </w:r>
      <w:bookmarkEnd w:id="41"/>
      <w:r>
        <w:rPr>
          <w:rFonts w:ascii="宋体" w:hAnsi="宋体"/>
          <w:color w:val="auto"/>
          <w:szCs w:val="21"/>
          <w:highlight w:val="none"/>
          <w:u w:val="single"/>
        </w:rPr>
        <w:t>0771-5327987</w:t>
      </w:r>
      <w:r>
        <w:rPr>
          <w:rFonts w:hint="eastAsia" w:ascii="宋体" w:hAnsi="宋体"/>
          <w:color w:val="auto"/>
          <w:szCs w:val="21"/>
          <w:highlight w:val="none"/>
          <w:u w:val="single"/>
        </w:rPr>
        <w:t xml:space="preserve">　　　　　　　　　　　 </w:t>
      </w:r>
      <w:bookmarkStart w:id="42" w:name="_Toc28359086"/>
      <w:bookmarkStart w:id="43" w:name="_Toc28359009"/>
    </w:p>
    <w:bookmarkEnd w:id="42"/>
    <w:bookmarkEnd w:id="43"/>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2.采购代理机构信息</w:t>
      </w:r>
    </w:p>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云之龙咨询集团有限公司</w:t>
      </w:r>
      <w:r>
        <w:rPr>
          <w:rFonts w:hint="eastAsia" w:ascii="宋体" w:hAnsi="宋体" w:cs="宋体"/>
          <w:color w:val="auto"/>
          <w:szCs w:val="21"/>
          <w:highlight w:val="none"/>
        </w:rPr>
        <w:t>　　</w:t>
      </w:r>
    </w:p>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南宁市良庆区云英路15号3号楼云之龙咨询集团大厦6楼/530201　</w:t>
      </w:r>
      <w:r>
        <w:rPr>
          <w:rFonts w:hint="eastAsia" w:ascii="宋体" w:hAnsi="宋体" w:cs="宋体"/>
          <w:color w:val="auto"/>
          <w:szCs w:val="21"/>
          <w:highlight w:val="none"/>
        </w:rPr>
        <w:t>　</w:t>
      </w:r>
    </w:p>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u w:val="single"/>
        </w:rPr>
        <w:t>0771-2611898、2618118、2618199</w:t>
      </w:r>
      <w:r>
        <w:rPr>
          <w:rFonts w:hint="eastAsia" w:ascii="宋体" w:hAnsi="宋体" w:cs="宋体"/>
          <w:color w:val="auto"/>
          <w:szCs w:val="21"/>
          <w:highlight w:val="none"/>
        </w:rPr>
        <w:t>　</w:t>
      </w:r>
    </w:p>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3.项目联系方式</w:t>
      </w:r>
    </w:p>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u w:val="single"/>
        </w:rPr>
        <w:t>唐冰、杨丽敏</w:t>
      </w:r>
    </w:p>
    <w:p>
      <w:pPr>
        <w:snapToGrid w:val="0"/>
        <w:spacing w:line="400" w:lineRule="exact"/>
        <w:ind w:firstLine="630" w:firstLineChars="300"/>
        <w:rPr>
          <w:rFonts w:ascii="仿宋_GB2312" w:hAnsi="宋体" w:eastAsia="仿宋_GB2312"/>
          <w:color w:val="auto"/>
          <w:sz w:val="24"/>
          <w:szCs w:val="20"/>
          <w:highlight w:val="none"/>
          <w:u w:val="single"/>
        </w:rPr>
      </w:pPr>
      <w:r>
        <w:rPr>
          <w:rFonts w:hint="eastAsia" w:ascii="宋体" w:hAnsi="宋体" w:cs="宋体"/>
          <w:color w:val="auto"/>
          <w:szCs w:val="21"/>
          <w:highlight w:val="none"/>
        </w:rPr>
        <w:t>电　话：　</w:t>
      </w:r>
      <w:r>
        <w:rPr>
          <w:rFonts w:hint="eastAsia" w:ascii="宋体" w:hAnsi="宋体" w:cs="宋体"/>
          <w:color w:val="auto"/>
          <w:szCs w:val="21"/>
          <w:highlight w:val="none"/>
          <w:u w:val="single"/>
        </w:rPr>
        <w:t>0771-2611898、2618118、2618199</w:t>
      </w:r>
    </w:p>
    <w:p>
      <w:pPr>
        <w:snapToGrid w:val="0"/>
        <w:spacing w:line="320" w:lineRule="exact"/>
        <w:rPr>
          <w:rFonts w:ascii="仿宋_GB2312" w:hAnsi="宋体" w:eastAsia="仿宋_GB2312"/>
          <w:color w:val="auto"/>
          <w:sz w:val="24"/>
          <w:szCs w:val="20"/>
          <w:highlight w:val="none"/>
        </w:rPr>
      </w:pPr>
    </w:p>
    <w:p>
      <w:pPr>
        <w:pStyle w:val="3"/>
        <w:jc w:val="center"/>
        <w:rPr>
          <w:color w:val="auto"/>
          <w:highlight w:val="none"/>
        </w:rPr>
      </w:pPr>
      <w:bookmarkStart w:id="44" w:name="_Toc74320801"/>
      <w:r>
        <w:rPr>
          <w:color w:val="auto"/>
          <w:highlight w:val="none"/>
        </w:rPr>
        <w:br w:type="page"/>
      </w:r>
      <w:r>
        <w:rPr>
          <w:rFonts w:hint="eastAsia"/>
          <w:color w:val="auto"/>
          <w:highlight w:val="none"/>
        </w:rPr>
        <w:t>第二章  采购需求</w:t>
      </w:r>
      <w:bookmarkEnd w:id="44"/>
    </w:p>
    <w:p>
      <w:pPr>
        <w:spacing w:line="360" w:lineRule="auto"/>
        <w:jc w:val="left"/>
        <w:rPr>
          <w:rFonts w:ascii="宋体" w:hAnsi="宋体" w:cs="宋体"/>
          <w:color w:val="auto"/>
          <w:szCs w:val="21"/>
          <w:highlight w:val="none"/>
        </w:rPr>
      </w:pPr>
      <w:bookmarkStart w:id="45" w:name="_Toc254970490"/>
      <w:bookmarkStart w:id="46" w:name="_Toc254970631"/>
      <w:r>
        <w:rPr>
          <w:rFonts w:hint="eastAsia" w:ascii="宋体" w:hAnsi="宋体" w:cs="宋体"/>
          <w:color w:val="auto"/>
          <w:szCs w:val="21"/>
          <w:highlight w:val="none"/>
        </w:rPr>
        <w:t>说明：</w:t>
      </w:r>
    </w:p>
    <w:p>
      <w:pPr>
        <w:spacing w:line="360" w:lineRule="auto"/>
        <w:ind w:firstLine="420" w:firstLineChars="200"/>
        <w:jc w:val="left"/>
        <w:rPr>
          <w:rFonts w:ascii="宋体" w:hAnsi="宋体" w:cs="宋体"/>
          <w:color w:val="auto"/>
          <w:szCs w:val="21"/>
          <w:highlight w:val="none"/>
        </w:rPr>
      </w:pPr>
      <w:r>
        <w:rPr>
          <w:rFonts w:hint="eastAsia"/>
          <w:color w:val="auto"/>
          <w:highlight w:val="none"/>
        </w:rPr>
        <w:t>1. 为落实政府采购政策需满足的要求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w:t>
      </w:r>
      <w:r>
        <w:rPr>
          <w:rFonts w:hint="eastAsia" w:ascii="宋体" w:hAnsi="宋体" w:cs="宋体"/>
          <w:b/>
          <w:bCs/>
          <w:color w:val="auto"/>
          <w:szCs w:val="21"/>
          <w:highlight w:val="none"/>
        </w:rPr>
        <w:t>采购需求中的产品属于节能产品政府采购品目清单内标注“★”的（详见本项目中标“★”的相关标的及本章后附的节能产品政府采购品目清单），投标人的投标货物必须使用政府强制采购的节能产品，投标人必须在投标文件（商务及技术文件）中提供所投标产品的节能产品认证证书复印件（加盖投标人电子签章），否则按无效投标处理。如本项目包含的货物属于品目清单内非标注“★”的产品时</w:t>
      </w:r>
      <w:r>
        <w:rPr>
          <w:rFonts w:hint="eastAsia" w:ascii="宋体" w:hAnsi="宋体" w:cs="宋体"/>
          <w:color w:val="auto"/>
          <w:szCs w:val="21"/>
          <w:highlight w:val="none"/>
        </w:rPr>
        <w:t>，应优先采购，具体详见“第四章 评标方法及评标标准”。</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r>
        <w:rPr>
          <w:color w:val="auto"/>
          <w:highlight w:val="none"/>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color w:val="auto"/>
          <w:highlight w:val="none"/>
        </w:rPr>
        <w:t>不在《网络关键设备和网络安全专用产品安全认证和安全检测结果》中或不在有效期内或未提供有效的《计算机信息系统安全专用产品销售许可证》的，</w:t>
      </w:r>
      <w:r>
        <w:rPr>
          <w:rFonts w:hint="eastAsia"/>
          <w:b/>
          <w:color w:val="auto"/>
          <w:highlight w:val="none"/>
        </w:rPr>
        <w:t>按无效投标处理</w:t>
      </w:r>
      <w:r>
        <w:rPr>
          <w:color w:val="auto"/>
          <w:highlight w:val="none"/>
        </w:rPr>
        <w:t>。如属于《网络关键设备和网络安全专用产品目录》中“二、网络安全专用产品”内“产品类别”中的所描述的产品，但不属于所列“产品描述”情形的，应提供相应的说明及证明材料。</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424" w:firstLineChars="202"/>
        <w:jc w:val="left"/>
        <w:rPr>
          <w:color w:val="auto"/>
          <w:highlight w:val="none"/>
        </w:rPr>
      </w:pPr>
      <w:r>
        <w:rPr>
          <w:rFonts w:hint="eastAsia" w:ascii="宋体" w:hAnsi="宋体" w:cs="宋体"/>
          <w:color w:val="auto"/>
          <w:szCs w:val="21"/>
          <w:highlight w:val="none"/>
        </w:rPr>
        <w:t>4.</w:t>
      </w:r>
      <w:bookmarkStart w:id="47" w:name="_Hlk65055179"/>
      <w:r>
        <w:rPr>
          <w:rFonts w:hint="eastAsia" w:ascii="宋体" w:hAnsi="宋体" w:cs="宋体"/>
          <w:color w:val="auto"/>
          <w:szCs w:val="21"/>
          <w:highlight w:val="none"/>
        </w:rPr>
        <w:t xml:space="preserve"> 投标人应根据自身实际情况如实响应招标文件</w:t>
      </w:r>
      <w:r>
        <w:rPr>
          <w:rFonts w:hint="eastAsia" w:ascii="宋体" w:hAnsi="宋体"/>
          <w:color w:val="auto"/>
          <w:szCs w:val="21"/>
          <w:highlight w:val="none"/>
        </w:rPr>
        <w:t>，</w:t>
      </w:r>
      <w:r>
        <w:rPr>
          <w:rFonts w:hint="eastAsia" w:ascii="宋体" w:hAnsi="宋体"/>
          <w:color w:val="auto"/>
          <w:sz w:val="22"/>
          <w:szCs w:val="22"/>
          <w:highlight w:val="none"/>
        </w:rPr>
        <w:t>对招标文件提出的要求和条件作出明确响应</w:t>
      </w:r>
      <w:r>
        <w:rPr>
          <w:rFonts w:hint="eastAsia" w:ascii="宋体" w:hAnsi="宋体"/>
          <w:color w:val="auto"/>
          <w:szCs w:val="21"/>
          <w:highlight w:val="none"/>
        </w:rPr>
        <w:t>，</w:t>
      </w:r>
      <w:r>
        <w:rPr>
          <w:rFonts w:hint="eastAsia" w:ascii="宋体" w:hAnsi="宋体"/>
          <w:b/>
          <w:bCs/>
          <w:color w:val="auto"/>
          <w:szCs w:val="21"/>
          <w:highlight w:val="none"/>
        </w:rPr>
        <w:t>否则将作无效响应处理</w:t>
      </w:r>
      <w:r>
        <w:rPr>
          <w:rFonts w:hint="eastAsia" w:ascii="宋体" w:hAnsi="宋体"/>
          <w:color w:val="auto"/>
          <w:szCs w:val="21"/>
          <w:highlight w:val="none"/>
        </w:rPr>
        <w:t>。</w:t>
      </w:r>
      <w:r>
        <w:rPr>
          <w:rFonts w:hint="eastAsia"/>
          <w:color w:val="auto"/>
          <w:highlight w:val="none"/>
        </w:rPr>
        <w:t>对于重要技术条款或技术参数应当在投标文件中提供技术支持资料，技术支持资料以招标文件中规定的形式为准，</w:t>
      </w:r>
      <w:r>
        <w:rPr>
          <w:rFonts w:hint="eastAsia"/>
          <w:b/>
          <w:bCs/>
          <w:color w:val="auto"/>
          <w:highlight w:val="none"/>
        </w:rPr>
        <w:t>否则将视为无效技术支持资料</w:t>
      </w:r>
      <w:r>
        <w:rPr>
          <w:rFonts w:hint="eastAsia"/>
          <w:color w:val="auto"/>
          <w:highlight w:val="none"/>
        </w:rPr>
        <w:t>。</w:t>
      </w:r>
    </w:p>
    <w:p>
      <w:pPr>
        <w:spacing w:line="360" w:lineRule="auto"/>
        <w:ind w:firstLine="424" w:firstLineChars="202"/>
        <w:jc w:val="left"/>
        <w:rPr>
          <w:color w:val="auto"/>
          <w:highlight w:val="none"/>
        </w:rPr>
      </w:pPr>
      <w:r>
        <w:rPr>
          <w:rFonts w:hint="eastAsia" w:ascii="宋体" w:hAnsi="宋体" w:cs="宋体"/>
          <w:color w:val="auto"/>
          <w:szCs w:val="21"/>
          <w:highlight w:val="none"/>
        </w:rPr>
        <w:t>5.</w:t>
      </w:r>
      <w:r>
        <w:rPr>
          <w:rFonts w:hint="eastAsia"/>
          <w:color w:val="auto"/>
          <w:highlight w:val="none"/>
        </w:rPr>
        <w:t>投标人必须自行为其投标产品侵犯他人的知识产权或者专利成果的行为承担相应法律责任。</w:t>
      </w:r>
    </w:p>
    <w:p>
      <w:pPr>
        <w:spacing w:line="360" w:lineRule="auto"/>
        <w:ind w:firstLine="426" w:firstLineChars="202"/>
        <w:jc w:val="left"/>
        <w:rPr>
          <w:rFonts w:ascii="宋体" w:hAnsi="宋体"/>
          <w:b/>
          <w:color w:val="auto"/>
          <w:szCs w:val="21"/>
          <w:highlight w:val="none"/>
        </w:rPr>
      </w:pPr>
      <w:r>
        <w:rPr>
          <w:rFonts w:hint="eastAsia" w:ascii="宋体" w:hAnsi="宋体"/>
          <w:b/>
          <w:color w:val="auto"/>
          <w:szCs w:val="21"/>
          <w:highlight w:val="none"/>
        </w:rPr>
        <w:t>6.投标人对所投设备的技术指标应做到真实响应，如发现有虚假应标情形的，除投标无效外，还将报财政监管部门处理。投标人提供假冒伪劣产品的，将依照政府采购法第七十七条第一款的规定追究法律责任。</w:t>
      </w:r>
    </w:p>
    <w:p>
      <w:pPr>
        <w:spacing w:line="360" w:lineRule="auto"/>
        <w:ind w:firstLine="424" w:firstLineChars="202"/>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项目各项标的所属行业均为：工业</w:t>
      </w:r>
    </w:p>
    <w:p>
      <w:pPr>
        <w:pStyle w:val="18"/>
        <w:rPr>
          <w:color w:val="auto"/>
          <w:highlight w:val="none"/>
        </w:rPr>
      </w:pPr>
    </w:p>
    <w:bookmarkEnd w:id="47"/>
    <w:p>
      <w:pPr>
        <w:spacing w:line="360" w:lineRule="auto"/>
        <w:ind w:firstLine="310" w:firstLineChars="147"/>
        <w:jc w:val="left"/>
        <w:rPr>
          <w:rFonts w:ascii="宋体" w:hAnsi="宋体"/>
          <w:b/>
          <w:color w:val="auto"/>
          <w:szCs w:val="21"/>
          <w:highlight w:val="none"/>
        </w:rPr>
      </w:pPr>
      <w:r>
        <w:rPr>
          <w:rFonts w:hint="eastAsia" w:ascii="宋体" w:hAnsi="宋体"/>
          <w:b/>
          <w:color w:val="auto"/>
          <w:szCs w:val="21"/>
          <w:highlight w:val="none"/>
        </w:rPr>
        <w:t>核心产品为下表的第101项货物“</w:t>
      </w:r>
      <w:r>
        <w:rPr>
          <w:rFonts w:hint="eastAsia" w:ascii="宋体" w:hAnsi="宋体" w:cs="宋体"/>
          <w:bCs/>
          <w:color w:val="auto"/>
          <w:szCs w:val="21"/>
          <w:highlight w:val="none"/>
        </w:rPr>
        <w:t>多联空调室外机</w:t>
      </w:r>
      <w:r>
        <w:rPr>
          <w:rFonts w:hint="eastAsia" w:ascii="宋体" w:hAnsi="宋体"/>
          <w:b/>
          <w:color w:val="auto"/>
          <w:szCs w:val="21"/>
          <w:highlight w:val="none"/>
        </w:rPr>
        <w:t>”。</w:t>
      </w:r>
    </w:p>
    <w:tbl>
      <w:tblPr>
        <w:tblStyle w:val="45"/>
        <w:tblW w:w="941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2"/>
        <w:gridCol w:w="938"/>
        <w:gridCol w:w="4823"/>
        <w:gridCol w:w="555"/>
        <w:gridCol w:w="832"/>
        <w:gridCol w:w="1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项号</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auto"/>
                <w:szCs w:val="21"/>
                <w:highlight w:val="none"/>
              </w:rPr>
            </w:pPr>
            <w:r>
              <w:rPr>
                <w:rFonts w:hint="eastAsia" w:ascii="宋体" w:hAnsi="宋体" w:cs="宋体"/>
                <w:b/>
                <w:color w:val="auto"/>
                <w:szCs w:val="21"/>
                <w:highlight w:val="none"/>
              </w:rPr>
              <w:t>标的的名称</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auto"/>
                <w:szCs w:val="21"/>
                <w:highlight w:val="none"/>
              </w:rPr>
            </w:pPr>
            <w:r>
              <w:rPr>
                <w:rFonts w:hint="eastAsia" w:hAnsi="宋体" w:cs="宋体"/>
                <w:b/>
                <w:color w:val="auto"/>
                <w:highlight w:val="none"/>
              </w:rPr>
              <w:t>技术参数及性能（配置）要求</w:t>
            </w:r>
          </w:p>
        </w:tc>
        <w:tc>
          <w:tcPr>
            <w:tcW w:w="5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napToGrid w:val="0"/>
                <w:color w:val="auto"/>
                <w:szCs w:val="21"/>
                <w:highlight w:val="none"/>
              </w:rPr>
            </w:pPr>
            <w:r>
              <w:rPr>
                <w:rFonts w:hint="eastAsia" w:ascii="宋体" w:hAnsi="宋体" w:cs="宋体"/>
                <w:b/>
                <w:bCs/>
                <w:snapToGrid w:val="0"/>
                <w:color w:val="auto"/>
                <w:szCs w:val="21"/>
                <w:highlight w:val="none"/>
              </w:rPr>
              <w:t>单位</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napToGrid w:val="0"/>
                <w:color w:val="auto"/>
                <w:szCs w:val="21"/>
                <w:highlight w:val="none"/>
              </w:rPr>
            </w:pPr>
            <w:r>
              <w:rPr>
                <w:rFonts w:hint="eastAsia" w:ascii="宋体" w:hAnsi="宋体" w:cs="宋体"/>
                <w:b/>
                <w:bCs/>
                <w:snapToGrid w:val="0"/>
                <w:color w:val="auto"/>
                <w:szCs w:val="21"/>
                <w:highlight w:val="none"/>
              </w:rPr>
              <w:t>数量</w:t>
            </w:r>
          </w:p>
        </w:tc>
        <w:tc>
          <w:tcPr>
            <w:tcW w:w="16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napToGrid w:val="0"/>
                <w:color w:val="auto"/>
                <w:szCs w:val="21"/>
                <w:highlight w:val="none"/>
              </w:rPr>
            </w:pPr>
            <w:r>
              <w:rPr>
                <w:rFonts w:hint="eastAsia" w:ascii="宋体" w:hAnsi="宋体" w:cs="宋体"/>
                <w:b/>
                <w:bCs/>
                <w:snapToGrid w:val="0"/>
                <w:color w:val="auto"/>
                <w:szCs w:val="21"/>
                <w:highlight w:val="none"/>
              </w:rPr>
              <w:t>参考品牌或说明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941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napToGrid w:val="0"/>
                <w:color w:val="auto"/>
                <w:szCs w:val="21"/>
                <w:highlight w:val="none"/>
              </w:rPr>
            </w:pPr>
            <w:r>
              <w:rPr>
                <w:rFonts w:hint="eastAsia" w:ascii="宋体" w:hAnsi="宋体" w:cs="宋体"/>
                <w:b/>
                <w:bCs/>
                <w:snapToGrid w:val="0"/>
                <w:color w:val="auto"/>
                <w:szCs w:val="21"/>
                <w:highlight w:val="none"/>
              </w:rPr>
              <w:t>一、地下室通风工程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1</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新风机组</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Style w:val="146"/>
                <w:rFonts w:hint="default"/>
                <w:color w:val="auto"/>
                <w:sz w:val="21"/>
                <w:szCs w:val="21"/>
                <w:highlight w:val="none"/>
              </w:rPr>
            </w:pPr>
            <w:r>
              <w:rPr>
                <w:rFonts w:hint="eastAsia" w:ascii="宋体" w:hAnsi="宋体" w:cs="宋体"/>
                <w:color w:val="auto"/>
                <w:kern w:val="0"/>
                <w:szCs w:val="21"/>
                <w:highlight w:val="none"/>
              </w:rPr>
              <w:t>1、风量≥5000m³/h,冷量≥</w:t>
            </w:r>
            <w:r>
              <w:rPr>
                <w:rStyle w:val="145"/>
                <w:rFonts w:hint="default"/>
                <w:color w:val="auto"/>
                <w:sz w:val="21"/>
                <w:szCs w:val="21"/>
                <w:highlight w:val="none"/>
              </w:rPr>
              <w:t>70.0</w:t>
            </w:r>
            <w:r>
              <w:rPr>
                <w:rStyle w:val="146"/>
                <w:rFonts w:hint="default"/>
                <w:color w:val="auto"/>
                <w:sz w:val="21"/>
                <w:szCs w:val="21"/>
                <w:highlight w:val="none"/>
              </w:rPr>
              <w:t>kW；</w:t>
            </w:r>
          </w:p>
          <w:p>
            <w:pPr>
              <w:widowControl/>
              <w:jc w:val="left"/>
              <w:textAlignment w:val="center"/>
              <w:rPr>
                <w:rStyle w:val="146"/>
                <w:rFonts w:hint="default"/>
                <w:color w:val="auto"/>
                <w:sz w:val="21"/>
                <w:szCs w:val="21"/>
                <w:highlight w:val="none"/>
              </w:rPr>
            </w:pPr>
            <w:r>
              <w:rPr>
                <w:rStyle w:val="146"/>
                <w:rFonts w:hint="default"/>
                <w:color w:val="auto"/>
                <w:sz w:val="21"/>
                <w:szCs w:val="21"/>
                <w:highlight w:val="none"/>
              </w:rPr>
              <w:t>2、风压（余压）≥350Pa；</w:t>
            </w:r>
          </w:p>
          <w:p>
            <w:pPr>
              <w:widowControl/>
              <w:jc w:val="left"/>
              <w:textAlignment w:val="center"/>
              <w:rPr>
                <w:rStyle w:val="146"/>
                <w:rFonts w:hint="default"/>
                <w:color w:val="auto"/>
                <w:sz w:val="21"/>
                <w:szCs w:val="21"/>
                <w:highlight w:val="none"/>
              </w:rPr>
            </w:pPr>
            <w:r>
              <w:rPr>
                <w:rStyle w:val="146"/>
                <w:rFonts w:hint="default"/>
                <w:color w:val="auto"/>
                <w:sz w:val="21"/>
                <w:szCs w:val="21"/>
                <w:highlight w:val="none"/>
              </w:rPr>
              <w:t>3、输入功率≤2.2kW；电压:380V；</w:t>
            </w:r>
          </w:p>
          <w:p>
            <w:pPr>
              <w:widowControl/>
              <w:jc w:val="left"/>
              <w:textAlignment w:val="center"/>
              <w:rPr>
                <w:rStyle w:val="146"/>
                <w:rFonts w:hint="default"/>
                <w:color w:val="auto"/>
                <w:sz w:val="21"/>
                <w:szCs w:val="21"/>
                <w:highlight w:val="none"/>
              </w:rPr>
            </w:pPr>
            <w:r>
              <w:rPr>
                <w:rStyle w:val="146"/>
                <w:rFonts w:hint="default"/>
                <w:color w:val="auto"/>
                <w:sz w:val="21"/>
                <w:szCs w:val="21"/>
                <w:highlight w:val="none"/>
              </w:rPr>
              <w:t>4、空气进口温度 干球：35℃，湿球：28℃，水量≥12</w:t>
            </w:r>
            <w:r>
              <w:rPr>
                <w:rFonts w:hint="eastAsia"/>
                <w:color w:val="auto"/>
                <w:highlight w:val="none"/>
              </w:rPr>
              <w:t>.00</w:t>
            </w:r>
            <w:r>
              <w:rPr>
                <w:rStyle w:val="146"/>
                <w:rFonts w:hint="default"/>
                <w:color w:val="auto"/>
                <w:sz w:val="21"/>
                <w:szCs w:val="21"/>
                <w:highlight w:val="none"/>
              </w:rPr>
              <w:t>m³/h；</w:t>
            </w:r>
          </w:p>
          <w:p>
            <w:pPr>
              <w:widowControl/>
              <w:jc w:val="left"/>
              <w:textAlignment w:val="center"/>
              <w:rPr>
                <w:rStyle w:val="146"/>
                <w:rFonts w:hint="default"/>
                <w:color w:val="auto"/>
                <w:sz w:val="21"/>
                <w:szCs w:val="21"/>
                <w:highlight w:val="none"/>
              </w:rPr>
            </w:pPr>
            <w:r>
              <w:rPr>
                <w:rStyle w:val="146"/>
                <w:rFonts w:hint="default"/>
                <w:color w:val="auto"/>
                <w:sz w:val="21"/>
                <w:szCs w:val="21"/>
                <w:highlight w:val="none"/>
              </w:rPr>
              <w:t>5、噪声≤</w:t>
            </w:r>
            <w:r>
              <w:rPr>
                <w:rStyle w:val="145"/>
                <w:rFonts w:hint="default"/>
                <w:color w:val="auto"/>
                <w:sz w:val="21"/>
                <w:szCs w:val="21"/>
                <w:highlight w:val="none"/>
              </w:rPr>
              <w:t>68d</w:t>
            </w:r>
            <w:r>
              <w:rPr>
                <w:rStyle w:val="146"/>
                <w:rFonts w:hint="default"/>
                <w:color w:val="auto"/>
                <w:sz w:val="21"/>
                <w:szCs w:val="21"/>
                <w:highlight w:val="none"/>
              </w:rPr>
              <w:t>B(A)；盘管水压降≤</w:t>
            </w:r>
            <w:r>
              <w:rPr>
                <w:rStyle w:val="145"/>
                <w:rFonts w:hint="default"/>
                <w:color w:val="auto"/>
                <w:sz w:val="21"/>
                <w:szCs w:val="21"/>
                <w:highlight w:val="none"/>
              </w:rPr>
              <w:t>76</w:t>
            </w:r>
            <w:r>
              <w:rPr>
                <w:rStyle w:val="146"/>
                <w:rFonts w:hint="default"/>
                <w:color w:val="auto"/>
                <w:sz w:val="21"/>
                <w:szCs w:val="21"/>
                <w:highlight w:val="none"/>
              </w:rPr>
              <w:t>kPa；</w:t>
            </w:r>
          </w:p>
          <w:p>
            <w:pPr>
              <w:widowControl/>
              <w:jc w:val="left"/>
              <w:textAlignment w:val="center"/>
              <w:rPr>
                <w:rStyle w:val="146"/>
                <w:rFonts w:hint="default"/>
                <w:color w:val="auto"/>
                <w:sz w:val="21"/>
                <w:szCs w:val="21"/>
                <w:highlight w:val="none"/>
              </w:rPr>
            </w:pPr>
            <w:r>
              <w:rPr>
                <w:rStyle w:val="146"/>
                <w:rFonts w:hint="default"/>
                <w:color w:val="auto"/>
                <w:sz w:val="21"/>
                <w:szCs w:val="21"/>
                <w:highlight w:val="none"/>
              </w:rPr>
              <w:t>6、机组箱体采用铝合金边框及无冷桥概念设计，双层面板通过铝合金边框发泡而成，箱体内表面光滑平整，不易积灰滋菌；</w:t>
            </w:r>
          </w:p>
          <w:p>
            <w:pPr>
              <w:widowControl/>
              <w:jc w:val="left"/>
              <w:textAlignment w:val="center"/>
              <w:rPr>
                <w:rStyle w:val="146"/>
                <w:rFonts w:hint="default"/>
                <w:color w:val="auto"/>
                <w:sz w:val="21"/>
                <w:szCs w:val="21"/>
                <w:highlight w:val="none"/>
              </w:rPr>
            </w:pPr>
            <w:r>
              <w:rPr>
                <w:rStyle w:val="146"/>
                <w:rFonts w:hint="default"/>
                <w:color w:val="auto"/>
                <w:sz w:val="21"/>
                <w:szCs w:val="21"/>
                <w:highlight w:val="none"/>
              </w:rPr>
              <w:t>7、面板采用无冷桥设计，双层三明治夹心结构，传热系数满足T2级，冷桥因子满足TB1级。</w:t>
            </w:r>
          </w:p>
          <w:p>
            <w:pPr>
              <w:widowControl/>
              <w:jc w:val="left"/>
              <w:textAlignment w:val="center"/>
              <w:rPr>
                <w:rStyle w:val="146"/>
                <w:rFonts w:hint="default"/>
                <w:color w:val="auto"/>
                <w:sz w:val="21"/>
                <w:szCs w:val="21"/>
                <w:highlight w:val="none"/>
              </w:rPr>
            </w:pPr>
            <w:r>
              <w:rPr>
                <w:rStyle w:val="146"/>
                <w:rFonts w:hint="default"/>
                <w:color w:val="auto"/>
                <w:sz w:val="21"/>
                <w:szCs w:val="21"/>
                <w:highlight w:val="none"/>
              </w:rPr>
              <w:t>8、面板内部采用聚氨脂发泡材料，发泡密度≥45kg/m³。面板中间采用环保无氟聚氨脂整体高压发泡，氧指数≥30%。不得采用石棉或玻璃棉作为保温材料。</w:t>
            </w:r>
          </w:p>
          <w:p>
            <w:pPr>
              <w:widowControl/>
              <w:jc w:val="left"/>
              <w:textAlignment w:val="center"/>
              <w:rPr>
                <w:rStyle w:val="146"/>
                <w:rFonts w:hint="default"/>
                <w:color w:val="auto"/>
                <w:sz w:val="21"/>
                <w:szCs w:val="21"/>
                <w:highlight w:val="none"/>
              </w:rPr>
            </w:pPr>
            <w:r>
              <w:rPr>
                <w:rStyle w:val="146"/>
                <w:rFonts w:hint="default"/>
                <w:color w:val="auto"/>
                <w:sz w:val="21"/>
                <w:szCs w:val="21"/>
                <w:highlight w:val="none"/>
              </w:rPr>
              <w:t>9、换热器采用水铝翅片，不腐蚀。</w:t>
            </w:r>
          </w:p>
          <w:p>
            <w:pPr>
              <w:widowControl/>
              <w:jc w:val="left"/>
              <w:textAlignment w:val="center"/>
              <w:rPr>
                <w:rStyle w:val="146"/>
                <w:rFonts w:hint="default"/>
                <w:color w:val="auto"/>
                <w:sz w:val="21"/>
                <w:szCs w:val="21"/>
                <w:highlight w:val="none"/>
              </w:rPr>
            </w:pPr>
            <w:r>
              <w:rPr>
                <w:rStyle w:val="146"/>
                <w:rFonts w:hint="default"/>
                <w:color w:val="auto"/>
                <w:sz w:val="21"/>
                <w:szCs w:val="21"/>
                <w:highlight w:val="none"/>
              </w:rPr>
              <w:t>10、采用三相鼠笼式交流电机，IP54防护等级，F级绝缘。</w:t>
            </w:r>
          </w:p>
          <w:p>
            <w:pPr>
              <w:widowControl/>
              <w:jc w:val="left"/>
              <w:textAlignment w:val="center"/>
              <w:rPr>
                <w:rFonts w:ascii="宋体" w:hAnsi="宋体" w:cs="宋体"/>
                <w:color w:val="auto"/>
                <w:szCs w:val="21"/>
                <w:highlight w:val="none"/>
              </w:rPr>
            </w:pPr>
            <w:r>
              <w:rPr>
                <w:rStyle w:val="146"/>
                <w:rFonts w:hint="default"/>
                <w:color w:val="auto"/>
                <w:sz w:val="21"/>
                <w:szCs w:val="21"/>
                <w:highlight w:val="none"/>
              </w:rPr>
              <w:t>11、设备形式：卧柜式</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pStyle w:val="16"/>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2</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风机盘管</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1、风量≥1360m³/h,冷量≥8.0kW；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2、风压（余压）=30Pa；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3、输入功率≤156W；电压=220V；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4、空气进口温度 干球：27℃，湿球：19.5℃，水量≥1.35m³/h</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5、噪声≤48dB(A)；盘管水压降≤50kPa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6、设备形式：卧式暗装</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4</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3</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风机盘管</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1、风量≥1020m³/h,冷量≥6.0kW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2、风压（余压）=30Pa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3、输入功率≤108W；电压=220V；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4、空气进口温度 干球：27℃，湿球：19.5℃，水量≥1.00m³/h</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5、噪声≤47dB(A)；盘管水压降≤50kPa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6、设备形式：卧式暗装</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9</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4</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风机盘管</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1、风量≥850m³/h,冷量≥4.9kW；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2、风压（余压）=30Pa；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3、输入功率≤87W；电压=220V；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4、空气进口温度 干球：27℃，湿球：19.5℃，水量≥0.85m³/h</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5、噪声≤45dB(A)；盘管水压降≤50kPa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6、设备形式：卧式暗装</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5</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5</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 xml:space="preserve">板式消音器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color w:val="auto"/>
                <w:kern w:val="0"/>
                <w:szCs w:val="21"/>
                <w:highlight w:val="none"/>
              </w:rPr>
              <w:t>宽*高*长：</w:t>
            </w:r>
            <w:r>
              <w:rPr>
                <w:rFonts w:hint="eastAsia" w:ascii="宋体" w:hAnsi="宋体" w:cs="宋体"/>
                <w:bCs/>
                <w:color w:val="auto"/>
                <w:szCs w:val="21"/>
                <w:highlight w:val="none"/>
              </w:rPr>
              <w:t>630mm*320mm*600mm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6</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 xml:space="preserve">散流器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szCs w:val="21"/>
                <w:highlight w:val="none"/>
              </w:rPr>
              <w:t>铝合金</w:t>
            </w:r>
          </w:p>
          <w:p>
            <w:pPr>
              <w:jc w:val="left"/>
              <w:rPr>
                <w:rFonts w:ascii="宋体" w:hAnsi="宋体" w:cs="宋体"/>
                <w:color w:val="auto"/>
                <w:szCs w:val="21"/>
                <w:highlight w:val="none"/>
              </w:rPr>
            </w:pPr>
            <w:r>
              <w:rPr>
                <w:rFonts w:hint="eastAsia" w:ascii="宋体" w:hAnsi="宋体" w:cs="宋体"/>
                <w:bCs/>
                <w:color w:val="auto"/>
                <w:szCs w:val="21"/>
                <w:highlight w:val="none"/>
              </w:rPr>
              <w:t>2、规格：200*200mm</w:t>
            </w:r>
          </w:p>
          <w:p>
            <w:pPr>
              <w:rPr>
                <w:rFonts w:ascii="宋体" w:hAnsi="宋体" w:cs="宋体"/>
                <w:color w:val="auto"/>
                <w:szCs w:val="21"/>
                <w:highlight w:val="none"/>
              </w:rPr>
            </w:pPr>
            <w:r>
              <w:rPr>
                <w:rFonts w:hint="eastAsia" w:ascii="宋体" w:hAnsi="宋体" w:cs="宋体"/>
                <w:color w:val="auto"/>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6</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7</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 xml:space="preserve">散流器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2、规格：300*300mm</w:t>
            </w:r>
          </w:p>
          <w:p>
            <w:pPr>
              <w:jc w:val="left"/>
              <w:rPr>
                <w:rFonts w:ascii="宋体" w:hAnsi="宋体" w:cs="宋体"/>
                <w:color w:val="auto"/>
                <w:szCs w:val="21"/>
                <w:highlight w:val="none"/>
              </w:rPr>
            </w:pPr>
            <w:r>
              <w:rPr>
                <w:rFonts w:hint="eastAsia" w:ascii="宋体" w:hAnsi="宋体" w:cs="宋体"/>
                <w:bCs/>
                <w:color w:val="auto"/>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11</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8</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 xml:space="preserve">散流器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2、规格：320*320mm</w:t>
            </w:r>
          </w:p>
          <w:p>
            <w:pPr>
              <w:jc w:val="left"/>
              <w:rPr>
                <w:rFonts w:ascii="宋体" w:hAnsi="宋体" w:cs="宋体"/>
                <w:color w:val="auto"/>
                <w:szCs w:val="21"/>
                <w:highlight w:val="none"/>
              </w:rPr>
            </w:pPr>
            <w:r>
              <w:rPr>
                <w:rFonts w:hint="eastAsia" w:ascii="宋体" w:hAnsi="宋体" w:cs="宋体"/>
                <w:bCs/>
                <w:color w:val="auto"/>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9</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 xml:space="preserve">散流器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w:t>
            </w:r>
            <w:r>
              <w:rPr>
                <w:rFonts w:hint="eastAsia" w:ascii="宋体" w:hAnsi="宋体" w:cs="宋体"/>
                <w:color w:val="auto"/>
                <w:szCs w:val="21"/>
                <w:highlight w:val="none"/>
              </w:rPr>
              <w:t>铝合金</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2、规格：400*400mm</w:t>
            </w:r>
          </w:p>
          <w:p>
            <w:pPr>
              <w:jc w:val="left"/>
              <w:rPr>
                <w:rFonts w:ascii="宋体" w:hAnsi="宋体" w:cs="宋体"/>
                <w:color w:val="auto"/>
                <w:szCs w:val="21"/>
                <w:highlight w:val="none"/>
              </w:rPr>
            </w:pPr>
            <w:r>
              <w:rPr>
                <w:rFonts w:hint="eastAsia" w:ascii="宋体" w:hAnsi="宋体" w:cs="宋体"/>
                <w:bCs/>
                <w:color w:val="auto"/>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10</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 xml:space="preserve">散流器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w:t>
            </w:r>
            <w:r>
              <w:rPr>
                <w:rFonts w:hint="eastAsia" w:ascii="宋体" w:hAnsi="宋体" w:cs="宋体"/>
                <w:color w:val="auto"/>
                <w:szCs w:val="21"/>
                <w:highlight w:val="none"/>
              </w:rPr>
              <w:t>铝合金</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2.规格：360*360mm</w:t>
            </w:r>
          </w:p>
          <w:p>
            <w:pPr>
              <w:jc w:val="left"/>
              <w:rPr>
                <w:rFonts w:ascii="宋体" w:hAnsi="宋体" w:cs="宋体"/>
                <w:color w:val="auto"/>
                <w:szCs w:val="21"/>
                <w:highlight w:val="none"/>
              </w:rPr>
            </w:pPr>
            <w:r>
              <w:rPr>
                <w:rFonts w:hint="eastAsia" w:ascii="宋体" w:hAnsi="宋体" w:cs="宋体"/>
                <w:bCs/>
                <w:color w:val="auto"/>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9</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11</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散流器</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2、规格：420*420mm</w:t>
            </w:r>
          </w:p>
          <w:p>
            <w:pPr>
              <w:jc w:val="left"/>
              <w:rPr>
                <w:rFonts w:ascii="宋体" w:hAnsi="宋体" w:cs="宋体"/>
                <w:color w:val="auto"/>
                <w:szCs w:val="21"/>
                <w:highlight w:val="none"/>
              </w:rPr>
            </w:pPr>
            <w:r>
              <w:rPr>
                <w:rFonts w:hint="eastAsia" w:ascii="宋体" w:hAnsi="宋体" w:cs="宋体"/>
                <w:bCs/>
                <w:color w:val="auto"/>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12</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格栅式风口</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2、规格：700*300mm</w:t>
            </w:r>
          </w:p>
          <w:p>
            <w:pPr>
              <w:jc w:val="left"/>
              <w:rPr>
                <w:rFonts w:ascii="宋体" w:hAnsi="宋体" w:cs="宋体"/>
                <w:color w:val="auto"/>
                <w:szCs w:val="21"/>
                <w:highlight w:val="none"/>
              </w:rPr>
            </w:pPr>
            <w:r>
              <w:rPr>
                <w:rFonts w:hint="eastAsia" w:ascii="宋体" w:hAnsi="宋体" w:cs="宋体"/>
                <w:bCs/>
                <w:color w:val="auto"/>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5</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13</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格栅式风口</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2、规格：900*300mm</w:t>
            </w:r>
          </w:p>
          <w:p>
            <w:pPr>
              <w:jc w:val="left"/>
              <w:rPr>
                <w:rFonts w:ascii="宋体" w:hAnsi="宋体" w:cs="宋体"/>
                <w:color w:val="auto"/>
                <w:szCs w:val="21"/>
                <w:highlight w:val="none"/>
              </w:rPr>
            </w:pPr>
            <w:r>
              <w:rPr>
                <w:rFonts w:hint="eastAsia" w:ascii="宋体" w:hAnsi="宋体" w:cs="宋体"/>
                <w:bCs/>
                <w:color w:val="auto"/>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9</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14</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格栅式风口</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2、规格：1100*300mm</w:t>
            </w:r>
          </w:p>
          <w:p>
            <w:pPr>
              <w:jc w:val="left"/>
              <w:rPr>
                <w:rFonts w:ascii="宋体" w:hAnsi="宋体" w:cs="宋体"/>
                <w:color w:val="auto"/>
                <w:szCs w:val="21"/>
                <w:highlight w:val="none"/>
              </w:rPr>
            </w:pPr>
            <w:r>
              <w:rPr>
                <w:rFonts w:hint="eastAsia" w:ascii="宋体" w:hAnsi="宋体" w:cs="宋体"/>
                <w:bCs/>
                <w:color w:val="auto"/>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4</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15</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70°C防火调节阀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1、常开,70°C熔断关闭</w:t>
            </w:r>
          </w:p>
          <w:p>
            <w:pPr>
              <w:jc w:val="left"/>
              <w:rPr>
                <w:rFonts w:ascii="宋体" w:hAnsi="宋体" w:cs="宋体"/>
                <w:bCs/>
                <w:color w:val="auto"/>
                <w:szCs w:val="21"/>
                <w:highlight w:val="none"/>
              </w:rPr>
            </w:pPr>
            <w:r>
              <w:rPr>
                <w:rFonts w:hint="eastAsia" w:ascii="宋体" w:hAnsi="宋体" w:cs="宋体"/>
                <w:bCs/>
                <w:color w:val="auto"/>
                <w:szCs w:val="21"/>
                <w:highlight w:val="none"/>
              </w:rPr>
              <w:t>2、规格：320*320mm</w:t>
            </w:r>
          </w:p>
          <w:p>
            <w:pPr>
              <w:jc w:val="left"/>
              <w:rPr>
                <w:rFonts w:ascii="宋体" w:hAnsi="宋体" w:cs="宋体"/>
                <w:bCs/>
                <w:color w:val="auto"/>
                <w:szCs w:val="21"/>
                <w:highlight w:val="none"/>
              </w:rPr>
            </w:pPr>
            <w:r>
              <w:rPr>
                <w:rFonts w:hint="eastAsia" w:ascii="宋体" w:hAnsi="宋体" w:cs="宋体"/>
                <w:bCs/>
                <w:color w:val="auto"/>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16</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70°C防火调节阀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1、常开,70°C熔断关闭</w:t>
            </w:r>
          </w:p>
          <w:p>
            <w:pPr>
              <w:jc w:val="left"/>
              <w:rPr>
                <w:rFonts w:ascii="宋体" w:hAnsi="宋体" w:cs="宋体"/>
                <w:bCs/>
                <w:color w:val="auto"/>
                <w:szCs w:val="21"/>
                <w:highlight w:val="none"/>
              </w:rPr>
            </w:pPr>
            <w:r>
              <w:rPr>
                <w:rFonts w:hint="eastAsia" w:ascii="宋体" w:hAnsi="宋体" w:cs="宋体"/>
                <w:bCs/>
                <w:color w:val="auto"/>
                <w:szCs w:val="21"/>
                <w:highlight w:val="none"/>
              </w:rPr>
              <w:t>2、规格：500*160mm</w:t>
            </w:r>
          </w:p>
          <w:p>
            <w:pPr>
              <w:jc w:val="left"/>
              <w:rPr>
                <w:rFonts w:ascii="宋体" w:hAnsi="宋体" w:cs="宋体"/>
                <w:bCs/>
                <w:color w:val="auto"/>
                <w:szCs w:val="21"/>
                <w:highlight w:val="none"/>
              </w:rPr>
            </w:pPr>
            <w:r>
              <w:rPr>
                <w:rFonts w:hint="eastAsia" w:ascii="宋体" w:hAnsi="宋体" w:cs="宋体"/>
                <w:bCs/>
                <w:color w:val="auto"/>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17</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70°C防火调节阀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1、常开,70°C熔断关闭</w:t>
            </w:r>
          </w:p>
          <w:p>
            <w:pPr>
              <w:jc w:val="left"/>
              <w:rPr>
                <w:rFonts w:ascii="宋体" w:hAnsi="宋体" w:cs="宋体"/>
                <w:bCs/>
                <w:color w:val="auto"/>
                <w:szCs w:val="21"/>
                <w:highlight w:val="none"/>
              </w:rPr>
            </w:pPr>
            <w:r>
              <w:rPr>
                <w:rFonts w:hint="eastAsia" w:ascii="宋体" w:hAnsi="宋体" w:cs="宋体"/>
                <w:bCs/>
                <w:color w:val="auto"/>
                <w:szCs w:val="21"/>
                <w:highlight w:val="none"/>
              </w:rPr>
              <w:t>2、规格：500*320mm</w:t>
            </w:r>
          </w:p>
          <w:p>
            <w:pPr>
              <w:jc w:val="left"/>
              <w:rPr>
                <w:rFonts w:ascii="宋体" w:hAnsi="宋体" w:cs="宋体"/>
                <w:bCs/>
                <w:color w:val="auto"/>
                <w:szCs w:val="21"/>
                <w:highlight w:val="none"/>
              </w:rPr>
            </w:pPr>
            <w:r>
              <w:rPr>
                <w:rFonts w:hint="eastAsia" w:ascii="宋体" w:hAnsi="宋体" w:cs="宋体"/>
                <w:bCs/>
                <w:color w:val="auto"/>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18</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70°C防火调节阀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1、常开,70°C熔断关闭</w:t>
            </w:r>
          </w:p>
          <w:p>
            <w:pPr>
              <w:jc w:val="left"/>
              <w:rPr>
                <w:rFonts w:ascii="宋体" w:hAnsi="宋体" w:cs="宋体"/>
                <w:bCs/>
                <w:color w:val="auto"/>
                <w:szCs w:val="21"/>
                <w:highlight w:val="none"/>
              </w:rPr>
            </w:pPr>
            <w:r>
              <w:rPr>
                <w:rFonts w:hint="eastAsia" w:ascii="宋体" w:hAnsi="宋体" w:cs="宋体"/>
                <w:bCs/>
                <w:color w:val="auto"/>
                <w:szCs w:val="21"/>
                <w:highlight w:val="none"/>
              </w:rPr>
              <w:t>2、规格：630*320mm</w:t>
            </w:r>
          </w:p>
          <w:p>
            <w:pPr>
              <w:jc w:val="left"/>
              <w:rPr>
                <w:rFonts w:ascii="宋体" w:hAnsi="宋体" w:cs="宋体"/>
                <w:bCs/>
                <w:color w:val="auto"/>
                <w:szCs w:val="21"/>
                <w:highlight w:val="none"/>
              </w:rPr>
            </w:pPr>
            <w:r>
              <w:rPr>
                <w:rFonts w:hint="eastAsia" w:ascii="宋体" w:hAnsi="宋体" w:cs="宋体"/>
                <w:bCs/>
                <w:color w:val="auto"/>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19</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手动对开多叶调节阀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1、规格：200*200mm</w:t>
            </w:r>
          </w:p>
          <w:p>
            <w:pPr>
              <w:jc w:val="left"/>
              <w:rPr>
                <w:rFonts w:ascii="宋体" w:hAnsi="宋体" w:cs="宋体"/>
                <w:bCs/>
                <w:color w:val="auto"/>
                <w:szCs w:val="21"/>
                <w:highlight w:val="none"/>
              </w:rPr>
            </w:pPr>
            <w:r>
              <w:rPr>
                <w:rFonts w:hint="eastAsia" w:ascii="宋体" w:hAnsi="宋体" w:cs="宋体"/>
                <w:bCs/>
                <w:color w:val="auto"/>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20</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手动对开多叶调节阀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1、规格：250*160mm</w:t>
            </w:r>
          </w:p>
          <w:p>
            <w:pPr>
              <w:jc w:val="left"/>
              <w:rPr>
                <w:rFonts w:ascii="宋体" w:hAnsi="宋体" w:cs="宋体"/>
                <w:bCs/>
                <w:color w:val="auto"/>
                <w:szCs w:val="21"/>
                <w:highlight w:val="none"/>
              </w:rPr>
            </w:pPr>
            <w:r>
              <w:rPr>
                <w:rFonts w:hint="eastAsia" w:ascii="宋体" w:hAnsi="宋体" w:cs="宋体"/>
                <w:bCs/>
                <w:color w:val="auto"/>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5</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21</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手动对开多叶调节阀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1、规格：320*160mm</w:t>
            </w:r>
          </w:p>
          <w:p>
            <w:pPr>
              <w:jc w:val="left"/>
              <w:rPr>
                <w:rFonts w:ascii="宋体" w:hAnsi="宋体" w:cs="宋体"/>
                <w:bCs/>
                <w:color w:val="auto"/>
                <w:szCs w:val="21"/>
                <w:highlight w:val="none"/>
              </w:rPr>
            </w:pPr>
            <w:r>
              <w:rPr>
                <w:rFonts w:hint="eastAsia" w:ascii="宋体" w:hAnsi="宋体" w:cs="宋体"/>
                <w:bCs/>
                <w:color w:val="auto"/>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22</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手动对开多叶调节阀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1、规格：400*160mm</w:t>
            </w:r>
          </w:p>
          <w:p>
            <w:pPr>
              <w:jc w:val="left"/>
              <w:rPr>
                <w:rFonts w:ascii="宋体" w:hAnsi="宋体" w:cs="宋体"/>
                <w:bCs/>
                <w:color w:val="auto"/>
                <w:szCs w:val="21"/>
                <w:highlight w:val="none"/>
              </w:rPr>
            </w:pPr>
            <w:r>
              <w:rPr>
                <w:rFonts w:hint="eastAsia" w:ascii="宋体" w:hAnsi="宋体" w:cs="宋体"/>
                <w:bCs/>
                <w:color w:val="auto"/>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23</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手动对开多叶调节阀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1、规格：500*160mm</w:t>
            </w:r>
          </w:p>
          <w:p>
            <w:pPr>
              <w:jc w:val="left"/>
              <w:rPr>
                <w:rFonts w:ascii="宋体" w:hAnsi="宋体" w:cs="宋体"/>
                <w:bCs/>
                <w:color w:val="auto"/>
                <w:szCs w:val="21"/>
                <w:highlight w:val="none"/>
              </w:rPr>
            </w:pPr>
            <w:r>
              <w:rPr>
                <w:rFonts w:hint="eastAsia" w:ascii="宋体" w:hAnsi="宋体" w:cs="宋体"/>
                <w:bCs/>
                <w:color w:val="auto"/>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24</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电动对开多叶调节阀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1、含检查接线</w:t>
            </w:r>
          </w:p>
          <w:p>
            <w:pPr>
              <w:jc w:val="left"/>
              <w:rPr>
                <w:rFonts w:ascii="宋体" w:hAnsi="宋体" w:cs="宋体"/>
                <w:bCs/>
                <w:color w:val="auto"/>
                <w:szCs w:val="21"/>
                <w:highlight w:val="none"/>
              </w:rPr>
            </w:pPr>
            <w:r>
              <w:rPr>
                <w:rFonts w:hint="eastAsia" w:ascii="宋体" w:hAnsi="宋体" w:cs="宋体"/>
                <w:bCs/>
                <w:color w:val="auto"/>
                <w:szCs w:val="21"/>
                <w:highlight w:val="none"/>
              </w:rPr>
              <w:t>2、规格：500*320mm</w:t>
            </w:r>
          </w:p>
          <w:p>
            <w:pPr>
              <w:jc w:val="left"/>
              <w:rPr>
                <w:rFonts w:ascii="宋体" w:hAnsi="宋体" w:cs="宋体"/>
                <w:bCs/>
                <w:color w:val="auto"/>
                <w:szCs w:val="21"/>
                <w:highlight w:val="none"/>
              </w:rPr>
            </w:pPr>
            <w:r>
              <w:rPr>
                <w:rFonts w:hint="eastAsia" w:ascii="宋体" w:hAnsi="宋体" w:cs="宋体"/>
                <w:bCs/>
                <w:color w:val="auto"/>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25</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止回阀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1、规格：500*320mm</w:t>
            </w:r>
          </w:p>
          <w:p>
            <w:pPr>
              <w:jc w:val="left"/>
              <w:rPr>
                <w:rFonts w:ascii="宋体" w:hAnsi="宋体" w:cs="宋体"/>
                <w:bCs/>
                <w:color w:val="auto"/>
                <w:szCs w:val="21"/>
                <w:highlight w:val="none"/>
              </w:rPr>
            </w:pPr>
            <w:r>
              <w:rPr>
                <w:rFonts w:hint="eastAsia" w:ascii="宋体" w:hAnsi="宋体" w:cs="宋体"/>
                <w:bCs/>
                <w:color w:val="auto"/>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26</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柔性接头 帆布</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snapToGrid w:val="0"/>
                <w:color w:val="auto"/>
                <w:szCs w:val="21"/>
                <w:highlight w:val="none"/>
              </w:rPr>
            </w:pPr>
            <w:r>
              <w:rPr>
                <w:rFonts w:hint="eastAsia" w:ascii="宋体" w:hAnsi="宋体" w:cs="宋体"/>
                <w:bCs/>
                <w:snapToGrid w:val="0"/>
                <w:color w:val="auto"/>
                <w:szCs w:val="21"/>
                <w:highlight w:val="none"/>
              </w:rPr>
              <w:t>1、防火等级：难燃B1级</w:t>
            </w:r>
          </w:p>
          <w:p>
            <w:pPr>
              <w:jc w:val="left"/>
              <w:rPr>
                <w:rFonts w:ascii="宋体" w:hAnsi="宋体" w:cs="宋体"/>
                <w:bCs/>
                <w:snapToGrid w:val="0"/>
                <w:color w:val="auto"/>
                <w:szCs w:val="21"/>
                <w:highlight w:val="none"/>
              </w:rPr>
            </w:pPr>
            <w:r>
              <w:rPr>
                <w:rFonts w:hint="eastAsia" w:ascii="宋体" w:hAnsi="宋体" w:cs="宋体"/>
                <w:bCs/>
                <w:snapToGrid w:val="0"/>
                <w:color w:val="auto"/>
                <w:szCs w:val="21"/>
                <w:highlight w:val="none"/>
              </w:rPr>
              <w:t>2、规格：根据现场定制</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3.50</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27</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镀锌薄钢板风管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（δ=0.5mm以内，共板法兰连接） （δ=1.2mm以内咬口）周长（800mm以下）</w:t>
            </w:r>
          </w:p>
          <w:p>
            <w:pPr>
              <w:jc w:val="left"/>
              <w:rPr>
                <w:rFonts w:ascii="宋体" w:hAnsi="宋体" w:cs="宋体"/>
                <w:bCs/>
                <w:color w:val="auto"/>
                <w:szCs w:val="21"/>
                <w:highlight w:val="none"/>
              </w:rPr>
            </w:pPr>
            <w:r>
              <w:rPr>
                <w:rFonts w:hint="eastAsia" w:ascii="宋体" w:hAnsi="宋体" w:cs="宋体"/>
                <w:bCs/>
                <w:color w:val="auto"/>
                <w:szCs w:val="21"/>
                <w:highlight w:val="none"/>
              </w:rPr>
              <w:t>1、材质：镀锌钢板，镀锌层厚度不低于80g/㎡</w:t>
            </w:r>
          </w:p>
          <w:p>
            <w:pPr>
              <w:jc w:val="left"/>
              <w:rPr>
                <w:rFonts w:ascii="宋体" w:hAnsi="宋体" w:cs="宋体"/>
                <w:bCs/>
                <w:color w:val="auto"/>
                <w:szCs w:val="21"/>
                <w:highlight w:val="none"/>
              </w:rPr>
            </w:pPr>
            <w:r>
              <w:rPr>
                <w:rFonts w:hint="eastAsia" w:ascii="宋体" w:hAnsi="宋体" w:cs="宋体"/>
                <w:bCs/>
                <w:color w:val="auto"/>
                <w:szCs w:val="21"/>
                <w:highlight w:val="none"/>
              </w:rPr>
              <w:t>2、连接方式：法兰连接</w:t>
            </w:r>
          </w:p>
          <w:p>
            <w:pPr>
              <w:jc w:val="left"/>
              <w:rPr>
                <w:rFonts w:ascii="宋体" w:hAnsi="宋体" w:cs="宋体"/>
                <w:bCs/>
                <w:color w:val="auto"/>
                <w:szCs w:val="21"/>
                <w:highlight w:val="none"/>
              </w:rPr>
            </w:pPr>
            <w:r>
              <w:rPr>
                <w:rFonts w:hint="eastAsia" w:ascii="宋体" w:hAnsi="宋体" w:cs="宋体"/>
                <w:bCs/>
                <w:color w:val="auto"/>
                <w:szCs w:val="21"/>
                <w:highlight w:val="none"/>
              </w:rPr>
              <w:t>3、厚度：0.5mm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9.34</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28</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镀锌薄钢板风管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（δ=0.5mm以内，共板法兰连接） （δ=1.2mm以内咬口）周长（2000mm以下）</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1、材质：镀锌钢板，镀锌层厚度不低于80g/㎡</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2、连接方式：法兰连接</w:t>
            </w:r>
          </w:p>
          <w:p>
            <w:pPr>
              <w:jc w:val="left"/>
              <w:rPr>
                <w:rFonts w:ascii="宋体" w:hAnsi="宋体" w:cs="宋体"/>
                <w:color w:val="auto"/>
                <w:kern w:val="0"/>
                <w:szCs w:val="21"/>
                <w:highlight w:val="none"/>
              </w:rPr>
            </w:pPr>
            <w:r>
              <w:rPr>
                <w:rFonts w:hint="eastAsia" w:ascii="宋体" w:hAnsi="宋体" w:cs="宋体"/>
                <w:bCs/>
                <w:color w:val="auto"/>
                <w:szCs w:val="21"/>
                <w:highlight w:val="none"/>
              </w:rPr>
              <w:t>3、厚度：0.5mm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25.33</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29</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镀锌薄钢板风管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（δ=0.6mm以内，共板法兰连接） （δ=1.2mm以内咬口）周长（2000mm以下）</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1、材质：镀锌钢板，镀锌层厚度不低于80g/㎡</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2、连接方式：法兰连接</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3、厚度：0.6mm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20.95</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30</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镀锌薄钢板风管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（δ=0.75mm以内，共板法兰连接） （δ=1.2mm以内咬口）周长（2000mm以下）</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1、材质：镀锌钢板，镀锌层厚度不低于80g/㎡</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2、连接方式：法兰连接</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3、厚度：0.75mm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196.59</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31</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镀锌薄钢板风管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（δ=0.75mm以内，共板法兰连接） （δ=1.2mm以内咬口）周长（4000mm以下）</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1、材质：镀锌钢板，镀锌层厚度不低于80g/㎡</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2、连接方式：法兰连接</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3、厚度：0.75mm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78.29</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32</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镀锌薄钢板风管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（δ=1.0mm以内，共板法兰连接） （δ=1.2mm以内咬口）周长（4000mm以下）</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1、材质：镀锌钢板，镀锌层厚度不低于80g/㎡</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2、连接方式：法兰连接</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43.91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33</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带铝箔橡塑保温板（通风管道保温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1、保温棉厚度：30mm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2、防火等级：难燃B1级</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3、导热系数：λ≤0.032W/（m·K）（0℃），λ≤0.034W/（m·K）（20℃）</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m³</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10.45</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34</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无缝钢管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1、材质：无缝钢管</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2、规格：DN100</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3、工作压力：1.0MPa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4、连接方式：焊接连接</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5、壁厚：4.5mm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48.38</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35</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热镀锌钢管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1、材质：热镀锌钢管</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2、规格：DN80</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3、工作压力：1.0MPa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4、连接方式：螺纹连接</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5、壁厚：4.0mm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28.29</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36</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热镀锌钢管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1、材质：热镀锌钢管</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2、规格：DN65</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3、工作压力：1.0MPa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4、连接方式：螺纹连接</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5、壁厚：4.0mm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15.03</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37</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热镀锌钢管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1.材质：热镀锌钢管</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2.规格：DN50</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3.工作压力：1.0MPa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4.连接方式：螺纹连接</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5.壁厚：3.5mm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22.48</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38</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热镀锌钢管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1、材质：热镀锌钢管</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2、规格：DN40</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3、工作压力：1.0MPa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4、连接方式：螺纹连接</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5、壁厚：3.5mm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1.21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39</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热镀锌钢管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1、材质：热镀锌钢管</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2、规格：DN32</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3、工作压力：1.0MPa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4、连接方式：螺纹连接</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5、壁厚：3.25mm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33.5</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40</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热镀锌钢管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1、材质：热镀锌钢管</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2、规格：DN25</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3、工作压力：1.0MPa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4、连接方式：螺纹连接</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5、壁厚：3.25mm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323.12</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41</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冷凝管管道保温</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1、柔性发泡橡塑保温 15mm厚</w:t>
            </w:r>
          </w:p>
          <w:p>
            <w:pPr>
              <w:jc w:val="left"/>
              <w:rPr>
                <w:rFonts w:ascii="宋体" w:hAnsi="宋体" w:cs="宋体"/>
                <w:bCs/>
                <w:color w:val="auto"/>
                <w:szCs w:val="21"/>
                <w:highlight w:val="none"/>
              </w:rPr>
            </w:pPr>
            <w:r>
              <w:rPr>
                <w:rFonts w:hint="eastAsia" w:ascii="宋体" w:hAnsi="宋体" w:cs="宋体"/>
                <w:bCs/>
                <w:color w:val="auto"/>
                <w:szCs w:val="21"/>
                <w:highlight w:val="none"/>
              </w:rPr>
              <w:t>2、防火等级：难燃B1级</w:t>
            </w:r>
          </w:p>
          <w:p>
            <w:pPr>
              <w:jc w:val="left"/>
              <w:rPr>
                <w:rFonts w:ascii="宋体" w:hAnsi="宋体" w:cs="宋体"/>
                <w:bCs/>
                <w:snapToGrid w:val="0"/>
                <w:color w:val="auto"/>
                <w:szCs w:val="21"/>
                <w:highlight w:val="none"/>
              </w:rPr>
            </w:pPr>
            <w:r>
              <w:rPr>
                <w:rFonts w:hint="eastAsia" w:ascii="宋体" w:hAnsi="宋体" w:cs="宋体"/>
                <w:bCs/>
                <w:color w:val="auto"/>
                <w:szCs w:val="21"/>
                <w:highlight w:val="none"/>
              </w:rPr>
              <w:t>3、导热系数：λ≤0.032W/（m·K）（0℃），λ≤0.037W/（m·K）（40℃）</w:t>
            </w:r>
          </w:p>
        </w:tc>
        <w:tc>
          <w:tcPr>
            <w:tcW w:w="5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m³</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0.24</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42</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管道保温（水管保温）</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1、带铝箔柔性发泡橡塑保温28mm厚</w:t>
            </w:r>
          </w:p>
          <w:p>
            <w:pPr>
              <w:jc w:val="left"/>
              <w:rPr>
                <w:rFonts w:ascii="宋体" w:hAnsi="宋体" w:cs="宋体"/>
                <w:bCs/>
                <w:color w:val="auto"/>
                <w:szCs w:val="21"/>
                <w:highlight w:val="none"/>
              </w:rPr>
            </w:pPr>
            <w:r>
              <w:rPr>
                <w:rFonts w:hint="eastAsia" w:ascii="宋体" w:hAnsi="宋体" w:cs="宋体"/>
                <w:bCs/>
                <w:color w:val="auto"/>
                <w:szCs w:val="21"/>
                <w:highlight w:val="none"/>
              </w:rPr>
              <w:t>2、防火等级：难燃B1级</w:t>
            </w:r>
          </w:p>
          <w:p>
            <w:pPr>
              <w:jc w:val="left"/>
              <w:rPr>
                <w:rFonts w:ascii="宋体" w:hAnsi="宋体" w:cs="宋体"/>
                <w:bCs/>
                <w:color w:val="auto"/>
                <w:szCs w:val="21"/>
                <w:highlight w:val="none"/>
              </w:rPr>
            </w:pPr>
            <w:r>
              <w:rPr>
                <w:rFonts w:hint="eastAsia" w:ascii="宋体" w:hAnsi="宋体" w:cs="宋体"/>
                <w:bCs/>
                <w:color w:val="auto"/>
                <w:szCs w:val="21"/>
                <w:highlight w:val="none"/>
              </w:rPr>
              <w:t>3、导热系数：λ≤0.032W/（m·K）（0℃），λ≤0.037W/（m·K）（40℃）</w:t>
            </w:r>
          </w:p>
        </w:tc>
        <w:tc>
          <w:tcPr>
            <w:tcW w:w="5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m³</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1.92</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43</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管道保温（水管保温）</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1.带铝箔柔性发泡橡塑保温32mm厚</w:t>
            </w:r>
          </w:p>
          <w:p>
            <w:pPr>
              <w:jc w:val="left"/>
              <w:rPr>
                <w:rFonts w:ascii="宋体" w:hAnsi="宋体" w:cs="宋体"/>
                <w:bCs/>
                <w:color w:val="auto"/>
                <w:szCs w:val="21"/>
                <w:highlight w:val="none"/>
              </w:rPr>
            </w:pPr>
            <w:r>
              <w:rPr>
                <w:rFonts w:hint="eastAsia" w:ascii="宋体" w:hAnsi="宋体" w:cs="宋体"/>
                <w:bCs/>
                <w:color w:val="auto"/>
                <w:szCs w:val="21"/>
                <w:highlight w:val="none"/>
              </w:rPr>
              <w:t>2.防火等级：难燃B1级</w:t>
            </w:r>
          </w:p>
          <w:p>
            <w:pPr>
              <w:jc w:val="left"/>
              <w:rPr>
                <w:rFonts w:ascii="宋体" w:hAnsi="宋体" w:cs="宋体"/>
                <w:bCs/>
                <w:snapToGrid w:val="0"/>
                <w:color w:val="auto"/>
                <w:szCs w:val="21"/>
                <w:highlight w:val="none"/>
              </w:rPr>
            </w:pPr>
            <w:r>
              <w:rPr>
                <w:rFonts w:hint="eastAsia" w:ascii="宋体" w:hAnsi="宋体" w:cs="宋体"/>
                <w:bCs/>
                <w:color w:val="auto"/>
                <w:szCs w:val="21"/>
                <w:highlight w:val="none"/>
              </w:rPr>
              <w:t>3.导热系数：λ≤0.032W/（m·K）（0℃），λ≤0.037W/（m·K）（40℃）</w:t>
            </w:r>
          </w:p>
        </w:tc>
        <w:tc>
          <w:tcPr>
            <w:tcW w:w="5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m³</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0.26</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44</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管道保温（水管保温）</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1、带铝箔柔性发泡橡塑保温36mm厚</w:t>
            </w:r>
          </w:p>
          <w:p>
            <w:pPr>
              <w:jc w:val="left"/>
              <w:rPr>
                <w:rFonts w:ascii="宋体" w:hAnsi="宋体" w:cs="宋体"/>
                <w:bCs/>
                <w:color w:val="auto"/>
                <w:szCs w:val="21"/>
                <w:highlight w:val="none"/>
              </w:rPr>
            </w:pPr>
            <w:r>
              <w:rPr>
                <w:rFonts w:hint="eastAsia" w:ascii="宋体" w:hAnsi="宋体" w:cs="宋体"/>
                <w:bCs/>
                <w:color w:val="auto"/>
                <w:szCs w:val="21"/>
                <w:highlight w:val="none"/>
              </w:rPr>
              <w:t>2、防火等级：难燃B1级</w:t>
            </w:r>
          </w:p>
          <w:p>
            <w:pPr>
              <w:jc w:val="left"/>
              <w:rPr>
                <w:rFonts w:ascii="宋体" w:hAnsi="宋体" w:cs="宋体"/>
                <w:bCs/>
                <w:snapToGrid w:val="0"/>
                <w:color w:val="auto"/>
                <w:szCs w:val="21"/>
                <w:highlight w:val="none"/>
              </w:rPr>
            </w:pPr>
            <w:r>
              <w:rPr>
                <w:rFonts w:hint="eastAsia" w:ascii="宋体" w:hAnsi="宋体" w:cs="宋体"/>
                <w:bCs/>
                <w:color w:val="auto"/>
                <w:szCs w:val="21"/>
                <w:highlight w:val="none"/>
              </w:rPr>
              <w:t>3、导热系数：λ≤0.032W/（m·K）（0℃），λ≤0.037W/（m·K）（40℃）</w:t>
            </w:r>
          </w:p>
        </w:tc>
        <w:tc>
          <w:tcPr>
            <w:tcW w:w="5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m³</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1.44</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45</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电动二通阀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DN100</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1、连接方式：焊接法兰连接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46</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电动二通阀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DN50</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47</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电动二通阀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DN25</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18</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48</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蝶阀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DN100</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1、连接方式：焊接法兰连接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p>
            <w:pPr>
              <w:jc w:val="left"/>
              <w:rPr>
                <w:rFonts w:ascii="宋体" w:hAnsi="宋体" w:cs="宋体"/>
                <w:bCs/>
                <w:color w:val="auto"/>
                <w:szCs w:val="21"/>
                <w:highlight w:val="none"/>
              </w:rPr>
            </w:pPr>
            <w:r>
              <w:rPr>
                <w:rFonts w:hint="eastAsia" w:ascii="宋体" w:hAnsi="宋体" w:cs="宋体"/>
                <w:bCs/>
                <w:color w:val="auto"/>
                <w:szCs w:val="21"/>
                <w:highlight w:val="none"/>
              </w:rPr>
              <w:t>3、驱动方式:涡轮软密封蝶阀</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49</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泄水阀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DN80</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50</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蝶阀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DN50</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p>
            <w:pPr>
              <w:jc w:val="left"/>
              <w:rPr>
                <w:rFonts w:ascii="宋体" w:hAnsi="宋体" w:cs="宋体"/>
                <w:bCs/>
                <w:color w:val="auto"/>
                <w:szCs w:val="21"/>
                <w:highlight w:val="none"/>
              </w:rPr>
            </w:pPr>
            <w:r>
              <w:rPr>
                <w:rFonts w:hint="eastAsia" w:ascii="宋体" w:hAnsi="宋体" w:cs="宋体"/>
                <w:bCs/>
                <w:color w:val="auto"/>
                <w:szCs w:val="21"/>
                <w:highlight w:val="none"/>
              </w:rPr>
              <w:t>3、驱动方式:涡轮软密封蝶阀</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51</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闸阀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DN25</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36</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52</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金属软接</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DN25</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p>
            <w:pPr>
              <w:jc w:val="left"/>
              <w:rPr>
                <w:rFonts w:ascii="宋体" w:hAnsi="宋体" w:cs="宋体"/>
                <w:bCs/>
                <w:color w:val="auto"/>
                <w:szCs w:val="21"/>
                <w:highlight w:val="none"/>
              </w:rPr>
            </w:pPr>
            <w:r>
              <w:rPr>
                <w:rFonts w:hint="eastAsia" w:ascii="宋体" w:hAnsi="宋体" w:cs="宋体"/>
                <w:bCs/>
                <w:color w:val="auto"/>
                <w:szCs w:val="21"/>
                <w:highlight w:val="none"/>
              </w:rPr>
              <w:t>3、材质：不锈钢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36</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53</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Y型过滤器</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DN50</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54</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Y型过滤器</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DN25</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18</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55</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可曲挠橡胶接头</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DN50</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56</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压力仪表</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szCs w:val="21"/>
                <w:highlight w:val="none"/>
              </w:rPr>
            </w:pPr>
            <w:r>
              <w:rPr>
                <w:rFonts w:hint="eastAsia" w:ascii="宋体" w:hAnsi="宋体" w:cs="宋体"/>
                <w:bCs/>
                <w:color w:val="auto"/>
                <w:szCs w:val="21"/>
                <w:highlight w:val="none"/>
              </w:rPr>
              <w:t>1、工作压力：</w:t>
            </w:r>
            <w:r>
              <w:rPr>
                <w:rFonts w:hint="eastAsia" w:ascii="宋体" w:hAnsi="宋体" w:cs="宋体"/>
                <w:color w:val="auto"/>
                <w:szCs w:val="21"/>
                <w:highlight w:val="none"/>
              </w:rPr>
              <w:t>0～1.0MPA</w:t>
            </w:r>
          </w:p>
          <w:p>
            <w:pPr>
              <w:jc w:val="left"/>
              <w:rPr>
                <w:rFonts w:ascii="宋体" w:hAnsi="宋体" w:cs="宋体"/>
                <w:bCs/>
                <w:color w:val="auto"/>
                <w:szCs w:val="21"/>
                <w:highlight w:val="none"/>
              </w:rPr>
            </w:pPr>
            <w:r>
              <w:rPr>
                <w:rFonts w:hint="eastAsia" w:ascii="宋体" w:hAnsi="宋体" w:cs="宋体"/>
                <w:bCs/>
                <w:color w:val="auto"/>
                <w:szCs w:val="21"/>
                <w:highlight w:val="none"/>
              </w:rPr>
              <w:t>2、安装位置：安装于水系统新风处理机组供回水管上</w:t>
            </w:r>
          </w:p>
          <w:p>
            <w:pPr>
              <w:jc w:val="left"/>
              <w:rPr>
                <w:rFonts w:ascii="宋体" w:hAnsi="宋体" w:cs="宋体"/>
                <w:color w:val="auto"/>
                <w:szCs w:val="21"/>
                <w:highlight w:val="none"/>
              </w:rPr>
            </w:pPr>
            <w:r>
              <w:rPr>
                <w:rFonts w:hint="eastAsia" w:ascii="宋体" w:hAnsi="宋体" w:cs="宋体"/>
                <w:bCs/>
                <w:color w:val="auto"/>
                <w:szCs w:val="21"/>
                <w:highlight w:val="none"/>
              </w:rPr>
              <w:t>3、基本用途：检测新风处理机组进出水口的压力</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57</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温度计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snapToGrid w:val="0"/>
                <w:color w:val="auto"/>
                <w:szCs w:val="21"/>
                <w:highlight w:val="none"/>
              </w:rPr>
            </w:pPr>
            <w:r>
              <w:rPr>
                <w:rFonts w:hint="eastAsia" w:ascii="宋体" w:hAnsi="宋体" w:cs="宋体"/>
                <w:bCs/>
                <w:snapToGrid w:val="0"/>
                <w:color w:val="auto"/>
                <w:szCs w:val="21"/>
                <w:highlight w:val="none"/>
              </w:rPr>
              <w:t>1、双金属温度计</w:t>
            </w:r>
          </w:p>
          <w:p>
            <w:pPr>
              <w:jc w:val="left"/>
              <w:rPr>
                <w:rFonts w:ascii="宋体" w:hAnsi="宋体" w:cs="宋体"/>
                <w:bCs/>
                <w:snapToGrid w:val="0"/>
                <w:color w:val="auto"/>
                <w:szCs w:val="21"/>
                <w:highlight w:val="none"/>
              </w:rPr>
            </w:pPr>
            <w:r>
              <w:rPr>
                <w:rFonts w:hint="eastAsia" w:ascii="宋体" w:hAnsi="宋体" w:cs="宋体"/>
                <w:bCs/>
                <w:snapToGrid w:val="0"/>
                <w:color w:val="auto"/>
                <w:szCs w:val="21"/>
                <w:highlight w:val="none"/>
              </w:rPr>
              <w:t>2、套管式安装</w:t>
            </w:r>
          </w:p>
          <w:p>
            <w:pPr>
              <w:jc w:val="left"/>
              <w:rPr>
                <w:rFonts w:ascii="宋体" w:hAnsi="宋体" w:cs="宋体"/>
                <w:bCs/>
                <w:snapToGrid w:val="0"/>
                <w:color w:val="auto"/>
                <w:szCs w:val="21"/>
                <w:highlight w:val="none"/>
              </w:rPr>
            </w:pPr>
            <w:r>
              <w:rPr>
                <w:rFonts w:hint="eastAsia" w:ascii="宋体" w:hAnsi="宋体" w:cs="宋体"/>
                <w:bCs/>
                <w:snapToGrid w:val="0"/>
                <w:color w:val="auto"/>
                <w:szCs w:val="21"/>
                <w:highlight w:val="none"/>
              </w:rPr>
              <w:t>3、</w:t>
            </w:r>
            <w:r>
              <w:rPr>
                <w:rFonts w:hint="eastAsia" w:ascii="宋体" w:hAnsi="宋体" w:cs="宋体"/>
                <w:bCs/>
                <w:color w:val="auto"/>
                <w:szCs w:val="21"/>
                <w:highlight w:val="none"/>
              </w:rPr>
              <w:t>水介质温度</w:t>
            </w:r>
            <w:r>
              <w:rPr>
                <w:rFonts w:hint="eastAsia" w:ascii="宋体" w:hAnsi="宋体" w:cs="宋体"/>
                <w:bCs/>
                <w:snapToGrid w:val="0"/>
                <w:color w:val="auto"/>
                <w:szCs w:val="21"/>
                <w:highlight w:val="none"/>
              </w:rPr>
              <w:t>：</w:t>
            </w:r>
            <w:r>
              <w:rPr>
                <w:rFonts w:hint="eastAsia" w:ascii="宋体" w:hAnsi="宋体" w:cs="宋体"/>
                <w:color w:val="auto"/>
                <w:szCs w:val="21"/>
                <w:highlight w:val="none"/>
              </w:rPr>
              <w:t>0～50℃</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支</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9411"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二、地上通风工程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58</w:t>
            </w:r>
          </w:p>
        </w:tc>
        <w:tc>
          <w:tcPr>
            <w:tcW w:w="938"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配管 </w:t>
            </w:r>
          </w:p>
        </w:tc>
        <w:tc>
          <w:tcPr>
            <w:tcW w:w="4823"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hAnsi="宋体" w:cs="宋体"/>
                <w:bCs/>
                <w:color w:val="auto"/>
                <w:szCs w:val="21"/>
                <w:highlight w:val="none"/>
              </w:rPr>
            </w:pPr>
            <w:r>
              <w:rPr>
                <w:rFonts w:hint="eastAsia" w:ascii="宋体" w:hAnsi="宋体" w:cs="宋体"/>
                <w:bCs/>
                <w:color w:val="auto"/>
                <w:szCs w:val="21"/>
                <w:highlight w:val="none"/>
              </w:rPr>
              <w:t>SC20</w:t>
            </w:r>
          </w:p>
          <w:p>
            <w:pPr>
              <w:spacing w:line="260" w:lineRule="exact"/>
              <w:jc w:val="left"/>
              <w:rPr>
                <w:rFonts w:ascii="宋体" w:hAnsi="宋体" w:cs="宋体"/>
                <w:color w:val="auto"/>
                <w:szCs w:val="21"/>
                <w:highlight w:val="none"/>
              </w:rPr>
            </w:pPr>
            <w:r>
              <w:rPr>
                <w:rFonts w:hint="eastAsia" w:ascii="宋体" w:hAnsi="宋体" w:cs="宋体"/>
                <w:bCs/>
                <w:color w:val="auto"/>
                <w:szCs w:val="21"/>
                <w:highlight w:val="none"/>
              </w:rPr>
              <w:t>符合国标要求</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3276.76</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59</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配管</w:t>
            </w:r>
          </w:p>
        </w:tc>
        <w:tc>
          <w:tcPr>
            <w:tcW w:w="4823"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hAnsi="宋体" w:cs="宋体"/>
                <w:bCs/>
                <w:snapToGrid w:val="0"/>
                <w:color w:val="auto"/>
                <w:szCs w:val="21"/>
                <w:highlight w:val="none"/>
              </w:rPr>
            </w:pPr>
            <w:r>
              <w:rPr>
                <w:rFonts w:hint="eastAsia" w:ascii="宋体" w:hAnsi="宋体" w:cs="宋体"/>
                <w:color w:val="auto"/>
                <w:kern w:val="0"/>
                <w:szCs w:val="21"/>
                <w:highlight w:val="none"/>
              </w:rPr>
              <w:t>SC25</w:t>
            </w:r>
          </w:p>
          <w:p>
            <w:pPr>
              <w:spacing w:line="260" w:lineRule="exact"/>
              <w:jc w:val="left"/>
              <w:rPr>
                <w:rFonts w:ascii="宋体" w:hAnsi="宋体" w:cs="宋体"/>
                <w:bCs/>
                <w:snapToGrid w:val="0"/>
                <w:color w:val="auto"/>
                <w:szCs w:val="21"/>
                <w:highlight w:val="none"/>
              </w:rPr>
            </w:pPr>
            <w:r>
              <w:rPr>
                <w:rFonts w:hint="eastAsia" w:ascii="宋体" w:hAnsi="宋体" w:cs="宋体"/>
                <w:bCs/>
                <w:snapToGrid w:val="0"/>
                <w:color w:val="auto"/>
                <w:szCs w:val="21"/>
                <w:highlight w:val="none"/>
              </w:rPr>
              <w:t>1、壁厚：1.5mm</w:t>
            </w:r>
          </w:p>
          <w:p>
            <w:pPr>
              <w:pStyle w:val="2"/>
              <w:spacing w:line="260" w:lineRule="exact"/>
              <w:ind w:firstLine="0" w:firstLineChars="0"/>
              <w:rPr>
                <w:rFonts w:cs="宋体"/>
                <w:color w:val="auto"/>
                <w:sz w:val="21"/>
                <w:szCs w:val="21"/>
                <w:highlight w:val="none"/>
              </w:rPr>
            </w:pPr>
            <w:r>
              <w:rPr>
                <w:rFonts w:hint="eastAsia" w:cs="宋体"/>
                <w:b w:val="0"/>
                <w:caps w:val="0"/>
                <w:color w:val="auto"/>
                <w:sz w:val="21"/>
                <w:szCs w:val="21"/>
                <w:highlight w:val="none"/>
              </w:rPr>
              <w:t>符合国标要求</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3804.46</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60</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配管</w:t>
            </w:r>
          </w:p>
        </w:tc>
        <w:tc>
          <w:tcPr>
            <w:tcW w:w="4823"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SC40</w:t>
            </w:r>
          </w:p>
          <w:p>
            <w:pPr>
              <w:pStyle w:val="2"/>
              <w:spacing w:line="260" w:lineRule="exact"/>
              <w:ind w:firstLine="0" w:firstLineChars="0"/>
              <w:rPr>
                <w:rFonts w:cs="宋体"/>
                <w:color w:val="auto"/>
                <w:sz w:val="21"/>
                <w:szCs w:val="21"/>
                <w:highlight w:val="none"/>
              </w:rPr>
            </w:pPr>
            <w:r>
              <w:rPr>
                <w:rFonts w:hint="eastAsia" w:cs="宋体"/>
                <w:b w:val="0"/>
                <w:caps w:val="0"/>
                <w:color w:val="auto"/>
                <w:sz w:val="21"/>
                <w:szCs w:val="21"/>
                <w:highlight w:val="none"/>
              </w:rPr>
              <w:t>符合国标要求</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375.65</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61</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配管</w:t>
            </w:r>
          </w:p>
        </w:tc>
        <w:tc>
          <w:tcPr>
            <w:tcW w:w="4823"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SC50</w:t>
            </w:r>
          </w:p>
          <w:p>
            <w:pPr>
              <w:pStyle w:val="2"/>
              <w:spacing w:line="260" w:lineRule="exact"/>
              <w:ind w:firstLine="0" w:firstLineChars="0"/>
              <w:rPr>
                <w:rFonts w:cs="宋体"/>
                <w:color w:val="auto"/>
                <w:sz w:val="21"/>
                <w:szCs w:val="21"/>
                <w:highlight w:val="none"/>
              </w:rPr>
            </w:pPr>
            <w:r>
              <w:rPr>
                <w:rFonts w:hint="eastAsia" w:cs="宋体"/>
                <w:b w:val="0"/>
                <w:caps w:val="0"/>
                <w:color w:val="auto"/>
                <w:sz w:val="21"/>
                <w:szCs w:val="21"/>
                <w:highlight w:val="none"/>
              </w:rPr>
              <w:t>符合国标要求</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15.7</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62</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配管</w:t>
            </w:r>
          </w:p>
        </w:tc>
        <w:tc>
          <w:tcPr>
            <w:tcW w:w="4823" w:type="dxa"/>
            <w:tcBorders>
              <w:top w:val="single" w:color="auto" w:sz="4" w:space="0"/>
              <w:left w:val="single" w:color="auto" w:sz="4" w:space="0"/>
              <w:bottom w:val="single" w:color="auto" w:sz="4" w:space="0"/>
              <w:right w:val="single" w:color="auto" w:sz="4" w:space="0"/>
            </w:tcBorders>
            <w:noWrap/>
            <w:vAlign w:val="center"/>
          </w:tcPr>
          <w:p>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SC65</w:t>
            </w:r>
          </w:p>
          <w:p>
            <w:pPr>
              <w:pStyle w:val="2"/>
              <w:spacing w:line="260" w:lineRule="exact"/>
              <w:ind w:firstLine="0" w:firstLineChars="0"/>
              <w:jc w:val="both"/>
              <w:rPr>
                <w:rFonts w:cs="宋体"/>
                <w:color w:val="auto"/>
                <w:sz w:val="21"/>
                <w:szCs w:val="21"/>
                <w:highlight w:val="none"/>
              </w:rPr>
            </w:pPr>
            <w:r>
              <w:rPr>
                <w:rFonts w:hint="eastAsia" w:cs="宋体"/>
                <w:b w:val="0"/>
                <w:caps w:val="0"/>
                <w:color w:val="auto"/>
                <w:sz w:val="21"/>
                <w:szCs w:val="21"/>
                <w:highlight w:val="none"/>
              </w:rPr>
              <w:t>符合国标要求</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21.98</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63</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配管</w:t>
            </w:r>
          </w:p>
        </w:tc>
        <w:tc>
          <w:tcPr>
            <w:tcW w:w="4823"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SC80</w:t>
            </w:r>
          </w:p>
          <w:p>
            <w:pPr>
              <w:pStyle w:val="2"/>
              <w:spacing w:line="260" w:lineRule="exact"/>
              <w:ind w:firstLine="0" w:firstLineChars="0"/>
              <w:rPr>
                <w:rFonts w:cs="宋体"/>
                <w:color w:val="auto"/>
                <w:sz w:val="21"/>
                <w:szCs w:val="21"/>
                <w:highlight w:val="none"/>
              </w:rPr>
            </w:pPr>
            <w:r>
              <w:rPr>
                <w:rFonts w:hint="eastAsia" w:cs="宋体"/>
                <w:b w:val="0"/>
                <w:caps w:val="0"/>
                <w:color w:val="auto"/>
                <w:sz w:val="21"/>
                <w:szCs w:val="21"/>
                <w:highlight w:val="none"/>
              </w:rPr>
              <w:t>符合国标要求</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8.86</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64</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配管</w:t>
            </w:r>
          </w:p>
        </w:tc>
        <w:tc>
          <w:tcPr>
            <w:tcW w:w="4823"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SC150</w:t>
            </w:r>
          </w:p>
          <w:p>
            <w:pPr>
              <w:pStyle w:val="2"/>
              <w:spacing w:line="260" w:lineRule="exact"/>
              <w:ind w:firstLine="0" w:firstLineChars="0"/>
              <w:rPr>
                <w:rFonts w:cs="宋体"/>
                <w:color w:val="auto"/>
                <w:sz w:val="21"/>
                <w:szCs w:val="21"/>
                <w:highlight w:val="none"/>
              </w:rPr>
            </w:pPr>
            <w:r>
              <w:rPr>
                <w:rFonts w:hint="eastAsia" w:cs="宋体"/>
                <w:b w:val="0"/>
                <w:caps w:val="0"/>
                <w:color w:val="auto"/>
                <w:sz w:val="21"/>
                <w:szCs w:val="21"/>
                <w:highlight w:val="none"/>
              </w:rPr>
              <w:t>符合国标要求</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8.22</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65</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配线 </w:t>
            </w:r>
          </w:p>
        </w:tc>
        <w:tc>
          <w:tcPr>
            <w:tcW w:w="4823"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1、规格型号：RVVP2*1.0mm²</w:t>
            </w:r>
          </w:p>
          <w:p>
            <w:pPr>
              <w:pStyle w:val="2"/>
              <w:spacing w:line="260" w:lineRule="exact"/>
              <w:ind w:firstLine="0" w:firstLineChars="0"/>
              <w:rPr>
                <w:rFonts w:cs="宋体"/>
                <w:color w:val="auto"/>
                <w:sz w:val="21"/>
                <w:szCs w:val="21"/>
                <w:highlight w:val="none"/>
              </w:rPr>
            </w:pPr>
            <w:r>
              <w:rPr>
                <w:rFonts w:hint="eastAsia" w:cs="宋体"/>
                <w:b w:val="0"/>
                <w:caps w:val="0"/>
                <w:color w:val="auto"/>
                <w:sz w:val="21"/>
                <w:szCs w:val="21"/>
                <w:highlight w:val="none"/>
              </w:rPr>
              <w:t>2、符合国标要求</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2971.46</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银杉，纵览，桂林国际或同档次及以上品牌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66</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配线 </w:t>
            </w:r>
          </w:p>
        </w:tc>
        <w:tc>
          <w:tcPr>
            <w:tcW w:w="4823"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1、规格型号：RVVP7*1.0mm²</w:t>
            </w:r>
          </w:p>
          <w:p>
            <w:pPr>
              <w:pStyle w:val="2"/>
              <w:spacing w:line="260" w:lineRule="exact"/>
              <w:ind w:firstLine="0" w:firstLineChars="0"/>
              <w:rPr>
                <w:rFonts w:cs="宋体"/>
                <w:color w:val="auto"/>
                <w:sz w:val="21"/>
                <w:szCs w:val="21"/>
                <w:highlight w:val="none"/>
              </w:rPr>
            </w:pPr>
            <w:r>
              <w:rPr>
                <w:rFonts w:hint="eastAsia" w:cs="宋体"/>
                <w:b w:val="0"/>
                <w:caps w:val="0"/>
                <w:color w:val="auto"/>
                <w:sz w:val="21"/>
                <w:szCs w:val="21"/>
                <w:highlight w:val="none"/>
              </w:rPr>
              <w:t>2、符合国标要求</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833.00</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银杉，纵览，桂林国际或同档次及以上品牌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67</w:t>
            </w:r>
          </w:p>
        </w:tc>
        <w:tc>
          <w:tcPr>
            <w:tcW w:w="938"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管内穿铜芯导线 </w:t>
            </w:r>
          </w:p>
        </w:tc>
        <w:tc>
          <w:tcPr>
            <w:tcW w:w="4823"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WDZ-0.75kV-BYJ-4mm²</w:t>
            </w:r>
          </w:p>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1、低烟无卤阻燃线缆</w:t>
            </w:r>
          </w:p>
          <w:p>
            <w:pPr>
              <w:pStyle w:val="2"/>
              <w:spacing w:line="260" w:lineRule="exact"/>
              <w:ind w:firstLine="0" w:firstLineChars="0"/>
              <w:rPr>
                <w:rFonts w:cs="宋体"/>
                <w:color w:val="auto"/>
                <w:sz w:val="21"/>
                <w:szCs w:val="21"/>
                <w:highlight w:val="none"/>
              </w:rPr>
            </w:pPr>
            <w:r>
              <w:rPr>
                <w:rFonts w:hint="eastAsia" w:cs="宋体"/>
                <w:b w:val="0"/>
                <w:caps w:val="0"/>
                <w:color w:val="auto"/>
                <w:sz w:val="21"/>
                <w:szCs w:val="21"/>
                <w:highlight w:val="none"/>
              </w:rPr>
              <w:t>2、符合国标要求</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10226.15</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银杉，纵缆，桂林国际或同档次及以上品牌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68</w:t>
            </w:r>
          </w:p>
        </w:tc>
        <w:tc>
          <w:tcPr>
            <w:tcW w:w="938"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宋体" w:hAnsi="宋体" w:cs="宋体"/>
                <w:bCs/>
                <w:snapToGrid w:val="0"/>
                <w:color w:val="auto"/>
                <w:szCs w:val="21"/>
                <w:highlight w:val="none"/>
              </w:rPr>
            </w:pPr>
            <w:r>
              <w:rPr>
                <w:rFonts w:hint="eastAsia" w:ascii="宋体" w:hAnsi="宋体" w:cs="宋体"/>
                <w:bCs/>
                <w:color w:val="auto"/>
                <w:szCs w:val="21"/>
                <w:highlight w:val="none"/>
              </w:rPr>
              <w:t>桥架配铜芯导线</w:t>
            </w:r>
          </w:p>
        </w:tc>
        <w:tc>
          <w:tcPr>
            <w:tcW w:w="4823"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WDZ-0.75kV-BYJ-4mm²</w:t>
            </w:r>
          </w:p>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1、低烟无卤阻燃线缆</w:t>
            </w:r>
          </w:p>
          <w:p>
            <w:pPr>
              <w:pStyle w:val="2"/>
              <w:spacing w:line="260" w:lineRule="exact"/>
              <w:ind w:firstLine="0" w:firstLineChars="0"/>
              <w:rPr>
                <w:rFonts w:cs="宋体"/>
                <w:color w:val="auto"/>
                <w:sz w:val="21"/>
                <w:szCs w:val="21"/>
                <w:highlight w:val="none"/>
              </w:rPr>
            </w:pPr>
            <w:r>
              <w:rPr>
                <w:rFonts w:hint="eastAsia" w:cs="宋体"/>
                <w:b w:val="0"/>
                <w:caps w:val="0"/>
                <w:color w:val="auto"/>
                <w:sz w:val="21"/>
                <w:szCs w:val="21"/>
                <w:highlight w:val="none"/>
              </w:rPr>
              <w:t>2、符合国标要求</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2885.88</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银杉，纵缆，桂林国际或同档次及以上品牌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69</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电力电缆 </w:t>
            </w:r>
          </w:p>
        </w:tc>
        <w:tc>
          <w:tcPr>
            <w:tcW w:w="4823"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WDZN-YJY-3*35+2*16mm²</w:t>
            </w:r>
          </w:p>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1.低烟无卤阻燃耐火线缆</w:t>
            </w:r>
          </w:p>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2.包含电缆头的制作及安装</w:t>
            </w:r>
          </w:p>
          <w:p>
            <w:pPr>
              <w:pStyle w:val="2"/>
              <w:spacing w:line="260" w:lineRule="exact"/>
              <w:ind w:firstLine="0" w:firstLineChars="0"/>
              <w:rPr>
                <w:rFonts w:cs="宋体"/>
                <w:color w:val="auto"/>
                <w:sz w:val="21"/>
                <w:szCs w:val="21"/>
                <w:highlight w:val="none"/>
              </w:rPr>
            </w:pPr>
            <w:r>
              <w:rPr>
                <w:rFonts w:hint="eastAsia" w:cs="宋体"/>
                <w:b w:val="0"/>
                <w:caps w:val="0"/>
                <w:color w:val="auto"/>
                <w:sz w:val="21"/>
                <w:szCs w:val="21"/>
                <w:highlight w:val="none"/>
              </w:rPr>
              <w:t>3.符合国标要求</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54.92</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银杉，纵缆，桂林国际或同档次及以上品牌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70</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电力电缆 </w:t>
            </w:r>
          </w:p>
        </w:tc>
        <w:tc>
          <w:tcPr>
            <w:tcW w:w="4823"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WDZ-YJY-4*35+1*16mm²</w:t>
            </w:r>
          </w:p>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1、低烟无卤阻燃线缆</w:t>
            </w:r>
          </w:p>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2、包含电缆头的制作及安装</w:t>
            </w:r>
          </w:p>
          <w:p>
            <w:pPr>
              <w:pStyle w:val="2"/>
              <w:spacing w:line="260" w:lineRule="exact"/>
              <w:ind w:firstLine="0" w:firstLineChars="0"/>
              <w:rPr>
                <w:rFonts w:cs="宋体"/>
                <w:color w:val="auto"/>
                <w:sz w:val="21"/>
                <w:szCs w:val="21"/>
                <w:highlight w:val="none"/>
              </w:rPr>
            </w:pPr>
            <w:r>
              <w:rPr>
                <w:rFonts w:hint="eastAsia" w:cs="宋体"/>
                <w:b w:val="0"/>
                <w:caps w:val="0"/>
                <w:color w:val="auto"/>
                <w:sz w:val="21"/>
                <w:szCs w:val="21"/>
                <w:highlight w:val="none"/>
              </w:rPr>
              <w:t>3、符合国标要求</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153.53</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银杉，纵缆，桂林国际或同档次及以上品牌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71</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电力电缆 </w:t>
            </w:r>
          </w:p>
        </w:tc>
        <w:tc>
          <w:tcPr>
            <w:tcW w:w="4823"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WDZ-YJY-4*50+1*25mm²</w:t>
            </w:r>
          </w:p>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1、低烟无卤阻燃线缆</w:t>
            </w:r>
          </w:p>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2、包含电缆头的制作及安装</w:t>
            </w:r>
          </w:p>
          <w:p>
            <w:pPr>
              <w:pStyle w:val="2"/>
              <w:spacing w:line="260" w:lineRule="exact"/>
              <w:ind w:firstLine="0" w:firstLineChars="0"/>
              <w:rPr>
                <w:rFonts w:cs="宋体"/>
                <w:color w:val="auto"/>
                <w:sz w:val="21"/>
                <w:szCs w:val="21"/>
                <w:highlight w:val="none"/>
              </w:rPr>
            </w:pPr>
            <w:r>
              <w:rPr>
                <w:rFonts w:hint="eastAsia" w:cs="宋体"/>
                <w:b w:val="0"/>
                <w:caps w:val="0"/>
                <w:color w:val="auto"/>
                <w:sz w:val="21"/>
                <w:szCs w:val="21"/>
                <w:highlight w:val="none"/>
              </w:rPr>
              <w:t>3、符合国标要求</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193</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银杉，纵缆，桂林国际或同档次及以上品牌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72</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电力电缆 </w:t>
            </w:r>
          </w:p>
        </w:tc>
        <w:tc>
          <w:tcPr>
            <w:tcW w:w="4823"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WDZ-YJY-4*70+1*35mm²</w:t>
            </w:r>
          </w:p>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1、低烟无卤阻燃线缆</w:t>
            </w:r>
          </w:p>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2、包含电缆头的制作及安装</w:t>
            </w:r>
          </w:p>
          <w:p>
            <w:pPr>
              <w:pStyle w:val="2"/>
              <w:spacing w:line="260" w:lineRule="exact"/>
              <w:ind w:firstLine="0" w:firstLineChars="0"/>
              <w:rPr>
                <w:rFonts w:cs="宋体"/>
                <w:color w:val="auto"/>
                <w:sz w:val="21"/>
                <w:szCs w:val="21"/>
                <w:highlight w:val="none"/>
              </w:rPr>
            </w:pPr>
            <w:r>
              <w:rPr>
                <w:rFonts w:hint="eastAsia" w:cs="宋体"/>
                <w:b w:val="0"/>
                <w:caps w:val="0"/>
                <w:color w:val="auto"/>
                <w:sz w:val="21"/>
                <w:szCs w:val="21"/>
                <w:highlight w:val="none"/>
              </w:rPr>
              <w:t>3、符合国标要求</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53.49</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银杉，纵缆，桂林国际或同档次及以上品牌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73</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电力电缆 </w:t>
            </w:r>
          </w:p>
        </w:tc>
        <w:tc>
          <w:tcPr>
            <w:tcW w:w="4823"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WDZ-YJY-3*95+2*50mm²</w:t>
            </w:r>
          </w:p>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1、低烟无卤阻燃线缆</w:t>
            </w:r>
          </w:p>
          <w:p>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2、包含电缆头的制作及安装</w:t>
            </w:r>
          </w:p>
          <w:p>
            <w:pPr>
              <w:pStyle w:val="2"/>
              <w:spacing w:line="260" w:lineRule="exact"/>
              <w:ind w:firstLine="0" w:firstLineChars="0"/>
              <w:rPr>
                <w:rFonts w:cs="宋体"/>
                <w:color w:val="auto"/>
                <w:sz w:val="21"/>
                <w:szCs w:val="21"/>
                <w:highlight w:val="none"/>
              </w:rPr>
            </w:pPr>
            <w:r>
              <w:rPr>
                <w:rFonts w:hint="eastAsia" w:cs="宋体"/>
                <w:b w:val="0"/>
                <w:caps w:val="0"/>
                <w:color w:val="auto"/>
                <w:sz w:val="21"/>
                <w:szCs w:val="21"/>
                <w:highlight w:val="none"/>
              </w:rPr>
              <w:t>3、符合国标要求</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135.23</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银杉，纵缆，桂林国际或同档次及以上品牌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74</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多联式空调系统自控系统</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snapToGrid w:val="0"/>
                <w:color w:val="auto"/>
                <w:szCs w:val="21"/>
                <w:highlight w:val="none"/>
              </w:rPr>
            </w:pPr>
            <w:r>
              <w:rPr>
                <w:rFonts w:hint="eastAsia" w:ascii="宋体" w:hAnsi="宋体" w:cs="宋体"/>
                <w:bCs/>
                <w:snapToGrid w:val="0"/>
                <w:color w:val="auto"/>
                <w:szCs w:val="21"/>
                <w:highlight w:val="none"/>
              </w:rPr>
              <w:t>系统监控对象为本工程多联式空调（热泵）机组系统所有室内、外机及新风处理机，本系统自成一体，该控制系统由多联式空调（热泵）机组厂家提供并负责集成，室外机可以直接与互联网连接，可对每台室内机进行集中或分散的温度控制、开关机、模式、风量、温度上下限定；具备日程管理功能，定时开关机等，能对项目的能耗数据显示，统计、打印输出，便于对能耗进行控制。</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项</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75</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风机盘管</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1.风量≥1700m³/h，冷量≥9.2kW；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2.风压（余压）=30Pa；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3.输入功率≤174W；电压=220V； </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4.空气进口温度 干球：27℃，湿球：19.5℃，水量≥1.55m³/h</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5.噪声≤50dB(A)；盘管水压降≤50kPa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6.设备形式：卧式暗装</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47</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76</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风机盘管</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1.风量≥1360m³/h,冷量≥8.0kW；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2.风压（余压）=30Pa；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3.输入功率≤156W；电压=220V； </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4.空气进口温度 干球：27℃，湿球：19.5℃，水量≥1.35m³/h</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5.噪声≤48dB(A)；盘管水压降≤50kPa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6.设备形式：卧式暗装</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7</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77</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风机盘管</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1、风量≥1020m³/h,冷量≥6.0kW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2、风压（余压）=30Pa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3、输入功率≤108W；电压=220V；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4、空气进口温度 干球：27℃，湿球：19.5℃，水量≥1.00m³/h</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5、噪声≤47dB(A)；盘管水压降≤50kPa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6、设备形式：卧式暗装</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5</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78</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风机盘管</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1.风量≥850m³/h,冷量≥4.9kW；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2.风压（余压）=30Pa；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3.输入功率≤87W；电压=220V； </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4.空气进口温度 干球：27℃，湿球：19.5℃，水量≥0.85m³/h</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5.噪声≤45dB(A)；盘管水压降≤50kPa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6.设备形式：卧式暗装</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10</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79</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风机盘管</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1.风量≥680m³/h,冷量≥4.2kW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2.风压（余压）=30Pa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3.输入功率≤72W；电压=220V； </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4.空气进口温度 干球：27℃，湿球：19.5℃，水量≥0.756m³/h</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5.噪声≤43dB(A)；盘管水压降≤50kPa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6.设备形式：卧式暗装</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8</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80</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风机盘管</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1.风量≥510m³/h,冷量≥3.3kW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2.风压（余压）=30Pa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3.输入功率≤59W；电压=220V；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4.空气进口温度 干球：27℃，湿球：19.5℃，水量≥0.576m³/h</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5.噪声≤42dB(A)；盘管水压降≤50kPa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6.设备形式：卧式暗装</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4</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46"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81</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风机盘管</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1.风量≥850m³/h,冷量≥4.8kW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2.输入功率≤87W；电压=220V； </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3.空气进口温度 干球：27℃，湿球：19.5℃，水量≥0.828m³/h</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4.噪声≤45dB(A)；盘管水压降≤50kPa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5.设备形式：四面出风型卡式</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4</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82</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风机盘管</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1.风量≥340m³/h,冷量≥2.1kW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2.输入功率≤60W；电压=220V； </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3.空气进口温度 干球：27℃，湿球：19.5℃，水量≥0.36m³/h</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4.噪声≤39dB(A)；盘管水压降：≤50kPa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5.设备形式：四面出风型卡式</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16</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11"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83</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新风机组</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1.风量≥2000m³/h,冷量≥28kW；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2.风压（余压）≥220Pa；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3.输入功率≤0.80kW；电压=380V； </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4.空气进口温度 干球：35℃，湿球：28℃，水量：≥4.80m³/h；</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5.噪声≤68dB(A)；盘管水压降≤33kPa；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6.机组箱体采用铝合金边框及无冷桥概念设计，双层面板通过特制铝合金边框发泡而成，箱体内表面光滑平整，不易积灰滋菌；</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7.面板采用无冷桥设计，双层三明治夹心结构，传热系数满足T2级，冷桥因子满足TB1级。</w:t>
            </w:r>
          </w:p>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8.面板内部采用聚氨脂发泡材料，发泡密度≥45kg/m³。面板中间采用环保无氟聚氨脂整体高压发泡，氧指数≥30%，不得采用石棉或玻璃棉作为保温材料；</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9.换热器采用优质亲水铝翅片，不腐蚀，热传效率高；</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10.采用三相鼠笼式交流电机，IP54防护等级，F级绝缘；</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11.设备形式：卧柜式</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84</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新风热交换器</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1.风量≥1000m³/h；</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2.静压≥100Pa；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3.输入功率≤800W；电压=220V； </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4.热回收效率：制冷≥60%，制热≥70%；</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5.噪声：≤51dB(A)；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6.换热器采用亲水铝翅片，不腐蚀，热传效率高；</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7.采用三相鼠笼式交流电机，IP54防护等级，F级绝缘；</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8.风机选用低噪音空调风机，内部需经过降噪处理，防止对现场的干扰。</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6</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85</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恒温恒湿空调机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Style w:val="148"/>
                <w:rFonts w:hint="default"/>
                <w:color w:val="auto"/>
                <w:sz w:val="21"/>
                <w:szCs w:val="21"/>
                <w:highlight w:val="none"/>
              </w:rPr>
            </w:pPr>
            <w:r>
              <w:rPr>
                <w:rFonts w:hint="eastAsia" w:ascii="宋体" w:hAnsi="宋体" w:cs="宋体"/>
                <w:color w:val="auto"/>
                <w:kern w:val="0"/>
                <w:szCs w:val="21"/>
                <w:highlight w:val="none"/>
              </w:rPr>
              <w:t>1.风量≥2800m³/h</w:t>
            </w:r>
          </w:p>
          <w:p>
            <w:pPr>
              <w:widowControl/>
              <w:jc w:val="left"/>
              <w:textAlignment w:val="center"/>
              <w:rPr>
                <w:rFonts w:ascii="宋体" w:hAnsi="宋体" w:cs="宋体"/>
                <w:color w:val="auto"/>
                <w:kern w:val="0"/>
                <w:szCs w:val="21"/>
                <w:highlight w:val="none"/>
              </w:rPr>
            </w:pPr>
            <w:r>
              <w:rPr>
                <w:rStyle w:val="148"/>
                <w:rFonts w:hint="default"/>
                <w:b w:val="0"/>
                <w:bCs w:val="0"/>
                <w:color w:val="auto"/>
                <w:sz w:val="21"/>
                <w:szCs w:val="21"/>
                <w:highlight w:val="none"/>
              </w:rPr>
              <w:t>2.室内机功率（送风机功率+压缩机功率+电加热+加湿器）≤17.2kW；室外机功率≤0.7kW；电压=380V；</w:t>
            </w:r>
          </w:p>
          <w:p>
            <w:pPr>
              <w:widowControl/>
              <w:jc w:val="left"/>
              <w:textAlignment w:val="center"/>
              <w:rPr>
                <w:rFonts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.制冷量≥12.5kw；电加热量≥4kw；加湿量≥2.5kg/h，电加湿功率≤3KW；</w:t>
            </w:r>
          </w:p>
          <w:p>
            <w:pPr>
              <w:widowControl/>
              <w:jc w:val="left"/>
              <w:textAlignment w:val="center"/>
              <w:rPr>
                <w:rFonts w:ascii="宋体" w:hAnsi="宋体" w:cs="宋体"/>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温湿控范围及精度：24±2℃,50±10%；空气进口温度：23/17℃；</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kern w:val="0"/>
                <w:szCs w:val="21"/>
                <w:highlight w:val="none"/>
              </w:rPr>
              <w:t>电加热需采用PTC电加热，加湿器采用电极加湿器；</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6.室内机为立式，采用钣金框架，压</w:t>
            </w:r>
            <w:r>
              <w:rPr>
                <w:rStyle w:val="148"/>
                <w:rFonts w:hint="default"/>
                <w:b w:val="0"/>
                <w:bCs w:val="0"/>
                <w:color w:val="auto"/>
                <w:sz w:val="21"/>
                <w:szCs w:val="21"/>
                <w:highlight w:val="none"/>
              </w:rPr>
              <w:t>缩机放置在室内机，充分利用压缩机产生的热量</w:t>
            </w:r>
            <w:r>
              <w:rPr>
                <w:rFonts w:hint="eastAsia" w:ascii="宋体" w:hAnsi="宋体" w:cs="宋体"/>
                <w:color w:val="auto"/>
                <w:kern w:val="0"/>
                <w:szCs w:val="21"/>
                <w:highlight w:val="none"/>
              </w:rPr>
              <w:t>；</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7、控制面板采用真彩触摸屏，</w:t>
            </w:r>
            <w:r>
              <w:rPr>
                <w:rStyle w:val="148"/>
                <w:rFonts w:hint="default"/>
                <w:b w:val="0"/>
                <w:bCs w:val="0"/>
                <w:color w:val="auto"/>
                <w:sz w:val="21"/>
                <w:szCs w:val="21"/>
                <w:highlight w:val="none"/>
              </w:rPr>
              <w:t>安装于机组</w:t>
            </w:r>
            <w:r>
              <w:rPr>
                <w:rFonts w:hint="eastAsia"/>
                <w:color w:val="auto"/>
                <w:highlight w:val="none"/>
              </w:rPr>
              <w:t>正面或</w:t>
            </w:r>
            <w:r>
              <w:rPr>
                <w:rStyle w:val="148"/>
                <w:rFonts w:hint="default"/>
                <w:b w:val="0"/>
                <w:bCs w:val="0"/>
                <w:color w:val="auto"/>
                <w:sz w:val="21"/>
                <w:szCs w:val="21"/>
                <w:highlight w:val="none"/>
              </w:rPr>
              <w:t>侧面；</w:t>
            </w:r>
            <w:r>
              <w:rPr>
                <w:rFonts w:hint="eastAsia" w:ascii="宋体" w:hAnsi="宋体" w:cs="宋体"/>
                <w:color w:val="auto"/>
                <w:kern w:val="0"/>
                <w:szCs w:val="21"/>
                <w:highlight w:val="none"/>
              </w:rPr>
              <w:t>室内机控制柜安装在室内机内部。</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86</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风冷涡旋式冷(热)水机组</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▲1.制冷量≥260KW，制热量≥266KW；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▲2.制冷输入总功率≤88.1KW，制热输入总功率≤85.8KW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3.主机侧制冷COP≥2.9，IPLV≥3.2；</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4.夏季制冷进水/出水温度:12/7℃，环境干/湿球温度35/24℃，水流量≤45.7m³/h；</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冬季制热进水/出水温度:40/45℃，环境干/湿球温度7/6℃；</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5.机组水压降≤75KPA，工作压力≥1.0Mpa；</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特别说明：允许投标数量机组小于3台。投标产品使用的机组小于3台时，其▲参数需满足3台的总体要求（总制冷量≥260*3=780KW;总制热量≥266*3=798KW；总制冷输入总功率≤88.1*3=264.3KW，总制热输入总功率≤85.8*3=257.4KW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87</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多联新风机组</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▲1、风量≥3000m³/h；冷量≥28.0KW，热量≥17.4KW；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2、最大机外静压≥300Pa；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▲3、制冷功率≤1000W；制热功率≤1000W；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▲4、噪音≤60dB(A)；</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5、机身高度≤500mm；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4</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88</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多联新风机组</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▲1、风量≥2500m³/h；冷量≥22KW，热量≥13KW；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2、最大机外静压≥300Pa；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3、制冷功率≤800W；制热功率≤800W； </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▲4、噪音≤60dB(A)；</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5、机身高度≤550mm；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5</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89</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多联新风机组</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▲1、风量≥1200m³/h；冷量≥14.0KW，热量≥8.5KW；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2、最大机外静压≥200Pa；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3、制冷功率≤330W；制热功率≤330W；电压：220V；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▲4、噪音≤50dB(A)；</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5、机身高度≤500mm；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90</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变频多联空调系统室内机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1、最高档位风扇风量≥1980m³/h,能实现3档风速调节；</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▲2、冷量≥14.0KW,热量≥16.0KW；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▲3、最大机外静压≥80Pa，且具有静压可调；</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▲4、制冷功率≤180W；制热功率≤180W；电压：220V；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5、设备型式：天花板内藏风管式</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▲6、最高档位噪音≤42dB(A)；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7、标配冷凝水提升泵，扬程≥850mm；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8、室内机高度≤260mm；</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▲9、室内机电机采用直流电机，降低能耗及噪音。</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60</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91</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变频多联空调系统室内机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1、最高档位风扇风量≥1500m³/h,能实现3档风速调节；</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▲2、冷量≥11.2KW,热量≥12.5KW；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▲3、最大机外静压≥80Pa，且具有静压可调；</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▲4、制冷功率≤170W；制热功率≤170W；电压：220V；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5、设备型式：天花板内藏风管式</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▲6、最高档位噪音≤41dB(A)；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7、标配冷凝水提升泵，扬程≥850mm；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8、室内机高度≤260mm；</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▲9、室内机电机采用直流电机，降低能耗及噪音。</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8</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92</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变频多联空调系统室内机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1、最高档位风扇风量≥1400m³/h,能实现3档风速调节；</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▲2、冷量≥10.0KW,热量≥11.2KW；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▲3、最大机外静压≥80Pa，且具有静压可调；</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▲4、制冷功率≤130W；制热功率≤130W；电压：220V；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5、设备型式：天花板内藏风管式</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▲6、最高档位噪音≤40dB(A)；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7、标配冷凝水提升泵，扬程≥850mm；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8、室内机高度≤260mm；</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▲9、室内机电机采用直流电机，降低能耗及噪音。</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93</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变频多联空调系统室内机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1、最高档位风扇风量≥1400m³/h,能实现3档风速调节；</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▲2、冷量≥9.0KW,热量≥10.0KW；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▲3、最大机外静压≥80Pa，且具有静压可调；</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▲4、制冷功率≤120W；制热功率≤120W；电压：220V；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5、设备型式：天花板内藏风管式</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▲6、最高档位噪音≤40dB(A)；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7、标配冷凝水提升泵，扬程≥850mm；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8、室内机高度≤260mm；</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▲9、室内机电机采用直流电机，降低能耗及噪音。</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94</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变频多联空调系统室内机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1、最高档位风扇风量≥1000m³/h,能实现3档风速调节；</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▲2、冷量≥8.0KW,热量≥9.0KW；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▲3、最大机外静压≥50Pa，且具有静压可调；</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Style w:val="149"/>
                <w:rFonts w:hint="default"/>
                <w:color w:val="auto"/>
                <w:sz w:val="21"/>
                <w:szCs w:val="21"/>
                <w:highlight w:val="none"/>
              </w:rPr>
              <w:t>制冷功率≤</w:t>
            </w:r>
            <w:r>
              <w:rPr>
                <w:rStyle w:val="150"/>
                <w:rFonts w:hint="default"/>
                <w:color w:val="auto"/>
                <w:sz w:val="21"/>
                <w:szCs w:val="21"/>
                <w:highlight w:val="none"/>
              </w:rPr>
              <w:t>106W</w:t>
            </w:r>
            <w:r>
              <w:rPr>
                <w:rStyle w:val="149"/>
                <w:rFonts w:hint="default"/>
                <w:color w:val="auto"/>
                <w:sz w:val="21"/>
                <w:szCs w:val="21"/>
                <w:highlight w:val="none"/>
              </w:rPr>
              <w:t>；制热功率≤</w:t>
            </w:r>
            <w:r>
              <w:rPr>
                <w:rStyle w:val="150"/>
                <w:rFonts w:hint="default"/>
                <w:color w:val="auto"/>
                <w:sz w:val="21"/>
                <w:szCs w:val="21"/>
                <w:highlight w:val="none"/>
              </w:rPr>
              <w:t>106W</w:t>
            </w:r>
            <w:r>
              <w:rPr>
                <w:rFonts w:hint="eastAsia" w:ascii="宋体" w:hAnsi="宋体" w:cs="宋体"/>
                <w:color w:val="auto"/>
                <w:kern w:val="0"/>
                <w:szCs w:val="21"/>
                <w:highlight w:val="none"/>
              </w:rPr>
              <w:t>；电压：220V；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5、设备型式：天花板内藏风管式</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▲6、最高档位噪音≤38dB(A)；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7、标配冷凝水提升泵，扬程≥850mm；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8、室内机高度≤260mm；</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▲9、室内机电机采用直流电机，降低能耗及噪音。</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95</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变频多联空调系统室内机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1、最高档位风扇风量≥1000m³/h,能实现3档风速调节；</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▲2、冷量≥7.1KW,热量≥8.0KW；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▲3、最大机外静压≥50Pa，且具有静压可调；</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▲4、制冷功率≤95W；制热功率≤95W；电压：220V；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5、设备型式：天花板内藏风管式</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▲6、最高档位噪音≤37dB(A)；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7、标配冷凝水提升泵，扬程≥850mm；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8、室内机高度≤260mm；</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▲9、室内机电机采用直流电机，降低能耗及噪音。</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96</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变频多联空调系统室内机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1、最高档位风扇风量≥850m³/h,能实现3档风速调节；</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▲2、冷量≥5.6KW,热量≥6.3KW；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▲3、最大机外静压≥50Pa，且具有静压可调；</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▲4、制冷功率≤95W；制热功率≤95W；电压：220V；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5、设备型式：天花板内藏风管式</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▲6、最高档位噪音≤37dB(A)；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7、标配冷凝水提升泵，扬程≥850mm；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8、室内机高度≤260mm；</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▲9、室内机电机采用直流电机，降低能耗及噪音。</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6</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97</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变频多联空调系统室内机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1、最高档位风扇风量≥550m³/h,能实现3档风速调节；</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▲2、冷量≥4.5KW,热量≥5.0KW；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▲3、最大机外静压≥30Pa，且具有静压可调；</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▲4、制冷功率≤48W；制热功率≤48W；电压：220V；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5、设备型式：天花板内藏风管式</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▲6、最高档位噪音≤33dB(A)；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7、标配冷凝水提升泵，扬程≥850mm；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8、室内机高度≤250mm；</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▲9、室内机电机采用直流电机，降低能耗及噪音。</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98</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变频多联空调系统室内机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1、最高档位风扇风量≥500m³/h,能实现3档风速调节；</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▲2、冷量≥3.6KW,热量≥4.0KW；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▲3、最大机外静压≥30Pa，且具有静压可调；</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▲4、制冷功率≤37W；制热功率≤35W；电压：220V；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5、设备型式：天花板内藏风管式</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▲6、最高档位噪音≤32dB(A)；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7、标配冷凝水提升泵，扬程≥850mm；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8、室内机高度≤250mm；</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▲9、室内机电机采用直流电机，降低能耗及噪音。</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6</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99</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变频多联空调系统室内机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1、最高档位风扇风量≥450m³/h,能实现3档风速调节；</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▲2、冷量≥2.8KW,热量≥3.2KW；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▲3、最大机外静压≥30Pa，且具有静压可调；</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▲4、制冷功率≤35W；制热功率≤35W；电压：220V；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5、设备型式：天花板内藏风管式</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▲6、最高档位噪音≤32dB(A)；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7、标配冷凝水提升泵，扬程≥850mm；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8、室内机高度≤250mm；</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▲9、室内机电机采用直流电机，降低能耗及噪音。</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93</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100</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四面出风嵌入式天花机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1、最高档位风扇风量≥840m³/h,能实现3档风速调节；</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▲2、冷量≥5.6KW,热量≥6.3KW；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▲3、制冷功率≤75W；制热功率≤70W；电压：220V；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4、设备型式：四面出风嵌入式天花机</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▲5、最高档位噪音≤35dB(A)；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6、标配冷凝水提升泵，扬程≥850mm；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7、室内机高度≤210mm；</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▲8、室内机电机采用直流电机，降低能耗及噪音。</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101</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多联空调室外机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▲1、冷量≥22.4KW，热量≥25.0KW；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2、噪音≤58dB(A)；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▲3、额定耗电量：N冷≤7.2KW，N热≤6.0KW；电压：380V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▲4、APF值≥4.5，以中国能效标识网备案数值为准，可以查询到对应型号的备案，投标文件中需提供查询网页截图。（查询网站：https://www.energylabel.com.cn/index.htm）；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5、冷媒：R410a：</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6、设备重量≤200KG；设备高度≤1800mm；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4</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102</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多联空调室外机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▲1、制冷量≥28.0KW，制热量≥31.5KW；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2、噪音≤58dB(A)；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▲3、额定耗电量：N冷≤6.85KW，N热≤6.85KW；电压：380V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▲4、APF值≥4.5，以中国能效标识网备案数值为准，可以查询到对应型号的备案，投标文件中需提供查询网页截图。（查询网站：https://www.energylabel.com.cn/index.htm）；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5、冷媒：R410a：</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6、设备重量≤250KG；设备高度≤1800mm；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103</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多联空调室外机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▲1、冷量≥45.0KW，热量≥50.0KW；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2、噪音≤62dB(A)；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▲3、额定耗电量：N冷≤12.1KW，N热≤12.1KW；电压：380V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▲4、APF值≥4.5，以中国能效标识网备案数值为准，可以查询到对应型号的备案，投标文件中需提供查询网页截图。（查询网站：https://www.energylabel.com.cn/index.htm）；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5、冷媒：R410a：</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6、设备重量≤350KG；设备高度≤1800mm；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104</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多联空调室外机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▲1、冷量≥56.0KW，热量≥63.0KW；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2、噪音≤63dB(A)；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▲3、额定耗电量：N冷≤15.8KW，N热≤15.8KW；电压：380V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▲4、APF值≥4.5，以中国能效标识网备案数值为准，可以查询到对应型号的备案，投标文件中需提供查询网页截图。（查询网站：https://www.energylabel.com.cn/index.htm）；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5、冷媒：R410a：</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6、设备重量≤350KG；设备高度≤1800mm；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105</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多联空调室外机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▲1、冷量≥68.0KW，热量≥75.0KW；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2、噪音≤64dB(A)；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▲3、额定耗电量：N冷≤20.16KW，N热≤21.35KW；电压：380V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▲4、APF值≥4.5，以中国能效标识网备案数值为准，可以查询到对应型号的备案，投标文件中需提供查询网页截图。（查询网站：https://www.energylabel.com.cn/index.htm）；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5、冷媒：R410a：</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6、设备重量≤500KG；设备高度≤1800mm；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106</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多联空调室外机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▲1、冷量≥89.5KW，热量≥100.0KW；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2、噪音≤65dB(A)；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▲3、额定耗电量：N冷≤25.2KW，N热≤25.44KW；电压：380V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▲4、APF值≥4.5，以中国能效标识网备案数值为准，可以查询到对应型号的备案，投标文件中需提供查询网页截图。（查询网站：https://www.energylabel.com.cn/index.htm）；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5、冷媒：R410a：</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6、设备重量≤550KG；设备高度≤1800mm；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107</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多联空调室外机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▲1、冷量≥111.9KW，热量≥123.5KW；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2、噪音≤67dB(A)；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▲3、额定耗电量：N冷≤33.33KW，N热≤31.8KW；电压：380V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▲4、APF值≥4.0，以中国能效标识网备案数值为准，可以查询到对应型号的备案，投标文件中需提供查询网页截图。（查询网站：https://www.energylabel.com.cn/index.htm）；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5、冷媒：R410a：</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6、设备重量≤650KG；设备高度≤1800mm；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
                <w:bCs/>
                <w:color w:val="auto"/>
                <w:szCs w:val="21"/>
                <w:highlight w:val="none"/>
              </w:rPr>
            </w:pPr>
            <w:r>
              <w:rPr>
                <w:rFonts w:hint="eastAsia" w:ascii="宋体" w:hAnsi="宋体" w:cs="宋体"/>
                <w:color w:val="auto"/>
                <w:kern w:val="0"/>
                <w:sz w:val="22"/>
                <w:szCs w:val="22"/>
                <w:highlight w:val="none"/>
                <w:lang w:bidi="ar"/>
              </w:rPr>
              <w:t>108</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多联空调室外机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▲1、冷量≥123.0KW，热量≥138.0KW；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2、噪音≤66dB(A)；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▲3、额定耗电量：N冷≤37.3KW，N热≤35.82KW；电压：380V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▲4、APF值≥4.5，以中国能效标识网备案数值为准，可以查询到对应型号的备案，投标文件中需提供查询网页截图。（查询网站：https://www.energylabel.com.cn/index.htm）；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5、冷媒：R410a：</w:t>
            </w:r>
          </w:p>
          <w:p>
            <w:pPr>
              <w:widowControl/>
              <w:jc w:val="left"/>
              <w:textAlignment w:val="center"/>
              <w:rPr>
                <w:rFonts w:ascii="宋体" w:hAnsi="宋体" w:cs="宋体"/>
                <w:snapToGrid w:val="0"/>
                <w:color w:val="auto"/>
                <w:szCs w:val="21"/>
                <w:highlight w:val="none"/>
              </w:rPr>
            </w:pPr>
            <w:r>
              <w:rPr>
                <w:rFonts w:hint="eastAsia" w:ascii="宋体" w:hAnsi="宋体" w:cs="宋体"/>
                <w:color w:val="auto"/>
                <w:kern w:val="0"/>
                <w:szCs w:val="21"/>
                <w:highlight w:val="none"/>
              </w:rPr>
              <w:t>6、设备重量≤650KG；设备高度≤1800mm；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napToGrid w:val="0"/>
                <w:color w:val="auto"/>
                <w:szCs w:val="21"/>
                <w:highlight w:val="none"/>
              </w:rPr>
            </w:pPr>
            <w:r>
              <w:rPr>
                <w:rFonts w:hint="eastAsia" w:ascii="宋体" w:hAnsi="宋体" w:cs="宋体"/>
                <w:color w:val="auto"/>
                <w:kern w:val="0"/>
                <w:szCs w:val="21"/>
                <w:highlight w:val="none"/>
              </w:rPr>
              <w:t>3</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109</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多联空调室外机</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▲1、冷量≥117.0KW，热量≥130.0KW；</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2、噪音≤68dB(A)；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▲3、额定耗电量：N冷≤35.0KW，N热≤34.66KW；电压：380V</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▲4、APF值≥4.0，以中国能效标识网备案数值为准，可以查询到对应型号的备案，投标文件中需提供查询网页截图。（查询网站：https://www.energylabel.com.cn/index.htm）；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5、冷媒：R410a：</w:t>
            </w:r>
          </w:p>
          <w:p>
            <w:pPr>
              <w:widowControl/>
              <w:jc w:val="left"/>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6、设备重量≤650KG；设备高度≤1800mm；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格力、大金、美的或同档次及以上品牌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110</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板式消音器 </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1.宽*高*长：400mm*200mm*600mm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2.用1.2mm厚镀锌铁皮做外壳，内部粘贴50mm厚吸音棉，再设一层穿孔率为30%，厚0.5mm穿孔镀锌铁皮，穿孔孔径为3mm。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111</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板式消音器 </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1.宽*高*长：500mm*200mm*600mm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2.用1.2mm厚镀锌铁皮做外壳，内部粘贴50mm厚吸音棉，再设一层穿孔率为30%，厚0.5mm穿孔镀锌铁皮，穿孔孔径为3mm。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112</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板式消音器 </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1.宽*高*长：500mm*250mm*600mm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2.用1.2mm厚镀锌铁皮做外壳，内部粘贴50mm厚吸音棉，再设一层穿孔率为30%，厚0.5mm穿孔镀锌铁皮，穿孔孔径为3mm。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113</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板式消音器 </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1.宽*高*长：320mm*200mm*600mm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2.用1.2mm厚镀锌铁皮做外壳，内部粘贴50mm厚吸音棉，再设一层穿孔率为30%，厚0.5mm穿孔镀锌铁皮，穿孔孔径为3mm。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114</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粗效过滤器 </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1.宽*高*长：400mm*200mm*600mm</w:t>
            </w:r>
          </w:p>
          <w:p>
            <w:pPr>
              <w:pStyle w:val="2"/>
              <w:ind w:firstLine="0" w:firstLineChars="0"/>
              <w:rPr>
                <w:rFonts w:cs="宋体"/>
                <w:b w:val="0"/>
                <w:bCs w:val="0"/>
                <w:caps w:val="0"/>
                <w:color w:val="auto"/>
                <w:kern w:val="0"/>
                <w:sz w:val="21"/>
                <w:szCs w:val="21"/>
                <w:highlight w:val="none"/>
              </w:rPr>
            </w:pPr>
            <w:r>
              <w:rPr>
                <w:rFonts w:hint="eastAsia" w:cs="宋体"/>
                <w:b w:val="0"/>
                <w:bCs w:val="0"/>
                <w:caps w:val="0"/>
                <w:color w:val="auto"/>
                <w:kern w:val="0"/>
                <w:sz w:val="21"/>
                <w:szCs w:val="21"/>
                <w:highlight w:val="none"/>
              </w:rPr>
              <w:t>2.过滤等级：G4</w:t>
            </w:r>
          </w:p>
          <w:p>
            <w:pPr>
              <w:pStyle w:val="2"/>
              <w:ind w:firstLine="0" w:firstLineChars="0"/>
              <w:rPr>
                <w:rFonts w:cs="宋体"/>
                <w:b w:val="0"/>
                <w:bCs w:val="0"/>
                <w:caps w:val="0"/>
                <w:color w:val="auto"/>
                <w:kern w:val="0"/>
                <w:sz w:val="21"/>
                <w:szCs w:val="21"/>
                <w:highlight w:val="none"/>
              </w:rPr>
            </w:pPr>
            <w:r>
              <w:rPr>
                <w:rFonts w:hint="eastAsia" w:cs="宋体"/>
                <w:b w:val="0"/>
                <w:bCs w:val="0"/>
                <w:caps w:val="0"/>
                <w:color w:val="auto"/>
                <w:kern w:val="0"/>
                <w:sz w:val="21"/>
                <w:szCs w:val="21"/>
                <w:highlight w:val="none"/>
              </w:rPr>
              <w:t>3.材质：尼龙网</w:t>
            </w:r>
          </w:p>
          <w:p>
            <w:pPr>
              <w:pStyle w:val="2"/>
              <w:ind w:firstLine="0" w:firstLineChars="0"/>
              <w:rPr>
                <w:rFonts w:cs="宋体"/>
                <w:color w:val="auto"/>
                <w:sz w:val="21"/>
                <w:szCs w:val="21"/>
                <w:highlight w:val="none"/>
              </w:rPr>
            </w:pPr>
            <w:r>
              <w:rPr>
                <w:rFonts w:hint="eastAsia" w:cs="宋体"/>
                <w:b w:val="0"/>
                <w:bCs w:val="0"/>
                <w:caps w:val="0"/>
                <w:color w:val="auto"/>
                <w:kern w:val="0"/>
                <w:sz w:val="21"/>
                <w:szCs w:val="21"/>
                <w:highlight w:val="none"/>
              </w:rPr>
              <w:t>4.形式：板式。</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115</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粗效过滤器 </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1.宽*高*长：500mm*200mm*600mm</w:t>
            </w:r>
          </w:p>
          <w:p>
            <w:pPr>
              <w:pStyle w:val="2"/>
              <w:ind w:firstLine="0" w:firstLineChars="0"/>
              <w:rPr>
                <w:rFonts w:cs="宋体"/>
                <w:b w:val="0"/>
                <w:bCs w:val="0"/>
                <w:caps w:val="0"/>
                <w:color w:val="auto"/>
                <w:kern w:val="0"/>
                <w:sz w:val="21"/>
                <w:szCs w:val="21"/>
                <w:highlight w:val="none"/>
              </w:rPr>
            </w:pPr>
            <w:r>
              <w:rPr>
                <w:rFonts w:hint="eastAsia" w:cs="宋体"/>
                <w:b w:val="0"/>
                <w:bCs w:val="0"/>
                <w:caps w:val="0"/>
                <w:color w:val="auto"/>
                <w:kern w:val="0"/>
                <w:sz w:val="21"/>
                <w:szCs w:val="21"/>
                <w:highlight w:val="none"/>
              </w:rPr>
              <w:t>2.过滤等级：G4</w:t>
            </w:r>
          </w:p>
          <w:p>
            <w:pPr>
              <w:pStyle w:val="2"/>
              <w:ind w:firstLine="0" w:firstLineChars="0"/>
              <w:rPr>
                <w:rFonts w:cs="宋体"/>
                <w:b w:val="0"/>
                <w:bCs w:val="0"/>
                <w:caps w:val="0"/>
                <w:color w:val="auto"/>
                <w:kern w:val="0"/>
                <w:sz w:val="21"/>
                <w:szCs w:val="21"/>
                <w:highlight w:val="none"/>
              </w:rPr>
            </w:pPr>
            <w:r>
              <w:rPr>
                <w:rFonts w:hint="eastAsia" w:cs="宋体"/>
                <w:b w:val="0"/>
                <w:bCs w:val="0"/>
                <w:caps w:val="0"/>
                <w:color w:val="auto"/>
                <w:kern w:val="0"/>
                <w:sz w:val="21"/>
                <w:szCs w:val="21"/>
                <w:highlight w:val="none"/>
              </w:rPr>
              <w:t>3.材质：尼龙网</w:t>
            </w:r>
          </w:p>
          <w:p>
            <w:pPr>
              <w:pStyle w:val="2"/>
              <w:ind w:firstLine="0" w:firstLineChars="0"/>
              <w:rPr>
                <w:rFonts w:cs="宋体"/>
                <w:color w:val="auto"/>
                <w:sz w:val="21"/>
                <w:szCs w:val="21"/>
                <w:highlight w:val="none"/>
              </w:rPr>
            </w:pPr>
            <w:r>
              <w:rPr>
                <w:rFonts w:hint="eastAsia" w:cs="宋体"/>
                <w:b w:val="0"/>
                <w:bCs w:val="0"/>
                <w:caps w:val="0"/>
                <w:color w:val="auto"/>
                <w:kern w:val="0"/>
                <w:sz w:val="21"/>
                <w:szCs w:val="21"/>
                <w:highlight w:val="none"/>
              </w:rPr>
              <w:t>4.形式：板式。</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116</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粗效过滤器 </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1.宽*高*长：500mm*250mm*600mm</w:t>
            </w:r>
          </w:p>
          <w:p>
            <w:pPr>
              <w:pStyle w:val="2"/>
              <w:ind w:firstLine="0" w:firstLineChars="0"/>
              <w:rPr>
                <w:rFonts w:cs="宋体"/>
                <w:b w:val="0"/>
                <w:bCs w:val="0"/>
                <w:caps w:val="0"/>
                <w:color w:val="auto"/>
                <w:kern w:val="0"/>
                <w:sz w:val="21"/>
                <w:szCs w:val="21"/>
                <w:highlight w:val="none"/>
              </w:rPr>
            </w:pPr>
            <w:r>
              <w:rPr>
                <w:rFonts w:hint="eastAsia" w:cs="宋体"/>
                <w:b w:val="0"/>
                <w:bCs w:val="0"/>
                <w:caps w:val="0"/>
                <w:color w:val="auto"/>
                <w:kern w:val="0"/>
                <w:sz w:val="21"/>
                <w:szCs w:val="21"/>
                <w:highlight w:val="none"/>
              </w:rPr>
              <w:t>2.过滤等级：G4</w:t>
            </w:r>
          </w:p>
          <w:p>
            <w:pPr>
              <w:pStyle w:val="2"/>
              <w:ind w:firstLine="0" w:firstLineChars="0"/>
              <w:rPr>
                <w:rFonts w:cs="宋体"/>
                <w:b w:val="0"/>
                <w:bCs w:val="0"/>
                <w:caps w:val="0"/>
                <w:color w:val="auto"/>
                <w:kern w:val="0"/>
                <w:sz w:val="21"/>
                <w:szCs w:val="21"/>
                <w:highlight w:val="none"/>
              </w:rPr>
            </w:pPr>
            <w:r>
              <w:rPr>
                <w:rFonts w:hint="eastAsia" w:cs="宋体"/>
                <w:b w:val="0"/>
                <w:bCs w:val="0"/>
                <w:caps w:val="0"/>
                <w:color w:val="auto"/>
                <w:kern w:val="0"/>
                <w:sz w:val="21"/>
                <w:szCs w:val="21"/>
                <w:highlight w:val="none"/>
              </w:rPr>
              <w:t>3.材质：尼龙网</w:t>
            </w:r>
          </w:p>
          <w:p>
            <w:pPr>
              <w:pStyle w:val="2"/>
              <w:ind w:firstLine="0" w:firstLineChars="0"/>
              <w:rPr>
                <w:rFonts w:cs="宋体"/>
                <w:color w:val="auto"/>
                <w:sz w:val="21"/>
                <w:szCs w:val="21"/>
                <w:highlight w:val="none"/>
              </w:rPr>
            </w:pPr>
            <w:r>
              <w:rPr>
                <w:rFonts w:hint="eastAsia" w:cs="宋体"/>
                <w:b w:val="0"/>
                <w:bCs w:val="0"/>
                <w:caps w:val="0"/>
                <w:color w:val="auto"/>
                <w:kern w:val="0"/>
                <w:sz w:val="21"/>
                <w:szCs w:val="21"/>
                <w:highlight w:val="none"/>
              </w:rPr>
              <w:t>4.形式：板式。</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117</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粗效过滤器 </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1.宽*高*长：500mm*250mm*600mm</w:t>
            </w:r>
          </w:p>
          <w:p>
            <w:pPr>
              <w:pStyle w:val="2"/>
              <w:ind w:firstLine="0" w:firstLineChars="0"/>
              <w:rPr>
                <w:rFonts w:cs="宋体"/>
                <w:b w:val="0"/>
                <w:bCs w:val="0"/>
                <w:caps w:val="0"/>
                <w:color w:val="auto"/>
                <w:kern w:val="0"/>
                <w:sz w:val="21"/>
                <w:szCs w:val="21"/>
                <w:highlight w:val="none"/>
              </w:rPr>
            </w:pPr>
            <w:r>
              <w:rPr>
                <w:rFonts w:hint="eastAsia" w:cs="宋体"/>
                <w:b w:val="0"/>
                <w:bCs w:val="0"/>
                <w:caps w:val="0"/>
                <w:color w:val="auto"/>
                <w:kern w:val="0"/>
                <w:sz w:val="21"/>
                <w:szCs w:val="21"/>
                <w:highlight w:val="none"/>
              </w:rPr>
              <w:t>2.过滤等级：G4</w:t>
            </w:r>
          </w:p>
          <w:p>
            <w:pPr>
              <w:pStyle w:val="2"/>
              <w:ind w:firstLine="0" w:firstLineChars="0"/>
              <w:rPr>
                <w:rFonts w:cs="宋体"/>
                <w:b w:val="0"/>
                <w:bCs w:val="0"/>
                <w:caps w:val="0"/>
                <w:color w:val="auto"/>
                <w:kern w:val="0"/>
                <w:sz w:val="21"/>
                <w:szCs w:val="21"/>
                <w:highlight w:val="none"/>
              </w:rPr>
            </w:pPr>
            <w:r>
              <w:rPr>
                <w:rFonts w:hint="eastAsia" w:cs="宋体"/>
                <w:b w:val="0"/>
                <w:bCs w:val="0"/>
                <w:caps w:val="0"/>
                <w:color w:val="auto"/>
                <w:kern w:val="0"/>
                <w:sz w:val="21"/>
                <w:szCs w:val="21"/>
                <w:highlight w:val="none"/>
              </w:rPr>
              <w:t>3.材质：尼龙网</w:t>
            </w:r>
          </w:p>
          <w:p>
            <w:pPr>
              <w:pStyle w:val="2"/>
              <w:ind w:firstLine="0" w:firstLineChars="0"/>
              <w:rPr>
                <w:rFonts w:cs="宋体"/>
                <w:color w:val="auto"/>
                <w:sz w:val="21"/>
                <w:szCs w:val="21"/>
                <w:highlight w:val="none"/>
              </w:rPr>
            </w:pPr>
            <w:r>
              <w:rPr>
                <w:rFonts w:hint="eastAsia" w:cs="宋体"/>
                <w:b w:val="0"/>
                <w:bCs w:val="0"/>
                <w:caps w:val="0"/>
                <w:color w:val="auto"/>
                <w:kern w:val="0"/>
                <w:sz w:val="21"/>
                <w:szCs w:val="21"/>
                <w:highlight w:val="none"/>
              </w:rPr>
              <w:t>4.形式：板式。</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4</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118</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粗效过滤器 </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1.宽*高*长：1000mm*120mm*600mm</w:t>
            </w:r>
          </w:p>
          <w:p>
            <w:pPr>
              <w:pStyle w:val="2"/>
              <w:ind w:firstLine="0" w:firstLineChars="0"/>
              <w:rPr>
                <w:rFonts w:cs="宋体"/>
                <w:b w:val="0"/>
                <w:bCs w:val="0"/>
                <w:caps w:val="0"/>
                <w:color w:val="auto"/>
                <w:kern w:val="0"/>
                <w:sz w:val="21"/>
                <w:szCs w:val="21"/>
                <w:highlight w:val="none"/>
              </w:rPr>
            </w:pPr>
            <w:r>
              <w:rPr>
                <w:rFonts w:hint="eastAsia" w:cs="宋体"/>
                <w:b w:val="0"/>
                <w:bCs w:val="0"/>
                <w:caps w:val="0"/>
                <w:color w:val="auto"/>
                <w:kern w:val="0"/>
                <w:sz w:val="21"/>
                <w:szCs w:val="21"/>
                <w:highlight w:val="none"/>
              </w:rPr>
              <w:t>2.过滤等级：G4</w:t>
            </w:r>
          </w:p>
          <w:p>
            <w:pPr>
              <w:pStyle w:val="2"/>
              <w:ind w:firstLine="0" w:firstLineChars="0"/>
              <w:rPr>
                <w:rFonts w:cs="宋体"/>
                <w:b w:val="0"/>
                <w:bCs w:val="0"/>
                <w:caps w:val="0"/>
                <w:color w:val="auto"/>
                <w:kern w:val="0"/>
                <w:sz w:val="21"/>
                <w:szCs w:val="21"/>
                <w:highlight w:val="none"/>
              </w:rPr>
            </w:pPr>
            <w:r>
              <w:rPr>
                <w:rFonts w:hint="eastAsia" w:cs="宋体"/>
                <w:b w:val="0"/>
                <w:bCs w:val="0"/>
                <w:caps w:val="0"/>
                <w:color w:val="auto"/>
                <w:kern w:val="0"/>
                <w:sz w:val="21"/>
                <w:szCs w:val="21"/>
                <w:highlight w:val="none"/>
              </w:rPr>
              <w:t>3.材质：尼龙网</w:t>
            </w:r>
          </w:p>
          <w:p>
            <w:pPr>
              <w:pStyle w:val="2"/>
              <w:ind w:firstLine="0" w:firstLineChars="0"/>
              <w:rPr>
                <w:rFonts w:cs="宋体"/>
                <w:color w:val="auto"/>
                <w:sz w:val="21"/>
                <w:szCs w:val="21"/>
                <w:highlight w:val="none"/>
              </w:rPr>
            </w:pPr>
            <w:r>
              <w:rPr>
                <w:rFonts w:hint="eastAsia" w:cs="宋体"/>
                <w:b w:val="0"/>
                <w:bCs w:val="0"/>
                <w:caps w:val="0"/>
                <w:color w:val="auto"/>
                <w:kern w:val="0"/>
                <w:sz w:val="21"/>
                <w:szCs w:val="21"/>
                <w:highlight w:val="none"/>
              </w:rPr>
              <w:t>4.形式：板式。</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119</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散流器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2.规格：120*120mm</w:t>
            </w:r>
          </w:p>
          <w:p>
            <w:pPr>
              <w:jc w:val="left"/>
              <w:rPr>
                <w:rFonts w:ascii="宋体" w:hAnsi="宋体" w:cs="宋体"/>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99</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120</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散流器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2.规格：180*180mm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4</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121</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散流器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snapToGrid w:val="0"/>
                <w:color w:val="auto"/>
                <w:szCs w:val="21"/>
                <w:highlight w:val="none"/>
              </w:rPr>
            </w:pPr>
            <w:r>
              <w:rPr>
                <w:rFonts w:hint="eastAsia" w:ascii="宋体" w:hAnsi="宋体" w:cs="宋体"/>
                <w:bCs/>
                <w:snapToGrid w:val="0"/>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snapToGrid w:val="0"/>
                <w:color w:val="auto"/>
                <w:szCs w:val="21"/>
                <w:highlight w:val="none"/>
              </w:rPr>
            </w:pPr>
            <w:r>
              <w:rPr>
                <w:rFonts w:hint="eastAsia" w:ascii="宋体" w:hAnsi="宋体" w:cs="宋体"/>
                <w:bCs/>
                <w:snapToGrid w:val="0"/>
                <w:color w:val="auto"/>
                <w:szCs w:val="21"/>
                <w:highlight w:val="none"/>
              </w:rPr>
              <w:t>2.规格：200*200mm</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43</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122</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散流器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2.规格：240*240mm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124</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123</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散流器(带调节阀)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2.规格：240*240mm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124</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散流器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2.规格：270*270mm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125</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散流器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2.规格：300*300mm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101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126</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散流器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1.材质：铝合金</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2.规格：360*360mm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5</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127</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散流器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1.材质：铝合金</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2.规格：400*400mm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14</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128</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散流器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1.材质：铝合金</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2.规格：420*420mm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24</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129</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散流器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2.规格：480*480mm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60</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130</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散流器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2.规格：500*500mm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8</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131</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单层百叶风口(带调节阀)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1.材质：铝合金</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2.规格：400*300mm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132</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侧送双层百叶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1.材质：铝合金</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2.规格：1000*200mm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133</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格栅式风口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2.规格：400*250mm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105</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134</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格栅式风口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2.规格：500*250mm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6</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135</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格栅式风口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2.规格：500*300mm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4</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136</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格栅式风口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2.规格：600*250mm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137</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格栅式风口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2.规格：600*300mm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138</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格栅式风口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2.规格：700*300mm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10</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139</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格栅式风口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2.规格：800*300mm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140</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格栅式风口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2.规格：900*300mm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5</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141</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格栅式风口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2.规格：1000*300mm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8</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142</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格栅式风口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2.规格：1100*300mm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7</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4"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143</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格栅式风口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1.材质：</w:t>
            </w:r>
            <w:r>
              <w:rPr>
                <w:rFonts w:hint="eastAsia" w:ascii="宋体" w:hAnsi="宋体" w:cs="宋体"/>
                <w:color w:val="auto"/>
                <w:kern w:val="0"/>
                <w:szCs w:val="21"/>
                <w:highlight w:val="none"/>
              </w:rPr>
              <w:t>铝合金</w:t>
            </w:r>
          </w:p>
          <w:p>
            <w:pPr>
              <w:jc w:val="left"/>
              <w:rPr>
                <w:rFonts w:ascii="宋体" w:hAnsi="宋体" w:cs="宋体"/>
                <w:bCs/>
                <w:color w:val="auto"/>
                <w:szCs w:val="21"/>
                <w:highlight w:val="none"/>
              </w:rPr>
            </w:pPr>
            <w:r>
              <w:rPr>
                <w:rFonts w:hint="eastAsia" w:ascii="宋体" w:hAnsi="宋体" w:cs="宋体"/>
                <w:bCs/>
                <w:color w:val="auto"/>
                <w:szCs w:val="21"/>
                <w:highlight w:val="none"/>
              </w:rPr>
              <w:t>2.规格：1200*300mm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107</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144</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70°C防火调节阀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1.常开,70°C熔断关闭</w:t>
            </w:r>
          </w:p>
          <w:p>
            <w:pPr>
              <w:jc w:val="left"/>
              <w:rPr>
                <w:rFonts w:ascii="宋体" w:hAnsi="宋体" w:cs="宋体"/>
                <w:bCs/>
                <w:color w:val="auto"/>
                <w:szCs w:val="21"/>
                <w:highlight w:val="none"/>
              </w:rPr>
            </w:pPr>
            <w:r>
              <w:rPr>
                <w:rFonts w:hint="eastAsia" w:ascii="宋体" w:hAnsi="宋体" w:cs="宋体"/>
                <w:bCs/>
                <w:color w:val="auto"/>
                <w:szCs w:val="21"/>
                <w:highlight w:val="none"/>
              </w:rPr>
              <w:t>2.规格：200*120mm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ascii="宋体" w:hAnsi="宋体" w:cs="宋体"/>
                <w:color w:val="auto"/>
                <w:kern w:val="0"/>
                <w:sz w:val="22"/>
                <w:szCs w:val="22"/>
                <w:highlight w:val="none"/>
                <w:lang w:bidi="ar"/>
              </w:rPr>
              <w:t>45</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70°C防火调节阀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1.常开,70°C熔断关闭</w:t>
            </w:r>
          </w:p>
          <w:p>
            <w:pPr>
              <w:jc w:val="left"/>
              <w:rPr>
                <w:rFonts w:ascii="宋体" w:hAnsi="宋体" w:cs="宋体"/>
                <w:bCs/>
                <w:color w:val="auto"/>
                <w:szCs w:val="21"/>
                <w:highlight w:val="none"/>
              </w:rPr>
            </w:pPr>
            <w:r>
              <w:rPr>
                <w:rFonts w:hint="eastAsia" w:ascii="宋体" w:hAnsi="宋体" w:cs="宋体"/>
                <w:bCs/>
                <w:color w:val="auto"/>
                <w:szCs w:val="21"/>
                <w:highlight w:val="none"/>
              </w:rPr>
              <w:t>2.规格：200*200mm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14</w:t>
            </w:r>
            <w:r>
              <w:rPr>
                <w:rFonts w:ascii="宋体" w:hAnsi="宋体" w:cs="宋体"/>
                <w:color w:val="auto"/>
                <w:kern w:val="0"/>
                <w:sz w:val="22"/>
                <w:szCs w:val="22"/>
                <w:highlight w:val="none"/>
                <w:lang w:bidi="ar"/>
              </w:rPr>
              <w:t>6</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70°C防火调节阀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1.常开,70°C熔断关闭</w:t>
            </w:r>
          </w:p>
          <w:p>
            <w:pPr>
              <w:jc w:val="left"/>
              <w:rPr>
                <w:rFonts w:ascii="宋体" w:hAnsi="宋体" w:cs="宋体"/>
                <w:bCs/>
                <w:color w:val="auto"/>
                <w:szCs w:val="21"/>
                <w:highlight w:val="none"/>
              </w:rPr>
            </w:pPr>
            <w:r>
              <w:rPr>
                <w:rFonts w:hint="eastAsia" w:ascii="宋体" w:hAnsi="宋体" w:cs="宋体"/>
                <w:bCs/>
                <w:color w:val="auto"/>
                <w:szCs w:val="21"/>
                <w:highlight w:val="none"/>
              </w:rPr>
              <w:t>2.规格：250*160mm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14</w:t>
            </w:r>
            <w:r>
              <w:rPr>
                <w:rFonts w:ascii="宋体" w:hAnsi="宋体" w:cs="宋体"/>
                <w:color w:val="auto"/>
                <w:kern w:val="0"/>
                <w:sz w:val="22"/>
                <w:szCs w:val="22"/>
                <w:highlight w:val="none"/>
                <w:lang w:bidi="ar"/>
              </w:rPr>
              <w:t>7</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70°C防火调节阀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1.常开,70°C熔断关闭</w:t>
            </w:r>
          </w:p>
          <w:p>
            <w:pPr>
              <w:jc w:val="left"/>
              <w:rPr>
                <w:rFonts w:ascii="宋体" w:hAnsi="宋体" w:cs="宋体"/>
                <w:bCs/>
                <w:color w:val="auto"/>
                <w:szCs w:val="21"/>
                <w:highlight w:val="none"/>
              </w:rPr>
            </w:pPr>
            <w:r>
              <w:rPr>
                <w:rFonts w:hint="eastAsia" w:ascii="宋体" w:hAnsi="宋体" w:cs="宋体"/>
                <w:bCs/>
                <w:color w:val="auto"/>
                <w:szCs w:val="21"/>
                <w:highlight w:val="none"/>
              </w:rPr>
              <w:t>2.规格：320*200mm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14</w:t>
            </w:r>
            <w:r>
              <w:rPr>
                <w:rFonts w:ascii="宋体" w:hAnsi="宋体" w:cs="宋体"/>
                <w:color w:val="auto"/>
                <w:kern w:val="0"/>
                <w:sz w:val="22"/>
                <w:szCs w:val="22"/>
                <w:highlight w:val="none"/>
                <w:lang w:bidi="ar"/>
              </w:rPr>
              <w:t>8</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70°C防火调节阀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1.常开,70°C熔断关闭</w:t>
            </w:r>
          </w:p>
          <w:p>
            <w:pPr>
              <w:jc w:val="left"/>
              <w:rPr>
                <w:rFonts w:ascii="宋体" w:hAnsi="宋体" w:cs="宋体"/>
                <w:bCs/>
                <w:color w:val="auto"/>
                <w:szCs w:val="21"/>
                <w:highlight w:val="none"/>
              </w:rPr>
            </w:pPr>
            <w:r>
              <w:rPr>
                <w:rFonts w:hint="eastAsia" w:ascii="宋体" w:hAnsi="宋体" w:cs="宋体"/>
                <w:bCs/>
                <w:color w:val="auto"/>
                <w:szCs w:val="21"/>
                <w:highlight w:val="none"/>
              </w:rPr>
              <w:t>2.规格：400*120mm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27</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14</w:t>
            </w:r>
            <w:r>
              <w:rPr>
                <w:rFonts w:ascii="宋体" w:hAnsi="宋体" w:cs="宋体"/>
                <w:color w:val="auto"/>
                <w:kern w:val="0"/>
                <w:sz w:val="22"/>
                <w:szCs w:val="22"/>
                <w:highlight w:val="none"/>
                <w:lang w:bidi="ar"/>
              </w:rPr>
              <w:t>9</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70°C防火调节阀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1.常开,70°C熔断关闭</w:t>
            </w:r>
          </w:p>
          <w:p>
            <w:pPr>
              <w:jc w:val="left"/>
              <w:rPr>
                <w:rFonts w:ascii="宋体" w:hAnsi="宋体" w:cs="宋体"/>
                <w:bCs/>
                <w:color w:val="auto"/>
                <w:szCs w:val="21"/>
                <w:highlight w:val="none"/>
              </w:rPr>
            </w:pPr>
            <w:r>
              <w:rPr>
                <w:rFonts w:hint="eastAsia" w:ascii="宋体" w:hAnsi="宋体" w:cs="宋体"/>
                <w:bCs/>
                <w:color w:val="auto"/>
                <w:szCs w:val="21"/>
                <w:highlight w:val="none"/>
              </w:rPr>
              <w:t>2.规格：400*160mm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5</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w:t>
            </w:r>
            <w:r>
              <w:rPr>
                <w:rFonts w:ascii="宋体" w:hAnsi="宋体" w:cs="宋体"/>
                <w:color w:val="auto"/>
                <w:kern w:val="0"/>
                <w:sz w:val="22"/>
                <w:szCs w:val="22"/>
                <w:highlight w:val="none"/>
                <w:lang w:bidi="ar"/>
              </w:rPr>
              <w:t>50</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70°C防火调节阀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1.常开,70°C熔断关闭</w:t>
            </w:r>
          </w:p>
          <w:p>
            <w:pPr>
              <w:jc w:val="left"/>
              <w:rPr>
                <w:rFonts w:ascii="宋体" w:hAnsi="宋体" w:cs="宋体"/>
                <w:bCs/>
                <w:color w:val="auto"/>
                <w:szCs w:val="21"/>
                <w:highlight w:val="none"/>
              </w:rPr>
            </w:pPr>
            <w:r>
              <w:rPr>
                <w:rFonts w:hint="eastAsia" w:ascii="宋体" w:hAnsi="宋体" w:cs="宋体"/>
                <w:bCs/>
                <w:color w:val="auto"/>
                <w:szCs w:val="21"/>
                <w:highlight w:val="none"/>
              </w:rPr>
              <w:t>2.规格：400*200mm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15</w:t>
            </w:r>
            <w:r>
              <w:rPr>
                <w:rFonts w:ascii="宋体" w:hAnsi="宋体" w:cs="宋体"/>
                <w:color w:val="auto"/>
                <w:kern w:val="0"/>
                <w:sz w:val="22"/>
                <w:szCs w:val="22"/>
                <w:highlight w:val="none"/>
                <w:lang w:bidi="ar"/>
              </w:rPr>
              <w:t>1</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70°C防火调节阀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1.常开,70°C熔断关闭</w:t>
            </w:r>
          </w:p>
          <w:p>
            <w:pPr>
              <w:jc w:val="left"/>
              <w:rPr>
                <w:rFonts w:ascii="宋体" w:hAnsi="宋体" w:cs="宋体"/>
                <w:bCs/>
                <w:color w:val="auto"/>
                <w:szCs w:val="21"/>
                <w:highlight w:val="none"/>
              </w:rPr>
            </w:pPr>
            <w:r>
              <w:rPr>
                <w:rFonts w:hint="eastAsia" w:ascii="宋体" w:hAnsi="宋体" w:cs="宋体"/>
                <w:bCs/>
                <w:color w:val="auto"/>
                <w:szCs w:val="21"/>
                <w:highlight w:val="none"/>
              </w:rPr>
              <w:t>2.规格：500*160mm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8</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15</w:t>
            </w:r>
            <w:r>
              <w:rPr>
                <w:rFonts w:ascii="宋体" w:hAnsi="宋体" w:cs="宋体"/>
                <w:color w:val="auto"/>
                <w:kern w:val="0"/>
                <w:sz w:val="22"/>
                <w:szCs w:val="22"/>
                <w:highlight w:val="none"/>
                <w:lang w:bidi="ar"/>
              </w:rPr>
              <w:t>2</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70°C防火调节阀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1.常开,70°C熔断关闭</w:t>
            </w:r>
          </w:p>
          <w:p>
            <w:pPr>
              <w:jc w:val="left"/>
              <w:rPr>
                <w:rFonts w:ascii="宋体" w:hAnsi="宋体" w:cs="宋体"/>
                <w:bCs/>
                <w:color w:val="auto"/>
                <w:szCs w:val="21"/>
                <w:highlight w:val="none"/>
              </w:rPr>
            </w:pPr>
            <w:r>
              <w:rPr>
                <w:rFonts w:hint="eastAsia" w:ascii="宋体" w:hAnsi="宋体" w:cs="宋体"/>
                <w:bCs/>
                <w:color w:val="auto"/>
                <w:szCs w:val="21"/>
                <w:highlight w:val="none"/>
              </w:rPr>
              <w:t>2.规格：500*200mm</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18</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15</w:t>
            </w:r>
            <w:r>
              <w:rPr>
                <w:rFonts w:ascii="宋体" w:hAnsi="宋体" w:cs="宋体"/>
                <w:color w:val="auto"/>
                <w:kern w:val="0"/>
                <w:sz w:val="22"/>
                <w:szCs w:val="22"/>
                <w:highlight w:val="none"/>
                <w:lang w:bidi="ar"/>
              </w:rPr>
              <w:t>3</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70°C全自动防火阀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规格：500*200mm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15</w:t>
            </w:r>
            <w:r>
              <w:rPr>
                <w:rFonts w:ascii="宋体" w:hAnsi="宋体" w:cs="宋体"/>
                <w:color w:val="auto"/>
                <w:kern w:val="0"/>
                <w:sz w:val="22"/>
                <w:szCs w:val="22"/>
                <w:highlight w:val="none"/>
                <w:lang w:bidi="ar"/>
              </w:rPr>
              <w:t>4</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70°C防火调节阀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1.常开,70°C熔断关闭</w:t>
            </w:r>
          </w:p>
          <w:p>
            <w:pPr>
              <w:jc w:val="left"/>
              <w:rPr>
                <w:rFonts w:ascii="宋体" w:hAnsi="宋体" w:cs="宋体"/>
                <w:bCs/>
                <w:color w:val="auto"/>
                <w:szCs w:val="21"/>
                <w:highlight w:val="none"/>
              </w:rPr>
            </w:pPr>
            <w:r>
              <w:rPr>
                <w:rFonts w:hint="eastAsia" w:ascii="宋体" w:hAnsi="宋体" w:cs="宋体"/>
                <w:bCs/>
                <w:color w:val="auto"/>
                <w:szCs w:val="21"/>
                <w:highlight w:val="none"/>
              </w:rPr>
              <w:t>2.规格：500*250mm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7</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15</w:t>
            </w:r>
            <w:r>
              <w:rPr>
                <w:rFonts w:ascii="宋体" w:hAnsi="宋体" w:cs="宋体"/>
                <w:color w:val="auto"/>
                <w:kern w:val="0"/>
                <w:sz w:val="22"/>
                <w:szCs w:val="22"/>
                <w:highlight w:val="none"/>
                <w:lang w:bidi="ar"/>
              </w:rPr>
              <w:t>5</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70°C防火调节阀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1.常开,70°C熔断关闭</w:t>
            </w:r>
          </w:p>
          <w:p>
            <w:pPr>
              <w:jc w:val="left"/>
              <w:rPr>
                <w:rFonts w:ascii="宋体" w:hAnsi="宋体" w:cs="宋体"/>
                <w:bCs/>
                <w:color w:val="auto"/>
                <w:szCs w:val="21"/>
                <w:highlight w:val="none"/>
              </w:rPr>
            </w:pPr>
            <w:r>
              <w:rPr>
                <w:rFonts w:hint="eastAsia" w:ascii="宋体" w:hAnsi="宋体" w:cs="宋体"/>
                <w:bCs/>
                <w:color w:val="auto"/>
                <w:szCs w:val="21"/>
                <w:highlight w:val="none"/>
              </w:rPr>
              <w:t>2.规格：1000*120mm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15</w:t>
            </w:r>
            <w:r>
              <w:rPr>
                <w:rFonts w:ascii="宋体" w:hAnsi="宋体" w:cs="宋体"/>
                <w:color w:val="auto"/>
                <w:kern w:val="0"/>
                <w:sz w:val="22"/>
                <w:szCs w:val="22"/>
                <w:highlight w:val="none"/>
                <w:lang w:bidi="ar"/>
              </w:rPr>
              <w:t>6</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手动对开多叶调节阀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1.规格：200*120mm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98</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57</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手动对开多叶调节阀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1.规格：200*200mm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15</w:t>
            </w:r>
            <w:r>
              <w:rPr>
                <w:rFonts w:ascii="宋体" w:hAnsi="宋体" w:cs="宋体"/>
                <w:color w:val="auto"/>
                <w:kern w:val="0"/>
                <w:sz w:val="22"/>
                <w:szCs w:val="22"/>
                <w:highlight w:val="none"/>
                <w:lang w:bidi="ar"/>
              </w:rPr>
              <w:t>8</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手动对开多叶调节阀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1.规格：250*120mm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15</w:t>
            </w:r>
            <w:r>
              <w:rPr>
                <w:rFonts w:ascii="宋体" w:hAnsi="宋体" w:cs="宋体"/>
                <w:color w:val="auto"/>
                <w:kern w:val="0"/>
                <w:sz w:val="22"/>
                <w:szCs w:val="22"/>
                <w:highlight w:val="none"/>
                <w:lang w:bidi="ar"/>
              </w:rPr>
              <w:t>9</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手动对开多叶调节阀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1.规格：250*160mm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w:t>
            </w:r>
            <w:r>
              <w:rPr>
                <w:rFonts w:ascii="宋体" w:hAnsi="宋体" w:cs="宋体"/>
                <w:color w:val="auto"/>
                <w:kern w:val="0"/>
                <w:sz w:val="22"/>
                <w:szCs w:val="22"/>
                <w:highlight w:val="none"/>
                <w:lang w:bidi="ar"/>
              </w:rPr>
              <w:t>60</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手动对开多叶调节阀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1.规格：320*160mm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4</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w:t>
            </w:r>
            <w:r>
              <w:rPr>
                <w:rFonts w:ascii="宋体" w:hAnsi="宋体" w:cs="宋体"/>
                <w:color w:val="auto"/>
                <w:kern w:val="0"/>
                <w:sz w:val="22"/>
                <w:szCs w:val="22"/>
                <w:highlight w:val="none"/>
                <w:lang w:bidi="ar"/>
              </w:rPr>
              <w:t>61</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手动对开多叶调节阀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1.规格：400*120mm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28</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16</w:t>
            </w:r>
            <w:r>
              <w:rPr>
                <w:rFonts w:ascii="宋体" w:hAnsi="宋体" w:cs="宋体"/>
                <w:color w:val="auto"/>
                <w:kern w:val="0"/>
                <w:sz w:val="22"/>
                <w:szCs w:val="22"/>
                <w:highlight w:val="none"/>
                <w:lang w:bidi="ar"/>
              </w:rPr>
              <w:t>2</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手动对开多叶调节阀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1.规格：400*160mm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12</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16</w:t>
            </w:r>
            <w:r>
              <w:rPr>
                <w:rFonts w:ascii="宋体" w:hAnsi="宋体" w:cs="宋体"/>
                <w:color w:val="auto"/>
                <w:kern w:val="0"/>
                <w:sz w:val="22"/>
                <w:szCs w:val="22"/>
                <w:highlight w:val="none"/>
                <w:lang w:bidi="ar"/>
              </w:rPr>
              <w:t>3</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手动对开多叶调节阀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1.规格：400*200mm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16</w:t>
            </w:r>
            <w:r>
              <w:rPr>
                <w:rFonts w:ascii="宋体" w:hAnsi="宋体" w:cs="宋体"/>
                <w:color w:val="auto"/>
                <w:kern w:val="0"/>
                <w:sz w:val="22"/>
                <w:szCs w:val="22"/>
                <w:highlight w:val="none"/>
                <w:lang w:bidi="ar"/>
              </w:rPr>
              <w:t>4</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手动对开多叶调节阀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1.规格：500*160mm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6</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16</w:t>
            </w:r>
            <w:r>
              <w:rPr>
                <w:rFonts w:ascii="宋体" w:hAnsi="宋体" w:cs="宋体"/>
                <w:color w:val="auto"/>
                <w:kern w:val="0"/>
                <w:sz w:val="22"/>
                <w:szCs w:val="22"/>
                <w:highlight w:val="none"/>
                <w:lang w:bidi="ar"/>
              </w:rPr>
              <w:t>5</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手动对开多叶调节阀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1.规格：500*200mm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16</w:t>
            </w:r>
            <w:r>
              <w:rPr>
                <w:rFonts w:ascii="宋体" w:hAnsi="宋体" w:cs="宋体"/>
                <w:color w:val="auto"/>
                <w:kern w:val="0"/>
                <w:sz w:val="22"/>
                <w:szCs w:val="22"/>
                <w:highlight w:val="none"/>
                <w:lang w:bidi="ar"/>
              </w:rPr>
              <w:t>6</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手动对开多叶调节阀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1.规格：630*250mm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16</w:t>
            </w:r>
            <w:r>
              <w:rPr>
                <w:rFonts w:ascii="宋体" w:hAnsi="宋体" w:cs="宋体"/>
                <w:color w:val="auto"/>
                <w:kern w:val="0"/>
                <w:sz w:val="22"/>
                <w:szCs w:val="22"/>
                <w:highlight w:val="none"/>
                <w:lang w:bidi="ar"/>
              </w:rPr>
              <w:t>7</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手动对开多叶调节阀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1.规格：800*120mm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16</w:t>
            </w:r>
            <w:r>
              <w:rPr>
                <w:rFonts w:ascii="宋体" w:hAnsi="宋体" w:cs="宋体"/>
                <w:color w:val="auto"/>
                <w:kern w:val="0"/>
                <w:sz w:val="22"/>
                <w:szCs w:val="22"/>
                <w:highlight w:val="none"/>
                <w:lang w:bidi="ar"/>
              </w:rPr>
              <w:t>8</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手动对开多叶调节阀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1.规格：1000*120mm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2.材质：碳钢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16</w:t>
            </w:r>
            <w:r>
              <w:rPr>
                <w:rFonts w:ascii="宋体" w:hAnsi="宋体" w:cs="宋体"/>
                <w:color w:val="auto"/>
                <w:kern w:val="0"/>
                <w:sz w:val="22"/>
                <w:szCs w:val="22"/>
                <w:highlight w:val="none"/>
                <w:lang w:bidi="ar"/>
              </w:rPr>
              <w:t>9</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电动对开多叶调节阀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1.含检查接线</w:t>
            </w:r>
          </w:p>
          <w:p>
            <w:pPr>
              <w:jc w:val="left"/>
              <w:rPr>
                <w:rFonts w:ascii="宋体" w:hAnsi="宋体" w:cs="宋体"/>
                <w:bCs/>
                <w:color w:val="auto"/>
                <w:szCs w:val="21"/>
                <w:highlight w:val="none"/>
              </w:rPr>
            </w:pPr>
            <w:r>
              <w:rPr>
                <w:rFonts w:hint="eastAsia" w:ascii="宋体" w:hAnsi="宋体" w:cs="宋体"/>
                <w:bCs/>
                <w:color w:val="auto"/>
                <w:szCs w:val="21"/>
                <w:highlight w:val="none"/>
              </w:rPr>
              <w:t>2.规格：500*200mm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w:t>
            </w:r>
            <w:r>
              <w:rPr>
                <w:rFonts w:ascii="宋体" w:hAnsi="宋体" w:cs="宋体"/>
                <w:color w:val="auto"/>
                <w:kern w:val="0"/>
                <w:sz w:val="22"/>
                <w:szCs w:val="22"/>
                <w:highlight w:val="none"/>
                <w:lang w:bidi="ar"/>
              </w:rPr>
              <w:t>70</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电动对开多叶调节阀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1.含检查接线</w:t>
            </w:r>
          </w:p>
          <w:p>
            <w:pPr>
              <w:jc w:val="left"/>
              <w:rPr>
                <w:rFonts w:ascii="宋体" w:hAnsi="宋体" w:cs="宋体"/>
                <w:bCs/>
                <w:color w:val="auto"/>
                <w:szCs w:val="21"/>
                <w:highlight w:val="none"/>
              </w:rPr>
            </w:pPr>
            <w:r>
              <w:rPr>
                <w:rFonts w:hint="eastAsia" w:ascii="宋体" w:hAnsi="宋体" w:cs="宋体"/>
                <w:bCs/>
                <w:color w:val="auto"/>
                <w:szCs w:val="21"/>
                <w:highlight w:val="none"/>
              </w:rPr>
              <w:t>2.规格：500*250mm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w:t>
            </w:r>
            <w:r>
              <w:rPr>
                <w:rFonts w:ascii="宋体" w:hAnsi="宋体" w:cs="宋体"/>
                <w:color w:val="auto"/>
                <w:kern w:val="0"/>
                <w:sz w:val="22"/>
                <w:szCs w:val="22"/>
                <w:highlight w:val="none"/>
                <w:lang w:bidi="ar"/>
              </w:rPr>
              <w:t>71</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电动对开多叶调节阀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1.含检查接线</w:t>
            </w:r>
          </w:p>
          <w:p>
            <w:pPr>
              <w:jc w:val="left"/>
              <w:rPr>
                <w:rFonts w:ascii="宋体" w:hAnsi="宋体" w:cs="宋体"/>
                <w:bCs/>
                <w:color w:val="auto"/>
                <w:szCs w:val="21"/>
                <w:highlight w:val="none"/>
              </w:rPr>
            </w:pPr>
            <w:r>
              <w:rPr>
                <w:rFonts w:hint="eastAsia" w:ascii="宋体" w:hAnsi="宋体" w:cs="宋体"/>
                <w:bCs/>
                <w:color w:val="auto"/>
                <w:szCs w:val="21"/>
                <w:highlight w:val="none"/>
              </w:rPr>
              <w:t>2.规格：630*320mm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17</w:t>
            </w:r>
            <w:r>
              <w:rPr>
                <w:rFonts w:ascii="宋体" w:hAnsi="宋体" w:cs="宋体"/>
                <w:color w:val="auto"/>
                <w:kern w:val="0"/>
                <w:sz w:val="22"/>
                <w:szCs w:val="22"/>
                <w:highlight w:val="none"/>
                <w:lang w:bidi="ar"/>
              </w:rPr>
              <w:t>2</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电动对开多叶调节阀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1.含检查接线</w:t>
            </w:r>
          </w:p>
          <w:p>
            <w:pPr>
              <w:jc w:val="left"/>
              <w:rPr>
                <w:rFonts w:ascii="宋体" w:hAnsi="宋体" w:cs="宋体"/>
                <w:bCs/>
                <w:color w:val="auto"/>
                <w:szCs w:val="21"/>
                <w:highlight w:val="none"/>
              </w:rPr>
            </w:pPr>
            <w:r>
              <w:rPr>
                <w:rFonts w:hint="eastAsia" w:ascii="宋体" w:hAnsi="宋体" w:cs="宋体"/>
                <w:bCs/>
                <w:color w:val="auto"/>
                <w:szCs w:val="21"/>
                <w:highlight w:val="none"/>
              </w:rPr>
              <w:t>2、规格：400*200mm</w:t>
            </w:r>
          </w:p>
          <w:p>
            <w:pPr>
              <w:jc w:val="left"/>
              <w:rPr>
                <w:rFonts w:ascii="宋体" w:hAnsi="宋体" w:cs="宋体"/>
                <w:bCs/>
                <w:color w:val="auto"/>
                <w:szCs w:val="21"/>
                <w:highlight w:val="none"/>
              </w:rPr>
            </w:pPr>
            <w:r>
              <w:rPr>
                <w:rFonts w:hint="eastAsia" w:ascii="宋体" w:hAnsi="宋体" w:cs="宋体"/>
                <w:color w:val="auto"/>
                <w:kern w:val="0"/>
                <w:szCs w:val="21"/>
                <w:highlight w:val="none"/>
              </w:rPr>
              <w:t>3.材质：碳钢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17</w:t>
            </w:r>
            <w:r>
              <w:rPr>
                <w:rFonts w:ascii="宋体" w:hAnsi="宋体" w:cs="宋体"/>
                <w:color w:val="auto"/>
                <w:kern w:val="0"/>
                <w:sz w:val="22"/>
                <w:szCs w:val="22"/>
                <w:highlight w:val="none"/>
                <w:lang w:bidi="ar"/>
              </w:rPr>
              <w:t>3</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柔性接头 帆布（皮革）</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snapToGrid w:val="0"/>
                <w:color w:val="auto"/>
                <w:szCs w:val="21"/>
                <w:highlight w:val="none"/>
              </w:rPr>
            </w:pPr>
            <w:r>
              <w:rPr>
                <w:rFonts w:hint="eastAsia" w:ascii="宋体" w:hAnsi="宋体" w:cs="宋体"/>
                <w:bCs/>
                <w:snapToGrid w:val="0"/>
                <w:color w:val="auto"/>
                <w:szCs w:val="21"/>
                <w:highlight w:val="none"/>
              </w:rPr>
              <w:t>1.防火等级：难燃B1级</w:t>
            </w:r>
          </w:p>
          <w:p>
            <w:pPr>
              <w:jc w:val="left"/>
              <w:rPr>
                <w:rFonts w:ascii="宋体" w:hAnsi="宋体" w:cs="宋体"/>
                <w:bCs/>
                <w:snapToGrid w:val="0"/>
                <w:color w:val="auto"/>
                <w:szCs w:val="21"/>
                <w:highlight w:val="none"/>
              </w:rPr>
            </w:pPr>
            <w:r>
              <w:rPr>
                <w:rFonts w:hint="eastAsia" w:ascii="宋体" w:hAnsi="宋体" w:cs="宋体"/>
                <w:bCs/>
                <w:snapToGrid w:val="0"/>
                <w:color w:val="auto"/>
                <w:szCs w:val="21"/>
                <w:highlight w:val="none"/>
              </w:rPr>
              <w:t>2.规格：根据现场定制</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32.50</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17</w:t>
            </w:r>
            <w:r>
              <w:rPr>
                <w:rFonts w:ascii="宋体" w:hAnsi="宋体" w:cs="宋体"/>
                <w:color w:val="auto"/>
                <w:kern w:val="0"/>
                <w:sz w:val="22"/>
                <w:szCs w:val="22"/>
                <w:highlight w:val="none"/>
                <w:lang w:bidi="ar"/>
              </w:rPr>
              <w:t>4</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镀锌薄钢板风管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（δ=0.5mm以内，共板法兰连接） （δ=1.2mm以内咬口）周长（800mm以下）</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1.材质：镀锌钢板，镀锌层厚度不低于80g/㎡</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2.连接方式：法兰连接</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3.厚度：0.5mm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177.1</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17</w:t>
            </w:r>
            <w:r>
              <w:rPr>
                <w:rFonts w:ascii="宋体" w:hAnsi="宋体" w:cs="宋体"/>
                <w:color w:val="auto"/>
                <w:kern w:val="0"/>
                <w:sz w:val="22"/>
                <w:szCs w:val="22"/>
                <w:highlight w:val="none"/>
                <w:lang w:bidi="ar"/>
              </w:rPr>
              <w:t>5</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镀锌薄钢板风管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（δ=0.5mm以内，共板法兰连接） （δ=1.2mm以内咬口）周长（2000mm以下）</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1.材质：镀锌钢板，镀锌层厚度不低于80g/㎡</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2.连接方式：法兰连接</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3.厚度：0.5mm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192.37</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17</w:t>
            </w:r>
            <w:r>
              <w:rPr>
                <w:rFonts w:ascii="宋体" w:hAnsi="宋体" w:cs="宋体"/>
                <w:color w:val="auto"/>
                <w:kern w:val="0"/>
                <w:sz w:val="22"/>
                <w:szCs w:val="22"/>
                <w:highlight w:val="none"/>
                <w:lang w:bidi="ar"/>
              </w:rPr>
              <w:t>6</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镀锌薄钢板风管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（δ=0.6mm以内，共板法兰连接） （δ=1.2mm以内咬口）周长（2000mm以下）</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1.材质：镀锌钢板，镀锌层厚度不低于80g/㎡</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2.连接方式：法兰连接</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3.厚度：0.6mm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318.08</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17</w:t>
            </w:r>
            <w:r>
              <w:rPr>
                <w:rFonts w:ascii="宋体" w:hAnsi="宋体" w:cs="宋体"/>
                <w:color w:val="auto"/>
                <w:kern w:val="0"/>
                <w:sz w:val="22"/>
                <w:szCs w:val="22"/>
                <w:highlight w:val="none"/>
                <w:lang w:bidi="ar"/>
              </w:rPr>
              <w:t>7</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镀锌薄钢板风管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（δ=0.75mm以内，共板法兰连接） （δ=1.2mm以内咬口）周长（2000mm以下）</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1.材质：镀锌钢板，镀锌层厚度不低于80g/㎡</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2.连接方式：法兰连接</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3.厚度：0.75mm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1424.87</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17</w:t>
            </w:r>
            <w:r>
              <w:rPr>
                <w:rFonts w:ascii="宋体" w:hAnsi="宋体" w:cs="宋体"/>
                <w:color w:val="auto"/>
                <w:kern w:val="0"/>
                <w:sz w:val="22"/>
                <w:szCs w:val="22"/>
                <w:highlight w:val="none"/>
                <w:lang w:bidi="ar"/>
              </w:rPr>
              <w:t>8</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镀锌薄钢板风管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（δ=0.75mm以内，共板法兰连接） （δ=1.2mm以内咬口）周长（4000mm以下）</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1、材质：镀锌钢板，镀锌层厚度不低于80g/㎡</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2、连接方式：法兰连接</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3.厚度：0.75mm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496.55</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17</w:t>
            </w:r>
            <w:r>
              <w:rPr>
                <w:rFonts w:ascii="宋体" w:hAnsi="宋体" w:cs="宋体"/>
                <w:color w:val="auto"/>
                <w:kern w:val="0"/>
                <w:sz w:val="22"/>
                <w:szCs w:val="22"/>
                <w:highlight w:val="none"/>
                <w:lang w:bidi="ar"/>
              </w:rPr>
              <w:t>9</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镀锌薄钢板风管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（δ=1.0mm以内，共板法兰连接） （δ=1.2mm以内咬口）周长（4000mm以下）</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1.材质：镀锌钢板，镀锌层厚度不低于80g/㎡</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2.连接方式：法兰连接</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3.厚度：1.0mm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1063.13</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w:t>
            </w:r>
            <w:r>
              <w:rPr>
                <w:rFonts w:ascii="宋体" w:hAnsi="宋体" w:cs="宋体"/>
                <w:color w:val="auto"/>
                <w:kern w:val="0"/>
                <w:sz w:val="22"/>
                <w:szCs w:val="22"/>
                <w:highlight w:val="none"/>
                <w:lang w:bidi="ar"/>
              </w:rPr>
              <w:t>80</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镀锌薄钢板风管</w:t>
            </w:r>
          </w:p>
        </w:tc>
        <w:tc>
          <w:tcPr>
            <w:tcW w:w="482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镀锌薄钢板风管（δ=1.2mm以内，共板法兰连接） （δ=1.2mm以内咬口）周长（4000mm以下）</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rPr>
              <w:t>350.72</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w:t>
            </w:r>
            <w:r>
              <w:rPr>
                <w:rFonts w:ascii="宋体" w:hAnsi="宋体" w:cs="宋体"/>
                <w:color w:val="auto"/>
                <w:kern w:val="0"/>
                <w:sz w:val="22"/>
                <w:szCs w:val="22"/>
                <w:highlight w:val="none"/>
                <w:lang w:bidi="ar"/>
              </w:rPr>
              <w:t>81</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带铝箔橡塑保温板（通风管道保温）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1.保温棉厚度：30mm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2.防火等级：难燃B1级</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3.导热系数：λ≤0.032W/（m·K）（0℃），λ≤0.034W/（m·K）（20℃）</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m³</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133.39</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18</w:t>
            </w:r>
            <w:r>
              <w:rPr>
                <w:rFonts w:ascii="宋体" w:hAnsi="宋体" w:cs="宋体"/>
                <w:color w:val="auto"/>
                <w:kern w:val="0"/>
                <w:sz w:val="22"/>
                <w:szCs w:val="22"/>
                <w:highlight w:val="none"/>
                <w:lang w:bidi="ar"/>
              </w:rPr>
              <w:t>2</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 xml:space="preserve">磷酸脱氧无缝紫铜管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1.规格：φ6.35</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2.壁厚：0.8mm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3.纯铜</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370.27</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18</w:t>
            </w:r>
            <w:r>
              <w:rPr>
                <w:rFonts w:ascii="宋体" w:hAnsi="宋体" w:cs="宋体"/>
                <w:color w:val="auto"/>
                <w:kern w:val="0"/>
                <w:sz w:val="22"/>
                <w:szCs w:val="22"/>
                <w:highlight w:val="none"/>
                <w:lang w:bidi="ar"/>
              </w:rPr>
              <w:t>3</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磷酸脱氧无缝紫铜管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1.规格：φ9.53</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2.壁厚：0.8mm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3.纯铜</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2149.13</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18</w:t>
            </w:r>
            <w:r>
              <w:rPr>
                <w:rFonts w:ascii="宋体" w:hAnsi="宋体" w:cs="宋体"/>
                <w:color w:val="auto"/>
                <w:kern w:val="0"/>
                <w:sz w:val="22"/>
                <w:szCs w:val="22"/>
                <w:highlight w:val="none"/>
                <w:lang w:bidi="ar"/>
              </w:rPr>
              <w:t>4</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磷酸脱氧无缝紫铜管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1.规格：φ12.7</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2.壁厚：0.8mm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3.纯铜</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542.49</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18</w:t>
            </w:r>
            <w:r>
              <w:rPr>
                <w:rFonts w:ascii="宋体" w:hAnsi="宋体" w:cs="宋体"/>
                <w:color w:val="auto"/>
                <w:kern w:val="0"/>
                <w:sz w:val="22"/>
                <w:szCs w:val="22"/>
                <w:highlight w:val="none"/>
                <w:lang w:bidi="ar"/>
              </w:rPr>
              <w:t>5</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磷酸脱氧无缝紫铜管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1.规格：φ15.88</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2.壁厚：1.0mm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3.纯铜</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1004.25</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szCs w:val="21"/>
                <w:highlight w:val="none"/>
              </w:rPr>
            </w:pPr>
            <w:r>
              <w:rPr>
                <w:rFonts w:hint="eastAsia" w:ascii="宋体" w:hAnsi="宋体" w:cs="宋体"/>
                <w:color w:val="auto"/>
                <w:kern w:val="0"/>
                <w:sz w:val="22"/>
                <w:szCs w:val="22"/>
                <w:highlight w:val="none"/>
                <w:lang w:bidi="ar"/>
              </w:rPr>
              <w:t>18</w:t>
            </w:r>
            <w:r>
              <w:rPr>
                <w:rFonts w:ascii="宋体" w:hAnsi="宋体" w:cs="宋体"/>
                <w:color w:val="auto"/>
                <w:kern w:val="0"/>
                <w:sz w:val="22"/>
                <w:szCs w:val="22"/>
                <w:highlight w:val="none"/>
                <w:lang w:bidi="ar"/>
              </w:rPr>
              <w:t>6</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磷酸脱氧无缝紫铜管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1.规格：φ19.05</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2.壁厚：1.0mm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3.纯铜</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999.76</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18</w:t>
            </w:r>
            <w:r>
              <w:rPr>
                <w:rFonts w:ascii="宋体" w:hAnsi="宋体" w:cs="宋体"/>
                <w:color w:val="auto"/>
                <w:kern w:val="0"/>
                <w:sz w:val="22"/>
                <w:szCs w:val="22"/>
                <w:highlight w:val="none"/>
                <w:lang w:bidi="ar"/>
              </w:rPr>
              <w:t>7</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磷酸脱氧无缝紫铜管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1.规格：φ22.23</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2.壁厚：1.0mm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3.纯铜</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944.40</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18</w:t>
            </w:r>
            <w:r>
              <w:rPr>
                <w:rFonts w:ascii="宋体" w:hAnsi="宋体" w:cs="宋体"/>
                <w:color w:val="auto"/>
                <w:kern w:val="0"/>
                <w:sz w:val="22"/>
                <w:szCs w:val="22"/>
                <w:highlight w:val="none"/>
                <w:lang w:bidi="ar"/>
              </w:rPr>
              <w:t>8</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磷酸脱氧无缝紫铜管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1.规格：φ28.58</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2.壁厚：1.0mm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3.纯铜</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294.13</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18</w:t>
            </w:r>
            <w:r>
              <w:rPr>
                <w:rFonts w:ascii="宋体" w:hAnsi="宋体" w:cs="宋体"/>
                <w:color w:val="auto"/>
                <w:kern w:val="0"/>
                <w:sz w:val="22"/>
                <w:szCs w:val="22"/>
                <w:highlight w:val="none"/>
                <w:lang w:bidi="ar"/>
              </w:rPr>
              <w:t>9</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磷酸脱氧无缝紫铜管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1.规格：φ31.75</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2.壁厚：1.1mm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3.纯铜</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279.54</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1</w:t>
            </w:r>
            <w:r>
              <w:rPr>
                <w:rFonts w:ascii="宋体" w:hAnsi="宋体" w:cs="宋体"/>
                <w:color w:val="auto"/>
                <w:kern w:val="0"/>
                <w:sz w:val="22"/>
                <w:szCs w:val="22"/>
                <w:highlight w:val="none"/>
                <w:lang w:bidi="ar"/>
              </w:rPr>
              <w:t>90</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磷酸脱氧无缝紫铜管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1.规格：φ38.1</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2.壁厚：1.4mm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3.纯铜</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322.09</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1</w:t>
            </w:r>
            <w:r>
              <w:rPr>
                <w:rFonts w:ascii="宋体" w:hAnsi="宋体" w:cs="宋体"/>
                <w:color w:val="auto"/>
                <w:kern w:val="0"/>
                <w:sz w:val="22"/>
                <w:szCs w:val="22"/>
                <w:highlight w:val="none"/>
                <w:lang w:bidi="ar"/>
              </w:rPr>
              <w:t>91</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磷酸脱氧无缝紫铜管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1.规格：φ41.28</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2.壁厚：1.5mm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3.纯铜</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84.73</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19</w:t>
            </w:r>
            <w:r>
              <w:rPr>
                <w:rFonts w:ascii="宋体" w:hAnsi="宋体" w:cs="宋体"/>
                <w:color w:val="auto"/>
                <w:kern w:val="0"/>
                <w:sz w:val="22"/>
                <w:szCs w:val="22"/>
                <w:highlight w:val="none"/>
                <w:lang w:bidi="ar"/>
              </w:rPr>
              <w:t>2</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铜管管道分歧器</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snapToGrid w:val="0"/>
                <w:color w:val="auto"/>
                <w:szCs w:val="21"/>
                <w:highlight w:val="none"/>
              </w:rPr>
            </w:pPr>
            <w:r>
              <w:rPr>
                <w:rFonts w:hint="eastAsia" w:ascii="宋体" w:hAnsi="宋体" w:cs="宋体"/>
                <w:bCs/>
                <w:snapToGrid w:val="0"/>
                <w:color w:val="auto"/>
                <w:szCs w:val="21"/>
                <w:highlight w:val="none"/>
              </w:rPr>
              <w:t>设备原厂配置</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176</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19</w:t>
            </w:r>
            <w:r>
              <w:rPr>
                <w:rFonts w:ascii="宋体" w:hAnsi="宋体" w:cs="宋体"/>
                <w:color w:val="auto"/>
                <w:kern w:val="0"/>
                <w:sz w:val="22"/>
                <w:szCs w:val="22"/>
                <w:highlight w:val="none"/>
                <w:lang w:bidi="ar"/>
              </w:rPr>
              <w:t>3</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无缝钢管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1.材质：无缝钢管</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2.规格：DN200</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3.工作压力：1.0MPa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4.连接方式：焊接连接</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5.壁厚：6.0mm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216.98</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19</w:t>
            </w:r>
            <w:r>
              <w:rPr>
                <w:rFonts w:ascii="宋体" w:hAnsi="宋体" w:cs="宋体"/>
                <w:color w:val="auto"/>
                <w:kern w:val="0"/>
                <w:sz w:val="22"/>
                <w:szCs w:val="22"/>
                <w:highlight w:val="none"/>
                <w:lang w:bidi="ar"/>
              </w:rPr>
              <w:t>4</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无缝钢管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1.材质：无缝钢管</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2.规格：DN100</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3.工作压力：1.0MPa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4.连接方式：焊接连接</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5.壁厚：4.5mm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238.38</w:t>
            </w:r>
          </w:p>
        </w:tc>
        <w:tc>
          <w:tcPr>
            <w:tcW w:w="1681"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19</w:t>
            </w:r>
            <w:r>
              <w:rPr>
                <w:rFonts w:ascii="宋体" w:hAnsi="宋体" w:cs="宋体"/>
                <w:color w:val="auto"/>
                <w:kern w:val="0"/>
                <w:sz w:val="22"/>
                <w:szCs w:val="22"/>
                <w:highlight w:val="none"/>
                <w:lang w:bidi="ar"/>
              </w:rPr>
              <w:t>5</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热镀锌钢管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1.材质：热镀锌钢管</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2.规格：DN80</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3.工作压力：1.0MPa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4.连接方式：螺纹连接</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5.壁厚：4.0mm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396.78</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桂银，华岐、友发或同档次及以上品牌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19</w:t>
            </w:r>
            <w:r>
              <w:rPr>
                <w:rFonts w:ascii="宋体" w:hAnsi="宋体" w:cs="宋体"/>
                <w:color w:val="auto"/>
                <w:kern w:val="0"/>
                <w:sz w:val="22"/>
                <w:szCs w:val="22"/>
                <w:highlight w:val="none"/>
                <w:lang w:bidi="ar"/>
              </w:rPr>
              <w:t>6</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热镀锌钢管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1.材质：热镀锌钢管</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2.规格：DN65</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3.工作压力：1.0MPa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4.连接方式：螺纹连接</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5.壁厚：4.0mm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441.77</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桂银，华岐、友发或同档次及以上品牌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19</w:t>
            </w:r>
            <w:r>
              <w:rPr>
                <w:rFonts w:ascii="宋体" w:hAnsi="宋体" w:cs="宋体"/>
                <w:color w:val="auto"/>
                <w:kern w:val="0"/>
                <w:sz w:val="22"/>
                <w:szCs w:val="22"/>
                <w:highlight w:val="none"/>
                <w:lang w:bidi="ar"/>
              </w:rPr>
              <w:t>7</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热镀锌钢管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1.材质：热镀锌钢管</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2.规格：DN50</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3.工作压力：1.0MPa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4.连接方式：螺纹连接</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5.壁厚：3.5mm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143.32</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桂银，华岐、友发或同档次及以上品牌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19</w:t>
            </w:r>
            <w:r>
              <w:rPr>
                <w:rFonts w:ascii="宋体" w:hAnsi="宋体" w:cs="宋体"/>
                <w:color w:val="auto"/>
                <w:kern w:val="0"/>
                <w:sz w:val="22"/>
                <w:szCs w:val="22"/>
                <w:highlight w:val="none"/>
                <w:lang w:bidi="ar"/>
              </w:rPr>
              <w:t>8</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热镀锌钢管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1.材质：热镀锌钢管</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2.规格：DN40</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3.工作压力：1.0MPa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4.连接方式：螺纹连接</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5.壁厚：3.5mm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232.95</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桂银，华岐、友发或同档次及以上品牌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19</w:t>
            </w:r>
            <w:r>
              <w:rPr>
                <w:rFonts w:ascii="宋体" w:hAnsi="宋体" w:cs="宋体"/>
                <w:color w:val="auto"/>
                <w:kern w:val="0"/>
                <w:sz w:val="22"/>
                <w:szCs w:val="22"/>
                <w:highlight w:val="none"/>
                <w:lang w:bidi="ar"/>
              </w:rPr>
              <w:t>9</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热镀锌钢管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1.材质：热镀锌钢管</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2.规格：DN32</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3.工作压力：1.0MPa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4.连接方式：螺纹连接</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5.壁厚：3.25mm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1154.23</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桂银，华岐、友发或同档次及以上品牌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ascii="宋体" w:hAnsi="宋体" w:cs="宋体"/>
                <w:color w:val="auto"/>
                <w:kern w:val="0"/>
                <w:sz w:val="22"/>
                <w:szCs w:val="22"/>
                <w:highlight w:val="none"/>
                <w:lang w:bidi="ar"/>
              </w:rPr>
              <w:t>200</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热镀锌钢管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1.材质：热镀锌钢管</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2.规格：DN25</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3.工作压力：1.0MPa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4.连接方式：螺纹连接</w:t>
            </w:r>
          </w:p>
          <w:p>
            <w:pPr>
              <w:jc w:val="left"/>
              <w:rPr>
                <w:rFonts w:ascii="宋体" w:hAnsi="宋体" w:cs="宋体"/>
                <w:bCs/>
                <w:snapToGrid w:val="0"/>
                <w:color w:val="auto"/>
                <w:szCs w:val="21"/>
                <w:highlight w:val="none"/>
              </w:rPr>
            </w:pPr>
            <w:r>
              <w:rPr>
                <w:rFonts w:hint="eastAsia" w:ascii="宋体" w:hAnsi="宋体" w:cs="宋体"/>
                <w:color w:val="auto"/>
                <w:kern w:val="0"/>
                <w:szCs w:val="21"/>
                <w:highlight w:val="none"/>
              </w:rPr>
              <w:t>5.壁厚：3.25mm</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m</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2432.88</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桂银，华岐、友发或同档次及以上品牌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ascii="宋体" w:hAnsi="宋体" w:cs="宋体"/>
                <w:color w:val="auto"/>
                <w:kern w:val="0"/>
                <w:sz w:val="22"/>
                <w:szCs w:val="22"/>
                <w:highlight w:val="none"/>
                <w:lang w:bidi="ar"/>
              </w:rPr>
              <w:t>201</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管道保温（铜管保温）</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1.带铝箔柔性发泡橡塑保温 15mm厚</w:t>
            </w:r>
          </w:p>
          <w:p>
            <w:pPr>
              <w:jc w:val="left"/>
              <w:rPr>
                <w:rFonts w:ascii="宋体" w:hAnsi="宋体" w:cs="宋体"/>
                <w:bCs/>
                <w:color w:val="auto"/>
                <w:szCs w:val="21"/>
                <w:highlight w:val="none"/>
              </w:rPr>
            </w:pPr>
            <w:r>
              <w:rPr>
                <w:rFonts w:hint="eastAsia" w:ascii="宋体" w:hAnsi="宋体" w:cs="宋体"/>
                <w:bCs/>
                <w:color w:val="auto"/>
                <w:szCs w:val="21"/>
                <w:highlight w:val="none"/>
              </w:rPr>
              <w:t>2.防火等级：难燃B1级</w:t>
            </w:r>
          </w:p>
          <w:p>
            <w:pPr>
              <w:jc w:val="left"/>
              <w:rPr>
                <w:rFonts w:ascii="宋体" w:hAnsi="宋体" w:cs="宋体"/>
                <w:bCs/>
                <w:color w:val="auto"/>
                <w:szCs w:val="21"/>
                <w:highlight w:val="none"/>
              </w:rPr>
            </w:pPr>
            <w:r>
              <w:rPr>
                <w:rFonts w:hint="eastAsia" w:ascii="宋体" w:hAnsi="宋体" w:cs="宋体"/>
                <w:bCs/>
                <w:color w:val="auto"/>
                <w:szCs w:val="21"/>
                <w:highlight w:val="none"/>
              </w:rPr>
              <w:t>3.导热系数：λ≤0.033W/（m·K）</w:t>
            </w:r>
          </w:p>
        </w:tc>
        <w:tc>
          <w:tcPr>
            <w:tcW w:w="5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Cs w:val="21"/>
                <w:highlight w:val="none"/>
              </w:rPr>
            </w:pPr>
            <w:r>
              <w:rPr>
                <w:rFonts w:hint="eastAsia" w:ascii="宋体" w:hAnsi="宋体" w:cs="宋体"/>
                <w:bCs/>
                <w:color w:val="auto"/>
                <w:szCs w:val="21"/>
                <w:highlight w:val="none"/>
              </w:rPr>
              <w:t>m³</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Cs w:val="21"/>
                <w:highlight w:val="none"/>
              </w:rPr>
            </w:pPr>
            <w:r>
              <w:rPr>
                <w:rFonts w:hint="eastAsia" w:ascii="宋体" w:hAnsi="宋体" w:cs="宋体"/>
                <w:bCs/>
                <w:color w:val="auto"/>
                <w:szCs w:val="21"/>
                <w:highlight w:val="none"/>
              </w:rPr>
              <w:t>6.09</w:t>
            </w:r>
          </w:p>
        </w:tc>
        <w:tc>
          <w:tcPr>
            <w:tcW w:w="16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color w:val="auto"/>
                <w:kern w:val="0"/>
                <w:szCs w:val="21"/>
                <w:highlight w:val="none"/>
              </w:rPr>
              <w:t>华美、赢胜，神州或同档次及以上品牌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20</w:t>
            </w:r>
            <w:r>
              <w:rPr>
                <w:rFonts w:ascii="宋体" w:hAnsi="宋体" w:cs="宋体"/>
                <w:color w:val="auto"/>
                <w:kern w:val="0"/>
                <w:sz w:val="22"/>
                <w:szCs w:val="22"/>
                <w:highlight w:val="none"/>
                <w:lang w:bidi="ar"/>
              </w:rPr>
              <w:t>2</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管道保温 （铜管保温）</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1.带铝箔柔性发泡橡塑保温 20mm厚</w:t>
            </w:r>
          </w:p>
          <w:p>
            <w:pPr>
              <w:jc w:val="left"/>
              <w:rPr>
                <w:rFonts w:ascii="宋体" w:hAnsi="宋体" w:cs="宋体"/>
                <w:bCs/>
                <w:color w:val="auto"/>
                <w:szCs w:val="21"/>
                <w:highlight w:val="none"/>
              </w:rPr>
            </w:pPr>
            <w:r>
              <w:rPr>
                <w:rFonts w:hint="eastAsia" w:ascii="宋体" w:hAnsi="宋体" w:cs="宋体"/>
                <w:bCs/>
                <w:color w:val="auto"/>
                <w:szCs w:val="21"/>
                <w:highlight w:val="none"/>
              </w:rPr>
              <w:t>2.防火等级：难燃B1级</w:t>
            </w:r>
          </w:p>
          <w:p>
            <w:pPr>
              <w:jc w:val="left"/>
              <w:rPr>
                <w:rFonts w:ascii="宋体" w:hAnsi="宋体" w:cs="宋体"/>
                <w:bCs/>
                <w:color w:val="auto"/>
                <w:szCs w:val="21"/>
                <w:highlight w:val="none"/>
              </w:rPr>
            </w:pPr>
            <w:r>
              <w:rPr>
                <w:rFonts w:hint="eastAsia" w:ascii="宋体" w:hAnsi="宋体" w:cs="宋体"/>
                <w:bCs/>
                <w:color w:val="auto"/>
                <w:szCs w:val="21"/>
                <w:highlight w:val="none"/>
              </w:rPr>
              <w:t>3.导热系数：λ≤0.033W/（m·K）</w:t>
            </w:r>
          </w:p>
        </w:tc>
        <w:tc>
          <w:tcPr>
            <w:tcW w:w="5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Cs w:val="21"/>
                <w:highlight w:val="none"/>
              </w:rPr>
            </w:pPr>
            <w:r>
              <w:rPr>
                <w:rFonts w:hint="eastAsia" w:ascii="宋体" w:hAnsi="宋体" w:cs="宋体"/>
                <w:bCs/>
                <w:color w:val="auto"/>
                <w:szCs w:val="21"/>
                <w:highlight w:val="none"/>
              </w:rPr>
              <w:t>m³</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Cs w:val="21"/>
                <w:highlight w:val="none"/>
              </w:rPr>
            </w:pPr>
            <w:r>
              <w:rPr>
                <w:rFonts w:hint="eastAsia" w:ascii="宋体" w:hAnsi="宋体" w:cs="宋体"/>
                <w:bCs/>
                <w:color w:val="auto"/>
                <w:szCs w:val="21"/>
                <w:highlight w:val="none"/>
              </w:rPr>
              <w:t>12.97</w:t>
            </w:r>
          </w:p>
        </w:tc>
        <w:tc>
          <w:tcPr>
            <w:tcW w:w="16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color w:val="auto"/>
                <w:kern w:val="0"/>
                <w:szCs w:val="21"/>
                <w:highlight w:val="none"/>
              </w:rPr>
              <w:t>华美、赢胜，神州或同档次及以上品牌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20</w:t>
            </w:r>
            <w:r>
              <w:rPr>
                <w:rFonts w:ascii="宋体" w:hAnsi="宋体" w:cs="宋体"/>
                <w:color w:val="auto"/>
                <w:kern w:val="0"/>
                <w:sz w:val="22"/>
                <w:szCs w:val="22"/>
                <w:highlight w:val="none"/>
                <w:lang w:bidi="ar"/>
              </w:rPr>
              <w:t>3</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管道保温（水管保温）</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1.带铝箔柔性发泡橡塑保温 28mm厚</w:t>
            </w:r>
          </w:p>
          <w:p>
            <w:pPr>
              <w:jc w:val="left"/>
              <w:rPr>
                <w:rFonts w:ascii="宋体" w:hAnsi="宋体" w:cs="宋体"/>
                <w:bCs/>
                <w:color w:val="auto"/>
                <w:szCs w:val="21"/>
                <w:highlight w:val="none"/>
              </w:rPr>
            </w:pPr>
            <w:r>
              <w:rPr>
                <w:rFonts w:hint="eastAsia" w:ascii="宋体" w:hAnsi="宋体" w:cs="宋体"/>
                <w:bCs/>
                <w:color w:val="auto"/>
                <w:szCs w:val="21"/>
                <w:highlight w:val="none"/>
              </w:rPr>
              <w:t>2.防火等级：难燃B1级</w:t>
            </w:r>
          </w:p>
          <w:p>
            <w:pPr>
              <w:jc w:val="left"/>
              <w:rPr>
                <w:rFonts w:ascii="宋体" w:hAnsi="宋体" w:cs="宋体"/>
                <w:bCs/>
                <w:color w:val="auto"/>
                <w:szCs w:val="21"/>
                <w:highlight w:val="none"/>
              </w:rPr>
            </w:pPr>
            <w:r>
              <w:rPr>
                <w:rFonts w:hint="eastAsia" w:ascii="宋体" w:hAnsi="宋体" w:cs="宋体"/>
                <w:bCs/>
                <w:color w:val="auto"/>
                <w:szCs w:val="21"/>
                <w:highlight w:val="none"/>
              </w:rPr>
              <w:t>3.导热系数：λ≤0.032W/（m·K）（0℃），λ≤0.037W/（m·K）（40℃）</w:t>
            </w:r>
          </w:p>
        </w:tc>
        <w:tc>
          <w:tcPr>
            <w:tcW w:w="5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Cs w:val="21"/>
                <w:highlight w:val="none"/>
              </w:rPr>
            </w:pPr>
            <w:r>
              <w:rPr>
                <w:rFonts w:hint="eastAsia" w:ascii="宋体" w:hAnsi="宋体" w:cs="宋体"/>
                <w:bCs/>
                <w:color w:val="auto"/>
                <w:szCs w:val="21"/>
                <w:highlight w:val="none"/>
              </w:rPr>
              <w:t>m³</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5.96</w:t>
            </w:r>
          </w:p>
        </w:tc>
        <w:tc>
          <w:tcPr>
            <w:tcW w:w="16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color w:val="auto"/>
                <w:kern w:val="0"/>
                <w:szCs w:val="21"/>
                <w:highlight w:val="none"/>
              </w:rPr>
              <w:t>华美、赢胜，神州或同档次及以上品牌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20</w:t>
            </w:r>
            <w:r>
              <w:rPr>
                <w:rFonts w:ascii="宋体" w:hAnsi="宋体" w:cs="宋体"/>
                <w:color w:val="auto"/>
                <w:kern w:val="0"/>
                <w:sz w:val="22"/>
                <w:szCs w:val="22"/>
                <w:highlight w:val="none"/>
                <w:lang w:bidi="ar"/>
              </w:rPr>
              <w:t>4</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管道保温 （铜管保温）</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1.带铝箔柔性发泡橡塑保温 30mm厚</w:t>
            </w:r>
          </w:p>
          <w:p>
            <w:pPr>
              <w:jc w:val="left"/>
              <w:rPr>
                <w:rFonts w:ascii="宋体" w:hAnsi="宋体" w:cs="宋体"/>
                <w:bCs/>
                <w:color w:val="auto"/>
                <w:szCs w:val="21"/>
                <w:highlight w:val="none"/>
              </w:rPr>
            </w:pPr>
            <w:r>
              <w:rPr>
                <w:rFonts w:hint="eastAsia" w:ascii="宋体" w:hAnsi="宋体" w:cs="宋体"/>
                <w:bCs/>
                <w:color w:val="auto"/>
                <w:szCs w:val="21"/>
                <w:highlight w:val="none"/>
              </w:rPr>
              <w:t>2.防火等级：难燃B1级</w:t>
            </w:r>
          </w:p>
          <w:p>
            <w:pPr>
              <w:jc w:val="left"/>
              <w:rPr>
                <w:rFonts w:ascii="宋体" w:hAnsi="宋体" w:cs="宋体"/>
                <w:bCs/>
                <w:color w:val="auto"/>
                <w:szCs w:val="21"/>
                <w:highlight w:val="none"/>
              </w:rPr>
            </w:pPr>
            <w:r>
              <w:rPr>
                <w:rFonts w:hint="eastAsia" w:ascii="宋体" w:hAnsi="宋体" w:cs="宋体"/>
                <w:bCs/>
                <w:color w:val="auto"/>
                <w:szCs w:val="21"/>
                <w:highlight w:val="none"/>
              </w:rPr>
              <w:t>3.导热系数：λ≤0.033W/（m·K）</w:t>
            </w:r>
          </w:p>
        </w:tc>
        <w:tc>
          <w:tcPr>
            <w:tcW w:w="5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Cs w:val="21"/>
                <w:highlight w:val="none"/>
              </w:rPr>
            </w:pPr>
            <w:r>
              <w:rPr>
                <w:rFonts w:hint="eastAsia" w:ascii="宋体" w:hAnsi="宋体" w:cs="宋体"/>
                <w:bCs/>
                <w:color w:val="auto"/>
                <w:szCs w:val="21"/>
                <w:highlight w:val="none"/>
              </w:rPr>
              <w:t>m³</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6.18</w:t>
            </w:r>
          </w:p>
        </w:tc>
        <w:tc>
          <w:tcPr>
            <w:tcW w:w="16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color w:val="auto"/>
                <w:kern w:val="0"/>
                <w:szCs w:val="21"/>
                <w:highlight w:val="none"/>
              </w:rPr>
              <w:t>华美、赢胜，神州或同档次及以上品牌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20</w:t>
            </w:r>
            <w:r>
              <w:rPr>
                <w:rFonts w:ascii="宋体" w:hAnsi="宋体" w:cs="宋体"/>
                <w:color w:val="auto"/>
                <w:kern w:val="0"/>
                <w:sz w:val="22"/>
                <w:szCs w:val="22"/>
                <w:highlight w:val="none"/>
                <w:lang w:bidi="ar"/>
              </w:rPr>
              <w:t>5</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管道保温 （水管保温）</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1.带铝箔柔性发泡橡塑保温 32mm厚</w:t>
            </w:r>
          </w:p>
          <w:p>
            <w:pPr>
              <w:jc w:val="left"/>
              <w:rPr>
                <w:rFonts w:ascii="宋体" w:hAnsi="宋体" w:cs="宋体"/>
                <w:bCs/>
                <w:color w:val="auto"/>
                <w:szCs w:val="21"/>
                <w:highlight w:val="none"/>
              </w:rPr>
            </w:pPr>
            <w:r>
              <w:rPr>
                <w:rFonts w:hint="eastAsia" w:ascii="宋体" w:hAnsi="宋体" w:cs="宋体"/>
                <w:bCs/>
                <w:color w:val="auto"/>
                <w:szCs w:val="21"/>
                <w:highlight w:val="none"/>
              </w:rPr>
              <w:t>2.防火等级：难燃B1级</w:t>
            </w:r>
          </w:p>
          <w:p>
            <w:pPr>
              <w:jc w:val="left"/>
              <w:rPr>
                <w:rFonts w:ascii="宋体" w:hAnsi="宋体" w:cs="宋体"/>
                <w:bCs/>
                <w:color w:val="auto"/>
                <w:szCs w:val="21"/>
                <w:highlight w:val="none"/>
              </w:rPr>
            </w:pPr>
            <w:r>
              <w:rPr>
                <w:rFonts w:hint="eastAsia" w:ascii="宋体" w:hAnsi="宋体" w:cs="宋体"/>
                <w:bCs/>
                <w:color w:val="auto"/>
                <w:szCs w:val="21"/>
                <w:highlight w:val="none"/>
              </w:rPr>
              <w:t>3.导热系数：λ≤0.032W/（m·K）（0℃），λ≤0.037W/（m·K）（40℃）</w:t>
            </w:r>
          </w:p>
        </w:tc>
        <w:tc>
          <w:tcPr>
            <w:tcW w:w="5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Cs w:val="21"/>
                <w:highlight w:val="none"/>
              </w:rPr>
            </w:pPr>
            <w:r>
              <w:rPr>
                <w:rFonts w:hint="eastAsia" w:ascii="宋体" w:hAnsi="宋体" w:cs="宋体"/>
                <w:bCs/>
                <w:color w:val="auto"/>
                <w:szCs w:val="21"/>
                <w:highlight w:val="none"/>
              </w:rPr>
              <w:t>m³</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5.51</w:t>
            </w:r>
          </w:p>
        </w:tc>
        <w:tc>
          <w:tcPr>
            <w:tcW w:w="16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color w:val="auto"/>
                <w:kern w:val="0"/>
                <w:szCs w:val="21"/>
                <w:highlight w:val="none"/>
              </w:rPr>
              <w:t>华美、赢胜，神州或同档次及以上品牌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20</w:t>
            </w:r>
            <w:r>
              <w:rPr>
                <w:rFonts w:ascii="宋体" w:hAnsi="宋体" w:cs="宋体"/>
                <w:color w:val="auto"/>
                <w:kern w:val="0"/>
                <w:sz w:val="22"/>
                <w:szCs w:val="22"/>
                <w:highlight w:val="none"/>
                <w:lang w:bidi="ar"/>
              </w:rPr>
              <w:t>6</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管道保温（水管保温）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1.带铝箔柔性发泡橡塑保温 36mm厚</w:t>
            </w:r>
          </w:p>
          <w:p>
            <w:pPr>
              <w:jc w:val="left"/>
              <w:rPr>
                <w:rFonts w:ascii="宋体" w:hAnsi="宋体" w:cs="宋体"/>
                <w:bCs/>
                <w:color w:val="auto"/>
                <w:szCs w:val="21"/>
                <w:highlight w:val="none"/>
              </w:rPr>
            </w:pPr>
            <w:r>
              <w:rPr>
                <w:rFonts w:hint="eastAsia" w:ascii="宋体" w:hAnsi="宋体" w:cs="宋体"/>
                <w:bCs/>
                <w:color w:val="auto"/>
                <w:szCs w:val="21"/>
                <w:highlight w:val="none"/>
              </w:rPr>
              <w:t>2.防火等级：难燃B1级</w:t>
            </w:r>
          </w:p>
          <w:p>
            <w:pPr>
              <w:jc w:val="left"/>
              <w:rPr>
                <w:rFonts w:ascii="宋体" w:hAnsi="宋体" w:cs="宋体"/>
                <w:bCs/>
                <w:color w:val="auto"/>
                <w:szCs w:val="21"/>
                <w:highlight w:val="none"/>
              </w:rPr>
            </w:pPr>
            <w:r>
              <w:rPr>
                <w:rFonts w:hint="eastAsia" w:ascii="宋体" w:hAnsi="宋体" w:cs="宋体"/>
                <w:bCs/>
                <w:color w:val="auto"/>
                <w:szCs w:val="21"/>
                <w:highlight w:val="none"/>
              </w:rPr>
              <w:t>3.导热系数：λ≤0.032W/（m·K）（0℃），λ≤0.037W/（m·K）（40℃）</w:t>
            </w:r>
          </w:p>
        </w:tc>
        <w:tc>
          <w:tcPr>
            <w:tcW w:w="5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Cs w:val="21"/>
                <w:highlight w:val="none"/>
              </w:rPr>
            </w:pPr>
            <w:r>
              <w:rPr>
                <w:rFonts w:hint="eastAsia" w:ascii="宋体" w:hAnsi="宋体" w:cs="宋体"/>
                <w:bCs/>
                <w:color w:val="auto"/>
                <w:szCs w:val="21"/>
                <w:highlight w:val="none"/>
              </w:rPr>
              <w:t>m³</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 xml:space="preserve">21.78 </w:t>
            </w:r>
          </w:p>
        </w:tc>
        <w:tc>
          <w:tcPr>
            <w:tcW w:w="16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color w:val="auto"/>
                <w:kern w:val="0"/>
                <w:szCs w:val="21"/>
                <w:highlight w:val="none"/>
              </w:rPr>
              <w:t>华美、赢胜，神州或同档次及以上品牌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20</w:t>
            </w:r>
            <w:r>
              <w:rPr>
                <w:rFonts w:ascii="宋体" w:hAnsi="宋体" w:cs="宋体"/>
                <w:color w:val="auto"/>
                <w:kern w:val="0"/>
                <w:sz w:val="22"/>
                <w:szCs w:val="22"/>
                <w:highlight w:val="none"/>
                <w:lang w:bidi="ar"/>
              </w:rPr>
              <w:t>7</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管道绝热（水管保温）</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1.带铝箔柔性发泡橡塑保温 50mm厚</w:t>
            </w:r>
          </w:p>
          <w:p>
            <w:pPr>
              <w:jc w:val="left"/>
              <w:rPr>
                <w:rFonts w:ascii="宋体" w:hAnsi="宋体" w:cs="宋体"/>
                <w:bCs/>
                <w:color w:val="auto"/>
                <w:szCs w:val="21"/>
                <w:highlight w:val="none"/>
              </w:rPr>
            </w:pPr>
            <w:r>
              <w:rPr>
                <w:rFonts w:hint="eastAsia" w:ascii="宋体" w:hAnsi="宋体" w:cs="宋体"/>
                <w:bCs/>
                <w:color w:val="auto"/>
                <w:szCs w:val="21"/>
                <w:highlight w:val="none"/>
              </w:rPr>
              <w:t>2.防火等级：难燃B1级</w:t>
            </w:r>
          </w:p>
          <w:p>
            <w:pPr>
              <w:jc w:val="left"/>
              <w:rPr>
                <w:rFonts w:ascii="宋体" w:hAnsi="宋体" w:cs="宋体"/>
                <w:bCs/>
                <w:color w:val="auto"/>
                <w:szCs w:val="21"/>
                <w:highlight w:val="none"/>
              </w:rPr>
            </w:pPr>
            <w:r>
              <w:rPr>
                <w:rFonts w:hint="eastAsia" w:ascii="宋体" w:hAnsi="宋体" w:cs="宋体"/>
                <w:bCs/>
                <w:color w:val="auto"/>
                <w:szCs w:val="21"/>
                <w:highlight w:val="none"/>
              </w:rPr>
              <w:t>3.导热系数：λ≤0.032W/（m·K）（0℃），λ≤0.037W/（m·K）（40℃）</w:t>
            </w:r>
          </w:p>
        </w:tc>
        <w:tc>
          <w:tcPr>
            <w:tcW w:w="5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Cs w:val="21"/>
                <w:highlight w:val="none"/>
              </w:rPr>
            </w:pPr>
            <w:r>
              <w:rPr>
                <w:rFonts w:hint="eastAsia" w:ascii="宋体" w:hAnsi="宋体" w:cs="宋体"/>
                <w:bCs/>
                <w:color w:val="auto"/>
                <w:szCs w:val="21"/>
                <w:highlight w:val="none"/>
              </w:rPr>
              <w:t>m³</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4.74</w:t>
            </w:r>
          </w:p>
        </w:tc>
        <w:tc>
          <w:tcPr>
            <w:tcW w:w="16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color w:val="auto"/>
                <w:kern w:val="0"/>
                <w:szCs w:val="21"/>
                <w:highlight w:val="none"/>
              </w:rPr>
              <w:t>华美、赢胜，神州或同档次及以上品牌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8"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20</w:t>
            </w:r>
            <w:r>
              <w:rPr>
                <w:rFonts w:ascii="宋体" w:hAnsi="宋体" w:cs="宋体"/>
                <w:color w:val="auto"/>
                <w:kern w:val="0"/>
                <w:sz w:val="22"/>
                <w:szCs w:val="22"/>
                <w:highlight w:val="none"/>
                <w:lang w:bidi="ar"/>
              </w:rPr>
              <w:t>8</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冷凝管管保温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1.柔性发泡橡塑保温 15mm厚</w:t>
            </w:r>
          </w:p>
          <w:p>
            <w:pPr>
              <w:jc w:val="left"/>
              <w:rPr>
                <w:rFonts w:ascii="宋体" w:hAnsi="宋体" w:cs="宋体"/>
                <w:bCs/>
                <w:color w:val="auto"/>
                <w:szCs w:val="21"/>
                <w:highlight w:val="none"/>
              </w:rPr>
            </w:pPr>
            <w:r>
              <w:rPr>
                <w:rFonts w:hint="eastAsia" w:ascii="宋体" w:hAnsi="宋体" w:cs="宋体"/>
                <w:bCs/>
                <w:color w:val="auto"/>
                <w:szCs w:val="21"/>
                <w:highlight w:val="none"/>
              </w:rPr>
              <w:t>2.防火等级：难燃B1级</w:t>
            </w:r>
          </w:p>
          <w:p>
            <w:pPr>
              <w:jc w:val="left"/>
              <w:rPr>
                <w:rFonts w:ascii="宋体" w:hAnsi="宋体" w:cs="宋体"/>
                <w:bCs/>
                <w:snapToGrid w:val="0"/>
                <w:color w:val="auto"/>
                <w:szCs w:val="21"/>
                <w:highlight w:val="none"/>
              </w:rPr>
            </w:pPr>
            <w:r>
              <w:rPr>
                <w:rFonts w:hint="eastAsia" w:ascii="宋体" w:hAnsi="宋体" w:cs="宋体"/>
                <w:bCs/>
                <w:color w:val="auto"/>
                <w:szCs w:val="21"/>
                <w:highlight w:val="none"/>
              </w:rPr>
              <w:t>3.导热系数：λ≤0.032W/（m·K）（0℃），λ≤0.037W/（m·K）（40℃）</w:t>
            </w:r>
          </w:p>
        </w:tc>
        <w:tc>
          <w:tcPr>
            <w:tcW w:w="5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Cs w:val="21"/>
                <w:highlight w:val="none"/>
              </w:rPr>
            </w:pPr>
            <w:r>
              <w:rPr>
                <w:rFonts w:hint="eastAsia" w:ascii="宋体" w:hAnsi="宋体" w:cs="宋体"/>
                <w:bCs/>
                <w:color w:val="auto"/>
                <w:szCs w:val="21"/>
                <w:highlight w:val="none"/>
              </w:rPr>
              <w:t>m³</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5.7</w:t>
            </w:r>
          </w:p>
        </w:tc>
        <w:tc>
          <w:tcPr>
            <w:tcW w:w="16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color w:val="auto"/>
                <w:kern w:val="0"/>
                <w:szCs w:val="21"/>
                <w:highlight w:val="none"/>
              </w:rPr>
              <w:t>华美、赢胜，神州或同档次及以上品牌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20</w:t>
            </w:r>
            <w:r>
              <w:rPr>
                <w:rFonts w:ascii="宋体" w:hAnsi="宋体" w:cs="宋体"/>
                <w:color w:val="auto"/>
                <w:kern w:val="0"/>
                <w:sz w:val="22"/>
                <w:szCs w:val="22"/>
                <w:highlight w:val="none"/>
                <w:lang w:bidi="ar"/>
              </w:rPr>
              <w:t>9</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铝合金薄板保护层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snapToGrid w:val="0"/>
                <w:color w:val="auto"/>
                <w:szCs w:val="21"/>
                <w:highlight w:val="none"/>
              </w:rPr>
            </w:pPr>
            <w:r>
              <w:rPr>
                <w:rFonts w:hint="eastAsia" w:ascii="宋体" w:hAnsi="宋体" w:cs="宋体"/>
                <w:bCs/>
                <w:color w:val="auto"/>
                <w:szCs w:val="21"/>
                <w:highlight w:val="none"/>
              </w:rPr>
              <w:t>室外管道外包0.6mm厚的铝合金薄板保护层</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560.77</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平果海铂克 ，河南祥晟，河北神龙或同档次及以上品牌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w:t>
            </w:r>
            <w:r>
              <w:rPr>
                <w:rFonts w:ascii="宋体" w:hAnsi="宋体" w:cs="宋体"/>
                <w:color w:val="auto"/>
                <w:kern w:val="0"/>
                <w:sz w:val="22"/>
                <w:szCs w:val="22"/>
                <w:highlight w:val="none"/>
                <w:lang w:bidi="ar"/>
              </w:rPr>
              <w:t>10</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 xml:space="preserve">自动排气阀 </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DN20</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瓦特斯、埃美柯、远大或同档次及以上品牌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w:t>
            </w:r>
            <w:r>
              <w:rPr>
                <w:rFonts w:ascii="宋体" w:hAnsi="宋体" w:cs="宋体"/>
                <w:color w:val="auto"/>
                <w:kern w:val="0"/>
                <w:sz w:val="22"/>
                <w:szCs w:val="22"/>
                <w:highlight w:val="none"/>
                <w:lang w:bidi="ar"/>
              </w:rPr>
              <w:t>11</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波纹补偿器</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DN200</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1.连接方式：焊接法兰连接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瓦特斯、埃美柯、远大或同档次及以上品牌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w:t>
            </w:r>
            <w:r>
              <w:rPr>
                <w:rFonts w:ascii="宋体" w:hAnsi="宋体" w:cs="宋体"/>
                <w:color w:val="auto"/>
                <w:kern w:val="0"/>
                <w:sz w:val="22"/>
                <w:szCs w:val="22"/>
                <w:highlight w:val="none"/>
                <w:lang w:bidi="ar"/>
              </w:rPr>
              <w:t>12</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电动二通阀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DN100</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1.连接方式：焊接法兰连接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4</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瓦特斯、海林、远大或同档次及以上品牌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21</w:t>
            </w:r>
            <w:r>
              <w:rPr>
                <w:rFonts w:ascii="宋体" w:hAnsi="宋体" w:cs="宋体"/>
                <w:color w:val="auto"/>
                <w:kern w:val="0"/>
                <w:sz w:val="22"/>
                <w:szCs w:val="22"/>
                <w:highlight w:val="none"/>
                <w:lang w:bidi="ar"/>
              </w:rPr>
              <w:t>3</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电动二通阀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DN50</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9</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瓦特斯、海林、远大或同档次及以上品牌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21</w:t>
            </w:r>
            <w:r>
              <w:rPr>
                <w:rFonts w:ascii="宋体" w:hAnsi="宋体" w:cs="宋体"/>
                <w:color w:val="auto"/>
                <w:kern w:val="0"/>
                <w:sz w:val="22"/>
                <w:szCs w:val="22"/>
                <w:highlight w:val="none"/>
                <w:lang w:bidi="ar"/>
              </w:rPr>
              <w:t>4</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电动二通阀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DN25</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p>
            <w:pPr>
              <w:jc w:val="left"/>
              <w:rPr>
                <w:rFonts w:ascii="宋体" w:hAnsi="宋体" w:cs="宋体"/>
                <w:bCs/>
                <w:color w:val="auto"/>
                <w:szCs w:val="21"/>
                <w:highlight w:val="none"/>
              </w:rPr>
            </w:pP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101</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瓦特斯、海林、远大或同档次及以上品牌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21</w:t>
            </w:r>
            <w:r>
              <w:rPr>
                <w:rFonts w:ascii="宋体" w:hAnsi="宋体" w:cs="宋体"/>
                <w:color w:val="auto"/>
                <w:kern w:val="0"/>
                <w:sz w:val="22"/>
                <w:szCs w:val="22"/>
                <w:highlight w:val="none"/>
                <w:lang w:bidi="ar"/>
              </w:rPr>
              <w:t>5</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蝶阀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DN100</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1.连接方式：焊接法兰连接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p>
            <w:pPr>
              <w:jc w:val="left"/>
              <w:rPr>
                <w:rFonts w:ascii="宋体" w:hAnsi="宋体" w:cs="宋体"/>
                <w:bCs/>
                <w:color w:val="auto"/>
                <w:szCs w:val="21"/>
                <w:highlight w:val="none"/>
              </w:rPr>
            </w:pPr>
            <w:r>
              <w:rPr>
                <w:rFonts w:hint="eastAsia" w:ascii="宋体" w:hAnsi="宋体" w:cs="宋体"/>
                <w:bCs/>
                <w:color w:val="auto"/>
                <w:szCs w:val="21"/>
                <w:highlight w:val="none"/>
              </w:rPr>
              <w:t>3.铜杆</w:t>
            </w:r>
          </w:p>
          <w:p>
            <w:pPr>
              <w:jc w:val="left"/>
              <w:rPr>
                <w:rFonts w:ascii="宋体" w:hAnsi="宋体" w:cs="宋体"/>
                <w:bCs/>
                <w:color w:val="auto"/>
                <w:szCs w:val="21"/>
                <w:highlight w:val="none"/>
              </w:rPr>
            </w:pPr>
            <w:r>
              <w:rPr>
                <w:rFonts w:hint="eastAsia" w:ascii="宋体" w:hAnsi="宋体" w:cs="宋体"/>
                <w:bCs/>
                <w:color w:val="auto"/>
                <w:szCs w:val="21"/>
                <w:highlight w:val="none"/>
              </w:rPr>
              <w:t>4.驱动方式:涡轮软密封蝶阀</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8</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瓦特斯、海林、远大或同档次及以上品牌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21</w:t>
            </w:r>
            <w:r>
              <w:rPr>
                <w:rFonts w:ascii="宋体" w:hAnsi="宋体" w:cs="宋体"/>
                <w:color w:val="auto"/>
                <w:kern w:val="0"/>
                <w:sz w:val="22"/>
                <w:szCs w:val="22"/>
                <w:highlight w:val="none"/>
                <w:lang w:bidi="ar"/>
              </w:rPr>
              <w:t>6</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蝶阀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DN65</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p>
            <w:pPr>
              <w:jc w:val="left"/>
              <w:rPr>
                <w:rFonts w:ascii="宋体" w:hAnsi="宋体" w:cs="宋体"/>
                <w:bCs/>
                <w:color w:val="auto"/>
                <w:szCs w:val="21"/>
                <w:highlight w:val="none"/>
              </w:rPr>
            </w:pPr>
            <w:r>
              <w:rPr>
                <w:rFonts w:hint="eastAsia" w:ascii="宋体" w:hAnsi="宋体" w:cs="宋体"/>
                <w:bCs/>
                <w:color w:val="auto"/>
                <w:szCs w:val="21"/>
                <w:highlight w:val="none"/>
              </w:rPr>
              <w:t>3.铜杆</w:t>
            </w:r>
          </w:p>
          <w:p>
            <w:pPr>
              <w:jc w:val="left"/>
              <w:rPr>
                <w:rFonts w:ascii="宋体" w:hAnsi="宋体" w:cs="宋体"/>
                <w:bCs/>
                <w:color w:val="auto"/>
                <w:szCs w:val="21"/>
                <w:highlight w:val="none"/>
              </w:rPr>
            </w:pPr>
            <w:r>
              <w:rPr>
                <w:rFonts w:hint="eastAsia" w:ascii="宋体" w:hAnsi="宋体" w:cs="宋体"/>
                <w:bCs/>
                <w:color w:val="auto"/>
                <w:szCs w:val="21"/>
                <w:highlight w:val="none"/>
              </w:rPr>
              <w:t>4.驱动方式:涡轮软密封蝶阀</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瓦特斯、海林、远大或同档次及以上品牌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21</w:t>
            </w:r>
            <w:r>
              <w:rPr>
                <w:rFonts w:ascii="宋体" w:hAnsi="宋体" w:cs="宋体"/>
                <w:color w:val="auto"/>
                <w:kern w:val="0"/>
                <w:sz w:val="22"/>
                <w:szCs w:val="22"/>
                <w:highlight w:val="none"/>
                <w:lang w:bidi="ar"/>
              </w:rPr>
              <w:t>7</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蝶阀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DN50</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p>
            <w:pPr>
              <w:jc w:val="left"/>
              <w:rPr>
                <w:rFonts w:ascii="宋体" w:hAnsi="宋体" w:cs="宋体"/>
                <w:bCs/>
                <w:color w:val="auto"/>
                <w:szCs w:val="21"/>
                <w:highlight w:val="none"/>
              </w:rPr>
            </w:pPr>
            <w:r>
              <w:rPr>
                <w:rFonts w:hint="eastAsia" w:ascii="宋体" w:hAnsi="宋体" w:cs="宋体"/>
                <w:bCs/>
                <w:color w:val="auto"/>
                <w:szCs w:val="21"/>
                <w:highlight w:val="none"/>
              </w:rPr>
              <w:t>3.铜杆</w:t>
            </w:r>
          </w:p>
          <w:p>
            <w:pPr>
              <w:jc w:val="left"/>
              <w:rPr>
                <w:rFonts w:ascii="宋体" w:hAnsi="宋体" w:cs="宋体"/>
                <w:bCs/>
                <w:color w:val="auto"/>
                <w:szCs w:val="21"/>
                <w:highlight w:val="none"/>
              </w:rPr>
            </w:pPr>
            <w:r>
              <w:rPr>
                <w:rFonts w:hint="eastAsia" w:ascii="宋体" w:hAnsi="宋体" w:cs="宋体"/>
                <w:bCs/>
                <w:color w:val="auto"/>
                <w:szCs w:val="21"/>
                <w:highlight w:val="none"/>
              </w:rPr>
              <w:t>4.驱动方式:涡轮软密封蝶阀</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18</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瓦特斯、海林、远大或同档次及以上品牌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21</w:t>
            </w:r>
            <w:r>
              <w:rPr>
                <w:rFonts w:ascii="宋体" w:hAnsi="宋体" w:cs="宋体"/>
                <w:color w:val="auto"/>
                <w:kern w:val="0"/>
                <w:sz w:val="22"/>
                <w:szCs w:val="22"/>
                <w:highlight w:val="none"/>
                <w:lang w:bidi="ar"/>
              </w:rPr>
              <w:t>8</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闸阀</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DN25</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3.全铜</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202</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瓦特斯、海林、远大或同档次及以上品牌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21</w:t>
            </w:r>
            <w:r>
              <w:rPr>
                <w:rFonts w:ascii="宋体" w:hAnsi="宋体" w:cs="宋体"/>
                <w:color w:val="auto"/>
                <w:kern w:val="0"/>
                <w:sz w:val="22"/>
                <w:szCs w:val="22"/>
                <w:highlight w:val="none"/>
                <w:lang w:bidi="ar"/>
              </w:rPr>
              <w:t>9</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Y型过滤器</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DN50</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9</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瓦特斯、埃美柯、远大或同档次及以上品牌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w:t>
            </w:r>
            <w:r>
              <w:rPr>
                <w:rFonts w:ascii="宋体" w:hAnsi="宋体" w:cs="宋体"/>
                <w:color w:val="auto"/>
                <w:kern w:val="0"/>
                <w:sz w:val="22"/>
                <w:szCs w:val="22"/>
                <w:highlight w:val="none"/>
                <w:lang w:bidi="ar"/>
              </w:rPr>
              <w:t>20</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Y型过滤器</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DN25</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101</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瓦特斯、埃美柯、远大或同档次及以上品牌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w:t>
            </w:r>
            <w:r>
              <w:rPr>
                <w:rFonts w:ascii="宋体" w:hAnsi="宋体" w:cs="宋体"/>
                <w:color w:val="auto"/>
                <w:kern w:val="0"/>
                <w:sz w:val="22"/>
                <w:szCs w:val="22"/>
                <w:highlight w:val="none"/>
                <w:lang w:bidi="ar"/>
              </w:rPr>
              <w:t>21</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可曲挠橡胶接头</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DN50</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18</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瓦特斯、九峰、远大或同档次及以上品牌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22</w:t>
            </w:r>
            <w:r>
              <w:rPr>
                <w:rFonts w:ascii="宋体" w:hAnsi="宋体" w:cs="宋体"/>
                <w:color w:val="auto"/>
                <w:kern w:val="0"/>
                <w:sz w:val="22"/>
                <w:szCs w:val="22"/>
                <w:highlight w:val="none"/>
                <w:lang w:bidi="ar"/>
              </w:rPr>
              <w:t>2</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金属软管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DN25</w:t>
            </w:r>
          </w:p>
          <w:p>
            <w:pPr>
              <w:jc w:val="left"/>
              <w:rPr>
                <w:rFonts w:ascii="宋体" w:hAnsi="宋体" w:cs="宋体"/>
                <w:bCs/>
                <w:color w:val="auto"/>
                <w:szCs w:val="21"/>
                <w:highlight w:val="none"/>
              </w:rPr>
            </w:pPr>
            <w:r>
              <w:rPr>
                <w:rFonts w:hint="eastAsia" w:ascii="宋体" w:hAnsi="宋体" w:cs="宋体"/>
                <w:bCs/>
                <w:color w:val="auto"/>
                <w:szCs w:val="21"/>
                <w:highlight w:val="none"/>
              </w:rPr>
              <w:t>1.连接方式：螺纹连接</w:t>
            </w:r>
          </w:p>
          <w:p>
            <w:pPr>
              <w:jc w:val="left"/>
              <w:rPr>
                <w:rFonts w:ascii="宋体" w:hAnsi="宋体" w:cs="宋体"/>
                <w:bCs/>
                <w:color w:val="auto"/>
                <w:szCs w:val="21"/>
                <w:highlight w:val="none"/>
              </w:rPr>
            </w:pPr>
            <w:r>
              <w:rPr>
                <w:rFonts w:hint="eastAsia" w:ascii="宋体" w:hAnsi="宋体" w:cs="宋体"/>
                <w:bCs/>
                <w:color w:val="auto"/>
                <w:szCs w:val="21"/>
                <w:highlight w:val="none"/>
              </w:rPr>
              <w:t>2.额定压力：1.0MPa</w:t>
            </w:r>
          </w:p>
          <w:p>
            <w:pPr>
              <w:jc w:val="left"/>
              <w:rPr>
                <w:rFonts w:ascii="宋体" w:hAnsi="宋体" w:cs="宋体"/>
                <w:bCs/>
                <w:color w:val="auto"/>
                <w:szCs w:val="21"/>
                <w:highlight w:val="none"/>
              </w:rPr>
            </w:pPr>
            <w:r>
              <w:rPr>
                <w:rFonts w:hint="eastAsia" w:ascii="宋体" w:hAnsi="宋体" w:cs="宋体"/>
                <w:bCs/>
                <w:color w:val="auto"/>
                <w:szCs w:val="21"/>
                <w:highlight w:val="none"/>
              </w:rPr>
              <w:t>3.材质：不锈钢</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202</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埃美柯、瓦特斯、远大或同档次及以上品牌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22</w:t>
            </w:r>
            <w:r>
              <w:rPr>
                <w:rFonts w:ascii="宋体" w:hAnsi="宋体" w:cs="宋体"/>
                <w:color w:val="auto"/>
                <w:kern w:val="0"/>
                <w:sz w:val="22"/>
                <w:szCs w:val="22"/>
                <w:highlight w:val="none"/>
                <w:lang w:bidi="ar"/>
              </w:rPr>
              <w:t>3</w:t>
            </w:r>
          </w:p>
        </w:tc>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napToGrid w:val="0"/>
                <w:color w:val="auto"/>
                <w:szCs w:val="21"/>
                <w:highlight w:val="none"/>
              </w:rPr>
            </w:pPr>
            <w:r>
              <w:rPr>
                <w:rFonts w:hint="eastAsia" w:ascii="宋体" w:hAnsi="宋体" w:cs="宋体"/>
                <w:bCs/>
                <w:color w:val="auto"/>
                <w:szCs w:val="21"/>
                <w:highlight w:val="none"/>
              </w:rPr>
              <w:t>压力仪表</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auto"/>
                <w:szCs w:val="21"/>
                <w:highlight w:val="none"/>
              </w:rPr>
            </w:pPr>
            <w:r>
              <w:rPr>
                <w:rFonts w:hint="eastAsia" w:ascii="宋体" w:hAnsi="宋体" w:cs="宋体"/>
                <w:bCs/>
                <w:color w:val="auto"/>
                <w:szCs w:val="21"/>
                <w:highlight w:val="none"/>
              </w:rPr>
              <w:t>1、工作压力：</w:t>
            </w:r>
            <w:r>
              <w:rPr>
                <w:rFonts w:hint="eastAsia" w:ascii="宋体" w:hAnsi="宋体" w:cs="宋体"/>
                <w:color w:val="auto"/>
                <w:szCs w:val="21"/>
                <w:highlight w:val="none"/>
              </w:rPr>
              <w:t>0～1.0MPA</w:t>
            </w:r>
          </w:p>
          <w:p>
            <w:pPr>
              <w:jc w:val="left"/>
              <w:rPr>
                <w:rFonts w:ascii="宋体" w:hAnsi="宋体" w:cs="宋体"/>
                <w:bCs/>
                <w:color w:val="auto"/>
                <w:szCs w:val="21"/>
                <w:highlight w:val="none"/>
              </w:rPr>
            </w:pPr>
            <w:r>
              <w:rPr>
                <w:rFonts w:hint="eastAsia" w:ascii="宋体" w:hAnsi="宋体" w:cs="宋体"/>
                <w:bCs/>
                <w:color w:val="auto"/>
                <w:szCs w:val="21"/>
                <w:highlight w:val="none"/>
              </w:rPr>
              <w:t>2、安装位置：安装于水系统新风处理机组供回水管上</w:t>
            </w:r>
          </w:p>
          <w:p>
            <w:pPr>
              <w:jc w:val="left"/>
              <w:rPr>
                <w:rFonts w:ascii="宋体" w:hAnsi="宋体" w:cs="宋体"/>
                <w:bCs/>
                <w:snapToGrid w:val="0"/>
                <w:color w:val="auto"/>
                <w:szCs w:val="21"/>
                <w:highlight w:val="none"/>
              </w:rPr>
            </w:pPr>
            <w:r>
              <w:rPr>
                <w:rFonts w:hint="eastAsia" w:ascii="宋体" w:hAnsi="宋体" w:cs="宋体"/>
                <w:bCs/>
                <w:color w:val="auto"/>
                <w:szCs w:val="21"/>
                <w:highlight w:val="none"/>
              </w:rPr>
              <w:t>3、基本用途：检测新风处理机组进出水口的压力</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台</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27</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红旗、新华热工、衡水红星或同档次及以上品牌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bCs/>
                <w:color w:val="auto"/>
                <w:kern w:val="0"/>
                <w:szCs w:val="21"/>
                <w:highlight w:val="none"/>
              </w:rPr>
            </w:pPr>
            <w:r>
              <w:rPr>
                <w:rFonts w:hint="eastAsia" w:ascii="宋体" w:hAnsi="宋体" w:cs="宋体"/>
                <w:color w:val="auto"/>
                <w:kern w:val="0"/>
                <w:sz w:val="22"/>
                <w:szCs w:val="22"/>
                <w:highlight w:val="none"/>
                <w:lang w:bidi="ar"/>
              </w:rPr>
              <w:t>22</w:t>
            </w:r>
            <w:r>
              <w:rPr>
                <w:rFonts w:ascii="宋体" w:hAnsi="宋体" w:cs="宋体"/>
                <w:color w:val="auto"/>
                <w:kern w:val="0"/>
                <w:sz w:val="22"/>
                <w:szCs w:val="22"/>
                <w:highlight w:val="none"/>
                <w:lang w:bidi="ar"/>
              </w:rPr>
              <w:t>4</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温度计</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snapToGrid w:val="0"/>
                <w:color w:val="auto"/>
                <w:szCs w:val="21"/>
                <w:highlight w:val="none"/>
              </w:rPr>
            </w:pPr>
            <w:r>
              <w:rPr>
                <w:rFonts w:hint="eastAsia" w:ascii="宋体" w:hAnsi="宋体" w:cs="宋体"/>
                <w:bCs/>
                <w:snapToGrid w:val="0"/>
                <w:color w:val="auto"/>
                <w:szCs w:val="21"/>
                <w:highlight w:val="none"/>
              </w:rPr>
              <w:t>1.双金属温度计</w:t>
            </w:r>
          </w:p>
          <w:p>
            <w:pPr>
              <w:jc w:val="left"/>
              <w:rPr>
                <w:rFonts w:ascii="宋体" w:hAnsi="宋体" w:cs="宋体"/>
                <w:bCs/>
                <w:snapToGrid w:val="0"/>
                <w:color w:val="auto"/>
                <w:szCs w:val="21"/>
                <w:highlight w:val="none"/>
              </w:rPr>
            </w:pPr>
            <w:r>
              <w:rPr>
                <w:rFonts w:hint="eastAsia" w:ascii="宋体" w:hAnsi="宋体" w:cs="宋体"/>
                <w:bCs/>
                <w:snapToGrid w:val="0"/>
                <w:color w:val="auto"/>
                <w:szCs w:val="21"/>
                <w:highlight w:val="none"/>
              </w:rPr>
              <w:t>2.套管式安装</w:t>
            </w:r>
          </w:p>
          <w:p>
            <w:pPr>
              <w:jc w:val="left"/>
              <w:rPr>
                <w:rFonts w:ascii="宋体" w:hAnsi="宋体" w:cs="宋体"/>
                <w:bCs/>
                <w:snapToGrid w:val="0"/>
                <w:color w:val="auto"/>
                <w:szCs w:val="21"/>
                <w:highlight w:val="none"/>
              </w:rPr>
            </w:pPr>
            <w:r>
              <w:rPr>
                <w:rFonts w:hint="eastAsia" w:ascii="宋体" w:hAnsi="宋体" w:cs="宋体"/>
                <w:bCs/>
                <w:snapToGrid w:val="0"/>
                <w:color w:val="auto"/>
                <w:szCs w:val="21"/>
                <w:highlight w:val="none"/>
              </w:rPr>
              <w:t>3.</w:t>
            </w:r>
            <w:r>
              <w:rPr>
                <w:rFonts w:hint="eastAsia" w:ascii="宋体" w:hAnsi="宋体" w:cs="宋体"/>
                <w:color w:val="auto"/>
                <w:szCs w:val="21"/>
                <w:highlight w:val="none"/>
              </w:rPr>
              <w:t>水介质温度：0～50℃</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支</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color w:val="auto"/>
                <w:kern w:val="0"/>
                <w:szCs w:val="21"/>
                <w:highlight w:val="none"/>
              </w:rPr>
              <w:t>18</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红旗、新华热工、衡水红星或同档次及以上品牌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22</w:t>
            </w:r>
            <w:r>
              <w:rPr>
                <w:rFonts w:ascii="宋体" w:hAnsi="宋体" w:cs="宋体"/>
                <w:color w:val="auto"/>
                <w:kern w:val="0"/>
                <w:sz w:val="22"/>
                <w:szCs w:val="22"/>
                <w:highlight w:val="none"/>
                <w:lang w:bidi="ar"/>
              </w:rPr>
              <w:t>5</w:t>
            </w:r>
          </w:p>
        </w:tc>
        <w:tc>
          <w:tcPr>
            <w:tcW w:w="9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color w:val="auto"/>
                <w:kern w:val="0"/>
                <w:szCs w:val="21"/>
                <w:highlight w:val="none"/>
              </w:rPr>
              <w:t>管道支架</w:t>
            </w:r>
          </w:p>
        </w:tc>
        <w:tc>
          <w:tcPr>
            <w:tcW w:w="482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Cs/>
                <w:snapToGrid w:val="0"/>
                <w:color w:val="auto"/>
                <w:szCs w:val="21"/>
                <w:highlight w:val="none"/>
              </w:rPr>
            </w:pPr>
            <w:r>
              <w:rPr>
                <w:rFonts w:hint="eastAsia" w:ascii="宋体" w:hAnsi="宋体" w:cs="宋体"/>
                <w:bCs/>
                <w:snapToGrid w:val="0"/>
                <w:color w:val="auto"/>
                <w:szCs w:val="21"/>
                <w:highlight w:val="none"/>
              </w:rPr>
              <w:t>水管管道支架安装参见国标图集03S402《室内管道支架及吊架》和05R417-1《室内热力管道支吊架》</w:t>
            </w:r>
          </w:p>
          <w:p>
            <w:pPr>
              <w:jc w:val="left"/>
              <w:rPr>
                <w:rFonts w:ascii="宋体" w:hAnsi="宋体" w:cs="宋体"/>
                <w:bCs/>
                <w:snapToGrid w:val="0"/>
                <w:color w:val="auto"/>
                <w:szCs w:val="21"/>
                <w:highlight w:val="none"/>
              </w:rPr>
            </w:pPr>
            <w:r>
              <w:rPr>
                <w:rFonts w:hint="eastAsia" w:ascii="宋体" w:hAnsi="宋体" w:cs="宋体"/>
                <w:bCs/>
                <w:snapToGrid w:val="0"/>
                <w:color w:val="auto"/>
                <w:szCs w:val="21"/>
                <w:highlight w:val="none"/>
              </w:rPr>
              <w:t>用于本项目所有货物的相关所需支架，由投标人自行根据本项目实际标的数量来制作及安装，支架材质为热镀锌。</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bCs/>
                <w:snapToGrid w:val="0"/>
                <w:color w:val="auto"/>
                <w:szCs w:val="21"/>
                <w:highlight w:val="none"/>
              </w:rPr>
              <w:t>批</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Cs/>
                <w:snapToGrid w:val="0"/>
                <w:color w:val="auto"/>
                <w:szCs w:val="21"/>
                <w:highlight w:val="none"/>
              </w:rPr>
            </w:pPr>
            <w:r>
              <w:rPr>
                <w:rFonts w:hint="eastAsia" w:ascii="宋体" w:hAnsi="宋体" w:cs="宋体"/>
                <w:bCs/>
                <w:snapToGrid w:val="0"/>
                <w:color w:val="auto"/>
                <w:szCs w:val="21"/>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2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b/>
                <w:bCs/>
                <w:color w:val="auto"/>
                <w:szCs w:val="21"/>
                <w:highlight w:val="none"/>
              </w:rPr>
              <w:t>技术说明及要求</w:t>
            </w:r>
          </w:p>
        </w:tc>
        <w:tc>
          <w:tcPr>
            <w:tcW w:w="7891" w:type="dxa"/>
            <w:gridSpan w:val="4"/>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一、多联机组主要性能要求</w:t>
            </w:r>
          </w:p>
          <w:p>
            <w:pPr>
              <w:widowControl/>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1、方案及系统要求</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1.1投标人应在投标文件中提供空调系统室外机散热分析、控制系统图方案。</w:t>
            </w:r>
          </w:p>
          <w:p>
            <w:pPr>
              <w:widowControl/>
              <w:jc w:val="left"/>
              <w:textAlignment w:val="center"/>
              <w:rPr>
                <w:rFonts w:ascii="宋体" w:hAnsi="宋体" w:cs="宋体"/>
                <w:b/>
                <w:bCs/>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1.2</w:t>
            </w:r>
            <w:r>
              <w:rPr>
                <w:rFonts w:hint="eastAsia" w:ascii="宋体" w:hAnsi="宋体" w:cs="宋体"/>
                <w:b/>
                <w:bCs/>
                <w:color w:val="auto"/>
                <w:szCs w:val="21"/>
                <w:highlight w:val="none"/>
              </w:rPr>
              <w:t>为了便于后期统一管理维护，</w:t>
            </w:r>
            <w:r>
              <w:rPr>
                <w:rFonts w:hint="eastAsia" w:ascii="宋体" w:hAnsi="宋体" w:cs="宋体"/>
                <w:b/>
                <w:bCs/>
                <w:color w:val="auto"/>
                <w:kern w:val="0"/>
                <w:szCs w:val="21"/>
                <w:highlight w:val="none"/>
              </w:rPr>
              <w:t>序号90-109项货物及所配的线控器必须为同一品牌。</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 投标产品多联机应为1级能效产品。</w:t>
            </w:r>
          </w:p>
          <w:p>
            <w:pPr>
              <w:widowControl/>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2、多联空调设备技术要求</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▲2.1所有室外机的压缩机均为直流变频涡旋式压缩机。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2.2具备保护措施，包括但不限于断电自动恢复、防雷击、抑制高次谐波及电器噪音、故障自动检测等功能。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▲2.3空调应具有宽广的连续运转环境温度范围：制冷-5～52℃，制热-20～22℃。</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2.4为确保室外机在高温环境下的稳定运转，室外机变频主板冷却应采用液冷恒温技术。投标文件中提供投标产品室外机组43℃温度下的容量衰减图表，具有43℃下无容量衰减。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2.5为减少故障率及后期维修成本，室外机每个模块应采用单台压缩机结构。</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▲2.6室外机集中摆放，为保证散热空间，机外静压应达到50Pa及以上。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▲2.7每台室内机配置有线控制器，且线控器或室内机须具有红外接收功能。</w:t>
            </w:r>
          </w:p>
          <w:p>
            <w:pPr>
              <w:widowControl/>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3、智能化互联网控制系统技术要求</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3.1可通过互联网设备（电脑、手机）对每台室内机进行集中或分散的温度控制、开关机、模式、风量、温度上下限定；具备日程管理功能，定时开关机等。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3.2能对项目的能耗数据显示、打印输出，便于对能耗进行控制。</w:t>
            </w:r>
          </w:p>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二、</w:t>
            </w:r>
            <w:r>
              <w:rPr>
                <w:rFonts w:hint="eastAsia" w:ascii="宋体" w:hAnsi="宋体" w:cs="宋体"/>
                <w:b/>
                <w:bCs/>
                <w:color w:val="auto"/>
                <w:szCs w:val="21"/>
                <w:highlight w:val="none"/>
              </w:rPr>
              <w:t>风冷涡旋式冷(热)水机组性能要求</w:t>
            </w:r>
          </w:p>
          <w:p>
            <w:pPr>
              <w:rPr>
                <w:rFonts w:ascii="宋体" w:hAnsi="宋体" w:cs="宋体"/>
                <w:color w:val="auto"/>
                <w:szCs w:val="21"/>
                <w:highlight w:val="none"/>
              </w:rPr>
            </w:pPr>
            <w:r>
              <w:rPr>
                <w:rFonts w:hint="eastAsia" w:ascii="宋体" w:hAnsi="宋体" w:cs="宋体"/>
                <w:color w:val="auto"/>
                <w:szCs w:val="21"/>
                <w:highlight w:val="none"/>
              </w:rPr>
              <w:t>1、风侧换热器：为保证散热效率应采用V型换热器且散热器外观为不封闭形式，换热器应采用内螺纹铜管和亲水铝箔，并使用独立风系统。</w:t>
            </w:r>
          </w:p>
          <w:p>
            <w:pPr>
              <w:rPr>
                <w:rFonts w:ascii="宋体" w:hAnsi="宋体" w:cs="宋体"/>
                <w:color w:val="auto"/>
                <w:szCs w:val="21"/>
                <w:highlight w:val="none"/>
              </w:rPr>
            </w:pPr>
            <w:r>
              <w:rPr>
                <w:rFonts w:hint="eastAsia" w:ascii="宋体" w:hAnsi="宋体" w:cs="宋体"/>
                <w:color w:val="auto"/>
                <w:szCs w:val="21"/>
                <w:highlight w:val="none"/>
              </w:rPr>
              <w:t>▲2、蒸发器应采用壳管式换热器。</w:t>
            </w:r>
          </w:p>
          <w:p>
            <w:pPr>
              <w:rPr>
                <w:rFonts w:ascii="宋体" w:hAnsi="宋体" w:cs="宋体"/>
                <w:color w:val="auto"/>
                <w:szCs w:val="21"/>
                <w:highlight w:val="none"/>
              </w:rPr>
            </w:pPr>
            <w:r>
              <w:rPr>
                <w:rFonts w:hint="eastAsia" w:ascii="宋体" w:hAnsi="宋体" w:cs="宋体"/>
                <w:color w:val="auto"/>
                <w:szCs w:val="21"/>
                <w:highlight w:val="none"/>
              </w:rPr>
              <w:t>▲3、机组应采用涡旋式压缩机。</w:t>
            </w:r>
          </w:p>
          <w:p>
            <w:pPr>
              <w:rPr>
                <w:rFonts w:ascii="宋体" w:hAnsi="宋体" w:cs="宋体"/>
                <w:color w:val="auto"/>
                <w:szCs w:val="21"/>
                <w:highlight w:val="none"/>
              </w:rPr>
            </w:pPr>
            <w:r>
              <w:rPr>
                <w:rFonts w:hint="eastAsia" w:ascii="宋体" w:hAnsi="宋体" w:cs="宋体"/>
                <w:color w:val="auto"/>
                <w:szCs w:val="21"/>
                <w:highlight w:val="none"/>
              </w:rPr>
              <w:t>4、机组应具备宽广的运行范围：环境温度5℃～48℃温度范围内应能正常制冷，环境温度-10℃～48℃温度范围内应能正常制热。</w:t>
            </w:r>
          </w:p>
          <w:p>
            <w:pPr>
              <w:rPr>
                <w:rFonts w:ascii="宋体" w:hAnsi="宋体" w:cs="宋体"/>
                <w:color w:val="auto"/>
                <w:szCs w:val="21"/>
                <w:highlight w:val="none"/>
              </w:rPr>
            </w:pPr>
            <w:r>
              <w:rPr>
                <w:rFonts w:hint="eastAsia" w:ascii="宋体" w:hAnsi="宋体" w:cs="宋体"/>
                <w:color w:val="auto"/>
                <w:szCs w:val="21"/>
                <w:highlight w:val="none"/>
              </w:rPr>
              <w:t>5、风侧换热器应采用亲水膜铝箔翅片，铜管应为高效内螺纹铜管设计。</w:t>
            </w:r>
          </w:p>
          <w:p>
            <w:pPr>
              <w:rPr>
                <w:rFonts w:ascii="宋体" w:hAnsi="宋体" w:cs="宋体"/>
                <w:color w:val="auto"/>
                <w:szCs w:val="21"/>
                <w:highlight w:val="none"/>
              </w:rPr>
            </w:pPr>
            <w:r>
              <w:rPr>
                <w:rFonts w:hint="eastAsia" w:ascii="宋体" w:hAnsi="宋体" w:cs="宋体"/>
                <w:color w:val="auto"/>
                <w:szCs w:val="21"/>
                <w:highlight w:val="none"/>
              </w:rPr>
              <w:t>6、机组采用微电脑控制系统，液晶显示控制器，具有RS485通讯接口，可通过MODBUS-RTU通讯协议实现多机集中控制。</w:t>
            </w:r>
          </w:p>
          <w:p>
            <w:pPr>
              <w:rPr>
                <w:rFonts w:ascii="宋体" w:hAnsi="宋体" w:cs="宋体"/>
                <w:color w:val="auto"/>
                <w:szCs w:val="21"/>
                <w:highlight w:val="none"/>
              </w:rPr>
            </w:pPr>
            <w:r>
              <w:rPr>
                <w:rFonts w:hint="eastAsia" w:ascii="宋体" w:hAnsi="宋体" w:cs="宋体"/>
                <w:color w:val="auto"/>
                <w:szCs w:val="21"/>
                <w:highlight w:val="none"/>
              </w:rPr>
              <w:t>7、机组应根据负荷变化具备冷热量调节能力；在多机组组合时具备智能能量调节技术；</w:t>
            </w:r>
          </w:p>
          <w:p>
            <w:pPr>
              <w:rPr>
                <w:rFonts w:ascii="宋体" w:hAnsi="宋体" w:cs="宋体"/>
                <w:color w:val="auto"/>
                <w:szCs w:val="21"/>
                <w:highlight w:val="none"/>
              </w:rPr>
            </w:pPr>
            <w:r>
              <w:rPr>
                <w:rFonts w:hint="eastAsia" w:ascii="宋体" w:hAnsi="宋体" w:cs="宋体"/>
                <w:color w:val="auto"/>
                <w:szCs w:val="21"/>
                <w:highlight w:val="none"/>
              </w:rPr>
              <w:t>8、节流装置：应采用480级精准调节电子膨胀阀，可根据系统运行中的负荷需求精确调整开度，实现冷媒的动态分配；</w:t>
            </w:r>
          </w:p>
          <w:p>
            <w:pPr>
              <w:rPr>
                <w:rFonts w:ascii="宋体" w:hAnsi="宋体" w:cs="宋体"/>
                <w:color w:val="auto"/>
                <w:szCs w:val="21"/>
                <w:highlight w:val="none"/>
              </w:rPr>
            </w:pPr>
            <w:r>
              <w:rPr>
                <w:rFonts w:hint="eastAsia" w:ascii="宋体" w:hAnsi="宋体" w:cs="宋体"/>
                <w:color w:val="auto"/>
                <w:szCs w:val="21"/>
                <w:highlight w:val="none"/>
              </w:rPr>
              <w:t>9、机组应采用防尘防水等级达到IP55及以上的风机电机，可应对大风大雨等恶劣天气，确保机组在极端气候下仍能安全可靠运行；</w:t>
            </w:r>
          </w:p>
          <w:p>
            <w:pPr>
              <w:pStyle w:val="2"/>
              <w:ind w:firstLine="0" w:firstLineChars="0"/>
              <w:rPr>
                <w:rFonts w:cs="宋体"/>
                <w:color w:val="auto"/>
                <w:kern w:val="0"/>
                <w:szCs w:val="21"/>
                <w:highlight w:val="none"/>
              </w:rPr>
            </w:pPr>
            <w:r>
              <w:rPr>
                <w:rFonts w:hint="eastAsia" w:cs="宋体"/>
                <w:color w:val="auto"/>
                <w:sz w:val="21"/>
                <w:szCs w:val="21"/>
                <w:highlight w:val="none"/>
              </w:rPr>
              <w:t>三、本项目属于交钥匙项目，投标人应充分了解项目的实际情况，根据项目实际需要配备足够的线缆、铜管以及其他耗材以保障项目的顺利交付使用。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9411"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szCs w:val="21"/>
                <w:highlight w:val="none"/>
              </w:rPr>
            </w:pPr>
            <w:r>
              <w:rPr>
                <w:rFonts w:hint="eastAsia" w:ascii="宋体" w:hAnsi="宋体" w:cs="宋体"/>
                <w:b/>
                <w:bCs/>
                <w:color w:val="auto"/>
                <w:szCs w:val="21"/>
                <w:highlight w:val="none"/>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jc w:val="center"/>
        </w:trPr>
        <w:tc>
          <w:tcPr>
            <w:tcW w:w="1520" w:type="dxa"/>
            <w:gridSpan w:val="2"/>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cs="宋体"/>
                <w:b/>
                <w:color w:val="auto"/>
                <w:szCs w:val="21"/>
                <w:highlight w:val="none"/>
              </w:rPr>
            </w:pPr>
            <w:r>
              <w:rPr>
                <w:rFonts w:hint="eastAsia" w:ascii="宋体" w:hAnsi="宋体" w:cs="宋体"/>
                <w:b/>
                <w:color w:val="auto"/>
                <w:szCs w:val="21"/>
                <w:highlight w:val="none"/>
              </w:rPr>
              <w:t>合同签订时间</w:t>
            </w:r>
          </w:p>
        </w:tc>
        <w:tc>
          <w:tcPr>
            <w:tcW w:w="7891" w:type="dxa"/>
            <w:gridSpan w:val="4"/>
            <w:tcBorders>
              <w:top w:val="single" w:color="auto" w:sz="4" w:space="0"/>
              <w:left w:val="single" w:color="auto" w:sz="4" w:space="0"/>
              <w:bottom w:val="single" w:color="auto" w:sz="4" w:space="0"/>
              <w:right w:val="single" w:color="auto" w:sz="4" w:space="0"/>
            </w:tcBorders>
            <w:noWrap/>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 xml:space="preserve">自中标通知书发出之日起 </w:t>
            </w:r>
            <w:r>
              <w:rPr>
                <w:rFonts w:hint="eastAsia" w:ascii="宋体" w:hAnsi="宋体" w:cs="宋体"/>
                <w:color w:val="auto"/>
                <w:szCs w:val="21"/>
                <w:highlight w:val="none"/>
                <w:u w:val="single"/>
              </w:rPr>
              <w:t>25</w:t>
            </w:r>
            <w:r>
              <w:rPr>
                <w:rFonts w:hint="eastAsia" w:ascii="宋体" w:hAnsi="宋体" w:cs="宋体"/>
                <w:color w:val="auto"/>
                <w:szCs w:val="21"/>
                <w:highlight w:val="none"/>
              </w:rPr>
              <w:t>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jc w:val="center"/>
        </w:trPr>
        <w:tc>
          <w:tcPr>
            <w:tcW w:w="152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交付时间</w:t>
            </w:r>
          </w:p>
        </w:tc>
        <w:tc>
          <w:tcPr>
            <w:tcW w:w="7891"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bCs/>
                <w:color w:val="auto"/>
                <w:szCs w:val="21"/>
                <w:highlight w:val="none"/>
              </w:rPr>
            </w:pPr>
            <w:r>
              <w:rPr>
                <w:rFonts w:hint="eastAsia" w:ascii="宋体" w:hAnsi="宋体" w:cs="宋体"/>
                <w:color w:val="auto"/>
                <w:szCs w:val="21"/>
                <w:highlight w:val="none"/>
              </w:rPr>
              <w:t>交付使用时间：2024年9月1日之前第85至122项设备到货，之后根据采购人的民族艺术教育教学综合楼主体工程进度要求，按图纸要求进行完成安装调试。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2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安装地点</w:t>
            </w:r>
          </w:p>
        </w:tc>
        <w:tc>
          <w:tcPr>
            <w:tcW w:w="7891"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广西南宁市采购人指定地点。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2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交付相关的要求</w:t>
            </w:r>
          </w:p>
        </w:tc>
        <w:tc>
          <w:tcPr>
            <w:tcW w:w="7891" w:type="dxa"/>
            <w:gridSpan w:val="4"/>
            <w:tcBorders>
              <w:top w:val="single" w:color="auto" w:sz="4" w:space="0"/>
              <w:left w:val="single" w:color="auto" w:sz="4" w:space="0"/>
              <w:bottom w:val="single" w:color="auto" w:sz="4" w:space="0"/>
              <w:right w:val="single" w:color="auto" w:sz="4" w:space="0"/>
            </w:tcBorders>
            <w:noWrap/>
            <w:vAlign w:val="center"/>
          </w:tcPr>
          <w:p>
            <w:pPr>
              <w:numPr>
                <w:ilvl w:val="0"/>
                <w:numId w:val="3"/>
              </w:numPr>
              <w:spacing w:line="360" w:lineRule="auto"/>
              <w:rPr>
                <w:rFonts w:ascii="宋体" w:hAnsi="宋体" w:cs="宋体"/>
                <w:bCs/>
                <w:color w:val="auto"/>
                <w:szCs w:val="21"/>
                <w:highlight w:val="none"/>
              </w:rPr>
            </w:pPr>
            <w:r>
              <w:rPr>
                <w:rFonts w:hint="eastAsia" w:ascii="宋体" w:hAnsi="宋体" w:cs="宋体"/>
                <w:bCs/>
                <w:color w:val="auto"/>
                <w:szCs w:val="21"/>
                <w:highlight w:val="none"/>
              </w:rPr>
              <w:t>中标合同签订后5个工作日内，中标人提交供货计划供采购人确认。</w:t>
            </w:r>
          </w:p>
          <w:p>
            <w:pPr>
              <w:numPr>
                <w:ilvl w:val="0"/>
                <w:numId w:val="3"/>
              </w:numPr>
              <w:spacing w:line="360" w:lineRule="auto"/>
              <w:rPr>
                <w:rFonts w:ascii="宋体" w:hAnsi="宋体" w:cs="宋体"/>
                <w:bCs/>
                <w:color w:val="auto"/>
                <w:szCs w:val="21"/>
                <w:highlight w:val="none"/>
              </w:rPr>
            </w:pPr>
            <w:r>
              <w:rPr>
                <w:rFonts w:hint="eastAsia" w:ascii="宋体" w:hAnsi="宋体" w:cs="宋体"/>
                <w:bCs/>
                <w:color w:val="auto"/>
                <w:szCs w:val="21"/>
                <w:highlight w:val="none"/>
              </w:rPr>
              <w:t>主要设备应在2024年9月1日之前生产完成，运输到采购人指定地点或中标人在南宁的仓储场地（正式安装前的仓储场地由中标人提供并承担相关费用）。</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竣工验收并交付使用之前，货物的灭失、损毁、盗窃、失火等所有风险均由中标人自行负责，期间中标人可根据情况派专人看管，采购人不对相关货物在竣工验收并交付使用之前的相关风险负责。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2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质量保证期</w:t>
            </w:r>
          </w:p>
        </w:tc>
        <w:tc>
          <w:tcPr>
            <w:tcW w:w="7891" w:type="dxa"/>
            <w:gridSpan w:val="4"/>
            <w:tcBorders>
              <w:top w:val="single" w:color="auto" w:sz="4" w:space="0"/>
              <w:left w:val="single" w:color="auto" w:sz="4" w:space="0"/>
              <w:bottom w:val="single" w:color="auto" w:sz="4" w:space="0"/>
              <w:right w:val="single" w:color="auto" w:sz="4" w:space="0"/>
            </w:tcBorders>
            <w:noWrap/>
            <w:vAlign w:val="center"/>
          </w:tcPr>
          <w:p>
            <w:pPr>
              <w:spacing w:line="336" w:lineRule="auto"/>
              <w:rPr>
                <w:rFonts w:ascii="宋体" w:hAnsi="宋体" w:cs="宋体"/>
                <w:bCs/>
                <w:color w:val="auto"/>
                <w:szCs w:val="21"/>
                <w:highlight w:val="none"/>
              </w:rPr>
            </w:pPr>
            <w:r>
              <w:rPr>
                <w:rFonts w:hint="eastAsia" w:ascii="宋体" w:hAnsi="宋体" w:cs="宋体"/>
                <w:bCs/>
                <w:color w:val="auto"/>
                <w:szCs w:val="21"/>
                <w:highlight w:val="none"/>
              </w:rPr>
              <w:t>设备质量保证期2年，自验收合格正式交付使用之日起计算。按国家有关产品“三包”规定执行“三包”，质保期内负责维修、更换配件（费用包含在合同价内）。质量保证期满后，以优惠价格提供维修和备件更换，且免除一切手续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2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售后服务要求</w:t>
            </w:r>
          </w:p>
        </w:tc>
        <w:tc>
          <w:tcPr>
            <w:tcW w:w="7891" w:type="dxa"/>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负责送货上门，安装并调试，为采购人培训技术操作人员。所需工具、器材由中标人自理；提供全套说明书并包括简易的中文操作说明和注意事项。售后服务费用包含在合同价内，采购人不再另行支付。</w:t>
            </w:r>
          </w:p>
          <w:p>
            <w:pPr>
              <w:widowControl/>
              <w:jc w:val="left"/>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设</w:t>
            </w:r>
            <w:r>
              <w:rPr>
                <w:rFonts w:hint="eastAsia" w:ascii="宋体" w:hAnsi="宋体" w:cs="宋体"/>
                <w:bCs/>
                <w:color w:val="auto"/>
                <w:szCs w:val="21"/>
                <w:highlight w:val="none"/>
              </w:rPr>
              <w:t>备出现故障必须在2小时内做出响应，8小时内安排人员到现场，24小时内解决问题并排除故障，重大问题或其它无法迅速解决的问题应在一周内解决。</w:t>
            </w:r>
          </w:p>
          <w:p>
            <w:pPr>
              <w:pStyle w:val="18"/>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3.每半年定期回访。</w:t>
            </w:r>
          </w:p>
          <w:p>
            <w:pPr>
              <w:pStyle w:val="18"/>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4.中标人应配备与其承担技术服务工作的相关项目实施人员，实施人员的数量和能力应满足技术服务工作任务的需要，指定一名项目经理。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20" w:type="dxa"/>
            <w:gridSpan w:val="2"/>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cs="宋体"/>
                <w:b/>
                <w:color w:val="auto"/>
                <w:szCs w:val="21"/>
                <w:highlight w:val="none"/>
              </w:rPr>
            </w:pPr>
            <w:r>
              <w:rPr>
                <w:rFonts w:hint="eastAsia" w:ascii="宋体" w:hAnsi="宋体" w:cs="宋体"/>
                <w:b/>
                <w:color w:val="auto"/>
                <w:szCs w:val="21"/>
                <w:highlight w:val="none"/>
              </w:rPr>
              <w:t>包装和运输要求</w:t>
            </w:r>
          </w:p>
        </w:tc>
        <w:tc>
          <w:tcPr>
            <w:tcW w:w="7891"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产品包装和运输均由中标人负责。</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包装：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货物的二次搬运产生的相关费用由中标人承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货物的运输方式：不限。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20"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付款方式</w:t>
            </w:r>
          </w:p>
        </w:tc>
        <w:tc>
          <w:tcPr>
            <w:tcW w:w="7891" w:type="dxa"/>
            <w:gridSpan w:val="4"/>
            <w:tcBorders>
              <w:top w:val="single" w:color="auto" w:sz="4" w:space="0"/>
              <w:left w:val="single" w:color="auto" w:sz="4" w:space="0"/>
              <w:bottom w:val="single" w:color="auto" w:sz="4" w:space="0"/>
              <w:right w:val="single" w:color="auto" w:sz="4" w:space="0"/>
            </w:tcBorders>
            <w:noWrap/>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1、签订合同之日起10个工作日内，中标人开具合同总价款的50%的等额价值保函（保函有效期应在2024年12月30日后）给采购人后，采购人支付合同总价款的30%作为预付款。</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2、中标人</w:t>
            </w:r>
            <w:r>
              <w:rPr>
                <w:rFonts w:hint="eastAsia" w:ascii="宋体" w:hAnsi="宋体" w:cs="宋体"/>
                <w:bCs/>
                <w:color w:val="auto"/>
                <w:szCs w:val="21"/>
                <w:highlight w:val="none"/>
              </w:rPr>
              <w:t>提交供货计划（中标人为经销商时，应提供主要设备采购合同）并经采购人确认后，</w:t>
            </w:r>
            <w:r>
              <w:rPr>
                <w:rFonts w:hint="eastAsia" w:ascii="宋体" w:hAnsi="宋体" w:cs="宋体"/>
                <w:color w:val="auto"/>
                <w:szCs w:val="21"/>
                <w:highlight w:val="none"/>
              </w:rPr>
              <w:t>采购人支付至合同总价款的50%。</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3、主要设备（多联内机、多联外机</w:t>
            </w:r>
            <w:r>
              <w:rPr>
                <w:rFonts w:hint="eastAsia"/>
                <w:color w:val="auto"/>
                <w:highlight w:val="none"/>
              </w:rPr>
              <w:t>、风冷涡旋式冷(热)水机组、</w:t>
            </w:r>
            <w:r>
              <w:rPr>
                <w:rFonts w:hint="eastAsia" w:ascii="宋体" w:hAnsi="宋体" w:cs="宋体"/>
                <w:color w:val="auto"/>
                <w:szCs w:val="21"/>
                <w:highlight w:val="none"/>
              </w:rPr>
              <w:t>风机盘管、新风机）到达采购人指定地点（如届时采购人未能提供放货地点的，中标人应在南宁的合规仓储场地存放并供采购人查验及进行必要封存，费用由中标人承担），采购人支付至合同总价款的85%。</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4、竣工验收合格后，采购人收到中标人的书面请款报告及等额增值税专用发票之日起10个工作日内办理支付手续支付至合同总价款的100%。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520"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报价要求</w:t>
            </w:r>
          </w:p>
        </w:tc>
        <w:tc>
          <w:tcPr>
            <w:tcW w:w="7891" w:type="dxa"/>
            <w:gridSpan w:val="4"/>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cs="宋体"/>
                <w:color w:val="auto"/>
                <w:szCs w:val="21"/>
                <w:highlight w:val="none"/>
              </w:rPr>
            </w:pPr>
            <w:r>
              <w:rPr>
                <w:rFonts w:hint="eastAsia" w:ascii="宋体" w:hAnsi="宋体" w:cs="宋体"/>
                <w:color w:val="auto"/>
                <w:szCs w:val="21"/>
                <w:highlight w:val="none"/>
              </w:rPr>
              <w:t>合同价款包括投标货物（包括备品备件、专用工具等）的价格（包括已在中国境内的进口货物完税后的仓库交货价、展室交货价或者货架交货价），投标货物运输（含保险、二次搬运等）、安装（如有）、调试、检验、技术服务、培训、质保服务和招标文件要求提供的所有伴随服务、工程等费用和税费。对于本文件中未列明，而乙方认为必需的费用也需列入总报价。在合同实施时，甲方将不予支付乙方没有列入的项目费用，并认为此项目的费用已包括在投标总报价中。</w:t>
            </w:r>
          </w:p>
          <w:p>
            <w:pPr>
              <w:spacing w:line="320" w:lineRule="exact"/>
              <w:rPr>
                <w:rFonts w:ascii="宋体" w:hAnsi="宋体" w:cs="宋体"/>
                <w:color w:val="auto"/>
                <w:szCs w:val="21"/>
                <w:highlight w:val="none"/>
              </w:rPr>
            </w:pPr>
            <w:r>
              <w:rPr>
                <w:rFonts w:hint="eastAsia" w:ascii="宋体" w:hAnsi="宋体" w:cs="宋体"/>
                <w:b/>
                <w:bCs/>
                <w:color w:val="auto"/>
                <w:szCs w:val="21"/>
                <w:highlight w:val="none"/>
              </w:rPr>
              <w:t>本项目为固定总价交钥匙项目，供应商应考虑本项目产生的所有相关费用（</w:t>
            </w:r>
            <w:r>
              <w:rPr>
                <w:rFonts w:hint="eastAsia" w:ascii="宋体" w:hAnsi="宋体" w:cs="宋体"/>
                <w:color w:val="auto"/>
                <w:szCs w:val="21"/>
                <w:highlight w:val="none"/>
              </w:rPr>
              <w:t>包括但不限于需要增加的线缆、铜管以及其他耗材等</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20" w:type="dxa"/>
            <w:gridSpan w:val="2"/>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cs="宋体"/>
                <w:b/>
                <w:color w:val="auto"/>
                <w:szCs w:val="21"/>
                <w:highlight w:val="none"/>
              </w:rPr>
            </w:pPr>
            <w:r>
              <w:rPr>
                <w:rFonts w:hint="eastAsia" w:ascii="宋体" w:hAnsi="宋体" w:cs="宋体"/>
                <w:b/>
                <w:color w:val="auto"/>
                <w:szCs w:val="21"/>
                <w:highlight w:val="none"/>
              </w:rPr>
              <w:t>验收标准</w:t>
            </w:r>
          </w:p>
        </w:tc>
        <w:tc>
          <w:tcPr>
            <w:tcW w:w="7891"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1.货物到达指定场地后，中标人应在采购人单位人员在场情况下当面开箱，共同清点、检查外观，作出开箱记录，双方签字确认。</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2.中标人应保证货物到达采购人所在地完好无损，如有缺漏、损坏，由中标人负责调换、补齐或赔偿。</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3.投标人所供货物必须是全新整套按国家或国际有关质量标准制造，且能满足本项目技术指标。</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4.验收方法：安装后保证整设备安全、协调运行，验收应符合《通风与空调工程施工质量验收规范》GB 50243-2016国家标准。</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5.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6.中标人应提供完备的技术资料、装箱单和合格证等，并派遣专业技术人员进行现场安装调试。验收合格条件如下：</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6.1设备技术参数与采购合同一致，性能指标达到规定的标准。</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6.2货物技术资料、装箱单、合格证等资料齐全。</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6.3在系统试运行期间所出现的问题得到解决，并运行正常。</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6.4在规定时间内完成交货并验收，并经采购人确认。</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7.产品在安装调试并试运行符合要求后，才作为最终验收。</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8.中标人提供的货物未达到招标文件规定要求，且对采购人造成损失的，由中标人承担一切责任，并赔偿所造成的损失。</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9.产品包装材料归采购人所有。</w:t>
            </w:r>
          </w:p>
          <w:p>
            <w:pPr>
              <w:pStyle w:val="18"/>
              <w:rPr>
                <w:rFonts w:ascii="宋体" w:hAnsi="宋体" w:cs="宋体"/>
                <w:color w:val="auto"/>
                <w:kern w:val="2"/>
                <w:sz w:val="21"/>
                <w:szCs w:val="21"/>
                <w:highlight w:val="none"/>
              </w:rPr>
            </w:pPr>
            <w:r>
              <w:rPr>
                <w:rFonts w:hint="eastAsia" w:ascii="宋体" w:hAnsi="宋体" w:cs="宋体"/>
                <w:color w:val="auto"/>
                <w:kern w:val="2"/>
                <w:sz w:val="21"/>
                <w:szCs w:val="21"/>
                <w:highlight w:val="none"/>
              </w:rPr>
              <w:t>10.其他未尽事宜应严格按照《关于印发广西壮族自治区政府采购项目履约验收管理办法的通知》[桂财采〔2015〕22号]以及《财政部关于进一步加强政府采购需求和履约验收管理的指导意见》[财库〔2016〕205号]规定执行。</w:t>
            </w:r>
          </w:p>
          <w:p>
            <w:pPr>
              <w:pStyle w:val="18"/>
              <w:rPr>
                <w:rFonts w:ascii="宋体" w:hAnsi="宋体" w:cs="宋体"/>
                <w:color w:val="auto"/>
                <w:kern w:val="2"/>
                <w:sz w:val="21"/>
                <w:szCs w:val="21"/>
                <w:highlight w:val="none"/>
              </w:rPr>
            </w:pPr>
            <w:r>
              <w:rPr>
                <w:rFonts w:hint="eastAsia" w:ascii="宋体" w:hAnsi="宋体" w:cs="宋体"/>
                <w:color w:val="auto"/>
                <w:kern w:val="2"/>
                <w:sz w:val="21"/>
                <w:szCs w:val="21"/>
                <w:highlight w:val="none"/>
              </w:rPr>
              <w:t>11.验收过程中所产生的一切费用均由中标人承担。报价时应考虑相关费用。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9411" w:type="dxa"/>
            <w:gridSpan w:val="6"/>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szCs w:val="21"/>
                <w:highlight w:val="none"/>
              </w:rPr>
            </w:pPr>
            <w:r>
              <w:rPr>
                <w:rFonts w:hint="eastAsia" w:ascii="宋体" w:hAnsi="宋体" w:cs="宋体"/>
                <w:bCs/>
                <w:color w:val="auto"/>
                <w:szCs w:val="21"/>
                <w:highlight w:val="none"/>
              </w:rPr>
              <w:t>二、与实现项目目标相关的其他要求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9411" w:type="dxa"/>
            <w:gridSpan w:val="6"/>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highlight w:val="none"/>
              </w:rPr>
            </w:pPr>
            <w:r>
              <w:rPr>
                <w:rFonts w:hint="eastAsia" w:ascii="宋体" w:hAnsi="宋体" w:cs="宋体"/>
                <w:color w:val="auto"/>
                <w:szCs w:val="21"/>
                <w:highlight w:val="none"/>
              </w:rPr>
              <w:t>（一）投标人的履约能力要求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2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质量管理、企业信用要求</w:t>
            </w:r>
          </w:p>
        </w:tc>
        <w:tc>
          <w:tcPr>
            <w:tcW w:w="7891" w:type="dxa"/>
            <w:gridSpan w:val="4"/>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auto"/>
                <w:szCs w:val="21"/>
                <w:highlight w:val="none"/>
              </w:rPr>
            </w:pPr>
            <w:r>
              <w:rPr>
                <w:rFonts w:hint="eastAsia" w:ascii="宋体" w:hAnsi="宋体" w:cs="宋体"/>
                <w:color w:val="auto"/>
                <w:szCs w:val="21"/>
                <w:highlight w:val="none"/>
              </w:rPr>
              <w:t>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2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能力或者业绩</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要  求</w:t>
            </w:r>
          </w:p>
        </w:tc>
        <w:tc>
          <w:tcPr>
            <w:tcW w:w="7891" w:type="dxa"/>
            <w:gridSpan w:val="4"/>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auto"/>
                <w:szCs w:val="21"/>
                <w:highlight w:val="none"/>
              </w:rPr>
            </w:pPr>
            <w:r>
              <w:rPr>
                <w:rFonts w:hint="eastAsia" w:ascii="宋体" w:hAnsi="宋体" w:cs="宋体"/>
                <w:color w:val="auto"/>
                <w:szCs w:val="21"/>
                <w:highlight w:val="none"/>
              </w:rPr>
              <w:t>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9411" w:type="dxa"/>
            <w:gridSpan w:val="6"/>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（二）政策性加分条件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2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条件</w:t>
            </w:r>
          </w:p>
        </w:tc>
        <w:tc>
          <w:tcPr>
            <w:tcW w:w="7891" w:type="dxa"/>
            <w:gridSpan w:val="4"/>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9411" w:type="dxa"/>
            <w:gridSpan w:val="6"/>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（三）进口产品说明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2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进口产品说明</w:t>
            </w:r>
          </w:p>
        </w:tc>
        <w:tc>
          <w:tcPr>
            <w:tcW w:w="7891" w:type="dxa"/>
            <w:gridSpan w:val="4"/>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表的第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cs="宋体"/>
                <w:b/>
                <w:color w:val="auto"/>
                <w:szCs w:val="21"/>
                <w:highlight w:val="none"/>
              </w:rPr>
              <w:t>否则作无效标处理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√本表的货物不接受进口产品（即通过中国海关报关验放进入中国境内且产自关境外的产品）参与投标，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如有进口产品参与投标的作无效标处理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9411"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2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现场考察</w:t>
            </w:r>
          </w:p>
        </w:tc>
        <w:tc>
          <w:tcPr>
            <w:tcW w:w="7891" w:type="dxa"/>
            <w:gridSpan w:val="4"/>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投标人应到采购人现场进行现场考察，充分了解项目情况，否则导致投标失误由投标人自行承担。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考察交通工具、费用由各投标人自行承担。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投标人授权代理人持针对本项目出具的法定代表人授权委托书或单位介绍信原件、代理人身份证原件前往。</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各投标人可于考察前一个工作日提前联系，如过后联系不上后果自负。</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考察时间：2024年</w:t>
            </w:r>
            <w:r>
              <w:rPr>
                <w:rFonts w:ascii="宋体" w:hAnsi="宋体" w:cs="宋体"/>
                <w:color w:val="auto"/>
                <w:szCs w:val="21"/>
                <w:highlight w:val="none"/>
              </w:rPr>
              <w:t>7</w:t>
            </w:r>
            <w:r>
              <w:rPr>
                <w:rFonts w:hint="eastAsia" w:ascii="宋体" w:hAnsi="宋体" w:cs="宋体"/>
                <w:color w:val="auto"/>
                <w:szCs w:val="21"/>
                <w:highlight w:val="none"/>
              </w:rPr>
              <w:t>月</w:t>
            </w:r>
            <w:r>
              <w:rPr>
                <w:rFonts w:ascii="宋体" w:hAnsi="宋体" w:cs="宋体"/>
                <w:color w:val="auto"/>
                <w:szCs w:val="21"/>
                <w:highlight w:val="none"/>
              </w:rPr>
              <w:t>31</w:t>
            </w:r>
            <w:r>
              <w:rPr>
                <w:rFonts w:hint="eastAsia" w:ascii="宋体" w:hAnsi="宋体" w:cs="宋体"/>
                <w:color w:val="auto"/>
                <w:szCs w:val="21"/>
                <w:highlight w:val="none"/>
              </w:rPr>
              <w:t>日上午9:00-9:20集中，9:20后由采购人统一安排进行考察；</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集中地点：</w:t>
            </w:r>
            <w:r>
              <w:rPr>
                <w:rFonts w:hint="eastAsia" w:ascii="宋体" w:hAnsi="宋体" w:cs="宋体"/>
                <w:color w:val="auto"/>
                <w:szCs w:val="21"/>
                <w:highlight w:val="none"/>
                <w:u w:val="single"/>
              </w:rPr>
              <w:t>广西艺术学院</w:t>
            </w:r>
            <w:r>
              <w:rPr>
                <w:rFonts w:hint="eastAsia" w:ascii="宋体" w:hAnsi="宋体"/>
                <w:color w:val="auto"/>
                <w:szCs w:val="21"/>
                <w:highlight w:val="none"/>
                <w:u w:val="single"/>
              </w:rPr>
              <w:t>南湖校区 南宁市教育路7号大门口</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联系方式：阳工 17776685765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2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资料要求</w:t>
            </w:r>
          </w:p>
        </w:tc>
        <w:tc>
          <w:tcPr>
            <w:tcW w:w="7891" w:type="dxa"/>
            <w:gridSpan w:val="4"/>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1.中标人在供货时必须提供所投标核心产品生产厂家出具的授权书、供货证明、售后服务承诺复印件（原件备查）。</w:t>
            </w:r>
          </w:p>
          <w:p>
            <w:pPr>
              <w:spacing w:line="410" w:lineRule="exact"/>
              <w:jc w:val="left"/>
              <w:rPr>
                <w:rFonts w:ascii="宋体" w:hAnsi="宋体" w:cs="宋体"/>
                <w:color w:val="auto"/>
                <w:szCs w:val="21"/>
                <w:highlight w:val="none"/>
              </w:rPr>
            </w:pPr>
            <w:r>
              <w:rPr>
                <w:rFonts w:hint="eastAsia" w:ascii="宋体" w:hAnsi="宋体" w:cs="宋体"/>
                <w:color w:val="auto"/>
                <w:szCs w:val="21"/>
                <w:highlight w:val="none"/>
              </w:rPr>
              <w:t>2.投标人可根据评分标准在投标文件中提供</w:t>
            </w:r>
            <w:r>
              <w:rPr>
                <w:rFonts w:hint="eastAsia" w:ascii="宋体" w:hAnsi="宋体" w:cs="宋体"/>
                <w:bCs/>
                <w:color w:val="auto"/>
                <w:szCs w:val="21"/>
                <w:highlight w:val="none"/>
              </w:rPr>
              <w:t>设备选型方案、技术方案、售后服务方案</w:t>
            </w:r>
            <w:r>
              <w:rPr>
                <w:rFonts w:hint="eastAsia" w:ascii="宋体" w:hAnsi="宋体" w:cs="宋体"/>
                <w:color w:val="auto"/>
                <w:szCs w:val="21"/>
                <w:highlight w:val="none"/>
              </w:rPr>
              <w:t>、人员证明、信誉业绩证明。</w:t>
            </w:r>
          </w:p>
        </w:tc>
      </w:tr>
      <w:bookmarkEnd w:id="45"/>
      <w:bookmarkEnd w:id="46"/>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pStyle w:val="18"/>
        <w:rPr>
          <w:rFonts w:ascii="Arial Unicode MS" w:hAnsi="Arial Unicode MS" w:eastAsia="Arial Unicode MS" w:cs="Arial Unicode MS"/>
          <w:color w:val="auto"/>
          <w:sz w:val="32"/>
          <w:szCs w:val="32"/>
          <w:highlight w:val="none"/>
        </w:rPr>
      </w:pPr>
      <w:r>
        <w:rPr>
          <w:rFonts w:hint="eastAsia" w:ascii="黑体" w:hAnsi="黑体" w:eastAsia="黑体" w:cs="黑体"/>
          <w:color w:val="auto"/>
          <w:sz w:val="32"/>
          <w:szCs w:val="32"/>
          <w:highlight w:val="none"/>
        </w:rPr>
        <w:t>附件1：</w:t>
      </w:r>
    </w:p>
    <w:p>
      <w:pPr>
        <w:spacing w:before="7"/>
        <w:rPr>
          <w:rFonts w:ascii="Arial Unicode MS" w:hAnsi="Arial Unicode MS" w:eastAsia="Arial Unicode MS" w:cs="Arial Unicode MS"/>
          <w:color w:val="auto"/>
          <w:sz w:val="17"/>
          <w:szCs w:val="17"/>
          <w:highlight w:val="none"/>
        </w:rPr>
      </w:pPr>
    </w:p>
    <w:p>
      <w:pPr>
        <w:spacing w:line="528" w:lineRule="exact"/>
        <w:ind w:left="1871"/>
        <w:rPr>
          <w:rFonts w:ascii="Arial Unicode MS" w:hAnsi="Arial Unicode MS" w:eastAsia="Arial Unicode MS" w:cs="Arial Unicode MS"/>
          <w:color w:val="auto"/>
          <w:sz w:val="40"/>
          <w:szCs w:val="40"/>
          <w:highlight w:val="none"/>
        </w:rPr>
      </w:pPr>
      <w:r>
        <w:rPr>
          <w:rFonts w:hint="eastAsia" w:ascii="方正小标宋简体" w:hAnsi="方正小标宋简体" w:eastAsia="方正小标宋简体" w:cs="方正小标宋简体"/>
          <w:color w:val="auto"/>
          <w:sz w:val="44"/>
          <w:szCs w:val="44"/>
          <w:highlight w:val="none"/>
        </w:rPr>
        <w:t>节能产品政府采购品目清单</w:t>
      </w:r>
    </w:p>
    <w:tbl>
      <w:tblPr>
        <w:tblStyle w:val="4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22"/>
        <w:gridCol w:w="1496"/>
        <w:gridCol w:w="1481"/>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Calibri" w:hAnsi="Calibri"/>
                <w:color w:val="auto"/>
                <w:szCs w:val="22"/>
                <w:highlight w:val="none"/>
              </w:rPr>
            </w:pPr>
            <w:r>
              <w:rPr>
                <w:rFonts w:hint="eastAsia" w:ascii="宋体" w:hAnsi="宋体" w:cs="宋体"/>
                <w:b/>
                <w:bCs/>
                <w:color w:val="auto"/>
                <w:w w:val="99"/>
                <w:highlight w:val="none"/>
              </w:rPr>
              <w:t>品目序号</w:t>
            </w:r>
          </w:p>
        </w:tc>
        <w:tc>
          <w:tcPr>
            <w:tcW w:w="4399"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Calibri" w:hAnsi="Calibri"/>
                <w:color w:val="auto"/>
                <w:szCs w:val="22"/>
                <w:highlight w:val="none"/>
              </w:rPr>
            </w:pPr>
            <w:r>
              <w:rPr>
                <w:rFonts w:hint="eastAsia" w:ascii="宋体" w:hAnsi="宋体" w:cs="宋体"/>
                <w:b/>
                <w:bCs/>
                <w:color w:val="auto"/>
                <w:w w:val="99"/>
                <w:highlight w:val="none"/>
              </w:rPr>
              <w:t>名称</w:t>
            </w:r>
          </w:p>
        </w:tc>
        <w:tc>
          <w:tcPr>
            <w:tcW w:w="345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Calibri" w:hAnsi="Calibri"/>
                <w:color w:val="auto"/>
                <w:szCs w:val="22"/>
                <w:highlight w:val="none"/>
              </w:rPr>
            </w:pPr>
            <w:r>
              <w:rPr>
                <w:rFonts w:hint="eastAsia" w:ascii="宋体" w:hAnsi="宋体" w:cs="宋体"/>
                <w:b/>
                <w:bCs/>
                <w:color w:val="auto"/>
                <w:w w:val="99"/>
                <w:highlight w:val="none"/>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s="仿宋_GB2312"/>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spacing w:before="93"/>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93"/>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spacing w:before="44"/>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44"/>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spacing w:before="64"/>
              <w:ind w:left="7" w:right="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仿宋_GB2312"/>
                <w:color w:val="auto"/>
                <w:kern w:val="2"/>
                <w:sz w:val="21"/>
                <w:szCs w:val="21"/>
                <w:highlight w:val="none"/>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64"/>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0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Arial"/>
                <w:color w:val="auto"/>
                <w:szCs w:val="21"/>
                <w:highlight w:val="none"/>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A02021001 A3黑白打印机</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A02021002 A3彩色打印机</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A02021003 A4黑白打印机</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A02021004 A4彩色打印机</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A02021005 3D打印机</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A02021006票据打印机</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A02021007条码打印机</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A02021008地址打印机</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A02021099其他打印机</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A02021100输入输出设备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s="宋体"/>
                <w:color w:val="auto"/>
                <w:w w:val="99"/>
                <w:szCs w:val="21"/>
                <w:highlight w:val="none"/>
              </w:rPr>
              <w:t>★</w:t>
            </w:r>
            <w:r>
              <w:rPr>
                <w:rFonts w:hint="eastAsia" w:ascii="宋体" w:hAnsi="宋体"/>
                <w:color w:val="auto"/>
                <w:szCs w:val="21"/>
                <w:highlight w:val="none"/>
              </w:rPr>
              <w:t>A02021104液晶显示器</w:t>
            </w:r>
          </w:p>
        </w:tc>
        <w:tc>
          <w:tcPr>
            <w:tcW w:w="345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olor w:val="auto"/>
                <w:szCs w:val="21"/>
                <w:highlight w:val="none"/>
              </w:rPr>
            </w:pPr>
            <w:r>
              <w:rPr>
                <w:rFonts w:hint="eastAsia" w:ascii="宋体" w:hAnsi="宋体" w:cs="宋体"/>
                <w:color w:val="auto"/>
                <w:spacing w:val="12"/>
                <w:w w:val="99"/>
                <w:szCs w:val="21"/>
                <w:highlight w:val="none"/>
              </w:rPr>
              <w:t>《计算机显示器能效限</w:t>
            </w:r>
            <w:r>
              <w:rPr>
                <w:rFonts w:hint="eastAsia" w:ascii="宋体" w:hAnsi="宋体" w:cs="宋体"/>
                <w:color w:val="auto"/>
                <w:spacing w:val="9"/>
                <w:w w:val="99"/>
                <w:szCs w:val="21"/>
                <w:highlight w:val="none"/>
              </w:rPr>
              <w:t>定</w:t>
            </w:r>
            <w:r>
              <w:rPr>
                <w:rFonts w:hint="eastAsia" w:ascii="宋体" w:hAnsi="宋体" w:cs="宋体"/>
                <w:color w:val="auto"/>
                <w:spacing w:val="12"/>
                <w:w w:val="99"/>
                <w:szCs w:val="21"/>
                <w:highlight w:val="none"/>
              </w:rPr>
              <w:t>值及</w:t>
            </w:r>
            <w:r>
              <w:rPr>
                <w:rFonts w:hint="eastAsia" w:ascii="宋体" w:hAnsi="宋体" w:cs="宋体"/>
                <w:color w:val="auto"/>
                <w:w w:val="99"/>
                <w:szCs w:val="21"/>
                <w:highlight w:val="none"/>
              </w:rPr>
              <w:t>能效等级</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0</w:t>
            </w:r>
            <w:r>
              <w:rPr>
                <w:rFonts w:hint="eastAsia" w:ascii="宋体" w:hAnsi="宋体" w:cs="宋体"/>
                <w:color w:val="auto"/>
                <w:w w:val="99"/>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A02021118扫描仪</w:t>
            </w:r>
          </w:p>
        </w:tc>
        <w:tc>
          <w:tcPr>
            <w:tcW w:w="345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olor w:val="auto"/>
                <w:szCs w:val="21"/>
                <w:highlight w:val="none"/>
              </w:rPr>
            </w:pPr>
            <w:r>
              <w:rPr>
                <w:rFonts w:hint="eastAsia" w:ascii="宋体" w:hAnsi="宋体" w:cs="宋体"/>
                <w:color w:val="auto"/>
                <w:w w:val="99"/>
                <w:szCs w:val="21"/>
                <w:highlight w:val="none"/>
              </w:rPr>
              <w:t>参</w:t>
            </w:r>
            <w:r>
              <w:rPr>
                <w:rFonts w:hint="eastAsia" w:ascii="宋体" w:hAnsi="宋体" w:cs="宋体"/>
                <w:color w:val="auto"/>
                <w:spacing w:val="-29"/>
                <w:w w:val="99"/>
                <w:szCs w:val="21"/>
                <w:highlight w:val="none"/>
              </w:rPr>
              <w:t>照</w:t>
            </w:r>
            <w:r>
              <w:rPr>
                <w:rFonts w:hint="eastAsia" w:ascii="宋体" w:hAnsi="宋体" w:cs="宋体"/>
                <w:color w:val="auto"/>
                <w:w w:val="99"/>
                <w:szCs w:val="21"/>
                <w:highlight w:val="none"/>
              </w:rPr>
              <w:t>《</w:t>
            </w:r>
            <w:r>
              <w:rPr>
                <w:rFonts w:hint="eastAsia" w:ascii="宋体" w:hAnsi="宋体" w:cs="宋体"/>
                <w:color w:val="auto"/>
                <w:spacing w:val="2"/>
                <w:w w:val="99"/>
                <w:szCs w:val="21"/>
                <w:highlight w:val="none"/>
              </w:rPr>
              <w:t>复</w:t>
            </w:r>
            <w:r>
              <w:rPr>
                <w:rFonts w:hint="eastAsia" w:ascii="宋体" w:hAnsi="宋体" w:cs="宋体"/>
                <w:color w:val="auto"/>
                <w:w w:val="99"/>
                <w:szCs w:val="21"/>
                <w:highlight w:val="none"/>
              </w:rPr>
              <w:t>印</w:t>
            </w:r>
            <w:r>
              <w:rPr>
                <w:rFonts w:hint="eastAsia" w:ascii="宋体" w:hAnsi="宋体" w:cs="宋体"/>
                <w:color w:val="auto"/>
                <w:spacing w:val="2"/>
                <w:w w:val="99"/>
                <w:szCs w:val="21"/>
                <w:highlight w:val="none"/>
              </w:rPr>
              <w:t>机</w:t>
            </w:r>
            <w:r>
              <w:rPr>
                <w:rFonts w:hint="eastAsia" w:ascii="宋体" w:hAnsi="宋体" w:cs="宋体"/>
                <w:color w:val="auto"/>
                <w:spacing w:val="-29"/>
                <w:w w:val="99"/>
                <w:szCs w:val="21"/>
                <w:highlight w:val="none"/>
              </w:rPr>
              <w:t>、</w:t>
            </w:r>
            <w:r>
              <w:rPr>
                <w:rFonts w:hint="eastAsia" w:ascii="宋体" w:hAnsi="宋体" w:cs="宋体"/>
                <w:color w:val="auto"/>
                <w:w w:val="99"/>
                <w:szCs w:val="21"/>
                <w:highlight w:val="none"/>
              </w:rPr>
              <w:t>打</w:t>
            </w:r>
            <w:r>
              <w:rPr>
                <w:rFonts w:hint="eastAsia" w:ascii="宋体" w:hAnsi="宋体" w:cs="宋体"/>
                <w:color w:val="auto"/>
                <w:spacing w:val="2"/>
                <w:w w:val="99"/>
                <w:szCs w:val="21"/>
                <w:highlight w:val="none"/>
              </w:rPr>
              <w:t>印</w:t>
            </w:r>
            <w:r>
              <w:rPr>
                <w:rFonts w:hint="eastAsia" w:ascii="宋体" w:hAnsi="宋体" w:cs="宋体"/>
                <w:color w:val="auto"/>
                <w:w w:val="99"/>
                <w:szCs w:val="21"/>
                <w:highlight w:val="none"/>
              </w:rPr>
              <w:t>机和</w:t>
            </w:r>
            <w:r>
              <w:rPr>
                <w:rFonts w:hint="eastAsia" w:ascii="宋体" w:hAnsi="宋体" w:cs="宋体"/>
                <w:color w:val="auto"/>
                <w:spacing w:val="2"/>
                <w:w w:val="99"/>
                <w:szCs w:val="21"/>
                <w:highlight w:val="none"/>
              </w:rPr>
              <w:t>传</w:t>
            </w:r>
            <w:r>
              <w:rPr>
                <w:rFonts w:hint="eastAsia" w:ascii="宋体" w:hAnsi="宋体" w:cs="宋体"/>
                <w:color w:val="auto"/>
                <w:w w:val="99"/>
                <w:szCs w:val="21"/>
                <w:highlight w:val="none"/>
              </w:rPr>
              <w:t>真机能效限定</w:t>
            </w:r>
            <w:r>
              <w:rPr>
                <w:rFonts w:hint="eastAsia" w:ascii="宋体" w:hAnsi="宋体" w:cs="宋体"/>
                <w:color w:val="auto"/>
                <w:spacing w:val="2"/>
                <w:w w:val="99"/>
                <w:szCs w:val="21"/>
                <w:highlight w:val="none"/>
              </w:rPr>
              <w:t>值</w:t>
            </w:r>
            <w:r>
              <w:rPr>
                <w:rFonts w:hint="eastAsia" w:ascii="宋体" w:hAnsi="宋体" w:cs="宋体"/>
                <w:color w:val="auto"/>
                <w:w w:val="99"/>
                <w:szCs w:val="21"/>
                <w:highlight w:val="none"/>
              </w:rPr>
              <w:t>及能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06"/>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2152</w:t>
            </w:r>
            <w:r>
              <w:rPr>
                <w:rFonts w:hint="eastAsia" w:ascii="宋体" w:hAnsi="宋体" w:cs="宋体"/>
                <w:color w:val="auto"/>
                <w:w w:val="99"/>
                <w:szCs w:val="21"/>
                <w:highlight w:val="none"/>
              </w:rPr>
              <w:t>1）</w:t>
            </w:r>
            <w:r>
              <w:rPr>
                <w:rFonts w:hint="eastAsia" w:ascii="宋体" w:hAnsi="宋体" w:cs="宋体"/>
                <w:color w:val="auto"/>
                <w:spacing w:val="2"/>
                <w:w w:val="99"/>
                <w:szCs w:val="21"/>
                <w:highlight w:val="none"/>
              </w:rPr>
              <w:t>中</w:t>
            </w:r>
            <w:r>
              <w:rPr>
                <w:rFonts w:hint="eastAsia" w:ascii="宋体" w:hAnsi="宋体" w:cs="宋体"/>
                <w:color w:val="auto"/>
                <w:spacing w:val="4"/>
                <w:w w:val="99"/>
                <w:szCs w:val="21"/>
                <w:highlight w:val="none"/>
              </w:rPr>
              <w:t>打印速</w:t>
            </w:r>
            <w:r>
              <w:rPr>
                <w:rFonts w:hint="eastAsia" w:ascii="宋体" w:hAnsi="宋体" w:cs="宋体"/>
                <w:color w:val="auto"/>
                <w:spacing w:val="2"/>
                <w:w w:val="99"/>
                <w:szCs w:val="21"/>
                <w:highlight w:val="none"/>
              </w:rPr>
              <w:t>度</w:t>
            </w:r>
            <w:r>
              <w:rPr>
                <w:rFonts w:hint="eastAsia" w:ascii="宋体" w:hAnsi="宋体" w:cs="宋体"/>
                <w:color w:val="auto"/>
                <w:w w:val="99"/>
                <w:szCs w:val="21"/>
                <w:highlight w:val="none"/>
              </w:rPr>
              <w:t>为</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5</w:t>
            </w:r>
            <w:r>
              <w:rPr>
                <w:rFonts w:hint="eastAsia" w:ascii="宋体" w:hAnsi="宋体" w:cs="宋体"/>
                <w:color w:val="auto"/>
                <w:spacing w:val="2"/>
                <w:w w:val="99"/>
                <w:szCs w:val="21"/>
                <w:highlight w:val="none"/>
              </w:rPr>
              <w:t>页</w:t>
            </w:r>
            <w:r>
              <w:rPr>
                <w:rFonts w:hint="eastAsia" w:ascii="宋体" w:hAnsi="宋体" w:cs="宋体"/>
                <w:color w:val="auto"/>
                <w:spacing w:val="5"/>
                <w:w w:val="99"/>
                <w:szCs w:val="21"/>
                <w:highlight w:val="none"/>
              </w:rPr>
              <w:t>/</w:t>
            </w:r>
            <w:r>
              <w:rPr>
                <w:rFonts w:hint="eastAsia" w:ascii="宋体" w:hAnsi="宋体" w:cs="宋体"/>
                <w:color w:val="auto"/>
                <w:spacing w:val="4"/>
                <w:w w:val="99"/>
                <w:szCs w:val="21"/>
                <w:highlight w:val="none"/>
              </w:rPr>
              <w:t>分的</w:t>
            </w:r>
            <w:r>
              <w:rPr>
                <w:rFonts w:hint="eastAsia" w:ascii="宋体" w:hAnsi="宋体" w:cs="宋体"/>
                <w:color w:val="auto"/>
                <w:spacing w:val="2"/>
                <w:w w:val="99"/>
                <w:szCs w:val="21"/>
                <w:highlight w:val="none"/>
              </w:rPr>
              <w:t>针</w:t>
            </w:r>
            <w:r>
              <w:rPr>
                <w:rFonts w:hint="eastAsia" w:ascii="宋体" w:hAnsi="宋体" w:cs="宋体"/>
                <w:color w:val="auto"/>
                <w:spacing w:val="4"/>
                <w:w w:val="99"/>
                <w:szCs w:val="21"/>
                <w:highlight w:val="none"/>
              </w:rPr>
              <w:t>式</w:t>
            </w:r>
            <w:r>
              <w:rPr>
                <w:rFonts w:hint="eastAsia" w:ascii="宋体" w:hAnsi="宋体" w:cs="宋体"/>
                <w:color w:val="auto"/>
                <w:w w:val="99"/>
                <w:szCs w:val="21"/>
                <w:highlight w:val="none"/>
              </w:rPr>
              <w:t>打印机相</w:t>
            </w:r>
            <w:r>
              <w:rPr>
                <w:rFonts w:hint="eastAsia" w:ascii="宋体" w:hAnsi="宋体" w:cs="宋体"/>
                <w:color w:val="auto"/>
                <w:spacing w:val="2"/>
                <w:w w:val="99"/>
                <w:szCs w:val="21"/>
                <w:highlight w:val="none"/>
              </w:rPr>
              <w:t>关</w:t>
            </w:r>
            <w:r>
              <w:rPr>
                <w:rFonts w:hint="eastAsia" w:ascii="宋体" w:hAnsi="宋体" w:cs="宋体"/>
                <w:color w:val="auto"/>
                <w:w w:val="99"/>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olor w:val="auto"/>
                <w:szCs w:val="21"/>
                <w:highlight w:val="none"/>
              </w:rPr>
            </w:pPr>
            <w:r>
              <w:rPr>
                <w:rFonts w:hint="eastAsia" w:ascii="宋体" w:hAnsi="宋体" w:cs="宋体"/>
                <w:color w:val="auto"/>
                <w:w w:val="99"/>
                <w:szCs w:val="21"/>
                <w:highlight w:val="none"/>
              </w:rPr>
              <w:t>《投影</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w:t>
            </w:r>
            <w:r>
              <w:rPr>
                <w:rFonts w:hint="eastAsia" w:ascii="宋体" w:hAnsi="宋体" w:cs="宋体"/>
                <w:color w:val="auto"/>
                <w:spacing w:val="2"/>
                <w:w w:val="99"/>
                <w:szCs w:val="21"/>
                <w:highlight w:val="none"/>
              </w:rPr>
              <w:t>限</w:t>
            </w:r>
            <w:r>
              <w:rPr>
                <w:rFonts w:hint="eastAsia" w:ascii="宋体" w:hAnsi="宋体" w:cs="宋体"/>
                <w:color w:val="auto"/>
                <w:w w:val="99"/>
                <w:szCs w:val="21"/>
                <w:highlight w:val="none"/>
              </w:rPr>
              <w:t>定值</w:t>
            </w:r>
            <w:r>
              <w:rPr>
                <w:rFonts w:hint="eastAsia" w:ascii="宋体" w:hAnsi="宋体" w:cs="宋体"/>
                <w:color w:val="auto"/>
                <w:spacing w:val="2"/>
                <w:w w:val="99"/>
                <w:szCs w:val="21"/>
                <w:highlight w:val="none"/>
              </w:rPr>
              <w:t>及</w:t>
            </w:r>
            <w:r>
              <w:rPr>
                <w:rFonts w:hint="eastAsia" w:ascii="宋体" w:hAnsi="宋体" w:cs="宋体"/>
                <w:color w:val="auto"/>
                <w:w w:val="99"/>
                <w:szCs w:val="21"/>
                <w:highlight w:val="none"/>
              </w:rPr>
              <w:t>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3</w:t>
            </w:r>
            <w:r>
              <w:rPr>
                <w:rFonts w:hint="eastAsia" w:ascii="宋体" w:hAnsi="宋体" w:cs="宋体"/>
                <w:color w:val="auto"/>
                <w:w w:val="99"/>
                <w:szCs w:val="21"/>
                <w:highlight w:val="none"/>
              </w:rPr>
              <w:t>20</w:t>
            </w:r>
            <w:r>
              <w:rPr>
                <w:rFonts w:hint="eastAsia" w:ascii="宋体" w:hAnsi="宋体" w:cs="宋体"/>
                <w:color w:val="auto"/>
                <w:spacing w:val="1"/>
                <w:w w:val="99"/>
                <w:szCs w:val="21"/>
                <w:highlight w:val="none"/>
              </w:rPr>
              <w:t>28</w:t>
            </w:r>
            <w:r>
              <w:rPr>
                <w:rFonts w:hint="eastAsia" w:ascii="宋体" w:hAnsi="宋体" w:cs="宋体"/>
                <w:color w:val="auto"/>
                <w:w w:val="99"/>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pStyle w:val="102"/>
              <w:spacing w:before="6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pPr>
              <w:pStyle w:val="102"/>
              <w:spacing w:before="160"/>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pStyle w:val="102"/>
              <w:spacing w:before="16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spacing w:before="160"/>
              <w:ind w:left="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《清水离心泵能效限定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及节</w:t>
            </w:r>
            <w:r>
              <w:rPr>
                <w:rFonts w:hint="eastAsia" w:ascii="宋体" w:hAnsi="宋体" w:cs="宋体"/>
                <w:color w:val="auto"/>
                <w:w w:val="99"/>
                <w:kern w:val="2"/>
                <w:sz w:val="21"/>
                <w:szCs w:val="21"/>
                <w:highlight w:val="none"/>
                <w:lang w:eastAsia="zh-CN"/>
              </w:rPr>
              <w:t>能评价值</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w:t>
            </w:r>
            <w:r>
              <w:rPr>
                <w:rFonts w:hint="eastAsia" w:ascii="宋体" w:hAnsi="宋体" w:cs="宋体"/>
                <w:color w:val="auto"/>
                <w:w w:val="99"/>
                <w:kern w:val="2"/>
                <w:sz w:val="21"/>
                <w:szCs w:val="21"/>
                <w:highlight w:val="none"/>
                <w:lang w:eastAsia="zh-CN"/>
              </w:rPr>
              <w:t>76</w:t>
            </w:r>
            <w:r>
              <w:rPr>
                <w:rFonts w:hint="eastAsia" w:ascii="宋体" w:hAnsi="宋体" w:cs="宋体"/>
                <w:color w:val="auto"/>
                <w:spacing w:val="1"/>
                <w:w w:val="99"/>
                <w:kern w:val="2"/>
                <w:sz w:val="21"/>
                <w:szCs w:val="21"/>
                <w:highlight w:val="none"/>
                <w:lang w:eastAsia="zh-CN"/>
              </w:rPr>
              <w:t>2</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02"/>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30" w:line="276" w:lineRule="auto"/>
              <w:ind w:left="7" w:right="4"/>
              <w:jc w:val="both"/>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《冷水机组能效限定值</w:t>
            </w:r>
            <w:r>
              <w:rPr>
                <w:rFonts w:hint="eastAsia" w:ascii="宋体" w:hAnsi="宋体" w:cs="宋体"/>
                <w:color w:val="auto"/>
                <w:spacing w:val="9"/>
                <w:w w:val="99"/>
                <w:kern w:val="2"/>
                <w:sz w:val="21"/>
                <w:szCs w:val="21"/>
                <w:highlight w:val="none"/>
                <w:lang w:eastAsia="zh-CN"/>
              </w:rPr>
              <w:t>及</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195</w:t>
            </w:r>
            <w:r>
              <w:rPr>
                <w:rFonts w:hint="eastAsia" w:ascii="宋体" w:hAnsi="宋体" w:cs="宋体"/>
                <w:color w:val="auto"/>
                <w:w w:val="99"/>
                <w:kern w:val="2"/>
                <w:sz w:val="21"/>
                <w:szCs w:val="21"/>
                <w:highlight w:val="none"/>
                <w:lang w:eastAsia="zh-CN"/>
              </w:rPr>
              <w:t>77</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《低</w:t>
            </w:r>
            <w:r>
              <w:rPr>
                <w:rFonts w:hint="eastAsia" w:ascii="宋体" w:hAnsi="宋体" w:cs="宋体"/>
                <w:color w:val="auto"/>
                <w:spacing w:val="2"/>
                <w:w w:val="99"/>
                <w:kern w:val="2"/>
                <w:sz w:val="21"/>
                <w:szCs w:val="21"/>
                <w:highlight w:val="none"/>
                <w:lang w:eastAsia="zh-CN"/>
              </w:rPr>
              <w:t>环</w:t>
            </w:r>
            <w:r>
              <w:rPr>
                <w:rFonts w:hint="eastAsia" w:ascii="宋体" w:hAnsi="宋体" w:cs="宋体"/>
                <w:color w:val="auto"/>
                <w:w w:val="99"/>
                <w:kern w:val="2"/>
                <w:sz w:val="21"/>
                <w:szCs w:val="21"/>
                <w:highlight w:val="none"/>
                <w:lang w:eastAsia="zh-CN"/>
              </w:rPr>
              <w:t>境温度空气源</w:t>
            </w:r>
            <w:r>
              <w:rPr>
                <w:rFonts w:hint="eastAsia" w:ascii="宋体" w:hAnsi="宋体" w:cs="宋体"/>
                <w:color w:val="auto"/>
                <w:spacing w:val="2"/>
                <w:w w:val="99"/>
                <w:kern w:val="2"/>
                <w:sz w:val="21"/>
                <w:szCs w:val="21"/>
                <w:highlight w:val="none"/>
                <w:lang w:eastAsia="zh-CN"/>
              </w:rPr>
              <w:t>热</w:t>
            </w:r>
            <w:r>
              <w:rPr>
                <w:rFonts w:hint="eastAsia" w:ascii="宋体" w:hAnsi="宋体" w:cs="宋体"/>
                <w:color w:val="auto"/>
                <w:spacing w:val="-29"/>
                <w:w w:val="99"/>
                <w:kern w:val="2"/>
                <w:sz w:val="21"/>
                <w:szCs w:val="21"/>
                <w:highlight w:val="none"/>
                <w:lang w:eastAsia="zh-CN"/>
              </w:rPr>
              <w:t>泵</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冷水</w:t>
            </w:r>
            <w:r>
              <w:rPr>
                <w:rFonts w:hint="eastAsia" w:ascii="宋体" w:hAnsi="宋体" w:cs="宋体"/>
                <w:color w:val="auto"/>
                <w:spacing w:val="-27"/>
                <w:w w:val="99"/>
                <w:kern w:val="2"/>
                <w:sz w:val="21"/>
                <w:szCs w:val="21"/>
                <w:highlight w:val="none"/>
                <w:lang w:eastAsia="zh-CN"/>
              </w:rPr>
              <w:t>）</w:t>
            </w:r>
            <w:r>
              <w:rPr>
                <w:rFonts w:hint="eastAsia" w:ascii="宋体" w:hAnsi="宋体" w:cs="宋体"/>
                <w:color w:val="auto"/>
                <w:w w:val="99"/>
                <w:kern w:val="2"/>
                <w:sz w:val="21"/>
                <w:szCs w:val="21"/>
                <w:highlight w:val="none"/>
                <w:lang w:eastAsia="zh-CN"/>
              </w:rPr>
              <w:t>机组</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效限定值及能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37</w:t>
            </w:r>
            <w:r>
              <w:rPr>
                <w:rFonts w:hint="eastAsia" w:ascii="宋体" w:hAnsi="宋体" w:cs="宋体"/>
                <w:color w:val="auto"/>
                <w:w w:val="99"/>
                <w:kern w:val="2"/>
                <w:sz w:val="21"/>
                <w:szCs w:val="21"/>
                <w:highlight w:val="none"/>
                <w:lang w:eastAsia="zh-CN"/>
              </w:rPr>
              <w:t>48</w:t>
            </w:r>
            <w:r>
              <w:rPr>
                <w:rFonts w:hint="eastAsia" w:ascii="宋体" w:hAnsi="宋体" w:cs="宋体"/>
                <w:color w:val="auto"/>
                <w:spacing w:val="-2"/>
                <w:w w:val="99"/>
                <w:kern w:val="2"/>
                <w:sz w:val="21"/>
                <w:szCs w:val="21"/>
                <w:highlight w:val="none"/>
                <w:lang w:eastAsia="zh-CN"/>
              </w:rPr>
              <w:t>0</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溴化锂吸收式冷水机组</w:t>
            </w:r>
          </w:p>
        </w:tc>
        <w:tc>
          <w:tcPr>
            <w:tcW w:w="3452" w:type="dxa"/>
            <w:tcBorders>
              <w:top w:val="single" w:color="000000" w:sz="4" w:space="0"/>
              <w:left w:val="single" w:color="000000" w:sz="4" w:space="0"/>
              <w:bottom w:val="single" w:color="000000" w:sz="4" w:space="0"/>
              <w:right w:val="single" w:color="000000" w:sz="4" w:space="0"/>
            </w:tcBorders>
            <w:noWrap/>
            <w:vAlign w:val="center"/>
          </w:tcPr>
          <w:p>
            <w:pPr>
              <w:pStyle w:val="102"/>
              <w:spacing w:before="93"/>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《溴化锂吸收式冷水机组能效限</w:t>
            </w:r>
          </w:p>
          <w:p>
            <w:pPr>
              <w:rPr>
                <w:rFonts w:ascii="宋体" w:hAnsi="宋体"/>
                <w:color w:val="auto"/>
                <w:szCs w:val="21"/>
                <w:highlight w:val="none"/>
              </w:rPr>
            </w:pPr>
            <w:r>
              <w:rPr>
                <w:rFonts w:hint="eastAsia" w:ascii="宋体" w:hAnsi="宋体" w:cs="宋体"/>
                <w:color w:val="auto"/>
                <w:w w:val="99"/>
                <w:szCs w:val="21"/>
                <w:highlight w:val="none"/>
              </w:rPr>
              <w:t>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02"/>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pStyle w:val="102"/>
              <w:spacing w:before="4" w:line="276" w:lineRule="auto"/>
              <w:ind w:left="7" w:righ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160"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s="宋体"/>
                <w:color w:val="auto"/>
                <w:w w:val="99"/>
                <w:szCs w:val="21"/>
                <w:highlight w:val="none"/>
              </w:rPr>
              <w:t>单元式空气调节机</w:t>
            </w:r>
          </w:p>
        </w:tc>
        <w:tc>
          <w:tcPr>
            <w:tcW w:w="3452" w:type="dxa"/>
            <w:tcBorders>
              <w:top w:val="single" w:color="000000" w:sz="4" w:space="0"/>
              <w:left w:val="single" w:color="000000" w:sz="4" w:space="0"/>
              <w:bottom w:val="single" w:color="000000" w:sz="4" w:space="0"/>
              <w:right w:val="single" w:color="000000" w:sz="4" w:space="0"/>
            </w:tcBorders>
            <w:noWrap/>
          </w:tcPr>
          <w:p>
            <w:pPr>
              <w:rPr>
                <w:rFonts w:ascii="宋体" w:hAnsi="宋体"/>
                <w:color w:val="auto"/>
                <w:szCs w:val="21"/>
                <w:highlight w:val="none"/>
              </w:rPr>
            </w:pPr>
            <w:r>
              <w:rPr>
                <w:rFonts w:hint="eastAsia" w:ascii="宋体" w:hAnsi="宋体" w:cs="宋体"/>
                <w:color w:val="auto"/>
                <w:w w:val="99"/>
                <w:szCs w:val="21"/>
                <w:highlight w:val="none"/>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spacing w:before="83"/>
              <w:ind w:lef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83"/>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《单元式空气调节机能效限定值</w:t>
            </w:r>
          </w:p>
          <w:p>
            <w:pPr>
              <w:pStyle w:val="102"/>
              <w:spacing w:before="83"/>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spacing w:line="254" w:lineRule="exact"/>
              <w:ind w:left="7"/>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pPr>
              <w:pStyle w:val="102"/>
              <w:spacing w:line="254" w:lineRule="exact"/>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line="254" w:lineRule="exact"/>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《机械通风冷却塔第1部分：中小型开式冷却塔》（GB/T7190.1）</w:t>
            </w:r>
          </w:p>
          <w:p>
            <w:pPr>
              <w:pStyle w:val="102"/>
              <w:spacing w:line="254"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pPr>
              <w:pStyle w:val="102"/>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pPr>
              <w:pStyle w:val="102"/>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pStyle w:val="102"/>
              <w:spacing w:before="3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配电变压器</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30"/>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《三相配电变压器能效限定值及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pPr>
              <w:pStyle w:val="102"/>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pStyle w:val="102"/>
              <w:spacing w:before="126"/>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126"/>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126"/>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《家用电冰箱耗电量限定值及能效等级》（GB12021.2）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02"/>
              <w:spacing w:before="17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line="256"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《房间空气调节器能效限定值及能效等级》（GB21455-2019）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pStyle w:val="102"/>
              <w:spacing w:before="4"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160"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4"/>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spacing w:before="16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6" w:line="276" w:lineRule="auto"/>
              <w:ind w:left="7" w:right="4"/>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02"/>
              <w:spacing w:before="161"/>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tcPr>
          <w:p>
            <w:pPr>
              <w:pStyle w:val="102"/>
              <w:tabs>
                <w:tab w:val="left" w:pos="1608"/>
              </w:tabs>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《储水式电热水器能效</w:t>
            </w:r>
            <w:r>
              <w:rPr>
                <w:rFonts w:hint="eastAsia" w:ascii="宋体" w:hAnsi="宋体" w:cs="宋体"/>
                <w:color w:val="auto"/>
                <w:spacing w:val="9"/>
                <w:w w:val="99"/>
                <w:kern w:val="2"/>
                <w:sz w:val="21"/>
                <w:szCs w:val="21"/>
                <w:highlight w:val="none"/>
                <w:lang w:eastAsia="zh-CN"/>
              </w:rPr>
              <w:t>限</w:t>
            </w:r>
            <w:r>
              <w:rPr>
                <w:rFonts w:hint="eastAsia" w:ascii="宋体" w:hAnsi="宋体" w:cs="宋体"/>
                <w:color w:val="auto"/>
                <w:spacing w:val="12"/>
                <w:w w:val="99"/>
                <w:kern w:val="2"/>
                <w:sz w:val="21"/>
                <w:szCs w:val="21"/>
                <w:highlight w:val="none"/>
                <w:lang w:eastAsia="zh-CN"/>
              </w:rPr>
              <w:t>定值</w:t>
            </w:r>
            <w:r>
              <w:rPr>
                <w:rFonts w:hint="eastAsia" w:ascii="宋体" w:hAnsi="宋体" w:cs="宋体"/>
                <w:color w:val="auto"/>
                <w:w w:val="99"/>
                <w:kern w:val="2"/>
                <w:sz w:val="21"/>
                <w:szCs w:val="21"/>
                <w:highlight w:val="none"/>
                <w:lang w:eastAsia="zh-CN"/>
              </w:rPr>
              <w:t>及能效等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51</w:t>
            </w:r>
            <w:r>
              <w:rPr>
                <w:rFonts w:hint="eastAsia" w:ascii="宋体" w:hAnsi="宋体" w:cs="宋体"/>
                <w:color w:val="auto"/>
                <w:spacing w:val="1"/>
                <w:w w:val="99"/>
                <w:kern w:val="2"/>
                <w:sz w:val="21"/>
                <w:szCs w:val="21"/>
                <w:highlight w:val="none"/>
                <w:lang w:eastAsia="zh-CN"/>
              </w:rPr>
              <w:t>9</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《家用燃气快速热水器</w:t>
            </w:r>
            <w:r>
              <w:rPr>
                <w:rFonts w:hint="eastAsia" w:ascii="宋体" w:hAnsi="宋体" w:cs="宋体"/>
                <w:color w:val="auto"/>
                <w:spacing w:val="9"/>
                <w:w w:val="99"/>
                <w:kern w:val="2"/>
                <w:sz w:val="21"/>
                <w:szCs w:val="21"/>
                <w:highlight w:val="none"/>
                <w:lang w:eastAsia="zh-CN"/>
              </w:rPr>
              <w:t>和</w:t>
            </w:r>
            <w:r>
              <w:rPr>
                <w:rFonts w:hint="eastAsia" w:ascii="宋体" w:hAnsi="宋体" w:cs="宋体"/>
                <w:color w:val="auto"/>
                <w:spacing w:val="12"/>
                <w:w w:val="99"/>
                <w:kern w:val="2"/>
                <w:sz w:val="21"/>
                <w:szCs w:val="21"/>
                <w:highlight w:val="none"/>
                <w:lang w:eastAsia="zh-CN"/>
              </w:rPr>
              <w:t>燃气</w:t>
            </w:r>
            <w:r>
              <w:rPr>
                <w:rFonts w:hint="eastAsia" w:ascii="宋体" w:hAnsi="宋体" w:cs="宋体"/>
                <w:color w:val="auto"/>
                <w:w w:val="99"/>
                <w:kern w:val="2"/>
                <w:sz w:val="21"/>
                <w:szCs w:val="21"/>
                <w:highlight w:val="none"/>
                <w:lang w:eastAsia="zh-CN"/>
              </w:rPr>
              <w:t>采暖热水</w:t>
            </w:r>
            <w:r>
              <w:rPr>
                <w:rFonts w:hint="eastAsia" w:ascii="宋体" w:hAnsi="宋体" w:cs="宋体"/>
                <w:color w:val="auto"/>
                <w:spacing w:val="2"/>
                <w:w w:val="99"/>
                <w:kern w:val="2"/>
                <w:sz w:val="21"/>
                <w:szCs w:val="21"/>
                <w:highlight w:val="none"/>
                <w:lang w:eastAsia="zh-CN"/>
              </w:rPr>
              <w:t>炉</w:t>
            </w:r>
            <w:r>
              <w:rPr>
                <w:rFonts w:hint="eastAsia" w:ascii="宋体" w:hAnsi="宋体" w:cs="宋体"/>
                <w:color w:val="auto"/>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w:t>
            </w:r>
            <w:r>
              <w:rPr>
                <w:rFonts w:hint="eastAsia" w:ascii="宋体" w:hAnsi="宋体" w:cs="宋体"/>
                <w:color w:val="auto"/>
                <w:spacing w:val="2"/>
                <w:w w:val="99"/>
                <w:kern w:val="2"/>
                <w:sz w:val="21"/>
                <w:szCs w:val="21"/>
                <w:highlight w:val="none"/>
                <w:lang w:eastAsia="zh-CN"/>
              </w:rPr>
              <w:t>及</w:t>
            </w:r>
            <w:r>
              <w:rPr>
                <w:rFonts w:hint="eastAsia" w:ascii="宋体" w:hAnsi="宋体" w:cs="宋体"/>
                <w:color w:val="auto"/>
                <w:w w:val="99"/>
                <w:kern w:val="2"/>
                <w:sz w:val="21"/>
                <w:szCs w:val="21"/>
                <w:highlight w:val="none"/>
                <w:lang w:eastAsia="zh-CN"/>
              </w:rPr>
              <w:t>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w:t>
            </w:r>
            <w:r>
              <w:rPr>
                <w:rFonts w:hint="eastAsia" w:ascii="宋体" w:hAnsi="宋体" w:cs="宋体"/>
                <w:color w:val="auto"/>
                <w:w w:val="99"/>
                <w:kern w:val="2"/>
                <w:sz w:val="21"/>
                <w:szCs w:val="21"/>
                <w:highlight w:val="none"/>
                <w:lang w:eastAsia="zh-CN"/>
              </w:rPr>
              <w:t>06</w:t>
            </w:r>
            <w:r>
              <w:rPr>
                <w:rFonts w:hint="eastAsia" w:ascii="宋体" w:hAnsi="宋体" w:cs="宋体"/>
                <w:color w:val="auto"/>
                <w:spacing w:val="1"/>
                <w:w w:val="99"/>
                <w:kern w:val="2"/>
                <w:sz w:val="21"/>
                <w:szCs w:val="21"/>
                <w:highlight w:val="none"/>
                <w:lang w:eastAsia="zh-CN"/>
              </w:rPr>
              <w:t>65</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93"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《热泵</w:t>
            </w:r>
            <w:r>
              <w:rPr>
                <w:rFonts w:hint="eastAsia" w:ascii="宋体" w:hAnsi="宋体" w:cs="宋体"/>
                <w:color w:val="auto"/>
                <w:spacing w:val="2"/>
                <w:w w:val="99"/>
                <w:kern w:val="2"/>
                <w:sz w:val="21"/>
                <w:szCs w:val="21"/>
                <w:highlight w:val="none"/>
                <w:lang w:eastAsia="zh-CN"/>
              </w:rPr>
              <w:t>热</w:t>
            </w:r>
            <w:r>
              <w:rPr>
                <w:rFonts w:hint="eastAsia" w:ascii="宋体" w:hAnsi="宋体" w:cs="宋体"/>
                <w:color w:val="auto"/>
                <w:w w:val="99"/>
                <w:kern w:val="2"/>
                <w:sz w:val="21"/>
                <w:szCs w:val="21"/>
                <w:highlight w:val="none"/>
                <w:lang w:eastAsia="zh-CN"/>
              </w:rPr>
              <w:t>水</w:t>
            </w:r>
            <w:r>
              <w:rPr>
                <w:rFonts w:hint="eastAsia" w:ascii="宋体" w:hAnsi="宋体" w:cs="宋体"/>
                <w:color w:val="auto"/>
                <w:spacing w:val="-27"/>
                <w:w w:val="99"/>
                <w:kern w:val="2"/>
                <w:sz w:val="21"/>
                <w:szCs w:val="21"/>
                <w:highlight w:val="none"/>
                <w:lang w:eastAsia="zh-CN"/>
              </w:rPr>
              <w:t>机</w:t>
            </w:r>
            <w:r>
              <w:rPr>
                <w:rFonts w:hint="eastAsia" w:ascii="宋体" w:hAnsi="宋体" w:cs="宋体"/>
                <w:color w:val="auto"/>
                <w:w w:val="99"/>
                <w:kern w:val="2"/>
                <w:sz w:val="21"/>
                <w:szCs w:val="21"/>
                <w:highlight w:val="none"/>
                <w:lang w:eastAsia="zh-CN"/>
              </w:rPr>
              <w:t>（器</w:t>
            </w:r>
            <w:r>
              <w:rPr>
                <w:rFonts w:hint="eastAsia" w:ascii="宋体" w:hAnsi="宋体" w:cs="宋体"/>
                <w:color w:val="auto"/>
                <w:spacing w:val="-27"/>
                <w:w w:val="99"/>
                <w:kern w:val="2"/>
                <w:sz w:val="21"/>
                <w:szCs w:val="21"/>
                <w:highlight w:val="none"/>
                <w:lang w:eastAsia="zh-CN"/>
              </w:rPr>
              <w:t>）</w:t>
            </w:r>
            <w:r>
              <w:rPr>
                <w:rFonts w:hint="eastAsia" w:ascii="宋体" w:hAnsi="宋体" w:cs="宋体"/>
                <w:color w:val="auto"/>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295</w:t>
            </w:r>
            <w:r>
              <w:rPr>
                <w:rFonts w:hint="eastAsia" w:ascii="宋体" w:hAnsi="宋体" w:cs="宋体"/>
                <w:color w:val="auto"/>
                <w:w w:val="99"/>
                <w:kern w:val="2"/>
                <w:sz w:val="21"/>
                <w:szCs w:val="21"/>
                <w:highlight w:val="none"/>
                <w:lang w:eastAsia="zh-CN"/>
              </w:rPr>
              <w:t>4</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《家用太阳能热水系统</w:t>
            </w:r>
            <w:r>
              <w:rPr>
                <w:rFonts w:hint="eastAsia" w:ascii="宋体" w:hAnsi="宋体" w:cs="宋体"/>
                <w:color w:val="auto"/>
                <w:spacing w:val="9"/>
                <w:w w:val="99"/>
                <w:kern w:val="2"/>
                <w:sz w:val="21"/>
                <w:szCs w:val="21"/>
                <w:highlight w:val="none"/>
                <w:lang w:eastAsia="zh-CN"/>
              </w:rPr>
              <w:t>能</w:t>
            </w:r>
            <w:r>
              <w:rPr>
                <w:rFonts w:hint="eastAsia" w:ascii="宋体" w:hAnsi="宋体" w:cs="宋体"/>
                <w:color w:val="auto"/>
                <w:spacing w:val="12"/>
                <w:w w:val="99"/>
                <w:kern w:val="2"/>
                <w:sz w:val="21"/>
                <w:szCs w:val="21"/>
                <w:highlight w:val="none"/>
                <w:lang w:eastAsia="zh-CN"/>
              </w:rPr>
              <w:t>效限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26</w:t>
            </w:r>
            <w:r>
              <w:rPr>
                <w:rFonts w:hint="eastAsia" w:ascii="宋体" w:hAnsi="宋体" w:cs="宋体"/>
                <w:color w:val="auto"/>
                <w:w w:val="99"/>
                <w:kern w:val="2"/>
                <w:sz w:val="21"/>
                <w:szCs w:val="21"/>
                <w:highlight w:val="none"/>
                <w:lang w:eastAsia="zh-CN"/>
              </w:rPr>
              <w:t>96</w:t>
            </w:r>
            <w:r>
              <w:rPr>
                <w:rFonts w:hint="eastAsia" w:ascii="宋体" w:hAnsi="宋体" w:cs="宋体"/>
                <w:color w:val="auto"/>
                <w:spacing w:val="-2"/>
                <w:w w:val="99"/>
                <w:kern w:val="2"/>
                <w:sz w:val="21"/>
                <w:szCs w:val="21"/>
                <w:highlight w:val="none"/>
                <w:lang w:eastAsia="zh-CN"/>
              </w:rPr>
              <w:t>9</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02"/>
              <w:spacing w:before="15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spacing w:before="133"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13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《普通照明用双端荧光</w:t>
            </w:r>
            <w:r>
              <w:rPr>
                <w:rFonts w:hint="eastAsia" w:ascii="宋体" w:hAnsi="宋体" w:cs="宋体"/>
                <w:color w:val="auto"/>
                <w:spacing w:val="9"/>
                <w:w w:val="99"/>
                <w:kern w:val="2"/>
                <w:sz w:val="21"/>
                <w:szCs w:val="21"/>
                <w:highlight w:val="none"/>
                <w:lang w:eastAsia="zh-CN"/>
              </w:rPr>
              <w:t>灯</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w:t>
            </w:r>
            <w:r>
              <w:rPr>
                <w:rFonts w:hint="eastAsia" w:ascii="宋体" w:hAnsi="宋体" w:cs="宋体"/>
                <w:color w:val="auto"/>
                <w:w w:val="99"/>
                <w:kern w:val="2"/>
                <w:sz w:val="21"/>
                <w:szCs w:val="21"/>
                <w:highlight w:val="none"/>
                <w:lang w:eastAsia="zh-CN"/>
              </w:rPr>
              <w:t>04</w:t>
            </w:r>
            <w:r>
              <w:rPr>
                <w:rFonts w:hint="eastAsia" w:ascii="宋体" w:hAnsi="宋体" w:cs="宋体"/>
                <w:color w:val="auto"/>
                <w:spacing w:val="1"/>
                <w:w w:val="99"/>
                <w:kern w:val="2"/>
                <w:sz w:val="21"/>
                <w:szCs w:val="21"/>
                <w:highlight w:val="none"/>
                <w:lang w:eastAsia="zh-CN"/>
              </w:rPr>
              <w:t>3</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spacing w:before="92" w:line="276" w:lineRule="auto"/>
              <w:ind w:left="7" w:right="2"/>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92" w:line="276" w:lineRule="auto"/>
              <w:ind w:left="7"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道</w:t>
            </w:r>
            <w:r>
              <w:rPr>
                <w:rFonts w:hint="eastAsia" w:ascii="宋体" w:hAnsi="宋体" w:cs="宋体"/>
                <w:color w:val="auto"/>
                <w:spacing w:val="4"/>
                <w:w w:val="99"/>
                <w:kern w:val="2"/>
                <w:sz w:val="21"/>
                <w:szCs w:val="21"/>
                <w:highlight w:val="none"/>
                <w:lang w:eastAsia="zh-CN"/>
              </w:rPr>
              <w:t>路和隧道照</w:t>
            </w:r>
            <w:r>
              <w:rPr>
                <w:rFonts w:hint="eastAsia" w:ascii="宋体" w:hAnsi="宋体" w:cs="宋体"/>
                <w:color w:val="auto"/>
                <w:spacing w:val="2"/>
                <w:w w:val="99"/>
                <w:kern w:val="2"/>
                <w:sz w:val="21"/>
                <w:szCs w:val="21"/>
                <w:highlight w:val="none"/>
                <w:lang w:eastAsia="zh-CN"/>
              </w:rPr>
              <w:t>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灯</w:t>
            </w:r>
            <w:r>
              <w:rPr>
                <w:rFonts w:hint="eastAsia" w:ascii="宋体" w:hAnsi="宋体" w:cs="宋体"/>
                <w:color w:val="auto"/>
                <w:spacing w:val="2"/>
                <w:w w:val="99"/>
                <w:kern w:val="2"/>
                <w:sz w:val="21"/>
                <w:szCs w:val="21"/>
                <w:highlight w:val="none"/>
                <w:lang w:eastAsia="zh-CN"/>
              </w:rPr>
              <w:t>具</w:t>
            </w:r>
            <w:r>
              <w:rPr>
                <w:rFonts w:hint="eastAsia" w:ascii="宋体" w:hAnsi="宋体" w:cs="宋体"/>
                <w:color w:val="auto"/>
                <w:w w:val="99"/>
                <w:kern w:val="2"/>
                <w:sz w:val="21"/>
                <w:szCs w:val="21"/>
                <w:highlight w:val="none"/>
                <w:lang w:eastAsia="zh-CN"/>
              </w:rPr>
              <w:t>能效限定</w:t>
            </w:r>
            <w:r>
              <w:rPr>
                <w:rFonts w:hint="eastAsia" w:ascii="宋体" w:hAnsi="宋体" w:cs="宋体"/>
                <w:color w:val="auto"/>
                <w:spacing w:val="2"/>
                <w:w w:val="99"/>
                <w:kern w:val="2"/>
                <w:sz w:val="21"/>
                <w:szCs w:val="21"/>
                <w:highlight w:val="none"/>
                <w:lang w:eastAsia="zh-CN"/>
              </w:rPr>
              <w:t>值</w:t>
            </w:r>
            <w:r>
              <w:rPr>
                <w:rFonts w:hint="eastAsia" w:ascii="宋体" w:hAnsi="宋体" w:cs="宋体"/>
                <w:color w:val="auto"/>
                <w:w w:val="99"/>
                <w:kern w:val="2"/>
                <w:sz w:val="21"/>
                <w:szCs w:val="21"/>
                <w:highlight w:val="none"/>
                <w:lang w:eastAsia="zh-CN"/>
              </w:rPr>
              <w:t>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06"/>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3747</w:t>
            </w:r>
            <w:r>
              <w:rPr>
                <w:rFonts w:hint="eastAsia" w:ascii="宋体" w:hAnsi="宋体" w:cs="宋体"/>
                <w:color w:val="auto"/>
                <w:w w:val="99"/>
                <w:kern w:val="2"/>
                <w:sz w:val="21"/>
                <w:szCs w:val="21"/>
                <w:highlight w:val="none"/>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83" w:line="276" w:lineRule="auto"/>
              <w:ind w:left="7"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室</w:t>
            </w:r>
            <w:r>
              <w:rPr>
                <w:rFonts w:hint="eastAsia" w:ascii="宋体" w:hAnsi="宋体" w:cs="宋体"/>
                <w:color w:val="auto"/>
                <w:spacing w:val="4"/>
                <w:w w:val="99"/>
                <w:kern w:val="2"/>
                <w:sz w:val="21"/>
                <w:szCs w:val="21"/>
                <w:highlight w:val="none"/>
                <w:lang w:eastAsia="zh-CN"/>
              </w:rPr>
              <w:t>内照明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产</w:t>
            </w:r>
            <w:r>
              <w:rPr>
                <w:rFonts w:hint="eastAsia" w:ascii="宋体" w:hAnsi="宋体" w:cs="宋体"/>
                <w:color w:val="auto"/>
                <w:spacing w:val="2"/>
                <w:w w:val="99"/>
                <w:kern w:val="2"/>
                <w:sz w:val="21"/>
                <w:szCs w:val="21"/>
                <w:highlight w:val="none"/>
                <w:lang w:eastAsia="zh-CN"/>
              </w:rPr>
              <w:t>品</w:t>
            </w:r>
            <w:r>
              <w:rPr>
                <w:rFonts w:hint="eastAsia" w:ascii="宋体" w:hAnsi="宋体" w:cs="宋体"/>
                <w:color w:val="auto"/>
                <w:spacing w:val="4"/>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25</w:t>
            </w:r>
            <w:r>
              <w:rPr>
                <w:rFonts w:hint="eastAsia" w:ascii="宋体" w:hAnsi="宋体" w:cs="宋体"/>
                <w:color w:val="auto"/>
                <w:spacing w:val="-2"/>
                <w:w w:val="99"/>
                <w:kern w:val="2"/>
                <w:sz w:val="21"/>
                <w:szCs w:val="21"/>
                <w:highlight w:val="none"/>
                <w:lang w:eastAsia="zh-CN"/>
              </w:rPr>
              <w:t>5</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spacing w:line="276" w:lineRule="auto"/>
              <w:ind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5"/>
              <w:rPr>
                <w:rFonts w:ascii="宋体" w:hAnsi="宋体" w:cs="宋体"/>
                <w:color w:val="auto"/>
                <w:kern w:val="2"/>
                <w:sz w:val="21"/>
                <w:szCs w:val="21"/>
                <w:highlight w:val="none"/>
                <w:lang w:eastAsia="zh-CN"/>
              </w:rPr>
            </w:pPr>
          </w:p>
          <w:p>
            <w:pPr>
              <w:pStyle w:val="102"/>
              <w:spacing w:line="276" w:lineRule="auto"/>
              <w:ind w:left="7"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室</w:t>
            </w:r>
            <w:r>
              <w:rPr>
                <w:rFonts w:hint="eastAsia" w:ascii="宋体" w:hAnsi="宋体" w:cs="宋体"/>
                <w:color w:val="auto"/>
                <w:spacing w:val="4"/>
                <w:w w:val="99"/>
                <w:kern w:val="2"/>
                <w:sz w:val="21"/>
                <w:szCs w:val="21"/>
                <w:highlight w:val="none"/>
                <w:lang w:eastAsia="zh-CN"/>
              </w:rPr>
              <w:t>内照明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产</w:t>
            </w:r>
            <w:r>
              <w:rPr>
                <w:rFonts w:hint="eastAsia" w:ascii="宋体" w:hAnsi="宋体" w:cs="宋体"/>
                <w:color w:val="auto"/>
                <w:spacing w:val="2"/>
                <w:w w:val="99"/>
                <w:kern w:val="2"/>
                <w:sz w:val="21"/>
                <w:szCs w:val="21"/>
                <w:highlight w:val="none"/>
                <w:lang w:eastAsia="zh-CN"/>
              </w:rPr>
              <w:t>品</w:t>
            </w:r>
            <w:r>
              <w:rPr>
                <w:rFonts w:hint="eastAsia" w:ascii="宋体" w:hAnsi="宋体" w:cs="宋体"/>
                <w:color w:val="auto"/>
                <w:spacing w:val="4"/>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25</w:t>
            </w:r>
            <w:r>
              <w:rPr>
                <w:rFonts w:hint="eastAsia" w:ascii="宋体" w:hAnsi="宋体" w:cs="宋体"/>
                <w:color w:val="auto"/>
                <w:spacing w:val="-2"/>
                <w:w w:val="99"/>
                <w:kern w:val="2"/>
                <w:sz w:val="21"/>
                <w:szCs w:val="21"/>
                <w:highlight w:val="none"/>
                <w:lang w:eastAsia="zh-CN"/>
              </w:rPr>
              <w:t>5</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pStyle w:val="102"/>
              <w:spacing w:before="81"/>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spacing w:before="81" w:line="276" w:lineRule="auto"/>
              <w:ind w:left="7" w:right="5"/>
              <w:jc w:val="center"/>
              <w:rPr>
                <w:rFonts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81"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《平板电视能效限定值</w:t>
            </w:r>
            <w:r>
              <w:rPr>
                <w:rFonts w:hint="eastAsia" w:ascii="宋体" w:hAnsi="宋体" w:cs="宋体"/>
                <w:color w:val="auto"/>
                <w:spacing w:val="9"/>
                <w:w w:val="99"/>
                <w:kern w:val="2"/>
                <w:sz w:val="21"/>
                <w:szCs w:val="21"/>
                <w:highlight w:val="none"/>
                <w:lang w:eastAsia="zh-CN"/>
              </w:rPr>
              <w:t>及</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248</w:t>
            </w:r>
            <w:r>
              <w:rPr>
                <w:rFonts w:hint="eastAsia" w:ascii="宋体" w:hAnsi="宋体" w:cs="宋体"/>
                <w:color w:val="auto"/>
                <w:w w:val="99"/>
                <w:kern w:val="2"/>
                <w:sz w:val="21"/>
                <w:szCs w:val="21"/>
                <w:highlight w:val="none"/>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spacing w:line="276" w:lineRule="auto"/>
              <w:ind w:right="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28" w:line="276" w:lineRule="auto"/>
              <w:ind w:left="7" w:right="5"/>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以射频信号为主要信号</w:t>
            </w:r>
            <w:r>
              <w:rPr>
                <w:rFonts w:hint="eastAsia" w:ascii="宋体" w:hAnsi="宋体" w:cs="宋体"/>
                <w:color w:val="auto"/>
                <w:spacing w:val="9"/>
                <w:w w:val="99"/>
                <w:kern w:val="2"/>
                <w:sz w:val="21"/>
                <w:szCs w:val="21"/>
                <w:highlight w:val="none"/>
                <w:lang w:eastAsia="zh-CN"/>
              </w:rPr>
              <w:t>输</w:t>
            </w:r>
            <w:r>
              <w:rPr>
                <w:rFonts w:hint="eastAsia" w:ascii="宋体" w:hAnsi="宋体" w:cs="宋体"/>
                <w:color w:val="auto"/>
                <w:spacing w:val="12"/>
                <w:w w:val="99"/>
                <w:kern w:val="2"/>
                <w:sz w:val="21"/>
                <w:szCs w:val="21"/>
                <w:highlight w:val="none"/>
                <w:lang w:eastAsia="zh-CN"/>
              </w:rPr>
              <w:t>入的</w:t>
            </w:r>
            <w:r>
              <w:rPr>
                <w:rFonts w:hint="eastAsia" w:ascii="宋体" w:hAnsi="宋体" w:cs="宋体"/>
                <w:color w:val="auto"/>
                <w:w w:val="99"/>
                <w:kern w:val="2"/>
                <w:sz w:val="21"/>
                <w:szCs w:val="21"/>
                <w:highlight w:val="none"/>
                <w:lang w:eastAsia="zh-CN"/>
              </w:rPr>
              <w:t>监视器应</w:t>
            </w:r>
            <w:r>
              <w:rPr>
                <w:rFonts w:hint="eastAsia" w:ascii="宋体" w:hAnsi="宋体" w:cs="宋体"/>
                <w:color w:val="auto"/>
                <w:spacing w:val="2"/>
                <w:w w:val="99"/>
                <w:kern w:val="2"/>
                <w:sz w:val="21"/>
                <w:szCs w:val="21"/>
                <w:highlight w:val="none"/>
                <w:lang w:eastAsia="zh-CN"/>
              </w:rPr>
              <w:t>符</w:t>
            </w:r>
            <w:r>
              <w:rPr>
                <w:rFonts w:hint="eastAsia" w:ascii="宋体" w:hAnsi="宋体" w:cs="宋体"/>
                <w:color w:val="auto"/>
                <w:spacing w:val="-58"/>
                <w:w w:val="99"/>
                <w:kern w:val="2"/>
                <w:sz w:val="21"/>
                <w:szCs w:val="21"/>
                <w:highlight w:val="none"/>
                <w:lang w:eastAsia="zh-CN"/>
              </w:rPr>
              <w:t>合</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平板</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限定值及能效</w:t>
            </w:r>
            <w:r>
              <w:rPr>
                <w:rFonts w:hint="eastAsia" w:ascii="宋体" w:hAnsi="宋体" w:cs="宋体"/>
                <w:color w:val="auto"/>
                <w:spacing w:val="2"/>
                <w:w w:val="99"/>
                <w:kern w:val="2"/>
                <w:sz w:val="21"/>
                <w:szCs w:val="21"/>
                <w:highlight w:val="none"/>
                <w:lang w:eastAsia="zh-CN"/>
              </w:rPr>
              <w:t>等</w:t>
            </w:r>
            <w:r>
              <w:rPr>
                <w:rFonts w:hint="eastAsia" w:ascii="宋体" w:hAnsi="宋体" w:cs="宋体"/>
                <w:color w:val="auto"/>
                <w:w w:val="99"/>
                <w:kern w:val="2"/>
                <w:sz w:val="21"/>
                <w:szCs w:val="21"/>
                <w:highlight w:val="none"/>
                <w:lang w:eastAsia="zh-CN"/>
              </w:rPr>
              <w:t>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24850</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2"/>
                <w:w w:val="99"/>
                <w:kern w:val="2"/>
                <w:sz w:val="21"/>
                <w:szCs w:val="21"/>
                <w:highlight w:val="none"/>
                <w:lang w:eastAsia="zh-CN"/>
              </w:rPr>
              <w:t>以数字信号为主要信号</w:t>
            </w:r>
            <w:r>
              <w:rPr>
                <w:rFonts w:hint="eastAsia" w:ascii="宋体" w:hAnsi="宋体" w:cs="宋体"/>
                <w:color w:val="auto"/>
                <w:spacing w:val="9"/>
                <w:w w:val="99"/>
                <w:kern w:val="2"/>
                <w:sz w:val="21"/>
                <w:szCs w:val="21"/>
                <w:highlight w:val="none"/>
                <w:lang w:eastAsia="zh-CN"/>
              </w:rPr>
              <w:t>输</w:t>
            </w:r>
            <w:r>
              <w:rPr>
                <w:rFonts w:hint="eastAsia" w:ascii="宋体" w:hAnsi="宋体" w:cs="宋体"/>
                <w:color w:val="auto"/>
                <w:spacing w:val="12"/>
                <w:w w:val="99"/>
                <w:kern w:val="2"/>
                <w:sz w:val="21"/>
                <w:szCs w:val="21"/>
                <w:highlight w:val="none"/>
                <w:lang w:eastAsia="zh-CN"/>
              </w:rPr>
              <w:t>入的</w:t>
            </w:r>
            <w:r>
              <w:rPr>
                <w:rFonts w:hint="eastAsia" w:ascii="宋体" w:hAnsi="宋体" w:cs="宋体"/>
                <w:color w:val="auto"/>
                <w:w w:val="99"/>
                <w:kern w:val="2"/>
                <w:sz w:val="21"/>
                <w:szCs w:val="21"/>
                <w:highlight w:val="none"/>
                <w:lang w:eastAsia="zh-CN"/>
              </w:rPr>
              <w:t>监视器应</w:t>
            </w:r>
            <w:r>
              <w:rPr>
                <w:rFonts w:hint="eastAsia" w:ascii="宋体" w:hAnsi="宋体" w:cs="宋体"/>
                <w:color w:val="auto"/>
                <w:spacing w:val="2"/>
                <w:w w:val="99"/>
                <w:kern w:val="2"/>
                <w:sz w:val="21"/>
                <w:szCs w:val="21"/>
                <w:highlight w:val="none"/>
                <w:lang w:eastAsia="zh-CN"/>
              </w:rPr>
              <w:t>符</w:t>
            </w:r>
            <w:r>
              <w:rPr>
                <w:rFonts w:hint="eastAsia" w:ascii="宋体" w:hAnsi="宋体" w:cs="宋体"/>
                <w:color w:val="auto"/>
                <w:spacing w:val="-58"/>
                <w:w w:val="99"/>
                <w:kern w:val="2"/>
                <w:sz w:val="21"/>
                <w:szCs w:val="21"/>
                <w:highlight w:val="none"/>
                <w:lang w:eastAsia="zh-CN"/>
              </w:rPr>
              <w:t>合</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计算</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显示</w:t>
            </w:r>
            <w:r>
              <w:rPr>
                <w:rFonts w:hint="eastAsia" w:ascii="宋体" w:hAnsi="宋体" w:cs="宋体"/>
                <w:color w:val="auto"/>
                <w:spacing w:val="2"/>
                <w:w w:val="99"/>
                <w:kern w:val="2"/>
                <w:sz w:val="21"/>
                <w:szCs w:val="21"/>
                <w:highlight w:val="none"/>
                <w:lang w:eastAsia="zh-CN"/>
              </w:rPr>
              <w:t>器</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0</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pStyle w:val="102"/>
              <w:spacing w:before="7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76"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《商用燃气灶具能效限</w:t>
            </w:r>
            <w:r>
              <w:rPr>
                <w:rFonts w:hint="eastAsia" w:ascii="宋体" w:hAnsi="宋体" w:cs="宋体"/>
                <w:color w:val="auto"/>
                <w:spacing w:val="9"/>
                <w:w w:val="99"/>
                <w:kern w:val="2"/>
                <w:sz w:val="21"/>
                <w:szCs w:val="21"/>
                <w:highlight w:val="none"/>
                <w:lang w:eastAsia="zh-CN"/>
              </w:rPr>
              <w:t>定</w:t>
            </w:r>
            <w:r>
              <w:rPr>
                <w:rFonts w:hint="eastAsia" w:ascii="宋体" w:hAnsi="宋体" w:cs="宋体"/>
                <w:color w:val="auto"/>
                <w:spacing w:val="12"/>
                <w:w w:val="99"/>
                <w:kern w:val="2"/>
                <w:sz w:val="21"/>
                <w:szCs w:val="21"/>
                <w:highlight w:val="none"/>
                <w:lang w:eastAsia="zh-CN"/>
              </w:rPr>
              <w:t>值及</w:t>
            </w:r>
            <w:r>
              <w:rPr>
                <w:rFonts w:hint="eastAsia" w:ascii="宋体" w:hAnsi="宋体" w:cs="宋体"/>
                <w:color w:val="auto"/>
                <w:w w:val="99"/>
                <w:kern w:val="2"/>
                <w:sz w:val="21"/>
                <w:szCs w:val="21"/>
                <w:highlight w:val="none"/>
                <w:lang w:eastAsia="zh-CN"/>
              </w:rPr>
              <w:t>能效等级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53</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124"/>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《坐便</w:t>
            </w:r>
            <w:r>
              <w:rPr>
                <w:rFonts w:hint="eastAsia" w:ascii="宋体" w:hAnsi="宋体" w:cs="宋体"/>
                <w:color w:val="auto"/>
                <w:spacing w:val="2"/>
                <w:w w:val="99"/>
                <w:kern w:val="2"/>
                <w:sz w:val="21"/>
                <w:szCs w:val="21"/>
                <w:highlight w:val="none"/>
                <w:lang w:eastAsia="zh-CN"/>
              </w:rPr>
              <w:t>器</w:t>
            </w:r>
            <w:r>
              <w:rPr>
                <w:rFonts w:hint="eastAsia" w:ascii="宋体" w:hAnsi="宋体" w:cs="宋体"/>
                <w:color w:val="auto"/>
                <w:w w:val="99"/>
                <w:kern w:val="2"/>
                <w:sz w:val="21"/>
                <w:szCs w:val="21"/>
                <w:highlight w:val="none"/>
                <w:lang w:eastAsia="zh-CN"/>
              </w:rPr>
              <w:t>水效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w:t>
            </w:r>
            <w:r>
              <w:rPr>
                <w:rFonts w:hint="eastAsia" w:ascii="宋体" w:hAnsi="宋体" w:cs="宋体"/>
                <w:color w:val="auto"/>
                <w:spacing w:val="2"/>
                <w:w w:val="99"/>
                <w:kern w:val="2"/>
                <w:sz w:val="21"/>
                <w:szCs w:val="21"/>
                <w:highlight w:val="none"/>
                <w:lang w:eastAsia="zh-CN"/>
              </w:rPr>
              <w:t>及</w:t>
            </w:r>
            <w:r>
              <w:rPr>
                <w:rFonts w:hint="eastAsia" w:ascii="宋体" w:hAnsi="宋体" w:cs="宋体"/>
                <w:color w:val="auto"/>
                <w:w w:val="99"/>
                <w:kern w:val="2"/>
                <w:sz w:val="21"/>
                <w:szCs w:val="21"/>
                <w:highlight w:val="none"/>
                <w:lang w:eastAsia="zh-CN"/>
              </w:rPr>
              <w:t>水</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p>
          <w:p>
            <w:pPr>
              <w:pStyle w:val="102"/>
              <w:spacing w:before="50"/>
              <w:ind w:left="7"/>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G</w:t>
            </w:r>
            <w:r>
              <w:rPr>
                <w:rFonts w:hint="eastAsia" w:ascii="宋体" w:hAnsi="宋体" w:cs="宋体"/>
                <w:color w:val="auto"/>
                <w:w w:val="99"/>
                <w:kern w:val="2"/>
                <w:sz w:val="21"/>
                <w:szCs w:val="21"/>
                <w:highlight w:val="none"/>
              </w:rPr>
              <w:t>B</w:t>
            </w:r>
            <w:r>
              <w:rPr>
                <w:rFonts w:hint="eastAsia" w:ascii="宋体" w:hAnsi="宋体" w:cs="宋体"/>
                <w:color w:val="auto"/>
                <w:spacing w:val="1"/>
                <w:w w:val="99"/>
                <w:kern w:val="2"/>
                <w:sz w:val="21"/>
                <w:szCs w:val="21"/>
                <w:highlight w:val="none"/>
              </w:rPr>
              <w:t>2</w:t>
            </w:r>
            <w:r>
              <w:rPr>
                <w:rFonts w:hint="eastAsia" w:ascii="宋体" w:hAnsi="宋体" w:cs="宋体"/>
                <w:color w:val="auto"/>
                <w:w w:val="99"/>
                <w:kern w:val="2"/>
                <w:sz w:val="21"/>
                <w:szCs w:val="21"/>
                <w:highlight w:val="none"/>
              </w:rPr>
              <w:t>55</w:t>
            </w:r>
            <w:r>
              <w:rPr>
                <w:rFonts w:hint="eastAsia" w:ascii="宋体" w:hAnsi="宋体" w:cs="宋体"/>
                <w:color w:val="auto"/>
                <w:spacing w:val="1"/>
                <w:w w:val="99"/>
                <w:kern w:val="2"/>
                <w:sz w:val="21"/>
                <w:szCs w:val="21"/>
                <w:highlight w:val="none"/>
              </w:rPr>
              <w:t>02</w:t>
            </w:r>
            <w:r>
              <w:rPr>
                <w:rFonts w:hint="eastAsia" w:ascii="宋体" w:hAnsi="宋体" w:cs="宋体"/>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12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《蹲便器用水效率限定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及用</w:t>
            </w:r>
            <w:r>
              <w:rPr>
                <w:rFonts w:hint="eastAsia" w:ascii="宋体" w:hAnsi="宋体" w:cs="宋体"/>
                <w:color w:val="auto"/>
                <w:w w:val="99"/>
                <w:kern w:val="2"/>
                <w:sz w:val="21"/>
                <w:szCs w:val="21"/>
                <w:highlight w:val="none"/>
                <w:lang w:eastAsia="zh-CN"/>
              </w:rPr>
              <w:t>水效率等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307</w:t>
            </w:r>
            <w:r>
              <w:rPr>
                <w:rFonts w:hint="eastAsia" w:ascii="宋体" w:hAnsi="宋体" w:cs="宋体"/>
                <w:color w:val="auto"/>
                <w:w w:val="99"/>
                <w:kern w:val="2"/>
                <w:sz w:val="21"/>
                <w:szCs w:val="21"/>
                <w:highlight w:val="none"/>
                <w:lang w:eastAsia="zh-CN"/>
              </w:rPr>
              <w:t>1</w:t>
            </w:r>
            <w:r>
              <w:rPr>
                <w:rFonts w:hint="eastAsia" w:ascii="宋体" w:hAnsi="宋体" w:cs="宋体"/>
                <w:color w:val="auto"/>
                <w:spacing w:val="-1"/>
                <w:w w:val="99"/>
                <w:kern w:val="2"/>
                <w:sz w:val="21"/>
                <w:szCs w:val="21"/>
                <w:highlight w:val="none"/>
                <w:lang w:eastAsia="zh-CN"/>
              </w:rPr>
              <w:t>7</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12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《小便器用水效率限定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及用</w:t>
            </w:r>
            <w:r>
              <w:rPr>
                <w:rFonts w:hint="eastAsia" w:ascii="宋体" w:hAnsi="宋体" w:cs="宋体"/>
                <w:color w:val="auto"/>
                <w:w w:val="99"/>
                <w:kern w:val="2"/>
                <w:sz w:val="21"/>
                <w:szCs w:val="21"/>
                <w:highlight w:val="none"/>
                <w:lang w:eastAsia="zh-CN"/>
              </w:rPr>
              <w:t>水效率等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w:t>
            </w:r>
            <w:r>
              <w:rPr>
                <w:rFonts w:hint="eastAsia" w:ascii="宋体" w:hAnsi="宋体" w:cs="宋体"/>
                <w:color w:val="auto"/>
                <w:w w:val="99"/>
                <w:kern w:val="2"/>
                <w:sz w:val="21"/>
                <w:szCs w:val="21"/>
                <w:highlight w:val="none"/>
                <w:lang w:eastAsia="zh-CN"/>
              </w:rPr>
              <w:t>7</w:t>
            </w:r>
            <w:r>
              <w:rPr>
                <w:rFonts w:hint="eastAsia" w:ascii="宋体" w:hAnsi="宋体" w:cs="宋体"/>
                <w:color w:val="auto"/>
                <w:spacing w:val="-1"/>
                <w:w w:val="99"/>
                <w:kern w:val="2"/>
                <w:sz w:val="21"/>
                <w:szCs w:val="21"/>
                <w:highlight w:val="none"/>
                <w:lang w:eastAsia="zh-CN"/>
              </w:rPr>
              <w:t>7</w:t>
            </w:r>
            <w:r>
              <w:rPr>
                <w:rFonts w:hint="eastAsia" w:ascii="宋体" w:hAnsi="宋体" w:cs="宋体"/>
                <w:color w:val="auto"/>
                <w:w w:val="99"/>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pStyle w:val="102"/>
              <w:spacing w:before="153"/>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w:t>
            </w:r>
            <w:r>
              <w:rPr>
                <w:rFonts w:hint="eastAsia" w:ascii="宋体" w:hAnsi="宋体" w:cs="仿宋_GB2312"/>
                <w:color w:val="auto"/>
                <w:kern w:val="2"/>
                <w:sz w:val="21"/>
                <w:szCs w:val="21"/>
                <w:highlight w:val="none"/>
              </w:rPr>
              <w:t>A05020106</w:t>
            </w:r>
            <w:r>
              <w:rPr>
                <w:rFonts w:hint="eastAsia" w:ascii="宋体" w:hAnsi="宋体" w:cs="宋体"/>
                <w:color w:val="auto"/>
                <w:kern w:val="2"/>
                <w:sz w:val="21"/>
                <w:szCs w:val="21"/>
                <w:highlight w:val="none"/>
              </w:rPr>
              <w:t>水</w:t>
            </w:r>
            <w:r>
              <w:rPr>
                <w:rFonts w:hint="eastAsia" w:ascii="宋体" w:hAnsi="宋体" w:cs="宋体"/>
                <w:color w:val="auto"/>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15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pStyle w:val="102"/>
              <w:spacing w:before="11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A05020107</w:t>
            </w:r>
            <w:r>
              <w:rPr>
                <w:rFonts w:hint="eastAsia" w:ascii="宋体" w:hAnsi="宋体" w:cs="宋体"/>
                <w:color w:val="auto"/>
                <w:kern w:val="2"/>
                <w:sz w:val="21"/>
                <w:szCs w:val="21"/>
                <w:highlight w:val="none"/>
              </w:rPr>
              <w:t>便器冲洗阀</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11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pPr>
              <w:pStyle w:val="102"/>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pStyle w:val="102"/>
              <w:spacing w:before="131"/>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A05020110</w:t>
            </w:r>
            <w:r>
              <w:rPr>
                <w:rFonts w:hint="eastAsia" w:ascii="宋体" w:hAnsi="宋体" w:cs="宋体"/>
                <w:color w:val="auto"/>
                <w:kern w:val="2"/>
                <w:sz w:val="21"/>
                <w:szCs w:val="21"/>
                <w:highlight w:val="none"/>
              </w:rPr>
              <w:t>淋浴</w:t>
            </w:r>
            <w:r>
              <w:rPr>
                <w:rFonts w:hint="eastAsia" w:ascii="宋体" w:hAnsi="宋体" w:cs="宋体"/>
                <w:color w:val="auto"/>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tcPr>
          <w:p>
            <w:pPr>
              <w:pStyle w:val="102"/>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pPr>
        <w:pStyle w:val="18"/>
        <w:spacing w:line="360" w:lineRule="auto"/>
        <w:rPr>
          <w:rFonts w:ascii="宋体" w:hAnsi="宋体"/>
          <w:color w:val="auto"/>
          <w:kern w:val="2"/>
          <w:sz w:val="21"/>
          <w:szCs w:val="21"/>
          <w:highlight w:val="none"/>
        </w:rPr>
      </w:pPr>
      <w:r>
        <w:rPr>
          <w:rFonts w:hint="eastAsia" w:ascii="宋体" w:hAnsi="宋体"/>
          <w:color w:val="auto"/>
          <w:spacing w:val="-3"/>
          <w:sz w:val="21"/>
          <w:szCs w:val="21"/>
          <w:highlight w:val="none"/>
        </w:rPr>
        <w:t>注：</w:t>
      </w:r>
      <w:r>
        <w:rPr>
          <w:rFonts w:ascii="宋体" w:hAnsi="宋体"/>
          <w:color w:val="auto"/>
          <w:spacing w:val="-3"/>
          <w:sz w:val="21"/>
          <w:szCs w:val="21"/>
          <w:highlight w:val="none"/>
        </w:rPr>
        <w:t>1.</w:t>
      </w:r>
      <w:r>
        <w:rPr>
          <w:rFonts w:hint="eastAsia" w:ascii="宋体" w:hAnsi="宋体"/>
          <w:color w:val="auto"/>
          <w:spacing w:val="-3"/>
          <w:sz w:val="21"/>
          <w:szCs w:val="21"/>
          <w:highlight w:val="none"/>
        </w:rPr>
        <w:t>节能产品认证应依据相关国家标准的最新版本，依据国家标准中二级能效（水效）</w:t>
      </w:r>
      <w:r>
        <w:rPr>
          <w:rFonts w:hint="eastAsia" w:ascii="宋体" w:hAnsi="宋体"/>
          <w:color w:val="auto"/>
          <w:sz w:val="21"/>
          <w:szCs w:val="21"/>
          <w:highlight w:val="none"/>
        </w:rPr>
        <w:t>指标。</w:t>
      </w:r>
    </w:p>
    <w:p>
      <w:pPr>
        <w:pStyle w:val="18"/>
        <w:spacing w:line="360" w:lineRule="auto"/>
        <w:ind w:firstLine="465"/>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.以</w:t>
      </w:r>
      <w:r>
        <w:rPr>
          <w:rFonts w:ascii="宋体" w:hAnsi="宋体"/>
          <w:color w:val="auto"/>
          <w:sz w:val="21"/>
          <w:szCs w:val="21"/>
          <w:highlight w:val="none"/>
        </w:rPr>
        <w:t>“</w:t>
      </w:r>
      <w:r>
        <w:rPr>
          <w:rFonts w:hint="eastAsia" w:ascii="宋体" w:hAnsi="宋体"/>
          <w:color w:val="auto"/>
          <w:sz w:val="21"/>
          <w:szCs w:val="21"/>
          <w:highlight w:val="none"/>
        </w:rPr>
        <w:t>★</w:t>
      </w:r>
      <w:r>
        <w:rPr>
          <w:rFonts w:ascii="宋体" w:hAnsi="宋体"/>
          <w:color w:val="auto"/>
          <w:sz w:val="21"/>
          <w:szCs w:val="21"/>
          <w:highlight w:val="none"/>
        </w:rPr>
        <w:t>”</w:t>
      </w:r>
      <w:r>
        <w:rPr>
          <w:rFonts w:hint="eastAsia" w:ascii="宋体" w:hAnsi="宋体"/>
          <w:color w:val="auto"/>
          <w:sz w:val="21"/>
          <w:szCs w:val="21"/>
          <w:highlight w:val="none"/>
        </w:rPr>
        <w:t>标注的为政府强制采购产品。</w:t>
      </w:r>
    </w:p>
    <w:p>
      <w:pPr>
        <w:pStyle w:val="18"/>
        <w:spacing w:line="360" w:lineRule="auto"/>
        <w:ind w:firstLine="465"/>
        <w:rPr>
          <w:rFonts w:ascii="宋体" w:hAnsi="宋体"/>
          <w:color w:val="auto"/>
          <w:sz w:val="21"/>
          <w:szCs w:val="21"/>
          <w:highlight w:val="none"/>
        </w:rPr>
      </w:pPr>
      <w:r>
        <w:rPr>
          <w:rFonts w:hint="eastAsia" w:ascii="宋体" w:hAnsi="宋体"/>
          <w:color w:val="auto"/>
          <w:sz w:val="21"/>
          <w:szCs w:val="21"/>
          <w:highlight w:val="none"/>
        </w:rPr>
        <w:t>3.本表格原为《关于印发节能产品政府采购品目清单的通知》（财库〔2019〕19号）规定的表格附件，其中名称及编码已根据《财政部关于印发〈政府采购品目分类目录〉的通知》（财库〔2022〕31号）修改。</w:t>
      </w:r>
    </w:p>
    <w:p>
      <w:pPr>
        <w:widowControl/>
        <w:jc w:val="left"/>
        <w:rPr>
          <w:rFonts w:ascii="宋体" w:hAnsi="宋体" w:cs="宋体"/>
          <w:color w:val="auto"/>
          <w:sz w:val="20"/>
          <w:szCs w:val="20"/>
          <w:highlight w:val="none"/>
        </w:rPr>
      </w:pPr>
    </w:p>
    <w:p>
      <w:pPr>
        <w:widowControl/>
        <w:jc w:val="left"/>
        <w:rPr>
          <w:rFonts w:ascii="宋体" w:hAnsi="宋体" w:cs="宋体"/>
          <w:color w:val="auto"/>
          <w:sz w:val="20"/>
          <w:szCs w:val="20"/>
          <w:highlight w:val="none"/>
        </w:rPr>
      </w:pPr>
    </w:p>
    <w:p>
      <w:pPr>
        <w:widowControl/>
        <w:jc w:val="left"/>
        <w:rPr>
          <w:rFonts w:ascii="黑体" w:hAnsi="黑体" w:eastAsia="黑体" w:cs="黑体"/>
          <w:color w:val="auto"/>
          <w:sz w:val="32"/>
          <w:szCs w:val="32"/>
          <w:highlight w:val="none"/>
        </w:rPr>
      </w:pPr>
      <w:r>
        <w:rPr>
          <w:rFonts w:ascii="宋体" w:hAnsi="宋体" w:cs="宋体"/>
          <w:color w:val="auto"/>
          <w:sz w:val="20"/>
          <w:szCs w:val="20"/>
          <w:highlight w:val="none"/>
        </w:rPr>
        <w:br w:type="page"/>
      </w:r>
      <w:r>
        <w:rPr>
          <w:rFonts w:hint="eastAsia" w:ascii="黑体" w:hAnsi="黑体" w:eastAsia="黑体" w:cs="黑体"/>
          <w:color w:val="auto"/>
          <w:sz w:val="32"/>
          <w:szCs w:val="32"/>
          <w:highlight w:val="none"/>
        </w:rPr>
        <w:t>附件2：</w:t>
      </w:r>
    </w:p>
    <w:p>
      <w:pPr>
        <w:pStyle w:val="18"/>
        <w:jc w:val="center"/>
        <w:rPr>
          <w:b/>
          <w:color w:val="auto"/>
          <w:sz w:val="28"/>
          <w:szCs w:val="28"/>
          <w:highlight w:val="none"/>
        </w:rPr>
      </w:pPr>
      <w:r>
        <w:rPr>
          <w:rFonts w:hint="eastAsia"/>
          <w:b/>
          <w:color w:val="auto"/>
          <w:sz w:val="28"/>
          <w:szCs w:val="28"/>
          <w:highlight w:val="none"/>
        </w:rPr>
        <w:t>中小企业划型标准规定</w:t>
      </w:r>
    </w:p>
    <w:p>
      <w:pPr>
        <w:pStyle w:val="18"/>
        <w:jc w:val="center"/>
        <w:rPr>
          <w:rFonts w:ascii="宋体" w:hAnsi="宋体"/>
          <w:color w:val="auto"/>
          <w:sz w:val="21"/>
          <w:szCs w:val="21"/>
          <w:highlight w:val="none"/>
        </w:rPr>
      </w:pPr>
      <w:r>
        <w:rPr>
          <w:rFonts w:hint="eastAsia" w:ascii="宋体" w:hAnsi="宋体"/>
          <w:color w:val="auto"/>
          <w:sz w:val="21"/>
          <w:szCs w:val="21"/>
          <w:highlight w:val="none"/>
        </w:rPr>
        <w:t>工信部联企业[2011]300号</w:t>
      </w:r>
    </w:p>
    <w:p>
      <w:pPr>
        <w:pStyle w:val="18"/>
        <w:rPr>
          <w:color w:val="auto"/>
          <w:sz w:val="21"/>
          <w:szCs w:val="21"/>
          <w:highlight w:val="none"/>
        </w:rPr>
      </w:pPr>
    </w:p>
    <w:p>
      <w:pPr>
        <w:pStyle w:val="18"/>
        <w:rPr>
          <w:color w:val="auto"/>
          <w:sz w:val="21"/>
          <w:szCs w:val="21"/>
          <w:highlight w:val="none"/>
        </w:rPr>
      </w:pPr>
      <w:r>
        <w:rPr>
          <w:rFonts w:hint="eastAsia"/>
          <w:color w:val="auto"/>
          <w:sz w:val="21"/>
          <w:szCs w:val="21"/>
          <w:highlight w:val="none"/>
        </w:rPr>
        <w:t>　　一、根据《中华人民共和国中小企业促进法》和《国务院关于进一步促进中小企业发展的若干意见》(国发[2009]36号)，制定本规定。</w:t>
      </w:r>
    </w:p>
    <w:p>
      <w:pPr>
        <w:pStyle w:val="18"/>
        <w:rPr>
          <w:color w:val="auto"/>
          <w:sz w:val="21"/>
          <w:szCs w:val="21"/>
          <w:highlight w:val="none"/>
        </w:rPr>
      </w:pPr>
      <w:r>
        <w:rPr>
          <w:rFonts w:hint="eastAsia"/>
          <w:color w:val="auto"/>
          <w:sz w:val="21"/>
          <w:szCs w:val="21"/>
          <w:highlight w:val="none"/>
        </w:rPr>
        <w:t>　　二、中小企业划分为中型、小型、微型三种类型，具体标准根据企业从业人员、营业收入、资产总额等指标，结合行业特点制定。</w:t>
      </w:r>
    </w:p>
    <w:p>
      <w:pPr>
        <w:pStyle w:val="18"/>
        <w:rPr>
          <w:color w:val="auto"/>
          <w:sz w:val="21"/>
          <w:szCs w:val="21"/>
          <w:highlight w:val="none"/>
        </w:rPr>
      </w:pPr>
      <w:r>
        <w:rPr>
          <w:rFonts w:hint="eastAsia"/>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8"/>
        <w:rPr>
          <w:color w:val="auto"/>
          <w:sz w:val="21"/>
          <w:szCs w:val="21"/>
          <w:highlight w:val="none"/>
        </w:rPr>
      </w:pPr>
      <w:r>
        <w:rPr>
          <w:rFonts w:hint="eastAsia"/>
          <w:color w:val="auto"/>
          <w:sz w:val="21"/>
          <w:szCs w:val="21"/>
          <w:highlight w:val="none"/>
        </w:rPr>
        <w:t>　　四、各行业划型标准为：</w:t>
      </w:r>
    </w:p>
    <w:p>
      <w:pPr>
        <w:pStyle w:val="18"/>
        <w:rPr>
          <w:color w:val="auto"/>
          <w:sz w:val="21"/>
          <w:szCs w:val="21"/>
          <w:highlight w:val="none"/>
        </w:rPr>
      </w:pPr>
      <w:r>
        <w:rPr>
          <w:rFonts w:hint="eastAsia"/>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18"/>
        <w:rPr>
          <w:color w:val="auto"/>
          <w:sz w:val="21"/>
          <w:szCs w:val="21"/>
          <w:highlight w:val="none"/>
        </w:rPr>
      </w:pPr>
      <w:r>
        <w:rPr>
          <w:rFonts w:hint="eastAsia"/>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8"/>
        <w:rPr>
          <w:color w:val="auto"/>
          <w:sz w:val="21"/>
          <w:szCs w:val="21"/>
          <w:highlight w:val="none"/>
        </w:rPr>
      </w:pPr>
      <w:r>
        <w:rPr>
          <w:rFonts w:hint="eastAsia"/>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8"/>
        <w:rPr>
          <w:color w:val="auto"/>
          <w:sz w:val="21"/>
          <w:szCs w:val="21"/>
          <w:highlight w:val="none"/>
        </w:rPr>
      </w:pPr>
      <w:r>
        <w:rPr>
          <w:rFonts w:hint="eastAsia"/>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8"/>
        <w:rPr>
          <w:color w:val="auto"/>
          <w:sz w:val="21"/>
          <w:szCs w:val="21"/>
          <w:highlight w:val="none"/>
        </w:rPr>
      </w:pPr>
      <w:r>
        <w:rPr>
          <w:rFonts w:hint="eastAsia"/>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8"/>
        <w:rPr>
          <w:color w:val="auto"/>
          <w:sz w:val="21"/>
          <w:szCs w:val="21"/>
          <w:highlight w:val="none"/>
        </w:rPr>
      </w:pPr>
      <w:r>
        <w:rPr>
          <w:rFonts w:hint="eastAsia"/>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8"/>
        <w:rPr>
          <w:color w:val="auto"/>
          <w:sz w:val="21"/>
          <w:szCs w:val="21"/>
          <w:highlight w:val="none"/>
        </w:rPr>
      </w:pPr>
      <w:r>
        <w:rPr>
          <w:rFonts w:hint="eastAsia"/>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8"/>
        <w:rPr>
          <w:color w:val="auto"/>
          <w:sz w:val="21"/>
          <w:szCs w:val="21"/>
          <w:highlight w:val="none"/>
        </w:rPr>
      </w:pPr>
      <w:r>
        <w:rPr>
          <w:rFonts w:hint="eastAsia"/>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8"/>
        <w:rPr>
          <w:color w:val="auto"/>
          <w:sz w:val="21"/>
          <w:szCs w:val="21"/>
          <w:highlight w:val="none"/>
        </w:rPr>
      </w:pPr>
      <w:r>
        <w:rPr>
          <w:rFonts w:hint="eastAsia"/>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
        <w:rPr>
          <w:color w:val="auto"/>
          <w:sz w:val="21"/>
          <w:szCs w:val="21"/>
          <w:highlight w:val="none"/>
        </w:rPr>
      </w:pPr>
      <w:r>
        <w:rPr>
          <w:rFonts w:hint="eastAsia"/>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
        <w:rPr>
          <w:color w:val="auto"/>
          <w:sz w:val="21"/>
          <w:szCs w:val="21"/>
          <w:highlight w:val="none"/>
        </w:rPr>
      </w:pPr>
      <w:r>
        <w:rPr>
          <w:rFonts w:hint="eastAsia"/>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8"/>
        <w:rPr>
          <w:color w:val="auto"/>
          <w:sz w:val="21"/>
          <w:szCs w:val="21"/>
          <w:highlight w:val="none"/>
        </w:rPr>
      </w:pPr>
      <w:r>
        <w:rPr>
          <w:rFonts w:hint="eastAsia"/>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8"/>
        <w:rPr>
          <w:color w:val="auto"/>
          <w:sz w:val="21"/>
          <w:szCs w:val="21"/>
          <w:highlight w:val="none"/>
        </w:rPr>
      </w:pPr>
      <w:r>
        <w:rPr>
          <w:rFonts w:hint="eastAsia"/>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8"/>
        <w:rPr>
          <w:color w:val="auto"/>
          <w:sz w:val="21"/>
          <w:szCs w:val="21"/>
          <w:highlight w:val="none"/>
        </w:rPr>
      </w:pPr>
      <w:r>
        <w:rPr>
          <w:rFonts w:hint="eastAsia"/>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8"/>
        <w:rPr>
          <w:color w:val="auto"/>
          <w:sz w:val="21"/>
          <w:szCs w:val="21"/>
          <w:highlight w:val="none"/>
        </w:rPr>
      </w:pPr>
      <w:r>
        <w:rPr>
          <w:rFonts w:hint="eastAsia"/>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8"/>
        <w:rPr>
          <w:color w:val="auto"/>
          <w:sz w:val="21"/>
          <w:szCs w:val="21"/>
          <w:highlight w:val="none"/>
        </w:rPr>
      </w:pPr>
      <w:r>
        <w:rPr>
          <w:rFonts w:hint="eastAsia"/>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pPr>
        <w:pStyle w:val="18"/>
        <w:rPr>
          <w:color w:val="auto"/>
          <w:sz w:val="21"/>
          <w:szCs w:val="21"/>
          <w:highlight w:val="none"/>
        </w:rPr>
      </w:pPr>
      <w:r>
        <w:rPr>
          <w:rFonts w:hint="eastAsia"/>
          <w:color w:val="auto"/>
          <w:sz w:val="21"/>
          <w:szCs w:val="21"/>
          <w:highlight w:val="none"/>
        </w:rPr>
        <w:t>　　五、企业类型的划分以统计部门的统计数据为依据。</w:t>
      </w:r>
    </w:p>
    <w:p>
      <w:pPr>
        <w:pStyle w:val="18"/>
        <w:rPr>
          <w:color w:val="auto"/>
          <w:sz w:val="21"/>
          <w:szCs w:val="21"/>
          <w:highlight w:val="none"/>
        </w:rPr>
      </w:pPr>
      <w:r>
        <w:rPr>
          <w:rFonts w:hint="eastAsia"/>
          <w:color w:val="auto"/>
          <w:sz w:val="21"/>
          <w:szCs w:val="21"/>
          <w:highlight w:val="none"/>
        </w:rPr>
        <w:t>　　六、本规定适用于在中华人民共和国境内依法设立的各类所有制和各种组织形式的企业。个体工商户和本规定以外的行业，参照本规定进行划型。</w:t>
      </w:r>
    </w:p>
    <w:p>
      <w:pPr>
        <w:pStyle w:val="18"/>
        <w:rPr>
          <w:color w:val="auto"/>
          <w:sz w:val="21"/>
          <w:szCs w:val="21"/>
          <w:highlight w:val="none"/>
        </w:rPr>
      </w:pPr>
      <w:r>
        <w:rPr>
          <w:rFonts w:hint="eastAsia"/>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18"/>
        <w:rPr>
          <w:color w:val="auto"/>
          <w:sz w:val="21"/>
          <w:szCs w:val="21"/>
          <w:highlight w:val="none"/>
        </w:rPr>
      </w:pPr>
      <w:r>
        <w:rPr>
          <w:rFonts w:hint="eastAsia"/>
          <w:color w:val="auto"/>
          <w:sz w:val="21"/>
          <w:szCs w:val="21"/>
          <w:highlight w:val="none"/>
        </w:rPr>
        <w:t>　　八、本规定由工业和信息化部、国家统计局会同有关部门根据《国民经济行业分类》修订情况和企业发展变化情况适时修订。</w:t>
      </w:r>
    </w:p>
    <w:p>
      <w:pPr>
        <w:pStyle w:val="18"/>
        <w:rPr>
          <w:color w:val="auto"/>
          <w:sz w:val="21"/>
          <w:szCs w:val="21"/>
          <w:highlight w:val="none"/>
        </w:rPr>
      </w:pPr>
      <w:r>
        <w:rPr>
          <w:rFonts w:hint="eastAsia"/>
          <w:color w:val="auto"/>
          <w:sz w:val="21"/>
          <w:szCs w:val="21"/>
          <w:highlight w:val="none"/>
        </w:rPr>
        <w:t>　　九、本规定由工业和信息化部、国家统计局会同有关部门负责解释。</w:t>
      </w:r>
    </w:p>
    <w:p>
      <w:pPr>
        <w:pStyle w:val="18"/>
        <w:ind w:firstLine="420"/>
        <w:rPr>
          <w:color w:val="auto"/>
          <w:sz w:val="21"/>
          <w:szCs w:val="21"/>
          <w:highlight w:val="none"/>
        </w:rPr>
      </w:pPr>
      <w:r>
        <w:rPr>
          <w:rFonts w:hint="eastAsia"/>
          <w:color w:val="auto"/>
          <w:sz w:val="21"/>
          <w:szCs w:val="21"/>
          <w:highlight w:val="none"/>
        </w:rPr>
        <w:t>十、本规定自发布之日起执行，原国家经贸委、原国家计委、财政部和国家统计局2003年颁布的《中小企业标准暂行规定》同时废止。</w:t>
      </w:r>
    </w:p>
    <w:p>
      <w:pPr>
        <w:pStyle w:val="18"/>
        <w:ind w:firstLine="420"/>
        <w:rPr>
          <w:color w:val="auto"/>
          <w:sz w:val="21"/>
          <w:szCs w:val="21"/>
          <w:highlight w:val="none"/>
        </w:rPr>
      </w:pPr>
    </w:p>
    <w:p>
      <w:pPr>
        <w:pStyle w:val="3"/>
        <w:spacing w:before="0" w:after="0" w:line="360" w:lineRule="auto"/>
        <w:jc w:val="center"/>
        <w:rPr>
          <w:color w:val="auto"/>
          <w:highlight w:val="none"/>
        </w:rPr>
      </w:pPr>
      <w:bookmarkStart w:id="48" w:name="_Toc74320802"/>
      <w:r>
        <w:rPr>
          <w:color w:val="auto"/>
          <w:highlight w:val="none"/>
        </w:rPr>
        <w:br w:type="page"/>
      </w:r>
      <w:r>
        <w:rPr>
          <w:rFonts w:hint="eastAsia"/>
          <w:color w:val="auto"/>
          <w:highlight w:val="none"/>
        </w:rPr>
        <w:t>第三章  投标人须知</w:t>
      </w:r>
      <w:bookmarkEnd w:id="48"/>
    </w:p>
    <w:p>
      <w:pPr>
        <w:jc w:val="center"/>
        <w:rPr>
          <w:color w:val="auto"/>
          <w:sz w:val="36"/>
          <w:szCs w:val="36"/>
          <w:highlight w:val="none"/>
        </w:rPr>
      </w:pPr>
      <w:bookmarkStart w:id="49" w:name="_Toc254970667"/>
      <w:bookmarkStart w:id="50" w:name="_Toc254970526"/>
      <w:r>
        <w:rPr>
          <w:rFonts w:hint="eastAsia"/>
          <w:color w:val="auto"/>
          <w:sz w:val="36"/>
          <w:szCs w:val="36"/>
          <w:highlight w:val="none"/>
        </w:rPr>
        <w:t>投标人须知前附表</w:t>
      </w:r>
      <w:bookmarkEnd w:id="49"/>
      <w:bookmarkEnd w:id="50"/>
    </w:p>
    <w:tbl>
      <w:tblPr>
        <w:tblStyle w:val="45"/>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条款号</w:t>
            </w:r>
          </w:p>
        </w:tc>
        <w:tc>
          <w:tcPr>
            <w:tcW w:w="867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867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投标人的资格要求详见招标公告。</w:t>
            </w: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投标人出现下列情形之一的，不得参加政府采购活动：</w:t>
            </w:r>
          </w:p>
          <w:p>
            <w:pPr>
              <w:snapToGrid w:val="0"/>
              <w:spacing w:line="360" w:lineRule="auto"/>
              <w:jc w:val="left"/>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bookmarkStart w:id="51" w:name="_9.2"/>
            <w:bookmarkEnd w:id="51"/>
            <w:bookmarkStart w:id="52" w:name="_5"/>
            <w:bookmarkEnd w:id="52"/>
            <w:bookmarkStart w:id="53" w:name="_8.1"/>
            <w:bookmarkEnd w:id="53"/>
            <w:r>
              <w:rPr>
                <w:rFonts w:hint="eastAsia" w:ascii="宋体" w:hAnsi="宋体"/>
                <w:color w:val="auto"/>
                <w:szCs w:val="21"/>
                <w:highlight w:val="none"/>
              </w:rPr>
              <w:t>6.1</w:t>
            </w:r>
          </w:p>
        </w:tc>
        <w:tc>
          <w:tcPr>
            <w:tcW w:w="8670"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rPr>
                <w:rFonts w:ascii="宋体" w:hAnsi="宋体"/>
                <w:color w:val="auto"/>
                <w:szCs w:val="21"/>
                <w:highlight w:val="none"/>
              </w:rPr>
            </w:pPr>
            <w:r>
              <w:rPr>
                <w:rFonts w:hint="eastAsia" w:ascii="宋体" w:hAnsi="宋体"/>
                <w:color w:val="auto"/>
                <w:szCs w:val="21"/>
                <w:highlight w:val="none"/>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r>
              <w:rPr>
                <w:rFonts w:ascii="宋体" w:hAnsi="宋体"/>
                <w:color w:val="auto"/>
                <w:szCs w:val="21"/>
                <w:highlight w:val="none"/>
              </w:rPr>
              <w:t>6.2</w:t>
            </w:r>
          </w:p>
        </w:tc>
        <w:tc>
          <w:tcPr>
            <w:tcW w:w="8670"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rPr>
                <w:rFonts w:ascii="宋体" w:hAnsi="宋体"/>
                <w:color w:val="auto"/>
                <w:szCs w:val="21"/>
                <w:highlight w:val="none"/>
              </w:rPr>
            </w:pPr>
            <w:bookmarkStart w:id="54" w:name="_Hlk54105293"/>
            <w:r>
              <w:rPr>
                <w:rFonts w:hint="eastAsia" w:ascii="宋体" w:hAnsi="宋体"/>
                <w:color w:val="auto"/>
                <w:szCs w:val="21"/>
                <w:highlight w:val="none"/>
              </w:rPr>
              <w:t>如接受联合体投标，</w:t>
            </w:r>
            <w:bookmarkEnd w:id="54"/>
            <w:r>
              <w:rPr>
                <w:rFonts w:hint="eastAsia" w:ascii="宋体" w:hAnsi="宋体"/>
                <w:color w:val="auto"/>
                <w:szCs w:val="21"/>
                <w:highlight w:val="none"/>
              </w:rPr>
              <w:t>联合体投标要求如下：</w:t>
            </w:r>
          </w:p>
          <w:p>
            <w:pPr>
              <w:pStyle w:val="16"/>
              <w:spacing w:line="360" w:lineRule="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两个以上投标人可以组成一个投标联合体，以一个投标人的身份共同参加投标。联合体投标的，须提供《联合体投标协议书》（格式后附）。</w:t>
            </w:r>
          </w:p>
          <w:p>
            <w:pPr>
              <w:pStyle w:val="16"/>
              <w:spacing w:line="360" w:lineRule="auto"/>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pPr>
              <w:pStyle w:val="16"/>
              <w:spacing w:line="360" w:lineRule="auto"/>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联合体各方之间必须签订联合投标协议，协议书必须明确主体方（或者牵头方）并明确约定联合体各方承担的工作和相应的责任（各方承担责任与义务的分工必须符合采购需求，否则，</w:t>
            </w:r>
            <w:r>
              <w:rPr>
                <w:rFonts w:hint="eastAsia" w:ascii="宋体" w:hAnsi="宋体"/>
                <w:b/>
                <w:bCs/>
                <w:color w:val="auto"/>
                <w:szCs w:val="21"/>
                <w:highlight w:val="none"/>
              </w:rPr>
              <w:t>联合体投标无效</w:t>
            </w:r>
            <w:r>
              <w:rPr>
                <w:rFonts w:hint="eastAsia" w:ascii="宋体" w:hAnsi="宋体"/>
                <w:color w:val="auto"/>
                <w:szCs w:val="21"/>
                <w:highlight w:val="none"/>
              </w:rPr>
              <w:t>），并将联合投标协议放入投标文件。联合体各方必须共同与采购人签订采购合同，就采购合同约定的事项对采购人承担连带责任。</w:t>
            </w:r>
          </w:p>
          <w:p>
            <w:pPr>
              <w:pStyle w:val="16"/>
              <w:spacing w:line="360" w:lineRule="auto"/>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以联合体形式参加政府采购活动的，联合体各方不得再单独参加或者与其他投标人另外组成联合体参加同一合同项下的政府采购活动。</w:t>
            </w:r>
          </w:p>
          <w:p>
            <w:pPr>
              <w:pStyle w:val="16"/>
              <w:spacing w:line="360" w:lineRule="auto"/>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联合体中有同类资质的投标人按照联合体分工承担相同工作的，应当按照资质等级较低的投标人确定资质等级。</w:t>
            </w:r>
          </w:p>
          <w:p>
            <w:pPr>
              <w:pStyle w:val="16"/>
              <w:spacing w:line="360" w:lineRule="auto"/>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联合体投标业绩、履约能力按照联合体各方其中较高的一方认定并计算（招标文件另有规定的除外）。</w:t>
            </w:r>
          </w:p>
          <w:p>
            <w:pPr>
              <w:pStyle w:val="16"/>
              <w:spacing w:line="360" w:lineRule="auto"/>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投标人为联合体的，可以由联合体中的一方或者多方共同交纳投标保证金，其交纳的保证金对联合体各方均具有约束力。</w:t>
            </w:r>
          </w:p>
          <w:p>
            <w:pPr>
              <w:pStyle w:val="16"/>
              <w:spacing w:line="360" w:lineRule="auto"/>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7.2</w:t>
            </w:r>
          </w:p>
        </w:tc>
        <w:tc>
          <w:tcPr>
            <w:tcW w:w="8670"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rPr>
                <w:rFonts w:ascii="宋体" w:hAnsi="宋体"/>
                <w:color w:val="auto"/>
                <w:szCs w:val="21"/>
                <w:highlight w:val="none"/>
              </w:rPr>
            </w:pPr>
            <w:r>
              <w:rPr>
                <w:rFonts w:hint="eastAsia" w:ascii="宋体" w:hAnsi="宋体"/>
                <w:color w:val="auto"/>
                <w:szCs w:val="21"/>
                <w:highlight w:val="none"/>
              </w:rPr>
              <w:t>√不允许分包</w:t>
            </w:r>
          </w:p>
          <w:p>
            <w:pPr>
              <w:pStyle w:val="16"/>
              <w:spacing w:line="360" w:lineRule="auto"/>
              <w:rPr>
                <w:rFonts w:ascii="宋体" w:hAnsi="宋体"/>
                <w:color w:val="auto"/>
                <w:szCs w:val="21"/>
                <w:highlight w:val="none"/>
              </w:rPr>
            </w:pPr>
            <w:r>
              <w:rPr>
                <w:rFonts w:hint="eastAsia" w:ascii="宋体" w:hAnsi="宋体"/>
                <w:color w:val="auto"/>
                <w:szCs w:val="21"/>
                <w:highlight w:val="none"/>
              </w:rPr>
              <w:t>□允许分包</w:t>
            </w:r>
          </w:p>
          <w:p>
            <w:pPr>
              <w:pStyle w:val="16"/>
              <w:spacing w:line="360" w:lineRule="auto"/>
              <w:rPr>
                <w:rFonts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p>
          <w:p>
            <w:pPr>
              <w:pStyle w:val="16"/>
              <w:spacing w:line="360" w:lineRule="auto"/>
              <w:jc w:val="both"/>
              <w:rPr>
                <w:rFonts w:ascii="宋体" w:hAnsi="宋体"/>
                <w:color w:val="auto"/>
                <w:szCs w:val="21"/>
                <w:highlight w:val="none"/>
                <w:u w:val="singl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8.1</w:t>
            </w:r>
          </w:p>
        </w:tc>
        <w:tc>
          <w:tcPr>
            <w:tcW w:w="867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提供相同品牌产品（非单一产品采购项目的，指核心产品）的不同投标人评审得分相同时，按照下列方式确定一个投标人获得中标人推荐资格：</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√依次按投标报价低的优先、政策分得分高的优先、技术评分高的优先、商务评分高的优先、质保期长优先、交货期短优先、故障响应时间短优先的顺序推荐；</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11" w:hRule="atLeast"/>
        </w:trPr>
        <w:tc>
          <w:tcPr>
            <w:tcW w:w="895" w:type="dxa"/>
            <w:vMerge w:val="restart"/>
            <w:tcBorders>
              <w:top w:val="single" w:color="auto" w:sz="4" w:space="0"/>
              <w:left w:val="single" w:color="auto" w:sz="4" w:space="0"/>
              <w:right w:val="single" w:color="auto" w:sz="4" w:space="0"/>
            </w:tcBorders>
            <w:noWrap/>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867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□不组织现场考察</w:t>
            </w:r>
          </w:p>
          <w:p>
            <w:pPr>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组织现场考察：</w:t>
            </w:r>
            <w:r>
              <w:rPr>
                <w:rFonts w:hint="eastAsia" w:ascii="宋体" w:hAnsi="宋体"/>
                <w:color w:val="auto"/>
                <w:szCs w:val="21"/>
                <w:highlight w:val="none"/>
              </w:rPr>
              <w:t>具体详见《第二章 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p>
        </w:tc>
        <w:tc>
          <w:tcPr>
            <w:tcW w:w="867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√不组织召开开标前答疑会</w:t>
            </w:r>
          </w:p>
          <w:p>
            <w:pPr>
              <w:snapToGrid w:val="0"/>
              <w:spacing w:line="360" w:lineRule="auto"/>
              <w:rPr>
                <w:rFonts w:ascii="宋体" w:hAnsi="宋体"/>
                <w:color w:val="auto"/>
                <w:szCs w:val="21"/>
                <w:highlight w:val="none"/>
              </w:rPr>
            </w:pPr>
            <w:r>
              <w:rPr>
                <w:rFonts w:hint="eastAsia" w:ascii="宋体" w:hAnsi="宋体"/>
                <w:color w:val="auto"/>
                <w:szCs w:val="21"/>
                <w:highlight w:val="none"/>
              </w:rPr>
              <w:t>□组织召开开标前答疑会</w:t>
            </w:r>
          </w:p>
          <w:p>
            <w:pPr>
              <w:snapToGrid w:val="0"/>
              <w:spacing w:line="360" w:lineRule="auto"/>
              <w:rPr>
                <w:rFonts w:ascii="宋体" w:hAnsi="宋体"/>
                <w:color w:val="auto"/>
                <w:szCs w:val="21"/>
                <w:highlight w:val="none"/>
              </w:rPr>
            </w:pPr>
            <w:r>
              <w:rPr>
                <w:rFonts w:hint="eastAsia" w:ascii="宋体" w:hAnsi="宋体"/>
                <w:color w:val="auto"/>
                <w:szCs w:val="21"/>
                <w:highlight w:val="none"/>
              </w:rPr>
              <w:t>会议开始时间：年月日 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noWrap/>
            <w:vAlign w:val="center"/>
          </w:tcPr>
          <w:p>
            <w:pPr>
              <w:spacing w:line="360" w:lineRule="auto"/>
              <w:jc w:val="center"/>
              <w:rPr>
                <w:rFonts w:ascii="宋体" w:hAnsi="宋体"/>
                <w:color w:val="auto"/>
                <w:szCs w:val="21"/>
                <w:highlight w:val="none"/>
              </w:rPr>
            </w:pPr>
            <w:bookmarkStart w:id="55" w:name="_13.1"/>
            <w:bookmarkEnd w:id="55"/>
            <w:r>
              <w:rPr>
                <w:rFonts w:hint="eastAsia" w:ascii="宋体" w:hAnsi="宋体"/>
                <w:color w:val="auto"/>
                <w:szCs w:val="21"/>
                <w:highlight w:val="none"/>
              </w:rPr>
              <w:t>13</w:t>
            </w:r>
          </w:p>
        </w:tc>
        <w:tc>
          <w:tcPr>
            <w:tcW w:w="867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Courier New"/>
                <w:b/>
                <w:color w:val="auto"/>
                <w:szCs w:val="21"/>
                <w:highlight w:val="none"/>
              </w:rPr>
            </w:pPr>
            <w:r>
              <w:rPr>
                <w:rFonts w:hint="eastAsia" w:ascii="宋体" w:hAnsi="宋体" w:cs="Courier New"/>
                <w:b/>
                <w:color w:val="auto"/>
                <w:szCs w:val="21"/>
                <w:highlight w:val="none"/>
              </w:rPr>
              <w:t>报价文件：</w:t>
            </w:r>
          </w:p>
          <w:p>
            <w:pPr>
              <w:tabs>
                <w:tab w:val="left" w:pos="459"/>
              </w:tabs>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（必须提供，否则按无效投标处理）</w:t>
            </w:r>
          </w:p>
          <w:p>
            <w:pPr>
              <w:tabs>
                <w:tab w:val="left" w:pos="459"/>
              </w:tabs>
              <w:snapToGrid w:val="0"/>
              <w:spacing w:line="360" w:lineRule="auto"/>
              <w:ind w:left="420"/>
              <w:jc w:val="left"/>
              <w:rPr>
                <w:rFonts w:ascii="宋体" w:hAnsi="宋体"/>
                <w:color w:val="auto"/>
                <w:szCs w:val="21"/>
                <w:highlight w:val="none"/>
              </w:rPr>
            </w:pPr>
            <w:bookmarkStart w:id="56" w:name="_Hlk71299233"/>
            <w:r>
              <w:rPr>
                <w:rFonts w:hint="eastAsia" w:ascii="宋体" w:hAnsi="宋体"/>
                <w:color w:val="auto"/>
                <w:szCs w:val="21"/>
                <w:highlight w:val="none"/>
              </w:rPr>
              <w:t>2.开标一览表</w:t>
            </w:r>
            <w:bookmarkEnd w:id="56"/>
            <w:r>
              <w:rPr>
                <w:rFonts w:hint="eastAsia" w:ascii="宋体" w:hAnsi="宋体"/>
                <w:color w:val="auto"/>
                <w:szCs w:val="21"/>
                <w:highlight w:val="none"/>
              </w:rPr>
              <w:t>（格式后附）；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tabs>
                <w:tab w:val="left" w:pos="459"/>
              </w:tabs>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3.投标人针对报价需要说明的其他文件和说明，如《中小企业声明函》。</w:t>
            </w:r>
          </w:p>
          <w:p>
            <w:pPr>
              <w:pStyle w:val="18"/>
              <w:rPr>
                <w:color w:val="auto"/>
                <w:highlight w:val="none"/>
              </w:rPr>
            </w:pP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ign w:val="center"/>
          </w:tcPr>
          <w:p>
            <w:pPr>
              <w:spacing w:line="360" w:lineRule="auto"/>
              <w:rPr>
                <w:rFonts w:ascii="宋体" w:hAnsi="宋体"/>
                <w:color w:val="auto"/>
                <w:szCs w:val="21"/>
                <w:highlight w:val="none"/>
              </w:rPr>
            </w:pPr>
            <w:bookmarkStart w:id="57" w:name="_13.2"/>
            <w:bookmarkEnd w:id="57"/>
          </w:p>
        </w:tc>
        <w:tc>
          <w:tcPr>
            <w:tcW w:w="867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Courier New"/>
                <w:b/>
                <w:color w:val="auto"/>
                <w:szCs w:val="21"/>
                <w:highlight w:val="none"/>
              </w:rPr>
            </w:pPr>
            <w:r>
              <w:rPr>
                <w:rFonts w:hint="eastAsia" w:ascii="宋体" w:hAnsi="宋体" w:cs="Courier New"/>
                <w:b/>
                <w:color w:val="auto"/>
                <w:szCs w:val="21"/>
                <w:highlight w:val="none"/>
              </w:rPr>
              <w:t>资格证明文件</w:t>
            </w:r>
          </w:p>
          <w:p>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（如营业执照或者事业单位法人证书或者</w:t>
            </w:r>
            <w:r>
              <w:rPr>
                <w:rStyle w:val="94"/>
                <w:color w:val="auto"/>
                <w:sz w:val="21"/>
                <w:szCs w:val="21"/>
                <w:highlight w:val="none"/>
              </w:rPr>
              <w:t>执业许可证</w:t>
            </w:r>
            <w:r>
              <w:rPr>
                <w:rFonts w:hint="eastAsia" w:ascii="宋体" w:hAnsi="宋体" w:cs="宋体"/>
                <w:color w:val="auto"/>
                <w:szCs w:val="21"/>
                <w:highlight w:val="none"/>
              </w:rPr>
              <w:t>或者登记证书等）</w:t>
            </w:r>
            <w:r>
              <w:rPr>
                <w:rFonts w:hint="eastAsia" w:ascii="宋体" w:hAnsi="宋体"/>
                <w:color w:val="auto"/>
                <w:szCs w:val="21"/>
                <w:highlight w:val="none"/>
              </w:rPr>
              <w:t>，投标人为自然人的，提供身份证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s="宋体"/>
                <w:color w:val="auto"/>
                <w:szCs w:val="21"/>
                <w:highlight w:val="none"/>
              </w:rPr>
              <w:t>2.投标人依法缴纳税收的相关材料（</w:t>
            </w:r>
            <w:r>
              <w:rPr>
                <w:rFonts w:ascii="宋体" w:hAnsi="宋体" w:cs="宋体"/>
                <w:color w:val="auto"/>
                <w:szCs w:val="21"/>
                <w:highlight w:val="none"/>
                <w:u w:val="single"/>
              </w:rPr>
              <w:t>2023</w:t>
            </w:r>
            <w:r>
              <w:rPr>
                <w:rFonts w:hint="eastAsia" w:ascii="宋体" w:hAnsi="宋体" w:cs="宋体"/>
                <w:color w:val="auto"/>
                <w:szCs w:val="21"/>
                <w:highlight w:val="none"/>
              </w:rPr>
              <w:t>年</w:t>
            </w:r>
            <w:r>
              <w:rPr>
                <w:rFonts w:ascii="宋体" w:hAnsi="宋体" w:cs="宋体"/>
                <w:color w:val="auto"/>
                <w:szCs w:val="21"/>
                <w:highlight w:val="none"/>
                <w:u w:val="single"/>
              </w:rPr>
              <w:t>10</w:t>
            </w:r>
            <w:r>
              <w:rPr>
                <w:rFonts w:hint="eastAsia" w:ascii="宋体" w:hAnsi="宋体" w:cs="宋体"/>
                <w:color w:val="auto"/>
                <w:szCs w:val="21"/>
                <w:highlight w:val="none"/>
              </w:rPr>
              <w:t>月至</w:t>
            </w:r>
            <w:r>
              <w:rPr>
                <w:rFonts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6</w:t>
            </w:r>
            <w:r>
              <w:rPr>
                <w:rFonts w:hint="eastAsia" w:ascii="宋体" w:hAnsi="宋体" w:cs="宋体"/>
                <w:color w:val="auto"/>
                <w:szCs w:val="21"/>
                <w:highlight w:val="none"/>
              </w:rPr>
              <w:t>月内连续</w:t>
            </w:r>
            <w:r>
              <w:rPr>
                <w:rFonts w:ascii="宋体" w:hAnsi="宋体" w:cs="宋体"/>
                <w:color w:val="auto"/>
                <w:szCs w:val="21"/>
                <w:highlight w:val="none"/>
                <w:u w:val="single"/>
              </w:rPr>
              <w:t>3</w:t>
            </w:r>
            <w:r>
              <w:rPr>
                <w:rFonts w:hint="eastAsia" w:ascii="宋体" w:hAnsi="宋体" w:cs="宋体"/>
                <w:color w:val="auto"/>
                <w:szCs w:val="21"/>
                <w:highlight w:val="none"/>
              </w:rPr>
              <w:t>个月的依法缴纳税收的</w:t>
            </w:r>
            <w:r>
              <w:rPr>
                <w:rFonts w:hint="eastAsia"/>
                <w:color w:val="auto"/>
                <w:highlight w:val="none"/>
              </w:rPr>
              <w:t>证明材料</w:t>
            </w:r>
            <w:r>
              <w:rPr>
                <w:rFonts w:hint="eastAsia" w:ascii="宋体" w:hAnsi="宋体" w:cs="宋体"/>
                <w:color w:val="auto"/>
                <w:szCs w:val="21"/>
                <w:highlight w:val="none"/>
              </w:rPr>
              <w:t>复印件；</w:t>
            </w:r>
            <w:r>
              <w:rPr>
                <w:rFonts w:hint="eastAsia" w:ascii="宋体" w:hAnsi="宋体"/>
                <w:color w:val="auto"/>
                <w:szCs w:val="21"/>
                <w:highlight w:val="none"/>
              </w:rPr>
              <w:t>依法免税的供应商，</w:t>
            </w:r>
            <w:r>
              <w:rPr>
                <w:rFonts w:hint="eastAsia"/>
                <w:color w:val="auto"/>
                <w:highlight w:val="none"/>
              </w:rPr>
              <w:t>必须提供符合免税条件的证明材料</w:t>
            </w:r>
            <w:r>
              <w:rPr>
                <w:rFonts w:hint="eastAsia" w:ascii="宋体" w:hAnsi="宋体"/>
                <w:color w:val="auto"/>
                <w:szCs w:val="21"/>
                <w:highlight w:val="none"/>
              </w:rPr>
              <w:t>。</w:t>
            </w:r>
            <w:r>
              <w:rPr>
                <w:rFonts w:hint="eastAsia" w:ascii="宋体" w:hAnsi="宋体" w:cs="宋体"/>
                <w:color w:val="auto"/>
                <w:szCs w:val="21"/>
                <w:highlight w:val="none"/>
              </w:rPr>
              <w:t>从</w:t>
            </w:r>
            <w:r>
              <w:rPr>
                <w:rFonts w:hint="eastAsia"/>
                <w:color w:val="auto"/>
                <w:szCs w:val="21"/>
                <w:highlight w:val="none"/>
              </w:rPr>
              <w:t>成立之日</w:t>
            </w:r>
            <w:r>
              <w:rPr>
                <w:rFonts w:hint="eastAsia" w:ascii="宋体" w:hAnsi="宋体" w:cs="宋体"/>
                <w:color w:val="auto"/>
                <w:szCs w:val="21"/>
                <w:highlight w:val="none"/>
              </w:rPr>
              <w:t>起到投标文件提交截止时间止不足要求月数的，只需提供从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s="宋体"/>
                <w:color w:val="auto"/>
                <w:szCs w:val="21"/>
                <w:highlight w:val="none"/>
              </w:rPr>
              <w:t>3.投标人依法缴纳社会保障资金的相关材料[</w:t>
            </w:r>
            <w:r>
              <w:rPr>
                <w:rFonts w:ascii="宋体" w:hAnsi="宋体" w:cs="宋体"/>
                <w:color w:val="auto"/>
                <w:szCs w:val="21"/>
                <w:highlight w:val="none"/>
                <w:u w:val="single"/>
              </w:rPr>
              <w:t>2023</w:t>
            </w:r>
            <w:r>
              <w:rPr>
                <w:rFonts w:hint="eastAsia" w:ascii="宋体" w:hAnsi="宋体" w:cs="宋体"/>
                <w:color w:val="auto"/>
                <w:szCs w:val="21"/>
                <w:highlight w:val="none"/>
              </w:rPr>
              <w:t>年</w:t>
            </w:r>
            <w:r>
              <w:rPr>
                <w:rFonts w:ascii="宋体" w:hAnsi="宋体" w:cs="宋体"/>
                <w:color w:val="auto"/>
                <w:szCs w:val="21"/>
                <w:highlight w:val="none"/>
                <w:u w:val="single"/>
              </w:rPr>
              <w:t>10</w:t>
            </w:r>
            <w:r>
              <w:rPr>
                <w:rFonts w:hint="eastAsia" w:ascii="宋体" w:hAnsi="宋体" w:cs="宋体"/>
                <w:color w:val="auto"/>
                <w:szCs w:val="21"/>
                <w:highlight w:val="none"/>
              </w:rPr>
              <w:t>月至</w:t>
            </w:r>
            <w:r>
              <w:rPr>
                <w:rFonts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6</w:t>
            </w:r>
            <w:r>
              <w:rPr>
                <w:rFonts w:hint="eastAsia" w:ascii="宋体" w:hAnsi="宋体" w:cs="宋体"/>
                <w:color w:val="auto"/>
                <w:szCs w:val="21"/>
                <w:highlight w:val="none"/>
              </w:rPr>
              <w:t>月内连续</w:t>
            </w:r>
            <w:r>
              <w:rPr>
                <w:rFonts w:ascii="宋体" w:hAnsi="宋体" w:cs="宋体"/>
                <w:color w:val="auto"/>
                <w:szCs w:val="21"/>
                <w:highlight w:val="none"/>
                <w:u w:val="single"/>
              </w:rPr>
              <w:t>3</w:t>
            </w:r>
            <w:r>
              <w:rPr>
                <w:rFonts w:hint="eastAsia" w:ascii="宋体" w:hAnsi="宋体" w:cs="宋体"/>
                <w:color w:val="auto"/>
                <w:szCs w:val="21"/>
                <w:highlight w:val="none"/>
              </w:rPr>
              <w:t>个月的依法缴纳社会保障资金的缴费</w:t>
            </w:r>
            <w:r>
              <w:rPr>
                <w:rFonts w:hint="eastAsia"/>
                <w:color w:val="auto"/>
                <w:highlight w:val="none"/>
              </w:rPr>
              <w:t>证明材料</w:t>
            </w:r>
            <w:r>
              <w:rPr>
                <w:rFonts w:hint="eastAsia" w:ascii="宋体" w:hAnsi="宋体" w:cs="宋体"/>
                <w:color w:val="auto"/>
                <w:szCs w:val="21"/>
                <w:highlight w:val="none"/>
              </w:rPr>
              <w:t>（</w:t>
            </w:r>
            <w:r>
              <w:rPr>
                <w:rFonts w:hint="eastAsia"/>
                <w:color w:val="auto"/>
                <w:highlight w:val="none"/>
              </w:rPr>
              <w:t>如：</w:t>
            </w:r>
            <w:r>
              <w:rPr>
                <w:rFonts w:hint="eastAsia" w:ascii="宋体" w:hAnsi="宋体" w:cs="宋体"/>
                <w:color w:val="auto"/>
                <w:szCs w:val="21"/>
                <w:highlight w:val="none"/>
              </w:rPr>
              <w:t>专用收据、社会保险缴纳清单或者社保部门的证明）复印件；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w:t>
            </w:r>
            <w:r>
              <w:rPr>
                <w:rFonts w:hint="eastAsia"/>
                <w:color w:val="auto"/>
                <w:szCs w:val="21"/>
                <w:highlight w:val="none"/>
              </w:rPr>
              <w:t>成立之日起</w:t>
            </w:r>
            <w:r>
              <w:rPr>
                <w:rFonts w:hint="eastAsia" w:ascii="宋体" w:hAnsi="宋体" w:cs="宋体"/>
                <w:color w:val="auto"/>
                <w:szCs w:val="21"/>
                <w:highlight w:val="none"/>
              </w:rPr>
              <w:t>到投标文件提交截止时间止不足要求月数的只需提供从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s="宋体"/>
                <w:color w:val="auto"/>
                <w:szCs w:val="21"/>
                <w:highlight w:val="none"/>
              </w:rPr>
              <w:t>4.投标人</w:t>
            </w:r>
            <w:r>
              <w:rPr>
                <w:rFonts w:hint="eastAsia"/>
                <w:color w:val="auto"/>
                <w:szCs w:val="21"/>
                <w:highlight w:val="none"/>
              </w:rPr>
              <w:t>财务状况报告</w:t>
            </w:r>
            <w:r>
              <w:rPr>
                <w:rFonts w:hint="eastAsia" w:ascii="宋体" w:hAnsi="宋体"/>
                <w:color w:val="auto"/>
                <w:szCs w:val="21"/>
                <w:highlight w:val="none"/>
              </w:rPr>
              <w:t>[</w:t>
            </w:r>
            <w:r>
              <w:rPr>
                <w:rFonts w:ascii="宋体" w:hAnsi="宋体"/>
                <w:color w:val="auto"/>
                <w:szCs w:val="21"/>
                <w:highlight w:val="none"/>
                <w:u w:val="single"/>
              </w:rPr>
              <w:t xml:space="preserve"> 2022</w:t>
            </w:r>
            <w:r>
              <w:rPr>
                <w:rFonts w:hint="eastAsia" w:ascii="宋体" w:hAnsi="宋体"/>
                <w:color w:val="auto"/>
                <w:szCs w:val="21"/>
                <w:highlight w:val="none"/>
                <w:u w:val="single"/>
              </w:rPr>
              <w:t>或2</w:t>
            </w:r>
            <w:r>
              <w:rPr>
                <w:rFonts w:ascii="宋体" w:hAnsi="宋体"/>
                <w:color w:val="auto"/>
                <w:szCs w:val="21"/>
                <w:highlight w:val="none"/>
                <w:u w:val="single"/>
              </w:rPr>
              <w:t xml:space="preserve">023 </w:t>
            </w:r>
            <w:r>
              <w:rPr>
                <w:rFonts w:hint="eastAsia" w:ascii="宋体" w:hAnsi="宋体"/>
                <w:color w:val="auto"/>
                <w:szCs w:val="21"/>
                <w:highlight w:val="none"/>
              </w:rPr>
              <w:t>年度财务报表复印件，或者银行出具的资信证明，或者中国人民银行征信中心出具的信用报告（企业投标的提供企业信用报告，自然人投标的提供个人信用报告</w:t>
            </w:r>
            <w:r>
              <w:rPr>
                <w:rFonts w:hint="eastAsia" w:ascii="宋体" w:hAnsi="宋体"/>
                <w:color w:val="auto"/>
                <w:highlight w:val="none"/>
              </w:rPr>
              <w:t>，投标人</w:t>
            </w:r>
            <w:r>
              <w:rPr>
                <w:rFonts w:ascii="宋体" w:hAnsi="宋体"/>
                <w:color w:val="auto"/>
                <w:highlight w:val="none"/>
              </w:rPr>
              <w:t>属于成立时间在规定年度之后的法人或其他组织</w:t>
            </w:r>
            <w:r>
              <w:rPr>
                <w:rFonts w:hint="eastAsia" w:ascii="宋体" w:hAnsi="宋体"/>
                <w:color w:val="auto"/>
                <w:highlight w:val="none"/>
              </w:rPr>
              <w:t>，需提供成立之日起至投标截止时间前的月报表</w:t>
            </w:r>
            <w:r>
              <w:rPr>
                <w:rFonts w:hint="eastAsia" w:ascii="宋体" w:hAnsi="宋体"/>
                <w:color w:val="auto"/>
                <w:szCs w:val="21"/>
                <w:highlight w:val="none"/>
              </w:rPr>
              <w:t>或银行出具的资信证明或者中国人民银行征信中心出具的企业信用报告；资信证明应在有效期内，未注明有效期的，银行出具时间至投标截止时间不超过一年]</w:t>
            </w:r>
            <w:r>
              <w:rPr>
                <w:rFonts w:hint="eastAsia"/>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5.投标人直接控股股东信息表（格式后附）；（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 投标人直接管理关系信息表（格式后附）；（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olor w:val="auto"/>
                <w:szCs w:val="21"/>
                <w:highlight w:val="none"/>
              </w:rPr>
              <w:t>7.投标声明（格式后附）；（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olor w:val="auto"/>
                <w:szCs w:val="21"/>
                <w:highlight w:val="none"/>
              </w:rPr>
              <w:t>8.联合体协议书（格式后附）；（</w:t>
            </w:r>
            <w:r>
              <w:rPr>
                <w:rFonts w:hint="eastAsia" w:ascii="宋体" w:hAnsi="宋体"/>
                <w:b/>
                <w:color w:val="auto"/>
                <w:szCs w:val="21"/>
                <w:highlight w:val="none"/>
              </w:rPr>
              <w:t>联合体投标时必须提供，否则按无效投标处理</w:t>
            </w:r>
            <w:r>
              <w:rPr>
                <w:rFonts w:hint="eastAsia" w:ascii="宋体" w:hAnsi="宋体"/>
                <w:color w:val="auto"/>
                <w:szCs w:val="21"/>
                <w:highlight w:val="none"/>
              </w:rPr>
              <w:t>）</w:t>
            </w:r>
          </w:p>
          <w:p>
            <w:pPr>
              <w:snapToGrid w:val="0"/>
              <w:spacing w:line="360" w:lineRule="auto"/>
              <w:ind w:firstLine="420" w:firstLineChars="200"/>
              <w:jc w:val="left"/>
              <w:rPr>
                <w:rFonts w:ascii="宋体" w:hAnsi="宋体" w:cs="Courier New"/>
                <w:b/>
                <w:color w:val="auto"/>
                <w:szCs w:val="21"/>
                <w:highlight w:val="none"/>
              </w:rPr>
            </w:pPr>
            <w:r>
              <w:rPr>
                <w:rFonts w:ascii="宋体" w:hAnsi="宋体"/>
                <w:color w:val="auto"/>
                <w:szCs w:val="21"/>
                <w:highlight w:val="none"/>
              </w:rPr>
              <w:t>9</w:t>
            </w:r>
            <w:r>
              <w:rPr>
                <w:rFonts w:hint="eastAsia" w:ascii="宋体" w:hAnsi="宋体"/>
                <w:color w:val="auto"/>
                <w:szCs w:val="21"/>
                <w:highlight w:val="none"/>
              </w:rPr>
              <w:t>.除招标文件规定必须提供以外，投标人认为需要提供的其他证明材料。</w:t>
            </w:r>
          </w:p>
          <w:p>
            <w:pPr>
              <w:snapToGrid w:val="0"/>
              <w:spacing w:line="360" w:lineRule="auto"/>
              <w:ind w:left="413"/>
              <w:jc w:val="left"/>
              <w:rPr>
                <w:rFonts w:ascii="宋体" w:hAnsi="宋体"/>
                <w:color w:val="auto"/>
                <w:szCs w:val="21"/>
                <w:highlight w:val="none"/>
              </w:rPr>
            </w:pPr>
          </w:p>
          <w:p>
            <w:pPr>
              <w:snapToGrid w:val="0"/>
              <w:spacing w:line="360" w:lineRule="auto"/>
              <w:ind w:firstLine="422" w:firstLineChars="200"/>
              <w:jc w:val="left"/>
              <w:rPr>
                <w:rFonts w:ascii="宋体" w:hAnsi="宋体" w:cs="Courier New"/>
                <w:b/>
                <w:color w:val="auto"/>
                <w:szCs w:val="21"/>
                <w:highlight w:val="none"/>
              </w:rPr>
            </w:pPr>
            <w:r>
              <w:rPr>
                <w:rFonts w:hint="eastAsia" w:ascii="宋体" w:hAnsi="宋体"/>
                <w:b/>
                <w:bCs/>
                <w:color w:val="auto"/>
                <w:szCs w:val="21"/>
                <w:highlight w:val="none"/>
              </w:rPr>
              <w:t>注：1.</w:t>
            </w:r>
            <w:r>
              <w:rPr>
                <w:rFonts w:hint="eastAsia" w:ascii="宋体" w:hAnsi="宋体" w:cs="宋体"/>
                <w:b/>
                <w:color w:val="auto"/>
                <w:szCs w:val="21"/>
                <w:highlight w:val="none"/>
              </w:rPr>
              <w:t xml:space="preserve"> 注：</w:t>
            </w:r>
            <w:r>
              <w:rPr>
                <w:rFonts w:hint="eastAsia" w:ascii="宋体" w:hAnsi="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p>
            <w:pPr>
              <w:snapToGrid w:val="0"/>
              <w:spacing w:line="360" w:lineRule="auto"/>
              <w:ind w:firstLine="422" w:firstLineChars="200"/>
              <w:jc w:val="left"/>
              <w:rPr>
                <w:rFonts w:ascii="宋体" w:hAnsi="宋体"/>
                <w:b/>
                <w:bCs/>
                <w:color w:val="auto"/>
                <w:szCs w:val="21"/>
                <w:highlight w:val="none"/>
              </w:rPr>
            </w:pPr>
            <w:r>
              <w:rPr>
                <w:rFonts w:hint="eastAsia" w:ascii="宋体" w:hAnsi="宋体"/>
                <w:b/>
                <w:bCs/>
                <w:color w:val="auto"/>
                <w:szCs w:val="21"/>
                <w:highlight w:val="none"/>
              </w:rPr>
              <w:t>2.联合体投标时，第1-6项资格证明文件联合体各方均必须分别提供，</w:t>
            </w:r>
            <w:r>
              <w:rPr>
                <w:rFonts w:hint="eastAsia"/>
                <w:b/>
                <w:color w:val="auto"/>
                <w:highlight w:val="none"/>
              </w:rPr>
              <w:t>并由</w:t>
            </w:r>
            <w:r>
              <w:rPr>
                <w:rFonts w:hint="eastAsia" w:ascii="宋体" w:hAnsi="宋体" w:cs="宋体"/>
                <w:b/>
                <w:color w:val="auto"/>
                <w:szCs w:val="21"/>
                <w:highlight w:val="none"/>
              </w:rPr>
              <w:t>联合体</w:t>
            </w:r>
            <w:r>
              <w:rPr>
                <w:rFonts w:hint="eastAsia"/>
                <w:b/>
                <w:color w:val="auto"/>
                <w:highlight w:val="none"/>
              </w:rPr>
              <w:t>牵头人加盖电子签章</w:t>
            </w:r>
            <w:r>
              <w:rPr>
                <w:rFonts w:hint="eastAsia" w:ascii="宋体" w:hAnsi="宋体" w:cs="宋体"/>
                <w:b/>
                <w:color w:val="auto"/>
                <w:szCs w:val="21"/>
                <w:highlight w:val="none"/>
              </w:rPr>
              <w:t>，</w:t>
            </w:r>
            <w:r>
              <w:rPr>
                <w:rFonts w:hint="eastAsia"/>
                <w:b/>
                <w:color w:val="auto"/>
                <w:highlight w:val="none"/>
              </w:rPr>
              <w:t>规定签字</w:t>
            </w:r>
            <w:r>
              <w:rPr>
                <w:rFonts w:hint="eastAsia" w:ascii="宋体" w:hAnsi="宋体" w:cs="宋体"/>
                <w:b/>
                <w:color w:val="auto"/>
                <w:szCs w:val="21"/>
                <w:highlight w:val="none"/>
              </w:rPr>
              <w:t>处签字</w:t>
            </w:r>
            <w:r>
              <w:rPr>
                <w:rFonts w:hint="eastAsia" w:ascii="宋体" w:hAnsi="宋体"/>
                <w:b/>
                <w:bCs/>
                <w:color w:val="auto"/>
                <w:szCs w:val="21"/>
                <w:highlight w:val="none"/>
              </w:rPr>
              <w:t>（或者电子签名），否则按无效投标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p>
            <w:pPr>
              <w:snapToGrid w:val="0"/>
              <w:spacing w:line="360" w:lineRule="auto"/>
              <w:ind w:firstLine="422" w:firstLineChars="200"/>
              <w:jc w:val="left"/>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ign w:val="center"/>
          </w:tcPr>
          <w:p>
            <w:pPr>
              <w:spacing w:line="360" w:lineRule="auto"/>
              <w:rPr>
                <w:rFonts w:ascii="宋体" w:hAnsi="宋体"/>
                <w:color w:val="auto"/>
                <w:szCs w:val="21"/>
                <w:highlight w:val="none"/>
              </w:rPr>
            </w:pPr>
            <w:bookmarkStart w:id="58" w:name="_13.3"/>
            <w:bookmarkEnd w:id="58"/>
          </w:p>
        </w:tc>
        <w:tc>
          <w:tcPr>
            <w:tcW w:w="867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Courier New"/>
                <w:b/>
                <w:color w:val="auto"/>
                <w:szCs w:val="21"/>
                <w:highlight w:val="none"/>
              </w:rPr>
            </w:pPr>
            <w:r>
              <w:rPr>
                <w:rFonts w:hint="eastAsia"/>
                <w:b/>
                <w:color w:val="auto"/>
                <w:kern w:val="0"/>
                <w:highlight w:val="none"/>
                <w:u w:val="single"/>
              </w:rPr>
              <w:t>商务及技术文件</w:t>
            </w:r>
            <w:r>
              <w:rPr>
                <w:rFonts w:hint="eastAsia" w:ascii="宋体" w:hAnsi="宋体" w:cs="Courier New"/>
                <w:b/>
                <w:color w:val="auto"/>
                <w:szCs w:val="21"/>
                <w:highlight w:val="none"/>
              </w:rPr>
              <w:t>：</w:t>
            </w:r>
          </w:p>
          <w:p>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2.投标保证金提交凭证；（</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4.授权委托书及委托代理人有效身份证正反面复印件（格式后附）；（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.售后服务承诺（格式自拟）；（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.投标人情况介绍（格式自拟）；</w:t>
            </w:r>
          </w:p>
          <w:p>
            <w:pPr>
              <w:snapToGrid w:val="0"/>
              <w:spacing w:line="360" w:lineRule="auto"/>
              <w:ind w:left="413"/>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.联合体协议书（格式后附）；（</w:t>
            </w:r>
            <w:r>
              <w:rPr>
                <w:rFonts w:hint="eastAsia" w:ascii="宋体" w:hAnsi="宋体"/>
                <w:b/>
                <w:color w:val="auto"/>
                <w:szCs w:val="21"/>
                <w:highlight w:val="none"/>
              </w:rPr>
              <w:t>联合体投标时必须提供，否则按无效投标处理</w:t>
            </w:r>
            <w:r>
              <w:rPr>
                <w:rFonts w:hint="eastAsia" w:ascii="宋体" w:hAnsi="宋体"/>
                <w:color w:val="auto"/>
                <w:szCs w:val="21"/>
                <w:highlight w:val="none"/>
              </w:rPr>
              <w:t>）</w:t>
            </w:r>
          </w:p>
          <w:p>
            <w:pPr>
              <w:snapToGrid w:val="0"/>
              <w:spacing w:line="360" w:lineRule="auto"/>
              <w:ind w:left="413"/>
              <w:jc w:val="left"/>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.代理服务费承诺书（格式后附）；（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10.设备性能配置清单（格式后附）；（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11.技术要求偏离表（格式后附）；（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12.项目实施方案（格式自拟）【包括但不限于项目前期准备、项目实施计划（项目实施人员一览表（格式后附）、技术服务、技术培训的内容和措施）】；</w:t>
            </w:r>
          </w:p>
          <w:p>
            <w:pPr>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13.对本项目系统总体要求的理解。包括：功能说明、性能指标及设备选型说明（质量、性能、价格、外观、体积等方面进行比较和选择的理由及过程，格式自拟）；</w:t>
            </w:r>
          </w:p>
          <w:p>
            <w:pPr>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14.产品出厂标准、质量检测报告【其中有精度要求的仪器设备类政府采购项目，应当要求投标人提供精度数据（</w:t>
            </w:r>
            <w:r>
              <w:rPr>
                <w:color w:val="auto"/>
                <w:highlight w:val="none"/>
              </w:rPr>
              <w:t>国家认可的有资质的第三方检测机构出具的检测报告复印件</w:t>
            </w:r>
            <w:r>
              <w:rPr>
                <w:rFonts w:hint="eastAsia" w:ascii="宋体" w:hAnsi="宋体"/>
                <w:color w:val="auto"/>
                <w:szCs w:val="21"/>
                <w:highlight w:val="none"/>
              </w:rPr>
              <w:t>或者由采购人在投标前组织的实测获得）】</w:t>
            </w:r>
          </w:p>
          <w:p>
            <w:pPr>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15.优惠条件：投标人承诺给予招标人的各种优惠条件，包括售后服务、备品备件、专用耗材等方面的优惠；投标人不得给予赠品或者与采购无关的其他商品、服务；</w:t>
            </w:r>
          </w:p>
          <w:p>
            <w:pPr>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16.投标人对本项目的合理化建议和改进措施（格式自拟）；</w:t>
            </w:r>
          </w:p>
          <w:p>
            <w:pPr>
              <w:snapToGrid w:val="0"/>
              <w:spacing w:line="360" w:lineRule="auto"/>
              <w:ind w:left="420"/>
              <w:jc w:val="left"/>
              <w:rPr>
                <w:rFonts w:ascii="宋体" w:hAnsi="宋体"/>
                <w:bCs/>
                <w:color w:val="auto"/>
                <w:szCs w:val="21"/>
                <w:highlight w:val="none"/>
              </w:rPr>
            </w:pPr>
            <w:r>
              <w:rPr>
                <w:rFonts w:hint="eastAsia" w:ascii="宋体" w:hAnsi="宋体"/>
                <w:color w:val="auto"/>
                <w:szCs w:val="21"/>
                <w:highlight w:val="none"/>
              </w:rPr>
              <w:t>17.除招标文件规定必须提供以外，投标人认为需要提供的其他证明材料（格式自拟）。</w:t>
            </w:r>
          </w:p>
          <w:p>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（投标人根据“第二章 采购需求”及“第四章 评标方法及评标标准”提供有关证明材料）。</w:t>
            </w:r>
          </w:p>
          <w:p>
            <w:pPr>
              <w:snapToGrid w:val="0"/>
              <w:spacing w:line="360" w:lineRule="auto"/>
              <w:jc w:val="left"/>
              <w:rPr>
                <w:rFonts w:ascii="宋体" w:hAnsi="宋体"/>
                <w:color w:val="auto"/>
                <w:szCs w:val="21"/>
                <w:highlight w:val="none"/>
              </w:rPr>
            </w:pPr>
            <w:r>
              <w:rPr>
                <w:rFonts w:hint="eastAsia" w:ascii="宋体" w:hAnsi="宋体"/>
                <w:b/>
                <w:bCs/>
                <w:color w:val="auto"/>
                <w:szCs w:val="21"/>
                <w:highlight w:val="none"/>
              </w:rPr>
              <w:t>注：</w:t>
            </w:r>
            <w:r>
              <w:rPr>
                <w:rFonts w:hint="eastAsia" w:ascii="宋体" w:hAnsi="宋体" w:cs="宋体"/>
                <w:b/>
                <w:color w:val="auto"/>
                <w:szCs w:val="21"/>
                <w:highlight w:val="none"/>
              </w:rPr>
              <w:t>注：</w:t>
            </w:r>
            <w:r>
              <w:rPr>
                <w:rFonts w:hint="eastAsia" w:ascii="宋体" w:hAnsi="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bookmarkStart w:id="59" w:name="_13.4"/>
            <w:bookmarkEnd w:id="59"/>
            <w:bookmarkStart w:id="60" w:name="_13.5"/>
            <w:bookmarkEnd w:id="60"/>
            <w:bookmarkStart w:id="61" w:name="_16.2"/>
            <w:bookmarkEnd w:id="61"/>
            <w:r>
              <w:rPr>
                <w:rFonts w:hint="eastAsia" w:ascii="宋体" w:hAnsi="宋体"/>
                <w:color w:val="auto"/>
                <w:szCs w:val="21"/>
                <w:highlight w:val="none"/>
              </w:rPr>
              <w:t>16</w:t>
            </w:r>
            <w:bookmarkStart w:id="62" w:name="_Hlt19194067"/>
            <w:bookmarkStart w:id="63" w:name="_Hlt19693759"/>
            <w:bookmarkStart w:id="64" w:name="_Hlt19194066"/>
            <w:bookmarkStart w:id="65" w:name="_Hlt19693758"/>
            <w:r>
              <w:rPr>
                <w:rFonts w:hint="eastAsia" w:ascii="宋体" w:hAnsi="宋体"/>
                <w:color w:val="auto"/>
                <w:szCs w:val="21"/>
                <w:highlight w:val="none"/>
              </w:rPr>
              <w:t>.</w:t>
            </w:r>
            <w:bookmarkEnd w:id="62"/>
            <w:bookmarkEnd w:id="63"/>
            <w:bookmarkEnd w:id="64"/>
            <w:bookmarkEnd w:id="65"/>
            <w:r>
              <w:rPr>
                <w:rFonts w:hint="eastAsia"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color w:val="auto"/>
                <w:szCs w:val="21"/>
                <w:highlight w:val="none"/>
              </w:rPr>
            </w:pPr>
            <w:r>
              <w:rPr>
                <w:rFonts w:hint="eastAsia" w:ascii="宋体" w:hAnsi="宋体"/>
                <w:color w:val="auto"/>
                <w:szCs w:val="21"/>
                <w:highlight w:val="none"/>
              </w:rPr>
              <w:t>投标报价是履行合同的最终价格，包括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r>
              <w:rPr>
                <w:rFonts w:hint="eastAsia"/>
                <w:color w:val="auto"/>
                <w:szCs w:val="21"/>
                <w:highlight w:val="none"/>
              </w:rPr>
              <w:t>。对于本文件中未列明，而投标人认为必需的费用也需列入总报价。在合同实施时，采购人将不予支付中标人没有列入的项目费用，并认为此项目的费用已包括在投标总报价中。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bookmarkStart w:id="66" w:name="_17.1"/>
            <w:bookmarkEnd w:id="66"/>
            <w:r>
              <w:rPr>
                <w:rFonts w:hint="eastAsia" w:ascii="宋体" w:hAnsi="宋体"/>
                <w:color w:val="auto"/>
                <w:szCs w:val="21"/>
                <w:highlight w:val="none"/>
              </w:rPr>
              <w:t>17.</w:t>
            </w:r>
            <w:r>
              <w:rPr>
                <w:rFonts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投标有效期：自投标截止之日起</w:t>
            </w:r>
            <w:r>
              <w:rPr>
                <w:rFonts w:ascii="宋体" w:hAnsi="宋体"/>
                <w:color w:val="auto"/>
                <w:szCs w:val="21"/>
                <w:highlight w:val="none"/>
                <w:u w:val="single"/>
              </w:rPr>
              <w:t xml:space="preserve"> 90 </w:t>
            </w:r>
            <w:r>
              <w:rPr>
                <w:rFonts w:hint="eastAsia" w:ascii="宋体" w:hAns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bookmarkStart w:id="67" w:name="_18"/>
            <w:bookmarkEnd w:id="67"/>
            <w:r>
              <w:rPr>
                <w:rFonts w:hint="eastAsia" w:ascii="宋体" w:hAnsi="宋体"/>
                <w:color w:val="auto"/>
                <w:szCs w:val="21"/>
                <w:highlight w:val="none"/>
              </w:rPr>
              <w:t>18</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□本项目不收取投标保证金。</w:t>
            </w:r>
          </w:p>
          <w:p>
            <w:pPr>
              <w:snapToGrid w:val="0"/>
              <w:spacing w:line="360" w:lineRule="auto"/>
              <w:rPr>
                <w:rFonts w:ascii="宋体" w:hAnsi="宋体"/>
                <w:color w:val="auto"/>
                <w:szCs w:val="21"/>
                <w:highlight w:val="none"/>
              </w:rPr>
            </w:pPr>
            <w:r>
              <w:rPr>
                <w:rFonts w:hint="eastAsia" w:ascii="宋体" w:hAnsi="宋体"/>
                <w:color w:val="auto"/>
                <w:szCs w:val="21"/>
                <w:highlight w:val="none"/>
              </w:rPr>
              <w:t>√本项目收取投标保证金，具体规定如下：</w:t>
            </w:r>
          </w:p>
          <w:p>
            <w:pPr>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投标保证金人民币</w:t>
            </w:r>
            <w:bookmarkStart w:id="68" w:name="OLE_LINK4"/>
            <w:r>
              <w:rPr>
                <w:rFonts w:ascii="宋体" w:hAnsi="宋体" w:cs="宋体"/>
                <w:color w:val="auto"/>
                <w:kern w:val="0"/>
                <w:szCs w:val="21"/>
                <w:highlight w:val="none"/>
                <w:u w:val="single"/>
              </w:rPr>
              <w:t>10</w:t>
            </w:r>
            <w:r>
              <w:rPr>
                <w:rFonts w:hint="eastAsia" w:ascii="宋体" w:hAnsi="宋体" w:cs="宋体"/>
                <w:color w:val="auto"/>
                <w:kern w:val="0"/>
                <w:szCs w:val="21"/>
                <w:highlight w:val="none"/>
                <w:u w:val="single"/>
              </w:rPr>
              <w:t>万</w:t>
            </w:r>
            <w:r>
              <w:rPr>
                <w:rFonts w:hint="eastAsia" w:ascii="宋体" w:hAnsi="宋体" w:cs="宋体"/>
                <w:color w:val="auto"/>
                <w:kern w:val="0"/>
                <w:szCs w:val="21"/>
                <w:highlight w:val="none"/>
              </w:rPr>
              <w:t>元</w:t>
            </w:r>
            <w:bookmarkEnd w:id="68"/>
            <w:r>
              <w:rPr>
                <w:rFonts w:hint="eastAsia" w:ascii="宋体" w:hAnsi="宋体" w:cs="宋体"/>
                <w:color w:val="auto"/>
                <w:kern w:val="0"/>
                <w:szCs w:val="21"/>
                <w:highlight w:val="none"/>
              </w:rPr>
              <w:t>。</w:t>
            </w:r>
          </w:p>
          <w:p>
            <w:pPr>
              <w:snapToGrid w:val="0"/>
              <w:spacing w:line="360" w:lineRule="auto"/>
              <w:ind w:firstLine="420"/>
              <w:rPr>
                <w:rFonts w:ascii="宋体" w:hAnsi="宋体"/>
                <w:color w:val="auto"/>
                <w:szCs w:val="21"/>
                <w:highlight w:val="none"/>
              </w:rPr>
            </w:pPr>
            <w:r>
              <w:rPr>
                <w:rFonts w:hint="eastAsia" w:ascii="宋体" w:hAnsi="宋体" w:cs="宋体"/>
                <w:color w:val="auto"/>
                <w:kern w:val="0"/>
                <w:szCs w:val="21"/>
                <w:highlight w:val="none"/>
              </w:rPr>
              <w:t>投标保证金的交纳方式：银行转账、支票、汇票、本票或者银行、保险机构出具的保函</w:t>
            </w:r>
            <w:r>
              <w:rPr>
                <w:rFonts w:hint="eastAsia"/>
                <w:color w:val="auto"/>
                <w:highlight w:val="none"/>
              </w:rPr>
              <w:t>（包含电子保函）</w:t>
            </w:r>
            <w:r>
              <w:rPr>
                <w:rFonts w:hint="eastAsia" w:ascii="宋体" w:hAnsi="宋体" w:cs="宋体"/>
                <w:color w:val="auto"/>
                <w:kern w:val="0"/>
                <w:szCs w:val="21"/>
                <w:highlight w:val="none"/>
              </w:rPr>
              <w:t>，禁止采用现钞方式。采用银行转账方式的，在投标截止时间前</w:t>
            </w:r>
            <w:r>
              <w:rPr>
                <w:rFonts w:hint="eastAsia"/>
                <w:color w:val="auto"/>
                <w:highlight w:val="none"/>
              </w:rPr>
              <w:t>从投标人账户</w:t>
            </w:r>
            <w:r>
              <w:rPr>
                <w:rFonts w:hint="eastAsia" w:ascii="宋体" w:hAnsi="宋体" w:cs="宋体"/>
                <w:color w:val="auto"/>
                <w:kern w:val="0"/>
                <w:szCs w:val="21"/>
                <w:highlight w:val="none"/>
              </w:rPr>
              <w:t>交至指定账户并且到账</w:t>
            </w:r>
            <w:r>
              <w:rPr>
                <w:rFonts w:hint="eastAsia" w:ascii="Cambria Math" w:hAnsi="Cambria Math" w:cs="Cambria Math"/>
                <w:color w:val="auto"/>
                <w:kern w:val="0"/>
                <w:szCs w:val="21"/>
                <w:highlight w:val="none"/>
              </w:rPr>
              <w:t>（开户名称：云之龙咨询集团有限公司，开户银行：中国银行南宁市民主支行（网银支付可选中国银行股份有限公司南宁分行），银行账号：</w:t>
            </w:r>
            <w:r>
              <w:rPr>
                <w:rFonts w:ascii="Cambria Math" w:hAnsi="Cambria Math" w:cs="Cambria Math"/>
                <w:color w:val="auto"/>
                <w:kern w:val="0"/>
                <w:szCs w:val="21"/>
                <w:highlight w:val="none"/>
              </w:rPr>
              <w:t>623661021638</w:t>
            </w:r>
            <w:r>
              <w:rPr>
                <w:rFonts w:hint="eastAsia" w:ascii="Cambria Math" w:hAnsi="Cambria Math" w:cs="Cambria Math"/>
                <w:color w:val="auto"/>
                <w:kern w:val="0"/>
                <w:szCs w:val="21"/>
                <w:highlight w:val="none"/>
              </w:rPr>
              <w:t>，开户行行号：</w:t>
            </w:r>
            <w:r>
              <w:rPr>
                <w:rFonts w:ascii="Cambria Math" w:hAnsi="Cambria Math" w:cs="Cambria Math"/>
                <w:color w:val="auto"/>
                <w:kern w:val="0"/>
                <w:szCs w:val="21"/>
                <w:highlight w:val="none"/>
              </w:rPr>
              <w:t>104611010017</w:t>
            </w:r>
            <w:r>
              <w:rPr>
                <w:rFonts w:hint="eastAsia" w:ascii="Cambria Math" w:hAnsi="Cambria Math" w:cs="Cambria Math"/>
                <w:color w:val="auto"/>
                <w:kern w:val="0"/>
                <w:szCs w:val="21"/>
                <w:highlight w:val="none"/>
              </w:rPr>
              <w:t>）</w:t>
            </w:r>
            <w:r>
              <w:rPr>
                <w:rFonts w:hint="eastAsia" w:ascii="宋体" w:hAnsi="宋体" w:cs="宋体"/>
                <w:color w:val="auto"/>
                <w:kern w:val="0"/>
                <w:szCs w:val="21"/>
                <w:highlight w:val="none"/>
              </w:rPr>
              <w:t>；采用支票、汇票、本票或者保函等方式的，在投标截止时间前，投标人必须递交单独密封的支票、汇票、本票或者保函原件。</w:t>
            </w:r>
            <w:r>
              <w:rPr>
                <w:rFonts w:hint="eastAsia" w:ascii="宋体" w:hAnsi="宋体" w:cs="宋体"/>
                <w:b/>
                <w:color w:val="auto"/>
                <w:kern w:val="0"/>
                <w:szCs w:val="21"/>
                <w:highlight w:val="none"/>
              </w:rPr>
              <w:t>否则视为无效投标保证金。</w:t>
            </w:r>
          </w:p>
          <w:p>
            <w:pPr>
              <w:snapToGrid w:val="0"/>
              <w:spacing w:line="360" w:lineRule="auto"/>
              <w:rPr>
                <w:rFonts w:ascii="宋体" w:hAnsi="宋体"/>
                <w:color w:val="auto"/>
                <w:szCs w:val="21"/>
                <w:highlight w:val="none"/>
              </w:rPr>
            </w:pPr>
            <w:r>
              <w:rPr>
                <w:rFonts w:hint="eastAsia" w:ascii="宋体" w:hAnsi="宋体"/>
                <w:color w:val="auto"/>
                <w:szCs w:val="21"/>
                <w:highlight w:val="none"/>
              </w:rPr>
              <w:t>相关要求：</w:t>
            </w:r>
          </w:p>
          <w:p>
            <w:pPr>
              <w:pStyle w:val="16"/>
              <w:spacing w:line="360" w:lineRule="auto"/>
              <w:rPr>
                <w:rFonts w:ascii="宋体" w:hAnsi="宋体"/>
                <w:color w:val="auto"/>
                <w:szCs w:val="21"/>
                <w:highlight w:val="none"/>
              </w:rPr>
            </w:pPr>
            <w:r>
              <w:rPr>
                <w:rFonts w:hint="eastAsia" w:ascii="宋体" w:hAnsi="宋体"/>
                <w:color w:val="auto"/>
                <w:szCs w:val="21"/>
                <w:highlight w:val="none"/>
              </w:rPr>
              <w:t>1.投标保证金采用银行转账交纳方式，在投标截止时间前交至指定账户并且到账，投标人应将银行转账底单的复印件作为投标保证金提交凭证，放置于商务及技术文件中，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w:t>
            </w:r>
          </w:p>
          <w:p>
            <w:pPr>
              <w:snapToGrid w:val="0"/>
              <w:spacing w:line="360" w:lineRule="auto"/>
              <w:rPr>
                <w:rFonts w:ascii="宋体" w:hAnsi="宋体"/>
                <w:color w:val="auto"/>
                <w:szCs w:val="21"/>
                <w:highlight w:val="none"/>
              </w:rPr>
            </w:pPr>
            <w:r>
              <w:rPr>
                <w:rFonts w:hint="eastAsia" w:ascii="宋体" w:hAnsi="宋体"/>
                <w:color w:val="auto"/>
                <w:szCs w:val="21"/>
                <w:highlight w:val="none"/>
              </w:rPr>
              <w:t>2.投标保证金采用支票、汇票、本票或者银行、保险机构出具的保函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交纳方式的，投标人应将支票、汇票、本票或者银行、保险机构出具的保函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的复印件作为投标保证金提交凭证，放置于商务及技术文件中，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w:t>
            </w:r>
            <w:r>
              <w:rPr>
                <w:rFonts w:hint="eastAsia"/>
                <w:color w:val="auto"/>
                <w:highlight w:val="none"/>
              </w:rPr>
              <w:t>在投标截止时间前采用现场或邮寄方式</w:t>
            </w:r>
            <w:r>
              <w:rPr>
                <w:rFonts w:hint="eastAsia" w:ascii="Cambria Math" w:hAnsi="Cambria Math"/>
                <w:color w:val="auto"/>
                <w:szCs w:val="21"/>
                <w:highlight w:val="none"/>
              </w:rPr>
              <w:t>（现场提交地址：广西壮族自治区公共资源交易中心（南宁市星湖路2</w:t>
            </w:r>
            <w:r>
              <w:rPr>
                <w:rFonts w:ascii="Cambria Math" w:hAnsi="Cambria Math"/>
                <w:color w:val="auto"/>
                <w:szCs w:val="21"/>
                <w:highlight w:val="none"/>
              </w:rPr>
              <w:t>2</w:t>
            </w:r>
            <w:r>
              <w:rPr>
                <w:rFonts w:hint="eastAsia" w:ascii="Cambria Math" w:hAnsi="Cambria Math"/>
                <w:color w:val="auto"/>
                <w:szCs w:val="21"/>
                <w:highlight w:val="none"/>
              </w:rPr>
              <w:t>号）；邮寄地址：南宁市良庆区云英路</w:t>
            </w:r>
            <w:r>
              <w:rPr>
                <w:rFonts w:ascii="Cambria Math" w:hAnsi="Cambria Math"/>
                <w:color w:val="auto"/>
                <w:szCs w:val="21"/>
                <w:highlight w:val="none"/>
              </w:rPr>
              <w:t>15</w:t>
            </w:r>
            <w:r>
              <w:rPr>
                <w:rFonts w:hint="eastAsia" w:ascii="Cambria Math" w:hAnsi="Cambria Math"/>
                <w:color w:val="auto"/>
                <w:szCs w:val="21"/>
                <w:highlight w:val="none"/>
              </w:rPr>
              <w:t>号</w:t>
            </w:r>
            <w:r>
              <w:rPr>
                <w:rFonts w:ascii="Cambria Math" w:hAnsi="Cambria Math"/>
                <w:color w:val="auto"/>
                <w:szCs w:val="21"/>
                <w:highlight w:val="none"/>
              </w:rPr>
              <w:t>3</w:t>
            </w:r>
            <w:r>
              <w:rPr>
                <w:rFonts w:hint="eastAsia" w:ascii="Cambria Math" w:hAnsi="Cambria Math"/>
                <w:color w:val="auto"/>
                <w:szCs w:val="21"/>
                <w:highlight w:val="none"/>
              </w:rPr>
              <w:t>号楼云之龙咨询集团大厦</w:t>
            </w:r>
            <w:r>
              <w:rPr>
                <w:rFonts w:ascii="Cambria Math" w:hAnsi="Cambria Math"/>
                <w:color w:val="auto"/>
                <w:szCs w:val="21"/>
                <w:highlight w:val="none"/>
              </w:rPr>
              <w:t>6</w:t>
            </w:r>
            <w:r>
              <w:rPr>
                <w:rFonts w:hint="eastAsia" w:ascii="Cambria Math" w:hAnsi="Cambria Math"/>
                <w:color w:val="auto"/>
                <w:szCs w:val="21"/>
                <w:highlight w:val="none"/>
              </w:rPr>
              <w:t>楼，收件人：唐冰，联系方式：</w:t>
            </w:r>
            <w:r>
              <w:rPr>
                <w:rFonts w:ascii="Cambria Math" w:hAnsi="Cambria Math"/>
                <w:color w:val="auto"/>
                <w:szCs w:val="21"/>
                <w:highlight w:val="none"/>
              </w:rPr>
              <w:t>0771-2611898</w:t>
            </w:r>
            <w:r>
              <w:rPr>
                <w:rFonts w:hint="eastAsia" w:ascii="Cambria Math" w:hAnsi="Cambria Math"/>
                <w:color w:val="auto"/>
                <w:szCs w:val="21"/>
                <w:highlight w:val="none"/>
              </w:rPr>
              <w:t>、</w:t>
            </w:r>
            <w:r>
              <w:rPr>
                <w:rFonts w:ascii="Cambria Math" w:hAnsi="Cambria Math"/>
                <w:color w:val="auto"/>
                <w:szCs w:val="21"/>
                <w:highlight w:val="none"/>
              </w:rPr>
              <w:t>2618118</w:t>
            </w:r>
            <w:r>
              <w:rPr>
                <w:rFonts w:hint="eastAsia" w:ascii="Cambria Math" w:hAnsi="Cambria Math"/>
                <w:color w:val="auto"/>
                <w:szCs w:val="21"/>
                <w:highlight w:val="none"/>
              </w:rPr>
              <w:t>、</w:t>
            </w:r>
            <w:r>
              <w:rPr>
                <w:rFonts w:ascii="Cambria Math" w:hAnsi="Cambria Math"/>
                <w:color w:val="auto"/>
                <w:szCs w:val="21"/>
                <w:highlight w:val="none"/>
              </w:rPr>
              <w:t xml:space="preserve">2618199  </w:t>
            </w:r>
            <w:r>
              <w:rPr>
                <w:rFonts w:hint="eastAsia" w:ascii="Cambria Math" w:hAnsi="Cambria Math"/>
                <w:color w:val="auto"/>
                <w:szCs w:val="21"/>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支票、汇票、本票或者银行、保险机构出具的保函原件提交给采购人或者采购代理机构，未按时提交的</w:t>
            </w:r>
            <w:r>
              <w:rPr>
                <w:rFonts w:hint="eastAsia" w:ascii="宋体" w:hAnsi="宋体"/>
                <w:b/>
                <w:color w:val="auto"/>
                <w:szCs w:val="21"/>
                <w:highlight w:val="none"/>
              </w:rPr>
              <w:t>，投标无效</w:t>
            </w:r>
            <w:r>
              <w:rPr>
                <w:rFonts w:hint="eastAsia" w:ascii="宋体" w:hAnsi="宋体"/>
                <w:color w:val="auto"/>
                <w:szCs w:val="21"/>
                <w:highlight w:val="none"/>
              </w:rPr>
              <w:t>，由采购人或者采购代理机构向投标人出具回执（邮寄方式的除外），并妥善保管。</w:t>
            </w:r>
          </w:p>
          <w:p>
            <w:pPr>
              <w:snapToGrid w:val="0"/>
              <w:spacing w:line="360" w:lineRule="auto"/>
              <w:rPr>
                <w:rFonts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.投标人为联合体的，可以由联合体中的一方或者多方共同交纳投标保证金，其交纳的保证金对联合体各方均具有约束力。</w:t>
            </w:r>
          </w:p>
          <w:p>
            <w:pPr>
              <w:snapToGrid w:val="0"/>
              <w:spacing w:line="360" w:lineRule="auto"/>
              <w:rPr>
                <w:rFonts w:ascii="宋体" w:hAnsi="宋体"/>
                <w:color w:val="auto"/>
                <w:szCs w:val="21"/>
                <w:highlight w:val="none"/>
              </w:rPr>
            </w:pPr>
          </w:p>
          <w:p>
            <w:pPr>
              <w:snapToGrid w:val="0"/>
              <w:spacing w:line="360" w:lineRule="auto"/>
              <w:rPr>
                <w:rFonts w:ascii="宋体" w:hAnsi="宋体"/>
                <w:b/>
                <w:color w:val="auto"/>
                <w:szCs w:val="21"/>
                <w:highlight w:val="none"/>
              </w:rPr>
            </w:pPr>
            <w:r>
              <w:rPr>
                <w:rFonts w:hint="eastAsia" w:ascii="宋体" w:hAnsi="宋体"/>
                <w:b/>
                <w:color w:val="auto"/>
                <w:szCs w:val="21"/>
                <w:highlight w:val="none"/>
              </w:rPr>
              <w:t xml:space="preserve">备注： </w:t>
            </w:r>
          </w:p>
          <w:p>
            <w:pPr>
              <w:snapToGrid w:val="0"/>
              <w:spacing w:line="360" w:lineRule="auto"/>
              <w:rPr>
                <w:rFonts w:ascii="宋体" w:hAnsi="宋体"/>
                <w:b/>
                <w:color w:val="auto"/>
                <w:szCs w:val="21"/>
                <w:highlight w:val="none"/>
              </w:rPr>
            </w:pPr>
            <w:r>
              <w:rPr>
                <w:rFonts w:hint="eastAsia" w:ascii="宋体" w:hAnsi="宋体"/>
                <w:b/>
                <w:color w:val="auto"/>
                <w:szCs w:val="21"/>
                <w:highlight w:val="none"/>
              </w:rPr>
              <w:t>1. 投标保证金在投标截止时间后提交的，或者不按规定交纳方式交纳的，或者未足额交纳的（包含保函额度不足的），视为无效投标保证金。</w:t>
            </w:r>
          </w:p>
          <w:p>
            <w:pPr>
              <w:snapToGrid w:val="0"/>
              <w:spacing w:line="360" w:lineRule="auto"/>
              <w:rPr>
                <w:rFonts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pPr>
              <w:snapToGrid w:val="0"/>
              <w:spacing w:line="360" w:lineRule="auto"/>
              <w:rPr>
                <w:rFonts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pPr>
              <w:snapToGrid w:val="0"/>
              <w:spacing w:line="360" w:lineRule="auto"/>
              <w:rPr>
                <w:rFonts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pPr>
              <w:snapToGrid w:val="0"/>
              <w:spacing w:line="360" w:lineRule="auto"/>
              <w:rPr>
                <w:color w:val="auto"/>
                <w:highlight w:val="none"/>
              </w:rPr>
            </w:pPr>
            <w:r>
              <w:rPr>
                <w:rFonts w:hint="eastAsia" w:ascii="宋体" w:hAnsi="宋体"/>
                <w:b/>
                <w:color w:val="auto"/>
                <w:szCs w:val="21"/>
                <w:highlight w:val="none"/>
              </w:rPr>
              <w:t>5.采用银行、保险机构出具保函的，必须为无条件保函，否则视为无效投标保证金。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bookmarkStart w:id="69" w:name="_19.2"/>
            <w:bookmarkEnd w:id="69"/>
            <w:r>
              <w:rPr>
                <w:rFonts w:hint="eastAsia" w:ascii="宋体" w:hAnsi="宋体"/>
                <w:color w:val="auto"/>
                <w:szCs w:val="21"/>
                <w:highlight w:val="none"/>
              </w:rPr>
              <w:t>20</w:t>
            </w:r>
          </w:p>
        </w:tc>
        <w:tc>
          <w:tcPr>
            <w:tcW w:w="867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备份投标文件；</w:t>
            </w:r>
          </w:p>
          <w:p>
            <w:pPr>
              <w:autoSpaceDE w:val="0"/>
              <w:autoSpaceDN w:val="0"/>
              <w:adjustRightInd w:val="0"/>
              <w:spacing w:line="360" w:lineRule="auto"/>
              <w:textAlignment w:val="bottom"/>
              <w:rPr>
                <w:color w:val="auto"/>
                <w:highlight w:val="none"/>
              </w:rPr>
            </w:pPr>
            <w:r>
              <w:rPr>
                <w:rFonts w:hint="eastAsia" w:ascii="宋体" w:hAnsi="宋体"/>
                <w:color w:val="auto"/>
                <w:szCs w:val="21"/>
                <w:highlight w:val="none"/>
              </w:rPr>
              <w:t>□</w:t>
            </w:r>
            <w:r>
              <w:rPr>
                <w:rFonts w:hint="eastAsia"/>
                <w:color w:val="auto"/>
                <w:highlight w:val="none"/>
              </w:rPr>
              <w:t>本项目接受电子备份投标文件。</w:t>
            </w:r>
          </w:p>
          <w:p>
            <w:pPr>
              <w:autoSpaceDE w:val="0"/>
              <w:autoSpaceDN w:val="0"/>
              <w:adjustRightInd w:val="0"/>
              <w:spacing w:line="360" w:lineRule="auto"/>
              <w:ind w:firstLine="420" w:firstLineChars="200"/>
              <w:textAlignment w:val="bottom"/>
              <w:rPr>
                <w:color w:val="auto"/>
                <w:highlight w:val="none"/>
              </w:rPr>
            </w:pPr>
            <w:r>
              <w:rPr>
                <w:rFonts w:hint="eastAsia"/>
                <w:color w:val="auto"/>
                <w:highlight w:val="none"/>
              </w:rPr>
              <w:t>电子</w:t>
            </w:r>
            <w:r>
              <w:rPr>
                <w:rFonts w:hint="eastAsia" w:ascii="宋体" w:hAnsi="宋体"/>
                <w:color w:val="auto"/>
                <w:szCs w:val="21"/>
                <w:highlight w:val="none"/>
              </w:rPr>
              <w:t>备份投标文件</w:t>
            </w:r>
            <w:r>
              <w:rPr>
                <w:rFonts w:hint="eastAsia"/>
                <w:color w:val="auto"/>
                <w:highlight w:val="none"/>
              </w:rPr>
              <w:t>提交方式：投标人可以在投标截止时间前采用以下种方式向采购代理机构提交电子备份投标文件：</w:t>
            </w:r>
          </w:p>
          <w:p>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1</w:t>
            </w:r>
            <w:r>
              <w:rPr>
                <w:rFonts w:hint="eastAsia"/>
                <w:color w:val="auto"/>
                <w:highlight w:val="none"/>
              </w:rPr>
              <w:t>）现场提交方式，应采用</w:t>
            </w:r>
            <w:r>
              <w:rPr>
                <w:color w:val="auto"/>
                <w:highlight w:val="none"/>
              </w:rPr>
              <w:t>U</w:t>
            </w:r>
            <w:r>
              <w:rPr>
                <w:rFonts w:hint="eastAsia"/>
                <w:color w:val="auto"/>
                <w:highlight w:val="none"/>
              </w:rPr>
              <w:t>盘进行存储，提交地址：；提交截止时间：；外包装上注明投标人名称、项目名称及项目编号（外包装不作密封要求）。</w:t>
            </w:r>
          </w:p>
          <w:p>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2</w:t>
            </w:r>
            <w:r>
              <w:rPr>
                <w:rFonts w:hint="eastAsia"/>
                <w:color w:val="auto"/>
                <w:highlight w:val="none"/>
              </w:rPr>
              <w:t>）电子邮件方式，接收电子备份投标文件的电子邮箱为：。</w:t>
            </w:r>
          </w:p>
          <w:p>
            <w:pPr>
              <w:pStyle w:val="16"/>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）邮寄方式，应采用</w:t>
            </w:r>
            <w:r>
              <w:rPr>
                <w:color w:val="auto"/>
                <w:highlight w:val="none"/>
              </w:rPr>
              <w:t>U</w:t>
            </w:r>
            <w:r>
              <w:rPr>
                <w:rFonts w:hint="eastAsia"/>
                <w:color w:val="auto"/>
                <w:highlight w:val="none"/>
              </w:rPr>
              <w:t>盘进行存储，邮寄地址：，截止接收时间：，</w:t>
            </w:r>
          </w:p>
          <w:p>
            <w:pPr>
              <w:autoSpaceDE w:val="0"/>
              <w:autoSpaceDN w:val="0"/>
              <w:adjustRightInd w:val="0"/>
              <w:spacing w:line="360" w:lineRule="auto"/>
              <w:textAlignment w:val="bottom"/>
              <w:rPr>
                <w:color w:val="auto"/>
                <w:highlight w:val="none"/>
              </w:rPr>
            </w:pPr>
            <w:r>
              <w:rPr>
                <w:rFonts w:hint="eastAsia"/>
                <w:color w:val="auto"/>
                <w:highlight w:val="none"/>
              </w:rPr>
              <w:t>收件人：，联系方式：；外包装上注明投标人名称、项目名称及项目编号（外包装不作密封要求）。</w:t>
            </w:r>
          </w:p>
          <w:p>
            <w:pPr>
              <w:autoSpaceDE w:val="0"/>
              <w:autoSpaceDN w:val="0"/>
              <w:snapToGrid w:val="0"/>
              <w:spacing w:line="360" w:lineRule="auto"/>
              <w:ind w:firstLine="420" w:firstLineChars="200"/>
              <w:textAlignment w:val="bottom"/>
              <w:rPr>
                <w:rFonts w:ascii="宋体" w:hAnsi="宋体"/>
                <w:color w:val="auto"/>
                <w:szCs w:val="21"/>
                <w:highlight w:val="none"/>
              </w:rPr>
            </w:pPr>
            <w:r>
              <w:rPr>
                <w:rFonts w:hint="eastAsia"/>
                <w:color w:val="auto"/>
                <w:highlight w:val="none"/>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b/>
                <w:color w:val="auto"/>
                <w:highlight w:val="none"/>
              </w:rPr>
              <w:t>投标人的投标文件作无效处理</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bookmarkStart w:id="70" w:name="_21.1"/>
            <w:bookmarkEnd w:id="70"/>
            <w:r>
              <w:rPr>
                <w:rFonts w:hint="eastAsia" w:ascii="宋体" w:hAnsi="宋体"/>
                <w:color w:val="auto"/>
                <w:szCs w:val="21"/>
                <w:highlight w:val="none"/>
              </w:rPr>
              <w:t>21.1</w:t>
            </w:r>
          </w:p>
        </w:tc>
        <w:tc>
          <w:tcPr>
            <w:tcW w:w="867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1. 提交投标文件截止时间：详见招标公告</w:t>
            </w:r>
          </w:p>
          <w:p>
            <w:pPr>
              <w:snapToGrid w:val="0"/>
              <w:spacing w:line="360" w:lineRule="auto"/>
              <w:rPr>
                <w:rFonts w:ascii="宋体" w:hAnsi="宋体"/>
                <w:color w:val="auto"/>
                <w:szCs w:val="21"/>
                <w:highlight w:val="none"/>
              </w:rPr>
            </w:pPr>
            <w:r>
              <w:rPr>
                <w:rFonts w:hint="eastAsia" w:ascii="宋体" w:hAnsi="宋体"/>
                <w:color w:val="auto"/>
                <w:szCs w:val="21"/>
                <w:highlight w:val="none"/>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bookmarkStart w:id="71" w:name="_23"/>
            <w:bookmarkEnd w:id="71"/>
            <w:r>
              <w:rPr>
                <w:rFonts w:hint="eastAsia" w:ascii="宋体" w:hAnsi="宋体"/>
                <w:color w:val="auto"/>
                <w:szCs w:val="21"/>
                <w:highlight w:val="none"/>
              </w:rPr>
              <w:t>23</w:t>
            </w:r>
          </w:p>
        </w:tc>
        <w:tc>
          <w:tcPr>
            <w:tcW w:w="867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1.开标时间：详见招标公告</w:t>
            </w:r>
          </w:p>
          <w:p>
            <w:pPr>
              <w:snapToGrid w:val="0"/>
              <w:spacing w:line="360" w:lineRule="auto"/>
              <w:rPr>
                <w:rFonts w:ascii="宋体" w:hAnsi="宋体"/>
                <w:color w:val="auto"/>
                <w:szCs w:val="21"/>
                <w:highlight w:val="none"/>
              </w:rPr>
            </w:pPr>
            <w:r>
              <w:rPr>
                <w:rFonts w:hint="eastAsia" w:ascii="宋体" w:hAnsi="宋体"/>
                <w:color w:val="auto"/>
                <w:szCs w:val="21"/>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24.3（1）</w:t>
            </w:r>
          </w:p>
        </w:tc>
        <w:tc>
          <w:tcPr>
            <w:tcW w:w="867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Ansi="宋体"/>
                <w:color w:val="auto"/>
                <w:highlight w:val="none"/>
                <w:u w:val="single"/>
              </w:rPr>
            </w:pPr>
            <w:r>
              <w:rPr>
                <w:rFonts w:hint="eastAsia" w:hAnsi="宋体"/>
                <w:color w:val="auto"/>
                <w:highlight w:val="none"/>
              </w:rPr>
              <w:t>电子投标文件解密时间：</w:t>
            </w:r>
            <w:r>
              <w:rPr>
                <w:rFonts w:hAnsi="宋体"/>
                <w:color w:val="auto"/>
                <w:highlight w:val="none"/>
                <w:u w:val="single"/>
              </w:rPr>
              <w:t>30</w:t>
            </w:r>
            <w:r>
              <w:rPr>
                <w:rFonts w:hint="eastAsia" w:hAnsi="宋体"/>
                <w:color w:val="auto"/>
                <w:highlight w:val="none"/>
              </w:rPr>
              <w:t>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p>
        </w:tc>
        <w:tc>
          <w:tcPr>
            <w:tcW w:w="867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color w:val="auto"/>
                <w:highlight w:val="none"/>
              </w:rPr>
              <w:t>宣布的内容</w:t>
            </w:r>
            <w:r>
              <w:rPr>
                <w:rFonts w:hint="eastAsia" w:hAnsi="宋体"/>
                <w:color w:val="auto"/>
                <w:highlight w:val="none"/>
              </w:rPr>
              <w:t>：投标人名称、投标价格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bookmarkStart w:id="72" w:name="_25.3"/>
            <w:bookmarkEnd w:id="72"/>
            <w:r>
              <w:rPr>
                <w:rFonts w:hint="eastAsia" w:ascii="宋体" w:hAnsi="宋体"/>
                <w:color w:val="auto"/>
                <w:szCs w:val="21"/>
                <w:highlight w:val="none"/>
              </w:rPr>
              <w:t>25.3（</w:t>
            </w:r>
            <w:r>
              <w:rPr>
                <w:rFonts w:ascii="宋体" w:hAnsi="宋体"/>
                <w:color w:val="auto"/>
                <w:szCs w:val="21"/>
                <w:highlight w:val="none"/>
              </w:rPr>
              <w:t>2</w:t>
            </w:r>
            <w:r>
              <w:rPr>
                <w:rFonts w:hint="eastAsia" w:ascii="宋体" w:hAnsi="宋体"/>
                <w:color w:val="auto"/>
                <w:szCs w:val="21"/>
                <w:highlight w:val="none"/>
              </w:rPr>
              <w:t>）</w:t>
            </w:r>
          </w:p>
        </w:tc>
        <w:tc>
          <w:tcPr>
            <w:tcW w:w="867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pPr>
              <w:snapToGrid w:val="0"/>
              <w:spacing w:line="360" w:lineRule="auto"/>
              <w:rPr>
                <w:rFonts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p>
            <w:pPr>
              <w:snapToGrid w:val="0"/>
              <w:spacing w:line="360" w:lineRule="auto"/>
              <w:rPr>
                <w:rFonts w:ascii="宋体" w:hAnsi="宋体"/>
                <w:color w:val="auto"/>
                <w:szCs w:val="21"/>
                <w:highlight w:val="none"/>
              </w:rPr>
            </w:pPr>
            <w:r>
              <w:rPr>
                <w:rFonts w:hint="eastAsia" w:ascii="宋体" w:hAnsi="宋体"/>
                <w:color w:val="auto"/>
                <w:szCs w:val="21"/>
                <w:highlight w:val="none"/>
              </w:rPr>
              <w:t>信用查询截止时点：资格审查结束前</w:t>
            </w:r>
          </w:p>
          <w:p>
            <w:pPr>
              <w:snapToGrid w:val="0"/>
              <w:spacing w:line="360" w:lineRule="auto"/>
              <w:rPr>
                <w:rFonts w:ascii="宋体" w:hAnsi="宋体"/>
                <w:color w:val="auto"/>
                <w:szCs w:val="21"/>
                <w:highlight w:val="none"/>
              </w:rPr>
            </w:pPr>
            <w:r>
              <w:rPr>
                <w:rFonts w:hint="eastAsia" w:ascii="宋体" w:hAnsi="宋体"/>
                <w:color w:val="auto"/>
                <w:szCs w:val="21"/>
                <w:highlight w:val="none"/>
              </w:rPr>
              <w:t>查询记录和证据留存方式：在查询网站中直接截图查询记录，截图作为在广西政府采购云平台（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）作为附件上传保存。</w:t>
            </w:r>
          </w:p>
          <w:p>
            <w:pPr>
              <w:snapToGrid w:val="0"/>
              <w:spacing w:line="360" w:lineRule="auto"/>
              <w:rPr>
                <w:rFonts w:ascii="宋体" w:hAnsi="宋体"/>
                <w:b/>
                <w:color w:val="auto"/>
                <w:szCs w:val="21"/>
                <w:highlight w:val="none"/>
              </w:rPr>
            </w:pPr>
            <w:r>
              <w:rPr>
                <w:rFonts w:hint="eastAsia" w:ascii="宋体" w:hAnsi="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color w:val="auto"/>
                <w:sz w:val="22"/>
                <w:szCs w:val="22"/>
                <w:highlight w:val="none"/>
              </w:rPr>
              <w:t>应当拒绝其参与政府采购活动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bookmarkStart w:id="73" w:name="_26"/>
            <w:bookmarkEnd w:id="73"/>
            <w:r>
              <w:rPr>
                <w:rFonts w:hint="eastAsia" w:ascii="宋体" w:hAnsi="宋体"/>
                <w:color w:val="auto"/>
                <w:szCs w:val="21"/>
                <w:highlight w:val="none"/>
              </w:rPr>
              <w:t>26</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评标委员会的人数：</w:t>
            </w:r>
            <w:r>
              <w:rPr>
                <w:rFonts w:ascii="宋体" w:hAnsi="宋体"/>
                <w:color w:val="auto"/>
                <w:szCs w:val="21"/>
                <w:highlight w:val="none"/>
                <w:u w:val="single"/>
              </w:rPr>
              <w:t>7</w:t>
            </w:r>
            <w:r>
              <w:rPr>
                <w:rFonts w:hint="eastAsia" w:ascii="宋体" w:hAnsi="宋体"/>
                <w:color w:val="auto"/>
                <w:szCs w:val="21"/>
                <w:highlight w:val="none"/>
              </w:rPr>
              <w:t>人或以上单数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bookmarkStart w:id="74" w:name="_28.3"/>
            <w:bookmarkEnd w:id="74"/>
            <w:r>
              <w:rPr>
                <w:rFonts w:ascii="宋体" w:hAnsi="宋体"/>
                <w:color w:val="auto"/>
                <w:szCs w:val="21"/>
                <w:highlight w:val="none"/>
              </w:rPr>
              <w:t>29.1</w:t>
            </w:r>
          </w:p>
        </w:tc>
        <w:tc>
          <w:tcPr>
            <w:tcW w:w="867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评标方法：</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√综合评分法</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bookmarkStart w:id="75" w:name="_29.2.2（2）"/>
            <w:bookmarkEnd w:id="75"/>
            <w:r>
              <w:rPr>
                <w:rFonts w:hint="eastAsia" w:ascii="宋体" w:hAnsi="宋体"/>
                <w:color w:val="auto"/>
                <w:szCs w:val="21"/>
                <w:highlight w:val="none"/>
              </w:rPr>
              <w:t>2</w:t>
            </w:r>
            <w:r>
              <w:rPr>
                <w:rFonts w:ascii="宋体" w:hAnsi="宋体"/>
                <w:color w:val="auto"/>
                <w:szCs w:val="21"/>
                <w:highlight w:val="none"/>
              </w:rPr>
              <w:t>9.2</w:t>
            </w:r>
          </w:p>
        </w:tc>
        <w:tc>
          <w:tcPr>
            <w:tcW w:w="8670" w:type="dxa"/>
            <w:tcBorders>
              <w:top w:val="single" w:color="auto" w:sz="4" w:space="0"/>
              <w:left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评审中允许负偏离的条款数为</w:t>
            </w:r>
            <w:r>
              <w:rPr>
                <w:rFonts w:ascii="宋体" w:hAnsi="宋体"/>
                <w:color w:val="auto"/>
                <w:szCs w:val="21"/>
                <w:highlight w:val="none"/>
                <w:u w:val="single"/>
              </w:rPr>
              <w:t>0</w:t>
            </w:r>
            <w:r>
              <w:rPr>
                <w:rFonts w:hint="eastAsia" w:ascii="宋体" w:hAnsi="宋体"/>
                <w:color w:val="auto"/>
                <w:szCs w:val="21"/>
                <w:highlight w:val="none"/>
              </w:rPr>
              <w:t>项。</w:t>
            </w:r>
          </w:p>
          <w:p>
            <w:pPr>
              <w:snapToGrid w:val="0"/>
              <w:spacing w:line="360" w:lineRule="auto"/>
              <w:rPr>
                <w:rFonts w:ascii="宋体" w:hAnsi="宋体"/>
                <w:color w:val="auto"/>
                <w:szCs w:val="21"/>
                <w:highlight w:val="none"/>
              </w:rPr>
            </w:pPr>
            <w:r>
              <w:rPr>
                <w:rFonts w:hint="eastAsia" w:ascii="宋体" w:hAnsi="宋体" w:cs="宋体"/>
                <w:color w:val="auto"/>
                <w:szCs w:val="21"/>
                <w:highlight w:val="none"/>
              </w:rPr>
              <w:t>技术要求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不限</w:t>
            </w: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9.3</w:t>
            </w:r>
          </w:p>
        </w:tc>
        <w:tc>
          <w:tcPr>
            <w:tcW w:w="8670" w:type="dxa"/>
            <w:tcBorders>
              <w:top w:val="single" w:color="auto" w:sz="4" w:space="0"/>
              <w:left w:val="single" w:color="auto" w:sz="4" w:space="0"/>
              <w:right w:val="single" w:color="auto" w:sz="4" w:space="0"/>
            </w:tcBorders>
            <w:noWrap/>
            <w:vAlign w:val="center"/>
          </w:tcPr>
          <w:p>
            <w:pPr>
              <w:snapToGrid w:val="0"/>
              <w:spacing w:line="360" w:lineRule="auto"/>
              <w:rPr>
                <w:rFonts w:hAnsi="宋体"/>
                <w:color w:val="auto"/>
                <w:highlight w:val="none"/>
              </w:rPr>
            </w:pPr>
            <w:r>
              <w:rPr>
                <w:rFonts w:hAnsi="宋体"/>
                <w:color w:val="auto"/>
                <w:highlight w:val="none"/>
              </w:rPr>
              <w:t>中标候选人推荐数量</w:t>
            </w:r>
            <w:r>
              <w:rPr>
                <w:rFonts w:hint="eastAsia" w:hAnsi="宋体"/>
                <w:color w:val="auto"/>
                <w:highlight w:val="none"/>
              </w:rPr>
              <w:t>：</w:t>
            </w:r>
          </w:p>
          <w:p>
            <w:pPr>
              <w:snapToGrid w:val="0"/>
              <w:spacing w:line="360" w:lineRule="auto"/>
              <w:rPr>
                <w:rFonts w:hAnsi="宋体"/>
                <w:color w:val="auto"/>
                <w:highlight w:val="none"/>
              </w:rPr>
            </w:pPr>
            <w:r>
              <w:rPr>
                <w:rFonts w:hint="eastAsia" w:ascii="宋体" w:hAnsi="宋体"/>
                <w:color w:val="auto"/>
                <w:szCs w:val="21"/>
                <w:highlight w:val="none"/>
              </w:rPr>
              <w:t>□</w:t>
            </w:r>
            <w:r>
              <w:rPr>
                <w:rFonts w:hAnsi="宋体"/>
                <w:color w:val="auto"/>
                <w:highlight w:val="none"/>
              </w:rPr>
              <w:t>名</w:t>
            </w:r>
          </w:p>
          <w:p>
            <w:pPr>
              <w:snapToGrid w:val="0"/>
              <w:spacing w:line="360" w:lineRule="auto"/>
              <w:rPr>
                <w:rFonts w:ascii="宋体" w:hAnsi="宋体" w:cs="宋体"/>
                <w:color w:val="auto"/>
                <w:szCs w:val="21"/>
                <w:highlight w:val="none"/>
                <w:u w:val="single"/>
              </w:rPr>
            </w:pPr>
            <w:r>
              <w:rPr>
                <w:rFonts w:hint="eastAsia" w:ascii="宋体" w:hAnsi="宋体"/>
                <w:color w:val="auto"/>
                <w:szCs w:val="21"/>
                <w:highlight w:val="none"/>
              </w:rPr>
              <w:t>√</w:t>
            </w:r>
            <w:r>
              <w:rPr>
                <w:rFonts w:hint="eastAsia" w:hAnsi="宋体"/>
                <w:color w:val="auto"/>
                <w:highlight w:val="none"/>
              </w:rPr>
              <w:t>根据[总得分由高到低（综合评分法）</w:t>
            </w:r>
            <w:r>
              <w:rPr>
                <w:rFonts w:hAnsi="宋体"/>
                <w:color w:val="auto"/>
                <w:highlight w:val="none"/>
              </w:rPr>
              <w:t>]</w:t>
            </w:r>
            <w:r>
              <w:rPr>
                <w:rFonts w:hint="eastAsia" w:hAnsi="宋体"/>
                <w:color w:val="auto"/>
                <w:highlight w:val="none"/>
              </w:rPr>
              <w:t>排列次序并全部推荐为中标候选人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57" w:hRule="atLeast"/>
        </w:trPr>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采购人确定中标人时，出现中标候选人并列的情形，采购人按以下的方式确定中标人：</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√依次按投标报价低的优先、政策分得分高的优先、技术评分高的优先、商务评分高的优先、质保期长优先、货期短优先、故障响应时间短优先的顺序确定；</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□随机抽取；</w:t>
            </w:r>
          </w:p>
          <w:p>
            <w:pPr>
              <w:autoSpaceDE w:val="0"/>
              <w:autoSpaceDN w:val="0"/>
              <w:snapToGrid w:val="0"/>
              <w:spacing w:line="360" w:lineRule="auto"/>
              <w:textAlignment w:val="bottom"/>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bookmarkStart w:id="76" w:name="_39.1"/>
            <w:bookmarkEnd w:id="76"/>
            <w:r>
              <w:rPr>
                <w:rFonts w:hint="eastAsia" w:ascii="宋体" w:hAnsi="宋体"/>
                <w:color w:val="auto"/>
                <w:szCs w:val="21"/>
                <w:highlight w:val="none"/>
              </w:rPr>
              <w:t>35</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□本项目不收取履约保证金。</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√本项目收取履约保证金，具体规定如下：</w:t>
            </w:r>
          </w:p>
          <w:p>
            <w:pPr>
              <w:pStyle w:val="16"/>
              <w:spacing w:line="360" w:lineRule="auto"/>
              <w:rPr>
                <w:rFonts w:ascii="宋体" w:hAnsi="宋体"/>
                <w:color w:val="auto"/>
                <w:szCs w:val="21"/>
                <w:highlight w:val="none"/>
              </w:rPr>
            </w:pPr>
            <w:r>
              <w:rPr>
                <w:rFonts w:hint="eastAsia" w:ascii="宋体" w:hAnsi="宋体"/>
                <w:color w:val="auto"/>
                <w:szCs w:val="21"/>
                <w:highlight w:val="none"/>
              </w:rPr>
              <w:t>履约保证金金额：</w:t>
            </w:r>
            <w:r>
              <w:rPr>
                <w:rFonts w:hint="eastAsia" w:ascii="宋体" w:hAnsi="宋体" w:cs="宋体"/>
                <w:color w:val="auto"/>
                <w:szCs w:val="21"/>
                <w:highlight w:val="none"/>
              </w:rPr>
              <w:t>非中小企业按合同金额的</w:t>
            </w:r>
            <w:r>
              <w:rPr>
                <w:rFonts w:ascii="宋体" w:hAnsi="宋体" w:cs="宋体"/>
                <w:color w:val="auto"/>
                <w:szCs w:val="21"/>
                <w:highlight w:val="none"/>
              </w:rPr>
              <w:t>5</w:t>
            </w:r>
            <w:r>
              <w:rPr>
                <w:rFonts w:hint="eastAsia" w:ascii="宋体" w:hAnsi="宋体" w:cs="宋体"/>
                <w:color w:val="auto"/>
                <w:szCs w:val="21"/>
                <w:highlight w:val="none"/>
              </w:rPr>
              <w:t>%，中小企业按合同金额的 2 %。</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履约保证金递交方式：银行转账、支票、汇票、本票或者银行、保险机构出具的保函（含电子保函）等非现金方式</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履约保证金缴纳期限:自中标通知书发出之日起 5日内。</w:t>
            </w:r>
          </w:p>
          <w:p>
            <w:pPr>
              <w:snapToGrid w:val="0"/>
              <w:spacing w:line="360" w:lineRule="auto"/>
              <w:rPr>
                <w:rFonts w:ascii="Cambria Math" w:hAnsi="Cambria Math" w:cs="Cambria Math"/>
                <w:color w:val="auto"/>
                <w:szCs w:val="21"/>
                <w:highlight w:val="none"/>
              </w:rPr>
            </w:pPr>
            <w:r>
              <w:rPr>
                <w:rFonts w:hint="eastAsia" w:ascii="宋体" w:hAnsi="宋体"/>
                <w:color w:val="auto"/>
                <w:szCs w:val="21"/>
                <w:highlight w:val="none"/>
              </w:rPr>
              <w:t>履约保证金退付方式、时间及条件：</w:t>
            </w:r>
            <w:r>
              <w:rPr>
                <w:rFonts w:hint="eastAsia" w:ascii="Cambria Math" w:hAnsi="Cambria Math"/>
                <w:color w:val="auto"/>
                <w:szCs w:val="21"/>
                <w:highlight w:val="none"/>
              </w:rPr>
              <w:t>履约保证金在项目履约完成（按合同约定履行完合同所有内容，包括但不限于承诺的免费保修）后无息退还。</w:t>
            </w:r>
            <w:r>
              <w:rPr>
                <w:rFonts w:hint="eastAsia" w:ascii="Cambria Math" w:hAnsi="Cambria Math" w:cs="Cambria Math"/>
                <w:color w:val="auto"/>
                <w:szCs w:val="21"/>
                <w:highlight w:val="none"/>
              </w:rPr>
              <w:t>由中标人向履约保证金收取单位提供《广西壮族自治区政府采购项目合同验收书》（详见桂财采〔</w:t>
            </w:r>
            <w:r>
              <w:rPr>
                <w:rFonts w:ascii="Cambria Math" w:hAnsi="Cambria Math" w:cs="Cambria Math"/>
                <w:color w:val="auto"/>
                <w:szCs w:val="21"/>
                <w:highlight w:val="none"/>
              </w:rPr>
              <w:t>2015</w:t>
            </w:r>
            <w:r>
              <w:rPr>
                <w:rFonts w:hint="eastAsia" w:ascii="Cambria Math" w:hAnsi="Cambria Math" w:cs="Cambria Math"/>
                <w:color w:val="auto"/>
                <w:szCs w:val="21"/>
                <w:highlight w:val="none"/>
              </w:rPr>
              <w:t>〕</w:t>
            </w:r>
            <w:r>
              <w:rPr>
                <w:rFonts w:ascii="Cambria Math" w:hAnsi="Cambria Math" w:cs="Cambria Math"/>
                <w:color w:val="auto"/>
                <w:szCs w:val="21"/>
                <w:highlight w:val="none"/>
              </w:rPr>
              <w:t>22</w:t>
            </w:r>
            <w:r>
              <w:rPr>
                <w:rFonts w:hint="eastAsia" w:ascii="Cambria Math" w:hAnsi="Cambria Math" w:cs="Cambria Math"/>
                <w:color w:val="auto"/>
                <w:szCs w:val="21"/>
                <w:highlight w:val="none"/>
              </w:rPr>
              <w:t>号），保证金收取单位在收到合格材料后</w:t>
            </w:r>
            <w:r>
              <w:rPr>
                <w:rFonts w:ascii="Cambria Math" w:hAnsi="Cambria Math" w:cs="Cambria Math"/>
                <w:color w:val="auto"/>
                <w:szCs w:val="21"/>
                <w:highlight w:val="none"/>
              </w:rPr>
              <w:t>5</w:t>
            </w:r>
            <w:r>
              <w:rPr>
                <w:rFonts w:hint="eastAsia" w:ascii="Cambria Math" w:hAnsi="Cambria Math" w:cs="Cambria Math"/>
                <w:color w:val="auto"/>
                <w:szCs w:val="21"/>
                <w:highlight w:val="none"/>
              </w:rPr>
              <w:t>个工作日内办理退还手续（不计利息）。</w:t>
            </w:r>
          </w:p>
          <w:p>
            <w:pPr>
              <w:snapToGrid w:val="0"/>
              <w:spacing w:line="360" w:lineRule="auto"/>
              <w:rPr>
                <w:rFonts w:ascii="宋体" w:hAnsi="宋体"/>
                <w:color w:val="auto"/>
                <w:szCs w:val="21"/>
                <w:highlight w:val="none"/>
                <w:u w:val="single"/>
              </w:rPr>
            </w:pPr>
            <w:r>
              <w:rPr>
                <w:rFonts w:hint="eastAsia" w:ascii="Cambria Math" w:hAnsi="Cambria Math" w:cs="Cambria Math"/>
                <w:color w:val="auto"/>
                <w:szCs w:val="21"/>
                <w:highlight w:val="none"/>
              </w:rPr>
              <w:t>不予退还的情形：签订合同后，如中标人不按双方签订的合同规定履约，则其全部履约保证金不予退还。</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履约保证金指定账户：</w:t>
            </w:r>
          </w:p>
          <w:p>
            <w:pPr>
              <w:spacing w:line="360" w:lineRule="auto"/>
              <w:jc w:val="left"/>
              <w:rPr>
                <w:rFonts w:ascii="宋体" w:hAnsi="宋体" w:cs="Courier New"/>
                <w:color w:val="auto"/>
                <w:szCs w:val="21"/>
                <w:highlight w:val="none"/>
              </w:rPr>
            </w:pPr>
            <w:r>
              <w:rPr>
                <w:rFonts w:hint="eastAsia" w:ascii="宋体" w:hAnsi="宋体" w:cs="Courier New"/>
                <w:color w:val="auto"/>
                <w:szCs w:val="21"/>
                <w:highlight w:val="none"/>
              </w:rPr>
              <w:t xml:space="preserve">开户名称：广西艺术学院 </w:t>
            </w:r>
          </w:p>
          <w:p>
            <w:pPr>
              <w:spacing w:line="360" w:lineRule="auto"/>
              <w:jc w:val="left"/>
              <w:rPr>
                <w:rFonts w:ascii="宋体" w:hAnsi="宋体" w:cs="Courier New"/>
                <w:color w:val="auto"/>
                <w:szCs w:val="21"/>
                <w:highlight w:val="none"/>
              </w:rPr>
            </w:pPr>
            <w:r>
              <w:rPr>
                <w:rFonts w:hint="eastAsia" w:ascii="宋体" w:hAnsi="宋体" w:cs="Courier New"/>
                <w:color w:val="auto"/>
                <w:szCs w:val="21"/>
                <w:highlight w:val="none"/>
              </w:rPr>
              <w:t>开户银行：建行南宁市桃源支行</w:t>
            </w:r>
          </w:p>
          <w:p>
            <w:pPr>
              <w:spacing w:line="360" w:lineRule="auto"/>
              <w:jc w:val="left"/>
              <w:rPr>
                <w:rFonts w:ascii="宋体" w:hAnsi="宋体" w:cs="Courier New"/>
                <w:color w:val="auto"/>
                <w:szCs w:val="21"/>
                <w:highlight w:val="none"/>
              </w:rPr>
            </w:pPr>
            <w:r>
              <w:rPr>
                <w:rFonts w:hint="eastAsia" w:ascii="宋体" w:hAnsi="宋体" w:cs="Courier New"/>
                <w:color w:val="auto"/>
                <w:szCs w:val="21"/>
                <w:highlight w:val="none"/>
              </w:rPr>
              <w:t>银行账号：4500 1604 5590 5050 0909</w:t>
            </w:r>
          </w:p>
          <w:p>
            <w:pPr>
              <w:autoSpaceDE w:val="0"/>
              <w:autoSpaceDN w:val="0"/>
              <w:snapToGrid w:val="0"/>
              <w:spacing w:line="360" w:lineRule="auto"/>
              <w:textAlignment w:val="bottom"/>
              <w:rPr>
                <w:rFonts w:ascii="宋体" w:hAnsi="宋体"/>
                <w:color w:val="auto"/>
                <w:szCs w:val="21"/>
                <w:highlight w:val="none"/>
              </w:rPr>
            </w:pPr>
          </w:p>
          <w:p>
            <w:pPr>
              <w:spacing w:line="360" w:lineRule="auto"/>
              <w:jc w:val="left"/>
              <w:rPr>
                <w:rFonts w:ascii="宋体" w:hAnsi="宋体" w:cs="Courier New"/>
                <w:color w:val="auto"/>
                <w:szCs w:val="21"/>
                <w:highlight w:val="none"/>
              </w:rPr>
            </w:pPr>
            <w:r>
              <w:rPr>
                <w:rFonts w:hint="eastAsia" w:ascii="宋体" w:hAnsi="宋体" w:cs="Courier New"/>
                <w:color w:val="auto"/>
                <w:szCs w:val="21"/>
                <w:highlight w:val="none"/>
              </w:rPr>
              <w:t>备注：</w:t>
            </w:r>
          </w:p>
          <w:p>
            <w:pPr>
              <w:spacing w:line="360" w:lineRule="auto"/>
              <w:jc w:val="left"/>
              <w:rPr>
                <w:rFonts w:ascii="宋体" w:hAnsi="宋体" w:cs="宋体"/>
                <w:b/>
                <w:color w:val="auto"/>
                <w:kern w:val="0"/>
                <w:sz w:val="24"/>
                <w:highlight w:val="none"/>
              </w:rPr>
            </w:pPr>
            <w:r>
              <w:rPr>
                <w:rFonts w:hint="eastAsia" w:ascii="宋体" w:hAnsi="宋体"/>
                <w:b/>
                <w:color w:val="auto"/>
                <w:szCs w:val="21"/>
                <w:highlight w:val="none"/>
              </w:rPr>
              <w:t xml:space="preserve">1. </w:t>
            </w:r>
            <w:bookmarkStart w:id="77" w:name="_Hlk54170335"/>
            <w:r>
              <w:rPr>
                <w:rFonts w:hint="eastAsia" w:ascii="宋体" w:hAnsi="宋体"/>
                <w:b/>
                <w:color w:val="auto"/>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auto"/>
                <w:kern w:val="0"/>
                <w:sz w:val="24"/>
                <w:highlight w:val="none"/>
              </w:rPr>
              <w:t>。</w:t>
            </w:r>
            <w:bookmarkEnd w:id="77"/>
          </w:p>
          <w:p>
            <w:pPr>
              <w:spacing w:line="360" w:lineRule="auto"/>
              <w:jc w:val="left"/>
              <w:rPr>
                <w:rFonts w:ascii="宋体" w:hAnsi="宋体"/>
                <w:b/>
                <w:color w:val="auto"/>
                <w:szCs w:val="21"/>
                <w:highlight w:val="none"/>
              </w:rPr>
            </w:pPr>
            <w:r>
              <w:rPr>
                <w:rFonts w:hint="eastAsia" w:ascii="宋体" w:hAnsi="宋体"/>
                <w:b/>
                <w:color w:val="auto"/>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auto"/>
              <w:jc w:val="left"/>
              <w:rPr>
                <w:rFonts w:ascii="宋体" w:hAnsi="宋体"/>
                <w:b/>
                <w:color w:val="auto"/>
                <w:szCs w:val="21"/>
                <w:highlight w:val="none"/>
              </w:rPr>
            </w:pPr>
            <w:r>
              <w:rPr>
                <w:rFonts w:hint="eastAsia" w:ascii="宋体" w:hAnsi="宋体"/>
                <w:b/>
                <w:color w:val="auto"/>
                <w:szCs w:val="21"/>
                <w:highlight w:val="none"/>
              </w:rPr>
              <w:t>3.采用银行、保险机构出具的保函（含电子保函）的，必须为无条件保函，否则不予签订合同。</w:t>
            </w:r>
          </w:p>
          <w:p>
            <w:pPr>
              <w:spacing w:line="360" w:lineRule="auto"/>
              <w:jc w:val="left"/>
              <w:rPr>
                <w:rFonts w:ascii="宋体" w:hAnsi="宋体" w:cs="宋体"/>
                <w:color w:val="auto"/>
                <w:kern w:val="0"/>
                <w:szCs w:val="21"/>
                <w:highlight w:val="none"/>
              </w:rPr>
            </w:pPr>
            <w:r>
              <w:rPr>
                <w:rFonts w:hint="eastAsia" w:ascii="宋体" w:hAnsi="宋体"/>
                <w:b/>
                <w:color w:val="auto"/>
                <w:szCs w:val="21"/>
                <w:highlight w:val="none"/>
              </w:rPr>
              <w:t>4.投标人为联合体的，由联合体其中一方按规定提交的履约保证金，视为有效履约保证金。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bookmarkStart w:id="78" w:name="_40.1"/>
            <w:bookmarkEnd w:id="78"/>
            <w:r>
              <w:rPr>
                <w:rFonts w:hint="eastAsia" w:ascii="宋体" w:hAnsi="宋体"/>
                <w:color w:val="auto"/>
                <w:szCs w:val="21"/>
                <w:highlight w:val="none"/>
              </w:rPr>
              <w:t>36.1</w:t>
            </w:r>
          </w:p>
        </w:tc>
        <w:tc>
          <w:tcPr>
            <w:tcW w:w="867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67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接收质疑函方式：以书面形式</w:t>
            </w:r>
          </w:p>
          <w:p>
            <w:pPr>
              <w:snapToGrid w:val="0"/>
              <w:spacing w:line="360" w:lineRule="auto"/>
              <w:rPr>
                <w:rFonts w:ascii="宋体" w:hAnsi="宋体"/>
                <w:color w:val="auto"/>
                <w:szCs w:val="21"/>
                <w:highlight w:val="none"/>
              </w:rPr>
            </w:pPr>
            <w:r>
              <w:rPr>
                <w:rFonts w:hint="eastAsia" w:ascii="宋体" w:hAnsi="宋体"/>
                <w:color w:val="auto"/>
                <w:szCs w:val="21"/>
                <w:highlight w:val="none"/>
              </w:rPr>
              <w:t>质疑联系部门及联系方式：云之龙咨询集团有限公司</w:t>
            </w:r>
          </w:p>
          <w:p>
            <w:pPr>
              <w:snapToGrid w:val="0"/>
              <w:spacing w:line="360" w:lineRule="auto"/>
              <w:rPr>
                <w:rFonts w:ascii="宋体" w:hAnsi="宋体"/>
                <w:color w:val="auto"/>
                <w:szCs w:val="21"/>
                <w:highlight w:val="none"/>
              </w:rPr>
            </w:pPr>
            <w:r>
              <w:rPr>
                <w:rFonts w:hint="eastAsia" w:ascii="宋体" w:hAnsi="宋体"/>
                <w:color w:val="auto"/>
                <w:szCs w:val="21"/>
                <w:highlight w:val="none"/>
              </w:rPr>
              <w:t>联系电话：0771-2611898、2618118、2618199，</w:t>
            </w:r>
          </w:p>
          <w:p>
            <w:pPr>
              <w:snapToGrid w:val="0"/>
              <w:spacing w:line="360" w:lineRule="auto"/>
              <w:rPr>
                <w:rFonts w:ascii="宋体" w:hAnsi="宋体"/>
                <w:color w:val="auto"/>
                <w:szCs w:val="21"/>
                <w:highlight w:val="none"/>
              </w:rPr>
            </w:pPr>
            <w:r>
              <w:rPr>
                <w:rFonts w:hint="eastAsia" w:ascii="宋体" w:hAnsi="宋体"/>
                <w:color w:val="auto"/>
                <w:szCs w:val="21"/>
                <w:highlight w:val="none"/>
              </w:rPr>
              <w:t>通讯地址：南宁市良庆区云英路15号南宁城建集团总部地块项目3号写字楼6楼</w:t>
            </w:r>
          </w:p>
          <w:p>
            <w:pPr>
              <w:autoSpaceDE w:val="0"/>
              <w:autoSpaceDN w:val="0"/>
              <w:snapToGrid w:val="0"/>
              <w:spacing w:line="360" w:lineRule="auto"/>
              <w:textAlignment w:val="bottom"/>
              <w:rPr>
                <w:rFonts w:ascii="宋体" w:hAnsi="宋体"/>
                <w:color w:val="auto"/>
                <w:szCs w:val="21"/>
                <w:highlight w:val="none"/>
              </w:rPr>
            </w:pPr>
            <w:r>
              <w:rPr>
                <w:rFonts w:hint="eastAsia" w:hAnsi="宋体" w:cs="宋体"/>
                <w:color w:val="auto"/>
                <w:highlight w:val="none"/>
              </w:rPr>
              <w:t>业务时间：工作日每天上午</w:t>
            </w:r>
            <w:r>
              <w:rPr>
                <w:rFonts w:hAnsi="宋体" w:cs="宋体"/>
                <w:color w:val="auto"/>
                <w:highlight w:val="none"/>
              </w:rPr>
              <w:t>8</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12</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分，下午</w:t>
            </w:r>
            <w:r>
              <w:rPr>
                <w:rFonts w:hAnsi="宋体" w:cs="宋体"/>
                <w:color w:val="auto"/>
                <w:highlight w:val="none"/>
              </w:rPr>
              <w:t>3</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6</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bookmarkStart w:id="79" w:name="_41"/>
            <w:bookmarkEnd w:id="79"/>
            <w:bookmarkStart w:id="80" w:name="_42"/>
            <w:bookmarkEnd w:id="80"/>
            <w:bookmarkStart w:id="81" w:name="_Hlt17709148"/>
            <w:r>
              <w:rPr>
                <w:rFonts w:hint="eastAsia" w:ascii="宋体" w:hAnsi="宋体"/>
                <w:color w:val="auto"/>
                <w:szCs w:val="21"/>
                <w:highlight w:val="none"/>
              </w:rPr>
              <w:t>3</w:t>
            </w:r>
            <w:bookmarkEnd w:id="81"/>
            <w:r>
              <w:rPr>
                <w:rFonts w:ascii="宋体" w:hAnsi="宋体"/>
                <w:color w:val="auto"/>
                <w:szCs w:val="21"/>
                <w:highlight w:val="none"/>
              </w:rPr>
              <w:t>9.1</w:t>
            </w:r>
          </w:p>
        </w:tc>
        <w:tc>
          <w:tcPr>
            <w:tcW w:w="8670" w:type="dxa"/>
            <w:tcBorders>
              <w:top w:val="single" w:color="auto" w:sz="4" w:space="0"/>
              <w:left w:val="single" w:color="auto" w:sz="4" w:space="0"/>
              <w:bottom w:val="single" w:color="auto" w:sz="4" w:space="0"/>
              <w:right w:val="single" w:color="auto" w:sz="4" w:space="0"/>
            </w:tcBorders>
            <w:noWrap/>
            <w:vAlign w:val="center"/>
          </w:tcPr>
          <w:p>
            <w:pPr>
              <w:pStyle w:val="24"/>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pPr>
              <w:pStyle w:val="24"/>
              <w:snapToGrid w:val="0"/>
              <w:spacing w:line="360" w:lineRule="auto"/>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一次性向采购代理机构支付。</w:t>
            </w:r>
          </w:p>
          <w:p>
            <w:pPr>
              <w:pStyle w:val="24"/>
              <w:snapToGrid w:val="0"/>
              <w:spacing w:line="360" w:lineRule="auto"/>
              <w:rPr>
                <w:rFonts w:hAnsi="宋体" w:cs="宋体"/>
                <w:color w:val="auto"/>
                <w:sz w:val="21"/>
                <w:highlight w:val="none"/>
              </w:rPr>
            </w:pPr>
            <w:r>
              <w:rPr>
                <w:rFonts w:hint="eastAsia" w:hAnsi="宋体" w:cs="宋体"/>
                <w:color w:val="auto"/>
                <w:sz w:val="21"/>
                <w:highlight w:val="none"/>
              </w:rPr>
              <w:t>□采购人支付。</w:t>
            </w:r>
          </w:p>
          <w:p>
            <w:pPr>
              <w:pStyle w:val="24"/>
              <w:snapToGrid w:val="0"/>
              <w:spacing w:line="360" w:lineRule="auto"/>
              <w:rPr>
                <w:rFonts w:hAnsi="宋体" w:cs="宋体"/>
                <w:color w:val="auto"/>
                <w:sz w:val="21"/>
                <w:highlight w:val="none"/>
              </w:rPr>
            </w:pPr>
            <w:r>
              <w:rPr>
                <w:rFonts w:hint="eastAsia" w:hAnsi="宋体" w:cs="宋体"/>
                <w:color w:val="auto"/>
                <w:sz w:val="21"/>
                <w:highlight w:val="none"/>
              </w:rPr>
              <w:t>2.采购代理费收取标准：</w:t>
            </w:r>
          </w:p>
          <w:p>
            <w:pPr>
              <w:pStyle w:val="24"/>
              <w:snapToGrid w:val="0"/>
              <w:spacing w:line="360" w:lineRule="auto"/>
              <w:rPr>
                <w:rFonts w:hAnsi="宋体" w:cs="宋体"/>
                <w:color w:val="auto"/>
                <w:sz w:val="21"/>
                <w:highlight w:val="none"/>
              </w:rPr>
            </w:pPr>
            <w:r>
              <w:rPr>
                <w:rFonts w:hint="eastAsia" w:hAnsi="宋体" w:cs="宋体"/>
                <w:color w:val="auto"/>
                <w:sz w:val="21"/>
                <w:highlight w:val="none"/>
              </w:rPr>
              <w:t>√以分标（√中标金额/□采购预算/□暂定中标金额/□其他）为计费额，按本须知正文第39.2条规定的收费计算标准（√货物招标/□服务招标/□工程招标）采用差额定率累进法计算出收费基准价格，采购代理收费以（√收费基准价格/□收费基准价格下浮</w:t>
            </w:r>
            <w:r>
              <w:rPr>
                <w:rFonts w:hint="eastAsia" w:hAnsi="宋体" w:cs="宋体"/>
                <w:color w:val="auto"/>
                <w:sz w:val="21"/>
                <w:highlight w:val="none"/>
                <w:u w:val="single"/>
              </w:rPr>
              <w:t xml:space="preserve">  %</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int="eastAsia" w:hAnsi="宋体" w:cs="宋体"/>
                <w:color w:val="auto"/>
                <w:sz w:val="21"/>
                <w:highlight w:val="none"/>
              </w:rPr>
              <w:t>）收取。</w:t>
            </w:r>
          </w:p>
          <w:p>
            <w:pPr>
              <w:pStyle w:val="24"/>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pPr>
              <w:pStyle w:val="24"/>
              <w:snapToGrid w:val="0"/>
              <w:spacing w:line="360" w:lineRule="auto"/>
              <w:rPr>
                <w:rFonts w:hAnsi="宋体" w:cs="宋体"/>
                <w:color w:val="auto"/>
                <w:sz w:val="21"/>
                <w:highlight w:val="none"/>
              </w:rPr>
            </w:pPr>
            <w:r>
              <w:rPr>
                <w:rFonts w:hint="eastAsia" w:hAnsi="宋体" w:cs="宋体"/>
                <w:color w:val="auto"/>
                <w:sz w:val="21"/>
                <w:highlight w:val="none"/>
              </w:rPr>
              <w:t xml:space="preserve">3.账户名称： </w:t>
            </w:r>
          </w:p>
          <w:p>
            <w:pPr>
              <w:pStyle w:val="24"/>
              <w:snapToGrid w:val="0"/>
              <w:spacing w:line="360" w:lineRule="auto"/>
              <w:rPr>
                <w:rFonts w:hAnsi="宋体" w:cs="宋体"/>
                <w:color w:val="auto"/>
                <w:sz w:val="21"/>
                <w:highlight w:val="none"/>
              </w:rPr>
            </w:pPr>
            <w:r>
              <w:rPr>
                <w:rFonts w:hint="eastAsia" w:hAnsi="宋体" w:cs="宋体"/>
                <w:color w:val="auto"/>
                <w:sz w:val="21"/>
                <w:highlight w:val="none"/>
              </w:rPr>
              <w:t xml:space="preserve">开户名称：云之龙咨询集团有限公司 </w:t>
            </w:r>
          </w:p>
          <w:p>
            <w:pPr>
              <w:pStyle w:val="24"/>
              <w:snapToGrid w:val="0"/>
              <w:spacing w:line="360" w:lineRule="auto"/>
              <w:rPr>
                <w:rFonts w:hAnsi="宋体" w:cs="宋体"/>
                <w:color w:val="auto"/>
                <w:sz w:val="21"/>
                <w:highlight w:val="none"/>
              </w:rPr>
            </w:pPr>
            <w:r>
              <w:rPr>
                <w:rFonts w:hint="eastAsia" w:hAnsi="宋体" w:cs="宋体"/>
                <w:color w:val="auto"/>
                <w:sz w:val="21"/>
                <w:highlight w:val="none"/>
              </w:rPr>
              <w:t xml:space="preserve">开户银行：中国银行南宁市民主支行（网银支付可选中国银行股份有限公司南宁分行） </w:t>
            </w:r>
          </w:p>
          <w:p>
            <w:pPr>
              <w:pStyle w:val="24"/>
              <w:snapToGrid w:val="0"/>
              <w:spacing w:line="360" w:lineRule="auto"/>
              <w:rPr>
                <w:rFonts w:hAnsi="宋体" w:cs="宋体"/>
                <w:color w:val="auto"/>
                <w:sz w:val="21"/>
                <w:highlight w:val="none"/>
              </w:rPr>
            </w:pPr>
            <w:r>
              <w:rPr>
                <w:rFonts w:hint="eastAsia" w:hAnsi="宋体" w:cs="宋体"/>
                <w:color w:val="auto"/>
                <w:sz w:val="21"/>
                <w:highlight w:val="none"/>
              </w:rPr>
              <w:t>银行账号：623661021638</w:t>
            </w:r>
          </w:p>
          <w:p>
            <w:pPr>
              <w:pStyle w:val="24"/>
              <w:snapToGrid w:val="0"/>
              <w:spacing w:line="360" w:lineRule="auto"/>
              <w:rPr>
                <w:rFonts w:hAnsi="宋体" w:cs="宋体"/>
                <w:color w:val="auto"/>
                <w:sz w:val="21"/>
                <w:highlight w:val="none"/>
              </w:rPr>
            </w:pPr>
            <w:r>
              <w:rPr>
                <w:rFonts w:hint="eastAsia" w:hAnsi="宋体" w:cs="宋体"/>
                <w:color w:val="auto"/>
                <w:sz w:val="21"/>
                <w:highlight w:val="none"/>
              </w:rPr>
              <w:t>开户行行号：104611010017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40.1</w:t>
            </w:r>
          </w:p>
        </w:tc>
        <w:tc>
          <w:tcPr>
            <w:tcW w:w="867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40.2</w:t>
            </w:r>
          </w:p>
        </w:tc>
        <w:tc>
          <w:tcPr>
            <w:tcW w:w="8670" w:type="dxa"/>
            <w:tcBorders>
              <w:top w:val="single" w:color="auto" w:sz="4" w:space="0"/>
              <w:left w:val="single" w:color="auto" w:sz="4" w:space="0"/>
              <w:bottom w:val="single" w:color="auto" w:sz="4" w:space="0"/>
              <w:right w:val="single" w:color="auto" w:sz="4" w:space="0"/>
            </w:tcBorders>
            <w:noWrap/>
            <w:vAlign w:val="center"/>
          </w:tcPr>
          <w:p>
            <w:pPr>
              <w:pStyle w:val="24"/>
              <w:snapToGrid w:val="0"/>
              <w:spacing w:line="360" w:lineRule="auto"/>
              <w:rPr>
                <w:rFonts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24"/>
              <w:snapToGrid w:val="0"/>
              <w:spacing w:line="360" w:lineRule="auto"/>
              <w:rPr>
                <w:rFonts w:hAnsi="宋体" w:cs="宋体"/>
                <w:bCs/>
                <w:color w:val="auto"/>
                <w:sz w:val="21"/>
                <w:highlight w:val="none"/>
              </w:rPr>
            </w:pPr>
            <w:r>
              <w:rPr>
                <w:rFonts w:hint="eastAsia" w:hAnsi="宋体" w:cs="宋体"/>
                <w:bCs/>
                <w:color w:val="auto"/>
                <w:sz w:val="21"/>
                <w:highlight w:val="none"/>
              </w:rPr>
              <w:t>2.本招标文件所称的“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pPr>
              <w:pStyle w:val="24"/>
              <w:snapToGrid w:val="0"/>
              <w:spacing w:line="360" w:lineRule="auto"/>
              <w:rPr>
                <w:rFonts w:hAnsi="宋体" w:cs="宋体"/>
                <w:bCs/>
                <w:color w:val="auto"/>
                <w:sz w:val="21"/>
                <w:highlight w:val="none"/>
              </w:rPr>
            </w:pPr>
            <w:r>
              <w:rPr>
                <w:rFonts w:hint="eastAsia"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24"/>
              <w:snapToGrid w:val="0"/>
              <w:spacing w:line="360" w:lineRule="auto"/>
              <w:rPr>
                <w:rFonts w:hAnsi="宋体" w:cs="宋体"/>
                <w:bCs/>
                <w:color w:val="auto"/>
                <w:sz w:val="21"/>
                <w:highlight w:val="none"/>
              </w:rPr>
            </w:pPr>
            <w:r>
              <w:rPr>
                <w:rFonts w:hint="eastAsia" w:hAnsi="宋体" w:cs="宋体"/>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pPr>
              <w:pStyle w:val="24"/>
              <w:snapToGrid w:val="0"/>
              <w:spacing w:line="360" w:lineRule="auto"/>
              <w:rPr>
                <w:color w:val="auto"/>
                <w:sz w:val="21"/>
                <w:highlight w:val="none"/>
              </w:rPr>
            </w:pPr>
            <w:r>
              <w:rPr>
                <w:rFonts w:hint="eastAsia" w:hAnsi="宋体" w:cs="宋体"/>
                <w:bCs/>
                <w:color w:val="auto"/>
                <w:sz w:val="21"/>
                <w:highlight w:val="none"/>
              </w:rPr>
              <w:t>5.本招标文件所称的“以上”“以下”“以内”“届满”，包括本数；所称的“不满”“超过”“以外”，不包括本数。</w:t>
            </w:r>
          </w:p>
        </w:tc>
      </w:tr>
    </w:tbl>
    <w:p>
      <w:pPr>
        <w:snapToGrid w:val="0"/>
        <w:rPr>
          <w:rFonts w:ascii="宋体" w:hAnsi="宋体"/>
          <w:color w:val="auto"/>
          <w:sz w:val="24"/>
          <w:szCs w:val="20"/>
          <w:highlight w:val="none"/>
        </w:rPr>
      </w:pPr>
    </w:p>
    <w:p>
      <w:pPr>
        <w:snapToGrid w:val="0"/>
        <w:rPr>
          <w:rFonts w:ascii="宋体" w:hAnsi="宋体"/>
          <w:color w:val="auto"/>
          <w:sz w:val="24"/>
          <w:szCs w:val="20"/>
          <w:highlight w:val="none"/>
        </w:rPr>
      </w:pPr>
    </w:p>
    <w:p>
      <w:pPr>
        <w:pStyle w:val="5"/>
        <w:keepNext w:val="0"/>
        <w:keepLines w:val="0"/>
        <w:jc w:val="center"/>
        <w:rPr>
          <w:color w:val="auto"/>
          <w:highlight w:val="none"/>
        </w:rPr>
      </w:pPr>
      <w:r>
        <w:rPr>
          <w:color w:val="auto"/>
          <w:highlight w:val="none"/>
        </w:rPr>
        <w:br w:type="page"/>
      </w:r>
      <w:r>
        <w:rPr>
          <w:rFonts w:hint="eastAsia"/>
          <w:color w:val="auto"/>
          <w:highlight w:val="none"/>
        </w:rPr>
        <w:t>投标人须知正文</w:t>
      </w:r>
    </w:p>
    <w:p>
      <w:pPr>
        <w:pStyle w:val="5"/>
        <w:keepNext w:val="0"/>
        <w:keepLines w:val="0"/>
        <w:jc w:val="center"/>
        <w:rPr>
          <w:color w:val="auto"/>
          <w:highlight w:val="none"/>
        </w:rPr>
      </w:pPr>
      <w:r>
        <w:rPr>
          <w:rFonts w:hint="eastAsia"/>
          <w:color w:val="auto"/>
          <w:highlight w:val="none"/>
        </w:rPr>
        <w:t>一、总  则</w:t>
      </w:r>
    </w:p>
    <w:p>
      <w:pPr>
        <w:pStyle w:val="6"/>
        <w:keepNext w:val="0"/>
        <w:keepLines w:val="0"/>
        <w:spacing w:before="0" w:after="0" w:line="360" w:lineRule="auto"/>
        <w:ind w:left="420" w:leftChars="200"/>
        <w:rPr>
          <w:rFonts w:ascii="黑体" w:hAnsi="黑体" w:eastAsia="黑体"/>
          <w:color w:val="auto"/>
          <w:sz w:val="24"/>
          <w:highlight w:val="none"/>
        </w:rPr>
      </w:pPr>
      <w:bookmarkStart w:id="82" w:name="_Toc254970668"/>
      <w:bookmarkStart w:id="83" w:name="_Toc254970527"/>
      <w:r>
        <w:rPr>
          <w:rFonts w:hint="eastAsia" w:ascii="黑体" w:hAnsi="黑体" w:eastAsia="黑体"/>
          <w:color w:val="auto"/>
          <w:sz w:val="24"/>
          <w:highlight w:val="none"/>
        </w:rPr>
        <w:t>1.适用范围</w:t>
      </w:r>
      <w:bookmarkEnd w:id="82"/>
      <w:bookmarkEnd w:id="83"/>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pStyle w:val="6"/>
        <w:keepNext w:val="0"/>
        <w:keepLines w:val="0"/>
        <w:spacing w:before="0" w:after="0" w:line="360" w:lineRule="auto"/>
        <w:ind w:left="420" w:leftChars="200"/>
        <w:rPr>
          <w:rFonts w:ascii="黑体" w:hAnsi="黑体" w:eastAsia="黑体"/>
          <w:color w:val="auto"/>
          <w:sz w:val="24"/>
          <w:highlight w:val="none"/>
        </w:rPr>
      </w:pPr>
      <w:bookmarkStart w:id="84" w:name="_Toc254970669"/>
      <w:bookmarkStart w:id="85" w:name="_Toc254970528"/>
      <w:r>
        <w:rPr>
          <w:rFonts w:hint="eastAsia" w:ascii="黑体" w:hAnsi="黑体" w:eastAsia="黑体"/>
          <w:color w:val="auto"/>
          <w:sz w:val="24"/>
          <w:highlight w:val="none"/>
        </w:rPr>
        <w:t>2.定义</w:t>
      </w:r>
      <w:bookmarkEnd w:id="84"/>
      <w:bookmarkEnd w:id="85"/>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pPr>
        <w:pStyle w:val="7"/>
        <w:spacing w:line="360" w:lineRule="auto"/>
        <w:rPr>
          <w:rFonts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是指商品出售以后所提供的各种服务，包含但不限于投标人须承担的备品备件、包装、运输、装卸、保险、货到就位以及安装、调试、培训、质保以及其他各种服务。</w:t>
      </w:r>
    </w:p>
    <w:p>
      <w:pPr>
        <w:pStyle w:val="6"/>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86" w:name="_Toc254970529"/>
      <w:bookmarkStart w:id="87" w:name="_Toc254970670"/>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bookmarkEnd w:id="86"/>
      <w:bookmarkEnd w:id="87"/>
      <w:r>
        <w:rPr>
          <w:rFonts w:hint="eastAsia" w:ascii="黑体" w:hAnsi="黑体" w:eastAsia="黑体"/>
          <w:color w:val="auto"/>
          <w:sz w:val="24"/>
          <w:highlight w:val="none"/>
        </w:rPr>
        <w:t>投标人的资格要求</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投标人的资格要求详见“投标人须知前附表”。</w:t>
      </w:r>
    </w:p>
    <w:p>
      <w:pPr>
        <w:pStyle w:val="6"/>
        <w:keepNext w:val="0"/>
        <w:keepLines w:val="0"/>
        <w:spacing w:before="0" w:after="0" w:line="360" w:lineRule="auto"/>
        <w:ind w:left="420" w:leftChars="200"/>
        <w:rPr>
          <w:rFonts w:ascii="黑体" w:hAnsi="黑体" w:eastAsia="黑体"/>
          <w:color w:val="auto"/>
          <w:sz w:val="24"/>
          <w:highlight w:val="none"/>
        </w:rPr>
      </w:pPr>
      <w:bookmarkStart w:id="88" w:name="_Toc254970530"/>
      <w:bookmarkStart w:id="89" w:name="_Toc254970671"/>
      <w:r>
        <w:rPr>
          <w:rFonts w:hint="eastAsia" w:ascii="黑体" w:hAnsi="黑体" w:eastAsia="黑体"/>
          <w:color w:val="auto"/>
          <w:sz w:val="24"/>
          <w:highlight w:val="none"/>
        </w:rPr>
        <w:t>4.投标委托</w:t>
      </w:r>
      <w:bookmarkEnd w:id="88"/>
      <w:bookmarkEnd w:id="89"/>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pPr>
        <w:pStyle w:val="6"/>
        <w:keepNext w:val="0"/>
        <w:keepLines w:val="0"/>
        <w:spacing w:before="0" w:after="0" w:line="360" w:lineRule="auto"/>
        <w:ind w:left="420" w:leftChars="200"/>
        <w:rPr>
          <w:rFonts w:ascii="黑体" w:hAnsi="黑体" w:eastAsia="黑体"/>
          <w:color w:val="auto"/>
          <w:sz w:val="24"/>
          <w:highlight w:val="none"/>
        </w:rPr>
      </w:pPr>
      <w:bookmarkStart w:id="90" w:name="_5.投标费用"/>
      <w:bookmarkEnd w:id="90"/>
      <w:bookmarkStart w:id="91" w:name="_Toc254970531"/>
      <w:bookmarkStart w:id="92" w:name="_Toc254970672"/>
      <w:r>
        <w:rPr>
          <w:rFonts w:hint="eastAsia" w:ascii="黑体" w:hAnsi="黑体" w:eastAsia="黑体"/>
          <w:color w:val="auto"/>
          <w:sz w:val="24"/>
          <w:highlight w:val="none"/>
        </w:rPr>
        <w:t>5.投标费用</w:t>
      </w:r>
      <w:bookmarkEnd w:id="91"/>
      <w:bookmarkEnd w:id="92"/>
    </w:p>
    <w:p>
      <w:pPr>
        <w:snapToGrid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6.联合体投标</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pStyle w:val="6"/>
        <w:keepNext w:val="0"/>
        <w:keepLines w:val="0"/>
        <w:spacing w:before="0" w:after="0" w:line="360" w:lineRule="auto"/>
        <w:ind w:firstLine="424" w:firstLineChars="202"/>
        <w:rPr>
          <w:rFonts w:ascii="黑体" w:hAnsi="黑体" w:eastAsia="黑体"/>
          <w:color w:val="auto"/>
          <w:sz w:val="24"/>
          <w:highlight w:val="none"/>
        </w:rPr>
      </w:pPr>
      <w:r>
        <w:rPr>
          <w:rFonts w:hint="eastAsia" w:ascii="宋体" w:hAnsi="宋体"/>
          <w:b w:val="0"/>
          <w:bCs/>
          <w:color w:val="auto"/>
          <w:sz w:val="21"/>
          <w:szCs w:val="21"/>
          <w:highlight w:val="none"/>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7.1本项目不允许转包。</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keepNext w:val="0"/>
        <w:keepLines w:val="0"/>
        <w:spacing w:before="0" w:after="0" w:line="360" w:lineRule="auto"/>
        <w:ind w:left="420" w:leftChars="200"/>
        <w:rPr>
          <w:rFonts w:ascii="黑体" w:hAnsi="黑体" w:eastAsia="黑体"/>
          <w:color w:val="auto"/>
          <w:sz w:val="24"/>
          <w:highlight w:val="none"/>
        </w:rPr>
      </w:pPr>
      <w:bookmarkStart w:id="93" w:name="_Toc254970532"/>
      <w:bookmarkStart w:id="94" w:name="_Toc254970673"/>
      <w:r>
        <w:rPr>
          <w:rFonts w:hint="eastAsia" w:ascii="黑体" w:hAnsi="黑体" w:eastAsia="黑体"/>
          <w:color w:val="auto"/>
          <w:sz w:val="24"/>
          <w:highlight w:val="none"/>
        </w:rPr>
        <w:t>8.特别说明</w:t>
      </w:r>
      <w:bookmarkEnd w:id="93"/>
      <w:bookmarkEnd w:id="94"/>
    </w:p>
    <w:p>
      <w:pPr>
        <w:pStyle w:val="6"/>
        <w:keepNext w:val="0"/>
        <w:keepLines w:val="0"/>
        <w:spacing w:before="0" w:after="0" w:line="360" w:lineRule="auto"/>
        <w:ind w:firstLine="420" w:firstLineChars="200"/>
        <w:rPr>
          <w:rFonts w:ascii="宋体" w:hAnsi="宋体"/>
          <w:b w:val="0"/>
          <w:color w:val="auto"/>
          <w:sz w:val="21"/>
          <w:szCs w:val="21"/>
          <w:highlight w:val="none"/>
        </w:rPr>
      </w:pPr>
      <w:bookmarkStart w:id="95" w:name="_8.1提供相同品牌产品且通过资格审查、符合性审查的不同投标人参加同一合"/>
      <w:bookmarkEnd w:id="95"/>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HYPERLINK  \l "_8.1"</w:instrText>
      </w:r>
      <w:r>
        <w:rPr>
          <w:rFonts w:ascii="宋体" w:hAnsi="宋体"/>
          <w:b w:val="0"/>
          <w:color w:val="auto"/>
          <w:sz w:val="21"/>
          <w:szCs w:val="21"/>
          <w:highlight w:val="none"/>
        </w:rPr>
        <w:fldChar w:fldCharType="separate"/>
      </w:r>
      <w:r>
        <w:rPr>
          <w:rFonts w:hint="eastAsia" w:ascii="宋体" w:hAnsi="宋体"/>
          <w:b w:val="0"/>
          <w:color w:val="auto"/>
          <w:sz w:val="21"/>
          <w:szCs w:val="21"/>
          <w:highlight w:val="none"/>
        </w:rPr>
        <w:t>8.1</w:t>
      </w:r>
      <w:r>
        <w:rPr>
          <w:rFonts w:ascii="宋体" w:hAnsi="宋体"/>
          <w:b w:val="0"/>
          <w:color w:val="auto"/>
          <w:sz w:val="21"/>
          <w:szCs w:val="21"/>
          <w:highlight w:val="none"/>
        </w:rPr>
        <w:fldChar w:fldCharType="end"/>
      </w:r>
      <w:r>
        <w:rPr>
          <w:rFonts w:hint="eastAsia" w:ascii="宋体" w:hAnsi="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highlight w:val="none"/>
        </w:rPr>
        <w:t>其他投标无效。</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非单一产品采购项目，多家投标人提供的核心产品品牌相同的，</w:t>
      </w:r>
      <w:r>
        <w:rPr>
          <w:rFonts w:hint="eastAsia" w:hAnsi="宋体"/>
          <w:color w:val="auto"/>
          <w:sz w:val="22"/>
          <w:szCs w:val="22"/>
          <w:highlight w:val="none"/>
        </w:rPr>
        <w:t>按前两款规定处理</w:t>
      </w:r>
      <w:r>
        <w:rPr>
          <w:rFonts w:hint="eastAsia" w:hAnsi="宋体"/>
          <w:color w:val="auto"/>
          <w:kern w:val="2"/>
          <w:sz w:val="21"/>
          <w:highlight w:val="none"/>
        </w:rPr>
        <w:t>。</w:t>
      </w:r>
    </w:p>
    <w:p>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pPr>
        <w:pStyle w:val="6"/>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（2）不同投标人委托同一单位或者个人办理投标事宜；</w:t>
      </w:r>
    </w:p>
    <w:p>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（5）不同投标人的投标文件相互混装；</w:t>
      </w:r>
    </w:p>
    <w:p>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pPr>
        <w:pStyle w:val="6"/>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pPr>
        <w:pStyle w:val="24"/>
        <w:snapToGrid w:val="0"/>
        <w:spacing w:line="360" w:lineRule="auto"/>
        <w:ind w:left="2" w:leftChars="1" w:firstLine="422" w:firstLineChars="200"/>
        <w:rPr>
          <w:rFonts w:hAnsi="宋体"/>
          <w:b/>
          <w:color w:val="auto"/>
          <w:kern w:val="2"/>
          <w:sz w:val="21"/>
          <w:highlight w:val="none"/>
        </w:rPr>
      </w:pPr>
    </w:p>
    <w:p>
      <w:pPr>
        <w:pStyle w:val="5"/>
        <w:keepNext w:val="0"/>
        <w:keepLines w:val="0"/>
        <w:jc w:val="center"/>
        <w:rPr>
          <w:color w:val="auto"/>
          <w:highlight w:val="none"/>
        </w:rPr>
      </w:pPr>
      <w:bookmarkStart w:id="96" w:name="_Toc254970675"/>
      <w:bookmarkStart w:id="97" w:name="_Toc254970534"/>
      <w:r>
        <w:rPr>
          <w:rFonts w:hint="eastAsia"/>
          <w:color w:val="auto"/>
          <w:highlight w:val="none"/>
        </w:rPr>
        <w:t>二、招标文件</w:t>
      </w:r>
      <w:bookmarkEnd w:id="96"/>
      <w:bookmarkEnd w:id="97"/>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（1）招标公告；</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 xml:space="preserve">（2）采购需求； </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（3）投标人须知；</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（4）评标方法及评标标准；</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（5）拟签订的合同文本；</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（6）投标文件格式。</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98"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8"/>
    <w:p>
      <w:pPr>
        <w:pStyle w:val="5"/>
        <w:keepNext w:val="0"/>
        <w:keepLines w:val="0"/>
        <w:jc w:val="center"/>
        <w:rPr>
          <w:color w:val="auto"/>
          <w:highlight w:val="none"/>
        </w:rPr>
      </w:pPr>
      <w:bookmarkStart w:id="99" w:name="_Toc254970535"/>
      <w:bookmarkStart w:id="100" w:name="_Toc254970676"/>
      <w:r>
        <w:rPr>
          <w:rFonts w:hint="eastAsia"/>
          <w:color w:val="auto"/>
          <w:highlight w:val="none"/>
        </w:rPr>
        <w:t>三、投标文件的编制</w:t>
      </w:r>
      <w:bookmarkEnd w:id="99"/>
      <w:bookmarkEnd w:id="100"/>
    </w:p>
    <w:p>
      <w:pPr>
        <w:pStyle w:val="6"/>
        <w:keepNext w:val="0"/>
        <w:keepLines w:val="0"/>
        <w:spacing w:before="0" w:after="0" w:line="360" w:lineRule="auto"/>
        <w:ind w:left="420" w:leftChars="200"/>
        <w:rPr>
          <w:rFonts w:ascii="黑体" w:hAnsi="黑体" w:eastAsia="黑体"/>
          <w:color w:val="auto"/>
          <w:sz w:val="24"/>
          <w:highlight w:val="none"/>
        </w:rPr>
      </w:pPr>
      <w:bookmarkStart w:id="101" w:name="_Toc254970677"/>
      <w:bookmarkStart w:id="102" w:name="_Toc254970536"/>
      <w:r>
        <w:rPr>
          <w:rFonts w:hint="eastAsia" w:ascii="黑体" w:hAnsi="黑体" w:eastAsia="黑体"/>
          <w:color w:val="auto"/>
          <w:sz w:val="24"/>
          <w:highlight w:val="none"/>
        </w:rPr>
        <w:t>12.投标文件的编制原则</w:t>
      </w:r>
    </w:p>
    <w:p>
      <w:pPr>
        <w:snapToGrid w:val="0"/>
        <w:spacing w:line="360" w:lineRule="auto"/>
        <w:ind w:firstLine="420"/>
        <w:jc w:val="left"/>
        <w:rPr>
          <w:rFonts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13.投标文件的组成</w:t>
      </w:r>
      <w:bookmarkEnd w:id="101"/>
      <w:bookmarkEnd w:id="102"/>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投标文件由报价文件、资格证明文件、商务及技术文件三部分组成。</w:t>
      </w:r>
    </w:p>
    <w:p>
      <w:pPr>
        <w:pStyle w:val="6"/>
        <w:keepNext w:val="0"/>
        <w:keepLines w:val="0"/>
        <w:spacing w:before="0" w:after="0" w:line="360" w:lineRule="auto"/>
        <w:ind w:left="420" w:leftChars="200"/>
        <w:rPr>
          <w:rFonts w:ascii="宋体" w:hAnsi="宋体"/>
          <w:b w:val="0"/>
          <w:color w:val="auto"/>
          <w:sz w:val="21"/>
          <w:szCs w:val="21"/>
          <w:highlight w:val="none"/>
        </w:rPr>
      </w:pPr>
      <w:bookmarkStart w:id="103" w:name="_13.1报价文件:_具体材料见“投标人须知前附表”。"/>
      <w:bookmarkEnd w:id="103"/>
      <w:r>
        <w:rPr>
          <w:rFonts w:hint="eastAsia" w:ascii="宋体" w:hAnsi="宋体"/>
          <w:b w:val="0"/>
          <w:color w:val="auto"/>
          <w:sz w:val="21"/>
          <w:szCs w:val="21"/>
          <w:highlight w:val="none"/>
        </w:rPr>
        <w:t>（1）报价文件：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ascii="宋体" w:hAnsi="宋体"/>
          <w:b w:val="0"/>
          <w:color w:val="auto"/>
          <w:sz w:val="21"/>
          <w:szCs w:val="21"/>
          <w:highlight w:val="none"/>
        </w:rPr>
      </w:pPr>
      <w:bookmarkStart w:id="104" w:name="_13.2资格证明文件：具体材料见“投标人须知前附表”。"/>
      <w:bookmarkEnd w:id="104"/>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ascii="宋体" w:hAnsi="宋体"/>
          <w:b w:val="0"/>
          <w:color w:val="auto"/>
          <w:sz w:val="21"/>
          <w:szCs w:val="21"/>
          <w:highlight w:val="none"/>
        </w:rPr>
      </w:pPr>
      <w:bookmarkStart w:id="105" w:name="_13.3商务文件:_具体材料见“投标人须知前附表”。"/>
      <w:bookmarkEnd w:id="105"/>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）商务及技术文件：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ascii="黑体" w:hAnsi="黑体" w:eastAsia="黑体"/>
          <w:color w:val="auto"/>
          <w:sz w:val="24"/>
          <w:highlight w:val="none"/>
        </w:rPr>
      </w:pPr>
      <w:bookmarkStart w:id="106" w:name="_13.4技术文件：具体材料见“投标人须知前附表”。"/>
      <w:bookmarkEnd w:id="106"/>
      <w:bookmarkStart w:id="107" w:name="_13.5投标文件电子版：具体材料见“投标人须知前附表”。"/>
      <w:bookmarkEnd w:id="107"/>
      <w:bookmarkStart w:id="108" w:name="_Toc254970678"/>
      <w:bookmarkStart w:id="109" w:name="_Toc254970537"/>
      <w:r>
        <w:rPr>
          <w:rFonts w:hint="eastAsia" w:ascii="黑体" w:hAnsi="黑体" w:eastAsia="黑体"/>
          <w:color w:val="auto"/>
          <w:sz w:val="24"/>
          <w:highlight w:val="none"/>
        </w:rPr>
        <w:t>14.投标文件的语言及计量</w:t>
      </w:r>
      <w:bookmarkEnd w:id="108"/>
      <w:bookmarkEnd w:id="109"/>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14.1语言文字</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olor w:val="auto"/>
          <w:sz w:val="21"/>
          <w:szCs w:val="21"/>
          <w:highlight w:val="none"/>
        </w:rPr>
        <w:t>否则视同未响应。</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15.投标的风险</w:t>
      </w:r>
    </w:p>
    <w:p>
      <w:pPr>
        <w:pStyle w:val="24"/>
        <w:snapToGrid w:val="0"/>
        <w:spacing w:line="360" w:lineRule="auto"/>
        <w:ind w:firstLine="420" w:firstLineChars="200"/>
        <w:jc w:val="left"/>
        <w:rPr>
          <w:rFonts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pPr>
        <w:pStyle w:val="6"/>
        <w:keepNext w:val="0"/>
        <w:keepLines w:val="0"/>
        <w:spacing w:before="0" w:after="0" w:line="360" w:lineRule="auto"/>
        <w:ind w:left="420" w:leftChars="200"/>
        <w:rPr>
          <w:rFonts w:ascii="黑体" w:hAnsi="黑体" w:eastAsia="黑体"/>
          <w:color w:val="auto"/>
          <w:sz w:val="24"/>
          <w:highlight w:val="none"/>
        </w:rPr>
      </w:pPr>
      <w:bookmarkStart w:id="110" w:name="_Toc254970538"/>
      <w:bookmarkStart w:id="111" w:name="_Toc254970679"/>
      <w:r>
        <w:rPr>
          <w:rFonts w:hint="eastAsia" w:ascii="黑体" w:hAnsi="黑体" w:eastAsia="黑体"/>
          <w:color w:val="auto"/>
          <w:sz w:val="24"/>
          <w:highlight w:val="none"/>
        </w:rPr>
        <w:t>16.投标报价</w:t>
      </w:r>
      <w:bookmarkEnd w:id="110"/>
      <w:bookmarkEnd w:id="111"/>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pPr>
        <w:pStyle w:val="6"/>
        <w:keepNext w:val="0"/>
        <w:keepLines w:val="0"/>
        <w:spacing w:before="0" w:after="0" w:line="360" w:lineRule="auto"/>
        <w:ind w:left="420" w:leftChars="200"/>
        <w:rPr>
          <w:rFonts w:ascii="宋体" w:hAnsi="宋体"/>
          <w:b w:val="0"/>
          <w:color w:val="auto"/>
          <w:sz w:val="21"/>
          <w:szCs w:val="21"/>
          <w:highlight w:val="none"/>
        </w:rPr>
      </w:pPr>
      <w:bookmarkStart w:id="112" w:name="_16.2投标报价具体定义见投标人须知前附表。"/>
      <w:bookmarkEnd w:id="112"/>
      <w:r>
        <w:rPr>
          <w:rFonts w:hint="eastAsia" w:ascii="宋体" w:hAnsi="宋体"/>
          <w:b w:val="0"/>
          <w:color w:val="auto"/>
          <w:sz w:val="21"/>
          <w:szCs w:val="21"/>
          <w:highlight w:val="none"/>
        </w:rPr>
        <w:t>16.2投标报价具体包括内容详见“投标人须知前附表”。</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17.投标有效期</w:t>
      </w:r>
    </w:p>
    <w:p>
      <w:pPr>
        <w:pStyle w:val="6"/>
        <w:keepNext w:val="0"/>
        <w:keepLines w:val="0"/>
        <w:spacing w:before="0" w:after="0" w:line="360" w:lineRule="auto"/>
        <w:ind w:firstLine="420" w:firstLineChars="200"/>
        <w:rPr>
          <w:rFonts w:ascii="宋体" w:hAnsi="宋体"/>
          <w:b w:val="0"/>
          <w:color w:val="auto"/>
          <w:sz w:val="21"/>
          <w:szCs w:val="21"/>
          <w:highlight w:val="none"/>
        </w:rPr>
      </w:pPr>
      <w:bookmarkStart w:id="113" w:name="_17.1投标有效期应按“投标人须知中的前附表”规定的期限。"/>
      <w:bookmarkEnd w:id="113"/>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6"/>
        <w:keepNext w:val="0"/>
        <w:keepLines w:val="0"/>
        <w:spacing w:before="0" w:after="0" w:line="360" w:lineRule="auto"/>
        <w:ind w:firstLine="424" w:firstLineChars="202"/>
        <w:rPr>
          <w:rFonts w:ascii="宋体" w:hAnsi="宋体"/>
          <w:b w:val="0"/>
          <w:color w:val="auto"/>
          <w:sz w:val="21"/>
          <w:szCs w:val="21"/>
          <w:highlight w:val="none"/>
        </w:rPr>
      </w:pPr>
      <w:r>
        <w:rPr>
          <w:rFonts w:hint="eastAsia" w:ascii="宋体" w:hAnsi="宋体"/>
          <w:b w:val="0"/>
          <w:color w:val="auto"/>
          <w:sz w:val="21"/>
          <w:szCs w:val="21"/>
          <w:highlight w:val="none"/>
        </w:rPr>
        <w:t>17.2</w:t>
      </w:r>
      <w:bookmarkStart w:id="114" w:name="_Toc254970540"/>
      <w:bookmarkStart w:id="115" w:name="_Toc254970681"/>
      <w:r>
        <w:rPr>
          <w:rFonts w:hint="eastAsia" w:ascii="宋体" w:hAnsi="宋体"/>
          <w:b w:val="0"/>
          <w:color w:val="auto"/>
          <w:sz w:val="21"/>
          <w:szCs w:val="21"/>
          <w:highlight w:val="none"/>
        </w:rPr>
        <w:t xml:space="preserve"> 投标有效期应按招标文件规定的期限作出承诺，具体详见“投标人须知前附表”。</w:t>
      </w:r>
      <w:r>
        <w:rPr>
          <w:rFonts w:hint="eastAsia" w:ascii="宋体" w:hAnsi="宋体"/>
          <w:color w:val="auto"/>
          <w:sz w:val="21"/>
          <w:szCs w:val="21"/>
          <w:highlight w:val="none"/>
        </w:rPr>
        <w:t>承诺的投标有效期低于招标文件规定期限的，按无效投标处理</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14"/>
      <w:bookmarkEnd w:id="115"/>
    </w:p>
    <w:p>
      <w:pPr>
        <w:pStyle w:val="6"/>
        <w:keepNext w:val="0"/>
        <w:keepLines w:val="0"/>
        <w:spacing w:before="0" w:after="0" w:line="360" w:lineRule="auto"/>
        <w:ind w:left="420" w:leftChars="200"/>
        <w:rPr>
          <w:rFonts w:ascii="宋体" w:hAnsi="宋体"/>
          <w:b w:val="0"/>
          <w:color w:val="auto"/>
          <w:sz w:val="21"/>
          <w:szCs w:val="21"/>
          <w:highlight w:val="none"/>
        </w:rPr>
      </w:pPr>
    </w:p>
    <w:p>
      <w:pPr>
        <w:pStyle w:val="6"/>
        <w:keepNext w:val="0"/>
        <w:keepLines w:val="0"/>
        <w:spacing w:before="0" w:after="0" w:line="360" w:lineRule="auto"/>
        <w:ind w:left="420" w:leftChars="200"/>
        <w:rPr>
          <w:rFonts w:ascii="黑体" w:hAnsi="黑体" w:eastAsia="黑体"/>
          <w:color w:val="auto"/>
          <w:sz w:val="24"/>
          <w:highlight w:val="none"/>
        </w:rPr>
      </w:pPr>
      <w:bookmarkStart w:id="116" w:name="_18.投标保证金"/>
      <w:bookmarkEnd w:id="116"/>
      <w:bookmarkStart w:id="117" w:name="_Toc254970682"/>
      <w:bookmarkStart w:id="118" w:name="_Toc254970541"/>
      <w:r>
        <w:rPr>
          <w:rFonts w:hint="eastAsia" w:ascii="黑体" w:hAnsi="黑体" w:eastAsia="黑体"/>
          <w:color w:val="auto"/>
          <w:sz w:val="24"/>
          <w:highlight w:val="none"/>
        </w:rPr>
        <w:t>18.投标保证金</w:t>
      </w:r>
      <w:bookmarkEnd w:id="117"/>
      <w:bookmarkEnd w:id="118"/>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18.2投标保证金的退还</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（1）投标人在投标有效期内撤销投标文件的；</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（2）未按规定提交履约保证金的；</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（3）投标人在投标过程中弄虚作假，提供虚假材料的；</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（4）中标人无正当理由不与采购人签订合同的；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（5）投标人出现本章第9.2、9.3情形的；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pPr>
        <w:pStyle w:val="6"/>
        <w:keepNext w:val="0"/>
        <w:keepLines w:val="0"/>
        <w:spacing w:before="0" w:after="0" w:line="360" w:lineRule="auto"/>
        <w:ind w:left="420" w:leftChars="200"/>
        <w:rPr>
          <w:rFonts w:ascii="黑体" w:hAnsi="黑体" w:eastAsia="黑体"/>
          <w:color w:val="auto"/>
          <w:sz w:val="24"/>
          <w:highlight w:val="none"/>
        </w:rPr>
      </w:pPr>
      <w:bookmarkStart w:id="119" w:name="_Toc254970542"/>
      <w:bookmarkStart w:id="120" w:name="_Toc254970683"/>
      <w:r>
        <w:rPr>
          <w:rFonts w:hint="eastAsia" w:ascii="黑体" w:hAnsi="黑体" w:eastAsia="黑体"/>
          <w:color w:val="auto"/>
          <w:sz w:val="24"/>
          <w:highlight w:val="none"/>
        </w:rPr>
        <w:t>19.投标文件的</w:t>
      </w:r>
      <w:bookmarkEnd w:id="119"/>
      <w:bookmarkEnd w:id="120"/>
      <w:r>
        <w:rPr>
          <w:rFonts w:hint="eastAsia" w:ascii="黑体" w:hAnsi="黑体" w:eastAsia="黑体"/>
          <w:color w:val="auto"/>
          <w:sz w:val="24"/>
          <w:highlight w:val="none"/>
        </w:rPr>
        <w:t>编制</w:t>
      </w:r>
    </w:p>
    <w:p>
      <w:pPr>
        <w:pStyle w:val="6"/>
        <w:keepNext w:val="0"/>
        <w:keepLines w:val="0"/>
        <w:numPr>
          <w:ilvl w:val="4"/>
          <w:numId w:val="4"/>
        </w:numPr>
        <w:spacing w:before="0" w:after="0" w:line="360" w:lineRule="auto"/>
        <w:ind w:firstLine="315" w:firstLineChars="150"/>
        <w:rPr>
          <w:rFonts w:ascii="宋体" w:hAnsi="宋体"/>
          <w:b w:val="0"/>
          <w:color w:val="auto"/>
          <w:sz w:val="21"/>
          <w:szCs w:val="21"/>
          <w:highlight w:val="none"/>
        </w:rPr>
      </w:pPr>
      <w:bookmarkStart w:id="121" w:name="_Toc254970685"/>
      <w:bookmarkStart w:id="122" w:name="_Toc254970544"/>
      <w:r>
        <w:rPr>
          <w:rFonts w:hint="eastAsia" w:ascii="宋体" w:hAnsi="宋体"/>
          <w:b w:val="0"/>
          <w:color w:val="auto"/>
          <w:sz w:val="21"/>
          <w:szCs w:val="21"/>
          <w:highlight w:val="none"/>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pPr>
        <w:pStyle w:val="6"/>
        <w:keepNext w:val="0"/>
        <w:keepLines w:val="0"/>
        <w:numPr>
          <w:ilvl w:val="4"/>
          <w:numId w:val="4"/>
        </w:numPr>
        <w:spacing w:before="0" w:after="0" w:line="360" w:lineRule="auto"/>
        <w:ind w:firstLine="315" w:firstLineChars="150"/>
        <w:rPr>
          <w:rFonts w:ascii="宋体" w:hAnsi="宋体"/>
          <w:b w:val="0"/>
          <w:color w:val="auto"/>
          <w:sz w:val="21"/>
          <w:szCs w:val="21"/>
          <w:highlight w:val="none"/>
        </w:rPr>
      </w:pPr>
      <w:bookmarkStart w:id="123" w:name="_19.2投标文件应按报价文件、资格证明文件、商务文件、技术文件分别编制"/>
      <w:bookmarkEnd w:id="123"/>
      <w:r>
        <w:rPr>
          <w:rFonts w:hint="eastAsia" w:ascii="宋体" w:hAnsi="宋体"/>
          <w:b w:val="0"/>
          <w:color w:val="auto"/>
          <w:sz w:val="21"/>
          <w:szCs w:val="21"/>
          <w:highlight w:val="none"/>
        </w:rPr>
        <w:t xml:space="preserve"> 19.2为确保网上操作合法、有效和安全，投标人应当在投标截止时间前完成在广西政府采购云平台的身份认证，确保在电子投标过程中能够对相关数据电文进行加密和使用电子签章。</w:t>
      </w:r>
    </w:p>
    <w:p>
      <w:pPr>
        <w:pStyle w:val="6"/>
        <w:keepNext w:val="0"/>
        <w:keepLines w:val="0"/>
        <w:numPr>
          <w:ilvl w:val="4"/>
          <w:numId w:val="4"/>
        </w:numPr>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bCs/>
          <w:color w:val="auto"/>
          <w:sz w:val="21"/>
          <w:szCs w:val="21"/>
          <w:highlight w:val="none"/>
        </w:rPr>
        <w:t>否则按无效投标处理</w:t>
      </w:r>
      <w:r>
        <w:rPr>
          <w:rFonts w:hint="eastAsia" w:ascii="宋体" w:hAnsi="宋体"/>
          <w:b w:val="0"/>
          <w:color w:val="auto"/>
          <w:sz w:val="21"/>
          <w:szCs w:val="21"/>
          <w:highlight w:val="none"/>
        </w:rPr>
        <w:t>。</w:t>
      </w:r>
    </w:p>
    <w:p>
      <w:pPr>
        <w:pStyle w:val="6"/>
        <w:keepNext w:val="0"/>
        <w:keepLines w:val="0"/>
        <w:numPr>
          <w:ilvl w:val="4"/>
          <w:numId w:val="4"/>
        </w:numPr>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pPr>
        <w:pStyle w:val="6"/>
        <w:keepNext w:val="0"/>
        <w:keepLines w:val="0"/>
        <w:numPr>
          <w:ilvl w:val="4"/>
          <w:numId w:val="4"/>
        </w:numPr>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20.电子备份投标文件</w:t>
      </w:r>
    </w:p>
    <w:p>
      <w:pPr>
        <w:spacing w:line="360" w:lineRule="auto"/>
        <w:ind w:firstLine="420" w:firstLineChars="200"/>
        <w:rPr>
          <w:rFonts w:ascii="黑体" w:hAnsi="黑体" w:eastAsia="黑体"/>
          <w:color w:val="auto"/>
          <w:sz w:val="24"/>
          <w:highlight w:val="none"/>
        </w:rPr>
      </w:pPr>
      <w:r>
        <w:rPr>
          <w:rFonts w:hint="eastAsia"/>
          <w:color w:val="auto"/>
          <w:highlight w:val="none"/>
        </w:rPr>
        <w:t>电子备份投标文件是指通过在线编制生成且后缀名为“</w:t>
      </w:r>
      <w:r>
        <w:rPr>
          <w:color w:val="auto"/>
          <w:highlight w:val="none"/>
        </w:rPr>
        <w:t>bfbs</w:t>
      </w:r>
      <w:r>
        <w:rPr>
          <w:rFonts w:hint="eastAsia"/>
          <w:color w:val="auto"/>
          <w:highlight w:val="none"/>
        </w:rPr>
        <w:t>”的文件，是否接受电子备份投标文件</w:t>
      </w:r>
      <w:r>
        <w:rPr>
          <w:rFonts w:hint="eastAsia" w:hAnsi="宋体"/>
          <w:bCs/>
          <w:color w:val="auto"/>
          <w:szCs w:val="21"/>
          <w:highlight w:val="none"/>
        </w:rPr>
        <w:t>详见在“投标人须知前附表”。</w:t>
      </w:r>
    </w:p>
    <w:p>
      <w:pPr>
        <w:pStyle w:val="6"/>
        <w:keepNext w:val="0"/>
        <w:keepLines w:val="0"/>
        <w:numPr>
          <w:ilvl w:val="4"/>
          <w:numId w:val="4"/>
        </w:numPr>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pPr>
        <w:spacing w:line="360" w:lineRule="auto"/>
        <w:ind w:firstLine="420" w:firstLineChars="200"/>
        <w:rPr>
          <w:rFonts w:hAnsi="宋体"/>
          <w:b/>
          <w:color w:val="auto"/>
          <w:highlight w:val="none"/>
        </w:rPr>
      </w:pPr>
      <w:bookmarkStart w:id="124" w:name="_21.1投标人必须在“投标人须知中的前附表”规定的投标文件接收时间和投"/>
      <w:bookmarkEnd w:id="124"/>
      <w:r>
        <w:rPr>
          <w:rFonts w:hAnsi="宋体"/>
          <w:bCs/>
          <w:color w:val="auto"/>
          <w:szCs w:val="21"/>
          <w:highlight w:val="none"/>
        </w:rPr>
        <w:t>21.1</w:t>
      </w:r>
      <w:r>
        <w:rPr>
          <w:rFonts w:hint="eastAsia" w:hAnsi="宋体"/>
          <w:bCs/>
          <w:color w:val="auto"/>
          <w:szCs w:val="21"/>
          <w:highlight w:val="none"/>
        </w:rPr>
        <w:t>投标人必须在“投标人须知前附表”规定的</w:t>
      </w:r>
      <w:r>
        <w:rPr>
          <w:rFonts w:hint="eastAsia" w:ascii="宋体" w:hAnsi="宋体"/>
          <w:color w:val="auto"/>
          <w:szCs w:val="21"/>
          <w:highlight w:val="none"/>
        </w:rPr>
        <w:t>提交投标文件截止时间前将</w:t>
      </w:r>
      <w:r>
        <w:rPr>
          <w:rFonts w:hint="eastAsia" w:hAnsi="宋体"/>
          <w:bCs/>
          <w:color w:val="auto"/>
          <w:szCs w:val="21"/>
          <w:highlight w:val="none"/>
        </w:rPr>
        <w:t>电子投标文件提交至投标地点。电子投标文件应在制作完成后，在投标截止时间前通过有效数字证书（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w:t>
      </w:r>
      <w:r>
        <w:rPr>
          <w:rFonts w:hint="eastAsia" w:ascii="宋体" w:hAnsi="宋体"/>
          <w:b/>
          <w:color w:val="auto"/>
          <w:szCs w:val="21"/>
          <w:highlight w:val="none"/>
        </w:rPr>
        <w:t>广西政府采购云平台</w:t>
      </w:r>
      <w:r>
        <w:rPr>
          <w:rFonts w:hint="eastAsia" w:hAnsi="宋体"/>
          <w:bCs/>
          <w:color w:val="auto"/>
          <w:szCs w:val="21"/>
          <w:highlight w:val="none"/>
        </w:rPr>
        <w:t>。</w:t>
      </w:r>
    </w:p>
    <w:p>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21.2未在规定时间内提交或者未按照招标文件要求加密的电子投标文件，广西政府采购云平台将拒收。</w:t>
      </w:r>
    </w:p>
    <w:p>
      <w:pPr>
        <w:pStyle w:val="6"/>
        <w:keepNext w:val="0"/>
        <w:keepLines w:val="0"/>
        <w:numPr>
          <w:ilvl w:val="4"/>
          <w:numId w:val="4"/>
        </w:numPr>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pPr>
        <w:snapToGrid w:val="0"/>
        <w:spacing w:line="360" w:lineRule="auto"/>
        <w:ind w:firstLine="420"/>
        <w:jc w:val="left"/>
        <w:rPr>
          <w:rFonts w:ascii="宋体" w:hAnsi="宋体"/>
          <w:color w:val="auto"/>
          <w:szCs w:val="21"/>
          <w:highlight w:val="none"/>
        </w:rPr>
      </w:pPr>
      <w:bookmarkStart w:id="125" w:name="_Toc254970684"/>
      <w:bookmarkStart w:id="126" w:name="_Toc254970543"/>
      <w:r>
        <w:rPr>
          <w:rFonts w:hint="eastAsia" w:ascii="宋体" w:hAnsi="宋体" w:cs="宋体"/>
          <w:color w:val="auto"/>
          <w:szCs w:val="21"/>
          <w:highlight w:val="none"/>
        </w:rPr>
        <w:t>22.1</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依次进入“服务中心”中查看</w:t>
      </w:r>
      <w:r>
        <w:rPr>
          <w:rFonts w:hint="eastAsia" w:ascii="宋体" w:hAnsi="宋体" w:cs="宋体"/>
          <w:color w:val="auto"/>
          <w:szCs w:val="21"/>
          <w:highlight w:val="none"/>
        </w:rPr>
        <w:t xml:space="preserve"> “电子投标文件制作与投送教程”）</w:t>
      </w:r>
    </w:p>
    <w:bookmarkEnd w:id="125"/>
    <w:bookmarkEnd w:id="126"/>
    <w:p>
      <w:pPr>
        <w:pStyle w:val="113"/>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22.3在投标截止时间后，采购人和采购代理机构对已提交的投标文件概不退回。</w:t>
      </w:r>
    </w:p>
    <w:p>
      <w:pPr>
        <w:pStyle w:val="5"/>
        <w:keepNext w:val="0"/>
        <w:keepLines w:val="0"/>
        <w:jc w:val="center"/>
        <w:rPr>
          <w:color w:val="auto"/>
          <w:highlight w:val="none"/>
        </w:rPr>
      </w:pPr>
      <w:r>
        <w:rPr>
          <w:rFonts w:hint="eastAsia"/>
          <w:color w:val="auto"/>
          <w:highlight w:val="none"/>
        </w:rPr>
        <w:t>四、开    标</w:t>
      </w:r>
      <w:bookmarkEnd w:id="121"/>
      <w:bookmarkEnd w:id="122"/>
    </w:p>
    <w:p>
      <w:pPr>
        <w:pStyle w:val="6"/>
        <w:keepNext w:val="0"/>
        <w:keepLines w:val="0"/>
        <w:spacing w:before="0" w:after="0" w:line="360" w:lineRule="auto"/>
        <w:ind w:left="420" w:leftChars="200"/>
        <w:rPr>
          <w:rFonts w:ascii="黑体" w:hAnsi="黑体" w:eastAsia="黑体"/>
          <w:color w:val="auto"/>
          <w:sz w:val="24"/>
          <w:highlight w:val="none"/>
        </w:rPr>
      </w:pPr>
      <w:bookmarkStart w:id="127" w:name="_23.开标时间和地点"/>
      <w:bookmarkEnd w:id="127"/>
      <w:r>
        <w:rPr>
          <w:rFonts w:hint="eastAsia" w:ascii="黑体" w:hAnsi="黑体" w:eastAsia="黑体"/>
          <w:color w:val="auto"/>
          <w:sz w:val="24"/>
          <w:highlight w:val="none"/>
        </w:rPr>
        <w:t>23.开标时间和地点</w:t>
      </w:r>
    </w:p>
    <w:p>
      <w:pPr>
        <w:spacing w:line="360" w:lineRule="auto"/>
        <w:ind w:firstLine="420" w:firstLineChars="200"/>
        <w:rPr>
          <w:rFonts w:hAnsi="宋体"/>
          <w:bCs/>
          <w:color w:val="auto"/>
          <w:highlight w:val="none"/>
        </w:rPr>
      </w:pPr>
      <w:r>
        <w:rPr>
          <w:rFonts w:hint="eastAsia" w:hAnsi="宋体"/>
          <w:bCs/>
          <w:color w:val="auto"/>
          <w:highlight w:val="none"/>
        </w:rPr>
        <w:t>开标时间及地点详见“投标人须知前附表”</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pPr>
        <w:pStyle w:val="7"/>
        <w:spacing w:line="360" w:lineRule="auto"/>
        <w:rPr>
          <w:color w:val="auto"/>
          <w:highlight w:val="none"/>
        </w:rPr>
      </w:pPr>
      <w:r>
        <w:rPr>
          <w:color w:val="auto"/>
          <w:highlight w:val="none"/>
        </w:rPr>
        <w:t>24.1</w:t>
      </w:r>
      <w:r>
        <w:rPr>
          <w:rFonts w:hint="eastAsia"/>
          <w:color w:val="auto"/>
          <w:highlight w:val="none"/>
        </w:rPr>
        <w:t>提交投标文件截止时间止，投标人不足</w:t>
      </w:r>
      <w:r>
        <w:rPr>
          <w:color w:val="auto"/>
          <w:highlight w:val="none"/>
        </w:rPr>
        <w:t>3</w:t>
      </w:r>
      <w:r>
        <w:rPr>
          <w:rFonts w:hint="eastAsia"/>
          <w:color w:val="auto"/>
          <w:highlight w:val="none"/>
        </w:rPr>
        <w:t>家的，不得开标。</w:t>
      </w:r>
    </w:p>
    <w:p>
      <w:pPr>
        <w:pStyle w:val="7"/>
        <w:spacing w:line="360" w:lineRule="auto"/>
        <w:rPr>
          <w:color w:val="auto"/>
          <w:highlight w:val="none"/>
        </w:rPr>
      </w:pPr>
      <w:r>
        <w:rPr>
          <w:color w:val="auto"/>
          <w:highlight w:val="none"/>
        </w:rPr>
        <w:t>24.2</w:t>
      </w:r>
      <w:r>
        <w:rPr>
          <w:rFonts w:hint="eastAsia"/>
          <w:color w:val="auto"/>
          <w:highlight w:val="none"/>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pPr>
        <w:pStyle w:val="7"/>
        <w:spacing w:line="360" w:lineRule="auto"/>
        <w:rPr>
          <w:color w:val="auto"/>
          <w:highlight w:val="none"/>
        </w:rPr>
      </w:pPr>
      <w:r>
        <w:rPr>
          <w:color w:val="auto"/>
          <w:highlight w:val="none"/>
        </w:rPr>
        <w:t>24.3</w:t>
      </w:r>
      <w:r>
        <w:rPr>
          <w:rFonts w:hint="eastAsia"/>
          <w:color w:val="auto"/>
          <w:highlight w:val="none"/>
        </w:rPr>
        <w:t>开标程序</w:t>
      </w:r>
    </w:p>
    <w:p>
      <w:pPr>
        <w:pStyle w:val="7"/>
        <w:spacing w:line="360" w:lineRule="auto"/>
        <w:rPr>
          <w:color w:val="auto"/>
          <w:highlight w:val="none"/>
        </w:rPr>
      </w:pPr>
      <w:r>
        <w:rPr>
          <w:rFonts w:hint="eastAsia"/>
          <w:color w:val="auto"/>
          <w:highlight w:val="none"/>
        </w:rPr>
        <w:t>（</w:t>
      </w:r>
      <w:r>
        <w:rPr>
          <w:color w:val="auto"/>
          <w:highlight w:val="none"/>
        </w:rPr>
        <w:t>1</w:t>
      </w:r>
      <w:r>
        <w:rPr>
          <w:rFonts w:hint="eastAsia"/>
          <w:color w:val="auto"/>
          <w:highlight w:val="none"/>
        </w:rPr>
        <w:t>）解密电子投标文件。“广西政府采购云平台按开标时间自动提取所有投标文件。采购代理机构依托广西政府采购云平台向各投标人发出电子加密投标文件【开始解密】通知，由投标人按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color w:val="auto"/>
          <w:szCs w:val="21"/>
          <w:highlight w:val="none"/>
        </w:rPr>
        <w:t>“投标人须知前附表”</w:t>
      </w:r>
      <w:r>
        <w:rPr>
          <w:rFonts w:hint="eastAsia"/>
          <w:color w:val="auto"/>
          <w:highlight w:val="none"/>
        </w:rPr>
        <w:t>规定的时间内自行进行投标文件解密。投标人的法定代表人或其委托代理人须凭加密时所用的</w:t>
      </w:r>
      <w:r>
        <w:rPr>
          <w:color w:val="auto"/>
          <w:highlight w:val="none"/>
        </w:rPr>
        <w:t>CA</w:t>
      </w:r>
      <w:r>
        <w:rPr>
          <w:rFonts w:hint="eastAsia"/>
          <w:color w:val="auto"/>
          <w:highlight w:val="none"/>
        </w:rPr>
        <w:t>锁准时登录到广西政府采购云平台电子开标大厅签到并对电子投标文件解密。</w:t>
      </w:r>
      <w:r>
        <w:rPr>
          <w:rFonts w:hint="eastAsia"/>
          <w:b/>
          <w:color w:val="auto"/>
          <w:highlight w:val="none"/>
        </w:rPr>
        <w:t>投标人未在规定的时间内解密投标文件或者解密失败的，</w:t>
      </w:r>
      <w:r>
        <w:rPr>
          <w:rFonts w:hint="eastAsia" w:ascii="宋体" w:hAnsi="宋体"/>
          <w:b/>
          <w:color w:val="auto"/>
          <w:szCs w:val="21"/>
          <w:highlight w:val="none"/>
        </w:rPr>
        <w:t>投标人的投标文件作无效处理</w:t>
      </w:r>
      <w:r>
        <w:rPr>
          <w:rFonts w:hint="eastAsia"/>
          <w:b/>
          <w:color w:val="auto"/>
          <w:highlight w:val="none"/>
        </w:rPr>
        <w:t>。</w:t>
      </w:r>
    </w:p>
    <w:p>
      <w:pPr>
        <w:pStyle w:val="7"/>
        <w:spacing w:line="360" w:lineRule="auto"/>
        <w:rPr>
          <w:color w:val="auto"/>
          <w:highlight w:val="none"/>
        </w:rPr>
      </w:pPr>
      <w:r>
        <w:rPr>
          <w:rFonts w:hint="eastAsia"/>
          <w:color w:val="auto"/>
          <w:highlight w:val="none"/>
        </w:rPr>
        <w:t>（</w:t>
      </w:r>
      <w:r>
        <w:rPr>
          <w:color w:val="auto"/>
          <w:highlight w:val="none"/>
        </w:rPr>
        <w:t>2</w:t>
      </w:r>
      <w:r>
        <w:rPr>
          <w:rFonts w:hint="eastAsia"/>
          <w:color w:val="auto"/>
          <w:highlight w:val="none"/>
        </w:rPr>
        <w:t>）电子唱标。投标文件解密结束，宣布的内容均在广西政府采购云平台远程开标大厅展示，具体详见</w:t>
      </w:r>
      <w:r>
        <w:rPr>
          <w:rFonts w:hint="eastAsia" w:hAnsi="宋体"/>
          <w:bCs/>
          <w:color w:val="auto"/>
          <w:highlight w:val="none"/>
        </w:rPr>
        <w:t>“投标人须知前附表”</w:t>
      </w:r>
      <w:r>
        <w:rPr>
          <w:rFonts w:hint="eastAsia"/>
          <w:color w:val="auto"/>
          <w:highlight w:val="none"/>
        </w:rPr>
        <w:t>；</w:t>
      </w:r>
    </w:p>
    <w:p>
      <w:pPr>
        <w:pStyle w:val="7"/>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）开标过程由采购代理机构如实记录，并电子留痕，由参加电子开标的各投标人代表对电子开标记录在开标记录公布后</w:t>
      </w:r>
      <w:r>
        <w:rPr>
          <w:color w:val="auto"/>
          <w:highlight w:val="none"/>
        </w:rPr>
        <w:t>15</w:t>
      </w:r>
      <w:r>
        <w:rPr>
          <w:rFonts w:hint="eastAsia"/>
          <w:color w:val="auto"/>
          <w:highlight w:val="none"/>
        </w:rPr>
        <w:t>分钟内进行当场校核及勘误，并线上确认是否有异议，未确认的视同认可开标结果。</w:t>
      </w:r>
    </w:p>
    <w:p>
      <w:pPr>
        <w:pStyle w:val="7"/>
        <w:spacing w:line="360" w:lineRule="auto"/>
        <w:rPr>
          <w:color w:val="auto"/>
          <w:highlight w:val="none"/>
        </w:rPr>
      </w:pPr>
      <w:r>
        <w:rPr>
          <w:rFonts w:hint="eastAsia"/>
          <w:color w:val="auto"/>
          <w:highlight w:val="none"/>
        </w:rPr>
        <w:t>（</w:t>
      </w:r>
      <w:r>
        <w:rPr>
          <w:color w:val="auto"/>
          <w:highlight w:val="none"/>
        </w:rPr>
        <w:t>4</w:t>
      </w:r>
      <w:r>
        <w:rPr>
          <w:rFonts w:hint="eastAsia"/>
          <w:color w:val="auto"/>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7"/>
        <w:spacing w:line="360" w:lineRule="auto"/>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）开标结束。</w:t>
      </w:r>
    </w:p>
    <w:p>
      <w:pPr>
        <w:pStyle w:val="24"/>
        <w:snapToGrid w:val="0"/>
        <w:spacing w:line="360" w:lineRule="auto"/>
        <w:ind w:firstLine="420" w:firstLineChars="200"/>
        <w:rPr>
          <w:rFonts w:hAnsi="宋体"/>
          <w:color w:val="auto"/>
          <w:sz w:val="21"/>
          <w:highlight w:val="none"/>
        </w:rPr>
      </w:pPr>
      <w:r>
        <w:rPr>
          <w:rFonts w:hint="eastAsia"/>
          <w:color w:val="auto"/>
          <w:sz w:val="21"/>
          <w:highlight w:val="none"/>
        </w:rPr>
        <w:t>特别说明：如遇广西政府采购云平台电子化开标或评审程序调整的，按调整后执行。</w:t>
      </w:r>
    </w:p>
    <w:p>
      <w:pPr>
        <w:pStyle w:val="24"/>
        <w:snapToGrid w:val="0"/>
        <w:spacing w:line="360" w:lineRule="auto"/>
        <w:ind w:left="689" w:leftChars="228" w:hanging="210" w:hangingChars="100"/>
        <w:rPr>
          <w:rFonts w:hAnsi="宋体"/>
          <w:color w:val="auto"/>
          <w:sz w:val="21"/>
          <w:highlight w:val="none"/>
        </w:rPr>
      </w:pPr>
    </w:p>
    <w:p>
      <w:pPr>
        <w:pStyle w:val="5"/>
        <w:keepNext w:val="0"/>
        <w:keepLines w:val="0"/>
        <w:jc w:val="center"/>
        <w:rPr>
          <w:color w:val="auto"/>
          <w:highlight w:val="none"/>
        </w:rPr>
      </w:pPr>
      <w:r>
        <w:rPr>
          <w:rFonts w:hint="eastAsia"/>
          <w:color w:val="auto"/>
          <w:highlight w:val="none"/>
        </w:rPr>
        <w:t>五、资格审查</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25.资格审查</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采购人或者采购代理机构通过电子开评标系统依据招标文件对电子投标文件进行线上资格审查</w:t>
      </w:r>
      <w:r>
        <w:rPr>
          <w:rFonts w:ascii="宋体" w:hAnsi="宋体"/>
          <w:b w:val="0"/>
          <w:color w:val="auto"/>
          <w:sz w:val="21"/>
          <w:szCs w:val="21"/>
          <w:highlight w:val="none"/>
        </w:rPr>
        <w:t>。</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pPr>
        <w:pStyle w:val="6"/>
        <w:keepNext w:val="0"/>
        <w:keepLines w:val="0"/>
        <w:numPr>
          <w:ilvl w:val="0"/>
          <w:numId w:val="0"/>
        </w:numPr>
        <w:spacing w:before="0" w:after="0" w:line="360" w:lineRule="auto"/>
        <w:ind w:firstLine="422" w:firstLineChars="200"/>
        <w:rPr>
          <w:rFonts w:ascii="宋体" w:hAnsi="宋体"/>
          <w:color w:val="auto"/>
          <w:sz w:val="21"/>
          <w:szCs w:val="21"/>
          <w:highlight w:val="none"/>
        </w:rPr>
      </w:pPr>
      <w:bookmarkStart w:id="128" w:name="_25.3_投标人有下列情形之一的，资格审查不通过而导致其投标无效："/>
      <w:bookmarkEnd w:id="128"/>
      <w:r>
        <w:rPr>
          <w:rFonts w:hint="eastAsia" w:ascii="宋体" w:hAnsi="宋体"/>
          <w:color w:val="auto"/>
          <w:sz w:val="21"/>
          <w:szCs w:val="21"/>
          <w:highlight w:val="none"/>
        </w:rPr>
        <w:t>25.3 投标人有下列情形之一的，资格审查不通过，作无效投标处理：</w:t>
      </w:r>
    </w:p>
    <w:p>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（1）不具备招标文件中规定的资格要求的；</w:t>
      </w:r>
    </w:p>
    <w:p>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（4）投标文件中的资格证明文件缺少任一项“投标人须知前附表”资格证明文件规定“必须提供”的文件资料的；</w:t>
      </w:r>
    </w:p>
    <w:p>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（5）投标文件中的资格证明文件出现任一项不符合“投标人须知前附表”资格证明文件规定“必须提供”的文件资料要求或者无效的。</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pPr>
        <w:pStyle w:val="24"/>
        <w:snapToGrid w:val="0"/>
        <w:spacing w:line="360" w:lineRule="auto"/>
        <w:ind w:left="689" w:leftChars="228" w:hanging="210" w:hangingChars="100"/>
        <w:rPr>
          <w:rFonts w:hAnsi="宋体"/>
          <w:color w:val="auto"/>
          <w:sz w:val="21"/>
          <w:highlight w:val="none"/>
        </w:rPr>
      </w:pPr>
    </w:p>
    <w:p>
      <w:pPr>
        <w:pStyle w:val="5"/>
        <w:keepNext w:val="0"/>
        <w:keepLines w:val="0"/>
        <w:jc w:val="center"/>
        <w:rPr>
          <w:color w:val="auto"/>
          <w:highlight w:val="none"/>
        </w:rPr>
      </w:pPr>
      <w:r>
        <w:rPr>
          <w:rFonts w:hint="eastAsia"/>
          <w:color w:val="auto"/>
          <w:highlight w:val="none"/>
        </w:rPr>
        <w:t>六、评   标</w:t>
      </w:r>
    </w:p>
    <w:p>
      <w:pPr>
        <w:pStyle w:val="6"/>
        <w:keepNext w:val="0"/>
        <w:keepLines w:val="0"/>
        <w:spacing w:before="0" w:after="0" w:line="360" w:lineRule="auto"/>
        <w:ind w:left="420" w:leftChars="200"/>
        <w:rPr>
          <w:rFonts w:ascii="黑体" w:hAnsi="黑体" w:eastAsia="黑体"/>
          <w:color w:val="auto"/>
          <w:sz w:val="24"/>
          <w:highlight w:val="none"/>
        </w:rPr>
      </w:pPr>
      <w:bookmarkStart w:id="129" w:name="_26.组建评标委员会"/>
      <w:bookmarkEnd w:id="129"/>
      <w:r>
        <w:rPr>
          <w:rFonts w:hint="eastAsia" w:ascii="黑体" w:hAnsi="黑体" w:eastAsia="黑体"/>
          <w:color w:val="auto"/>
          <w:sz w:val="24"/>
          <w:highlight w:val="none"/>
        </w:rPr>
        <w:t>26.组建评标委员会</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pPr>
        <w:pStyle w:val="24"/>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26.2参加过采购项目前期咨询论证的专家，不得参加该采购项目的评审活动。</w:t>
      </w:r>
    </w:p>
    <w:p>
      <w:pPr>
        <w:pStyle w:val="24"/>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26.3</w:t>
      </w:r>
      <w:r>
        <w:rPr>
          <w:rFonts w:hint="eastAsia" w:hAnsi="宋体"/>
          <w:bCs/>
          <w:color w:val="auto"/>
          <w:sz w:val="21"/>
          <w:highlight w:val="none"/>
        </w:rPr>
        <w:t>采购代理机构应当基于广西政府采购云平台抽（选）取评审专家。</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27.评标的依据</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28.评标原则</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28.2</w:t>
      </w:r>
      <w:bookmarkStart w:id="130" w:name="_28.3评标方法。本项目将按须知前附表规定的评标办法进行评标，具体评标"/>
      <w:bookmarkEnd w:id="130"/>
      <w:r>
        <w:rPr>
          <w:rFonts w:hint="eastAsia" w:hAnsi="宋体"/>
          <w:color w:val="auto"/>
          <w:sz w:val="21"/>
          <w:highlight w:val="none"/>
        </w:rPr>
        <w:t>评委表决。评标委员会成员对需要共同认定的事项存在争议的，应当按照少数服从多数的原则作出结论。</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评标过程的监控。本项目电子评标过程实行网上留痕、全程录音、录像监控，</w:t>
      </w:r>
      <w:r>
        <w:rPr>
          <w:rFonts w:hint="eastAsia" w:hAnsi="宋体"/>
          <w:b/>
          <w:color w:val="auto"/>
          <w:sz w:val="21"/>
          <w:highlight w:val="none"/>
        </w:rPr>
        <w:t>投标人在评标过程中所进行的试图影响评标结果的不公正活动，可能导致其投标按无效处理。</w:t>
      </w:r>
    </w:p>
    <w:p>
      <w:pPr>
        <w:pStyle w:val="6"/>
        <w:keepNext w:val="0"/>
        <w:keepLines w:val="0"/>
        <w:spacing w:before="0" w:after="0" w:line="360" w:lineRule="auto"/>
        <w:ind w:left="420" w:leftChars="200"/>
        <w:rPr>
          <w:rFonts w:ascii="黑体" w:hAnsi="黑体" w:eastAsia="黑体"/>
          <w:color w:val="auto"/>
          <w:sz w:val="21"/>
          <w:szCs w:val="21"/>
          <w:highlight w:val="none"/>
        </w:rPr>
      </w:pPr>
      <w:r>
        <w:rPr>
          <w:rFonts w:hint="eastAsia" w:ascii="黑体" w:hAnsi="黑体" w:eastAsia="黑体"/>
          <w:color w:val="auto"/>
          <w:sz w:val="21"/>
          <w:szCs w:val="21"/>
          <w:highlight w:val="none"/>
        </w:rPr>
        <w:t>29.评标方法及中标候选人推荐</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int="eastAsia" w:hAnsi="宋体" w:cs="宋体"/>
          <w:color w:val="auto"/>
          <w:sz w:val="21"/>
          <w:highlight w:val="none"/>
        </w:rPr>
        <w:t>商务/技术要求</w:t>
      </w:r>
      <w:r>
        <w:rPr>
          <w:rFonts w:hint="eastAsia" w:hAnsi="宋体"/>
          <w:color w:val="auto"/>
          <w:sz w:val="21"/>
          <w:highlight w:val="none"/>
        </w:rPr>
        <w:t>允许负偏离的条款数</w:t>
      </w:r>
      <w:r>
        <w:rPr>
          <w:rFonts w:hAnsi="宋体"/>
          <w:color w:val="auto"/>
          <w:sz w:val="21"/>
          <w:highlight w:val="none"/>
        </w:rPr>
        <w:t>详见</w:t>
      </w:r>
      <w:r>
        <w:rPr>
          <w:rFonts w:hint="eastAsia" w:hAnsi="宋体"/>
          <w:color w:val="auto"/>
          <w:sz w:val="21"/>
          <w:highlight w:val="none"/>
        </w:rPr>
        <w:t>“投标人须知前附表”。</w:t>
      </w:r>
    </w:p>
    <w:p>
      <w:pPr>
        <w:pStyle w:val="24"/>
        <w:snapToGrid w:val="0"/>
        <w:spacing w:line="360" w:lineRule="auto"/>
        <w:ind w:firstLine="420" w:firstLineChars="200"/>
        <w:rPr>
          <w:rFonts w:hAnsi="宋体" w:cs="宋体"/>
          <w:color w:val="auto"/>
          <w:sz w:val="21"/>
          <w:highlight w:val="none"/>
        </w:rPr>
      </w:pPr>
      <w:r>
        <w:rPr>
          <w:rFonts w:hint="eastAsia" w:hAnsi="宋体"/>
          <w:color w:val="auto"/>
          <w:sz w:val="21"/>
          <w:highlight w:val="none"/>
        </w:rPr>
        <w:t>2</w:t>
      </w:r>
      <w:r>
        <w:rPr>
          <w:rFonts w:hAnsi="宋体"/>
          <w:color w:val="auto"/>
          <w:sz w:val="21"/>
          <w:highlight w:val="none"/>
        </w:rPr>
        <w:t>9.3中标候选人推荐数量详见</w:t>
      </w:r>
      <w:r>
        <w:rPr>
          <w:rFonts w:hint="eastAsia" w:hAnsi="宋体"/>
          <w:color w:val="auto"/>
          <w:sz w:val="21"/>
          <w:highlight w:val="none"/>
        </w:rPr>
        <w:t>“投标人须知前附表”。</w:t>
      </w:r>
    </w:p>
    <w:p>
      <w:pPr>
        <w:spacing w:line="360" w:lineRule="auto"/>
        <w:ind w:firstLine="420" w:firstLineChars="200"/>
        <w:rPr>
          <w:rFonts w:hAnsi="宋体"/>
          <w:color w:val="auto"/>
          <w:szCs w:val="21"/>
          <w:highlight w:val="none"/>
        </w:rPr>
      </w:pPr>
      <w:r>
        <w:rPr>
          <w:rFonts w:hint="eastAsia" w:hAnsi="宋体"/>
          <w:color w:val="auto"/>
          <w:szCs w:val="21"/>
          <w:highlight w:val="none"/>
        </w:rPr>
        <w:t>29.</w:t>
      </w:r>
      <w:r>
        <w:rPr>
          <w:rFonts w:hAnsi="宋体"/>
          <w:color w:val="auto"/>
          <w:szCs w:val="21"/>
          <w:highlight w:val="none"/>
        </w:rPr>
        <w:t>4</w:t>
      </w:r>
      <w:r>
        <w:rPr>
          <w:rFonts w:hint="eastAsia" w:hAnsi="宋体"/>
          <w:color w:val="auto"/>
          <w:szCs w:val="21"/>
          <w:highlight w:val="none"/>
        </w:rPr>
        <w:t xml:space="preserve"> 电子交易活动的中止。采购过程中出现以下情形，导致电子交易平台无法正常运行，或者无法保证电子交易的公平、公正和安全时，采购代理机构可以中止电子交易活动：</w:t>
      </w:r>
    </w:p>
    <w:p>
      <w:pPr>
        <w:spacing w:line="360" w:lineRule="auto"/>
        <w:ind w:firstLine="420" w:firstLineChars="200"/>
        <w:rPr>
          <w:rFonts w:hAnsi="宋体"/>
          <w:color w:val="auto"/>
          <w:szCs w:val="21"/>
          <w:highlight w:val="none"/>
        </w:rPr>
      </w:pPr>
      <w:r>
        <w:rPr>
          <w:rFonts w:hint="eastAsia" w:hAnsi="宋体"/>
          <w:color w:val="auto"/>
          <w:szCs w:val="21"/>
          <w:highlight w:val="none"/>
        </w:rPr>
        <w:t xml:space="preserve">（1）电子交易平台发生故障而无法登录访问的； </w:t>
      </w:r>
    </w:p>
    <w:p>
      <w:pPr>
        <w:spacing w:line="360" w:lineRule="auto"/>
        <w:ind w:firstLine="420" w:firstLineChars="200"/>
        <w:rPr>
          <w:rFonts w:hAnsi="宋体"/>
          <w:color w:val="auto"/>
          <w:szCs w:val="21"/>
          <w:highlight w:val="none"/>
        </w:rPr>
      </w:pPr>
      <w:r>
        <w:rPr>
          <w:rFonts w:hint="eastAsia" w:hAnsi="宋体"/>
          <w:color w:val="auto"/>
          <w:szCs w:val="21"/>
          <w:highlight w:val="none"/>
        </w:rPr>
        <w:t>（2）电子交易平台应用或数据库出现错误，不能进行正常操作的；</w:t>
      </w:r>
    </w:p>
    <w:p>
      <w:pPr>
        <w:spacing w:line="360" w:lineRule="auto"/>
        <w:ind w:firstLine="420" w:firstLineChars="200"/>
        <w:rPr>
          <w:rFonts w:hAnsi="宋体"/>
          <w:color w:val="auto"/>
          <w:szCs w:val="21"/>
          <w:highlight w:val="none"/>
        </w:rPr>
      </w:pPr>
      <w:r>
        <w:rPr>
          <w:rFonts w:hint="eastAsia" w:hAnsi="宋体"/>
          <w:color w:val="auto"/>
          <w:szCs w:val="21"/>
          <w:highlight w:val="none"/>
        </w:rPr>
        <w:t>（3）电子交易平台发现严重安全漏洞，有潜在泄密危险的；</w:t>
      </w:r>
    </w:p>
    <w:p>
      <w:pPr>
        <w:spacing w:line="360" w:lineRule="auto"/>
        <w:ind w:firstLine="420" w:firstLineChars="200"/>
        <w:rPr>
          <w:rFonts w:hAnsi="宋体"/>
          <w:color w:val="auto"/>
          <w:szCs w:val="21"/>
          <w:highlight w:val="none"/>
        </w:rPr>
      </w:pPr>
      <w:r>
        <w:rPr>
          <w:rFonts w:hint="eastAsia" w:hAnsi="宋体"/>
          <w:color w:val="auto"/>
          <w:szCs w:val="21"/>
          <w:highlight w:val="none"/>
        </w:rPr>
        <w:t xml:space="preserve">（4）病毒发作导致不能进行正常操作的； </w:t>
      </w:r>
    </w:p>
    <w:p>
      <w:pPr>
        <w:spacing w:line="360" w:lineRule="auto"/>
        <w:ind w:firstLine="420" w:firstLineChars="200"/>
        <w:rPr>
          <w:rFonts w:hAnsi="宋体"/>
          <w:color w:val="auto"/>
          <w:szCs w:val="21"/>
          <w:highlight w:val="none"/>
        </w:rPr>
      </w:pPr>
      <w:r>
        <w:rPr>
          <w:rFonts w:hint="eastAsia" w:hAnsi="宋体"/>
          <w:color w:val="auto"/>
          <w:szCs w:val="21"/>
          <w:highlight w:val="none"/>
        </w:rPr>
        <w:t>（5）其他无法保证电子交易的公平、公正和安全的情况。</w:t>
      </w:r>
    </w:p>
    <w:p>
      <w:pPr>
        <w:spacing w:line="360" w:lineRule="auto"/>
        <w:ind w:firstLine="420" w:firstLineChars="200"/>
        <w:rPr>
          <w:rFonts w:hAnsi="宋体"/>
          <w:color w:val="auto"/>
          <w:szCs w:val="21"/>
          <w:highlight w:val="none"/>
        </w:rPr>
      </w:pPr>
      <w:r>
        <w:rPr>
          <w:rFonts w:hint="eastAsia" w:hAnsi="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29.5出现下列情形之一的，应予废标：</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（2）出现影响采购公正的违法、违规行为的；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（3）投标人的报价均超过了采购预算，采购人不能支付的；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（4）因重大变故，采购任务取消的。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废标后，采购人应当将废标理由通知所有投标人。</w:t>
      </w:r>
    </w:p>
    <w:p>
      <w:pPr>
        <w:pStyle w:val="24"/>
        <w:snapToGrid w:val="0"/>
        <w:spacing w:line="360" w:lineRule="auto"/>
        <w:rPr>
          <w:rFonts w:hAnsi="宋体"/>
          <w:color w:val="auto"/>
          <w:sz w:val="21"/>
          <w:highlight w:val="none"/>
        </w:rPr>
      </w:pPr>
    </w:p>
    <w:p>
      <w:pPr>
        <w:pStyle w:val="5"/>
        <w:keepNext w:val="0"/>
        <w:keepLines w:val="0"/>
        <w:jc w:val="center"/>
        <w:rPr>
          <w:color w:val="auto"/>
          <w:highlight w:val="none"/>
        </w:rPr>
      </w:pPr>
      <w:bookmarkStart w:id="131" w:name="_Toc254970687"/>
      <w:bookmarkStart w:id="132" w:name="_Toc254970546"/>
      <w:r>
        <w:rPr>
          <w:rFonts w:hint="eastAsia"/>
          <w:color w:val="auto"/>
          <w:highlight w:val="none"/>
        </w:rPr>
        <w:t>七、</w:t>
      </w:r>
      <w:bookmarkEnd w:id="131"/>
      <w:bookmarkEnd w:id="132"/>
      <w:r>
        <w:rPr>
          <w:rFonts w:hint="eastAsia"/>
          <w:color w:val="auto"/>
          <w:highlight w:val="none"/>
        </w:rPr>
        <w:t>中标和合同</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30.确定中标人</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以上信息查询记录及相关证据与招标文件一并保存。</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pPr>
        <w:pStyle w:val="6"/>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pPr>
        <w:snapToGrid w:val="0"/>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35.履约保证金</w:t>
      </w:r>
    </w:p>
    <w:p>
      <w:pPr>
        <w:pStyle w:val="6"/>
        <w:keepNext w:val="0"/>
        <w:keepLines w:val="0"/>
        <w:spacing w:before="0" w:after="0" w:line="360" w:lineRule="auto"/>
        <w:ind w:firstLine="315" w:firstLineChars="150"/>
        <w:rPr>
          <w:rFonts w:ascii="宋体" w:hAnsi="宋体"/>
          <w:b w:val="0"/>
          <w:color w:val="auto"/>
          <w:sz w:val="21"/>
          <w:szCs w:val="21"/>
          <w:highlight w:val="none"/>
        </w:rPr>
      </w:pPr>
      <w:bookmarkStart w:id="133" w:name="_39.1中标人须于签订合同前按本须知前附表规定的金额转账或电汇到指定账"/>
      <w:bookmarkEnd w:id="133"/>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履约保证金的金额、提交方式、缴纳期限、退付的时间和条件详见 “投标人须知前附表”。中标人未按规定提交履约保证金的，视为拒绝与采购人签订合同。</w:t>
      </w:r>
    </w:p>
    <w:p>
      <w:pPr>
        <w:pStyle w:val="6"/>
        <w:keepNext w:val="0"/>
        <w:keepLines w:val="0"/>
        <w:spacing w:before="0" w:after="0" w:line="360" w:lineRule="auto"/>
        <w:ind w:firstLine="315" w:firstLineChars="150"/>
        <w:rPr>
          <w:rFonts w:ascii="宋体" w:hAnsi="宋体"/>
          <w:color w:val="auto"/>
          <w:sz w:val="21"/>
          <w:szCs w:val="21"/>
          <w:highlight w:val="none"/>
        </w:rPr>
      </w:pPr>
      <w:r>
        <w:rPr>
          <w:rFonts w:hint="eastAsia" w:ascii="宋体" w:hAnsi="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36.签订合同</w:t>
      </w:r>
    </w:p>
    <w:p>
      <w:pPr>
        <w:pStyle w:val="6"/>
        <w:keepNext w:val="0"/>
        <w:keepLines w:val="0"/>
        <w:spacing w:before="0" w:after="0" w:line="360" w:lineRule="auto"/>
        <w:ind w:firstLine="316" w:firstLineChars="150"/>
        <w:rPr>
          <w:rFonts w:ascii="宋体" w:hAnsi="宋体"/>
          <w:b w:val="0"/>
          <w:color w:val="auto"/>
          <w:sz w:val="21"/>
          <w:szCs w:val="21"/>
          <w:highlight w:val="none"/>
        </w:rPr>
      </w:pPr>
      <w:bookmarkStart w:id="134" w:name="_40.1投标人接到中标通知书后，按须知前附表规定向采购人出示相关资格证"/>
      <w:bookmarkEnd w:id="134"/>
      <w:r>
        <w:rPr>
          <w:rFonts w:hint="eastAsia" w:ascii="宋体" w:hAnsi="宋体"/>
          <w:color w:val="auto"/>
          <w:sz w:val="21"/>
          <w:szCs w:val="21"/>
          <w:highlight w:val="none"/>
        </w:rPr>
        <w:t>36.1签订电子采购合同：中标人领取电子中标通知书后，</w:t>
      </w:r>
      <w:r>
        <w:rPr>
          <w:rFonts w:hint="eastAsia" w:ascii="宋体" w:hAnsi="宋体"/>
          <w:color w:val="auto"/>
          <w:kern w:val="0"/>
          <w:sz w:val="21"/>
          <w:szCs w:val="21"/>
          <w:highlight w:val="none"/>
        </w:rPr>
        <w:t>在</w:t>
      </w:r>
      <w:r>
        <w:rPr>
          <w:rFonts w:hint="eastAsia" w:ascii="宋体" w:hAnsi="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pPr>
        <w:pStyle w:val="6"/>
        <w:keepNext w:val="0"/>
        <w:keepLines w:val="0"/>
        <w:numPr>
          <w:ilvl w:val="0"/>
          <w:numId w:val="0"/>
        </w:numPr>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pPr>
        <w:pStyle w:val="6"/>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如签订合同并生效后，供应商无故拒绝或延期，除按照合同条款处理外，将承担相应的法律责任。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宋体"/>
          <w:color w:val="auto"/>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pPr>
        <w:pStyle w:val="6"/>
        <w:keepNext w:val="0"/>
        <w:keepLines w:val="0"/>
        <w:spacing w:before="0" w:after="0" w:line="360" w:lineRule="auto"/>
        <w:ind w:left="420" w:leftChars="200"/>
        <w:rPr>
          <w:rFonts w:ascii="黑体" w:hAnsi="黑体" w:eastAsia="黑体"/>
          <w:color w:val="auto"/>
          <w:sz w:val="24"/>
          <w:highlight w:val="none"/>
        </w:rPr>
      </w:pPr>
      <w:bookmarkStart w:id="135" w:name="_41.政府采购合同公告"/>
      <w:bookmarkEnd w:id="135"/>
      <w:r>
        <w:rPr>
          <w:rFonts w:hint="eastAsia" w:ascii="黑体" w:hAnsi="黑体" w:eastAsia="黑体"/>
          <w:color w:val="auto"/>
          <w:sz w:val="24"/>
          <w:highlight w:val="none"/>
        </w:rPr>
        <w:t>37.政府采购合同公告</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pPr>
        <w:pStyle w:val="7"/>
        <w:spacing w:line="360" w:lineRule="auto"/>
        <w:rPr>
          <w:rFonts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24"/>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pPr>
        <w:pStyle w:val="24"/>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pPr>
        <w:pStyle w:val="24"/>
        <w:snapToGrid w:val="0"/>
        <w:spacing w:line="360" w:lineRule="auto"/>
        <w:ind w:firstLine="420" w:firstLineChars="200"/>
        <w:rPr>
          <w:rFonts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Ansi="宋体"/>
          <w:b w:val="0"/>
          <w:bCs/>
          <w:color w:val="auto"/>
          <w:sz w:val="21"/>
          <w:highlight w:val="none"/>
        </w:rPr>
        <w:t>供应商提出质疑应当提交质疑函和必要的证明材料</w:t>
      </w:r>
      <w:r>
        <w:rPr>
          <w:rFonts w:hint="eastAsia" w:hAnsi="宋体"/>
          <w:b w:val="0"/>
          <w:bCs/>
          <w:color w:val="auto"/>
          <w:sz w:val="21"/>
          <w:highlight w:val="none"/>
        </w:rPr>
        <w:t>，</w:t>
      </w:r>
      <w:r>
        <w:rPr>
          <w:rFonts w:hAnsi="宋体"/>
          <w:b w:val="0"/>
          <w:bCs/>
          <w:color w:val="auto"/>
          <w:sz w:val="21"/>
          <w:highlight w:val="none"/>
        </w:rPr>
        <w:t>针对同一采购程序环节的质疑</w:t>
      </w:r>
      <w:r>
        <w:rPr>
          <w:rFonts w:hint="eastAsia" w:hAnsi="宋体"/>
          <w:b w:val="0"/>
          <w:bCs/>
          <w:color w:val="auto"/>
          <w:sz w:val="21"/>
          <w:highlight w:val="none"/>
        </w:rPr>
        <w:t>必须</w:t>
      </w:r>
      <w:r>
        <w:rPr>
          <w:rFonts w:hAnsi="宋体"/>
          <w:b w:val="0"/>
          <w:bCs/>
          <w:color w:val="auto"/>
          <w:sz w:val="21"/>
          <w:highlight w:val="none"/>
        </w:rPr>
        <w:t>在法定质疑期内一次性提出。质疑函应当包括下列内容</w:t>
      </w:r>
      <w:r>
        <w:rPr>
          <w:rFonts w:hint="eastAsia" w:hAnsi="宋体"/>
          <w:b w:val="0"/>
          <w:bCs/>
          <w:color w:val="auto"/>
          <w:sz w:val="21"/>
          <w:highlight w:val="none"/>
        </w:rPr>
        <w:t>（质疑函格式后附）</w:t>
      </w:r>
      <w:r>
        <w:rPr>
          <w:rFonts w:hAnsi="宋体"/>
          <w:b w:val="0"/>
          <w:bCs/>
          <w:color w:val="auto"/>
          <w:sz w:val="21"/>
          <w:highlight w:val="none"/>
        </w:rPr>
        <w:t>：</w:t>
      </w:r>
    </w:p>
    <w:p>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pPr>
        <w:pStyle w:val="6"/>
        <w:keepNext w:val="0"/>
        <w:keepLines w:val="0"/>
        <w:snapToGrid w:val="0"/>
        <w:spacing w:before="0" w:after="0" w:line="360" w:lineRule="auto"/>
        <w:ind w:firstLine="420" w:firstLineChars="200"/>
        <w:rPr>
          <w:rFonts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pStyle w:val="24"/>
        <w:snapToGrid w:val="0"/>
        <w:spacing w:line="360" w:lineRule="auto"/>
        <w:rPr>
          <w:rFonts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pPr>
        <w:pStyle w:val="24"/>
        <w:snapToGrid w:val="0"/>
        <w:spacing w:line="360" w:lineRule="auto"/>
        <w:rPr>
          <w:rFonts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pPr>
        <w:pStyle w:val="24"/>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pPr>
        <w:pStyle w:val="24"/>
        <w:snapToGrid w:val="0"/>
        <w:spacing w:line="360" w:lineRule="auto"/>
        <w:ind w:firstLine="420" w:firstLineChars="200"/>
        <w:rPr>
          <w:rFonts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5"/>
        <w:keepNext w:val="0"/>
        <w:keepLines w:val="0"/>
        <w:jc w:val="center"/>
        <w:rPr>
          <w:color w:val="auto"/>
          <w:highlight w:val="none"/>
        </w:rPr>
      </w:pPr>
      <w:r>
        <w:rPr>
          <w:rFonts w:hint="eastAsia"/>
          <w:color w:val="auto"/>
          <w:highlight w:val="none"/>
        </w:rPr>
        <w:t>八、其他事项</w:t>
      </w:r>
    </w:p>
    <w:p>
      <w:pPr>
        <w:pStyle w:val="6"/>
        <w:keepNext w:val="0"/>
        <w:keepLines w:val="0"/>
        <w:spacing w:before="0" w:after="0" w:line="360" w:lineRule="auto"/>
        <w:ind w:left="420" w:leftChars="200"/>
        <w:rPr>
          <w:rFonts w:ascii="黑体" w:hAnsi="黑体" w:eastAsia="黑体"/>
          <w:color w:val="auto"/>
          <w:sz w:val="24"/>
          <w:highlight w:val="none"/>
        </w:rPr>
      </w:pPr>
      <w:bookmarkStart w:id="136" w:name="_42.代理服务费"/>
      <w:bookmarkEnd w:id="136"/>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.1代理服务收取标准及缴费账户详见“投标人须知前附表”，投标人为联合体的，可以由联合体中的一方或者多方共同交纳代理服务费。</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.2代理服务收费标准：</w:t>
      </w:r>
    </w:p>
    <w:p>
      <w:pPr>
        <w:spacing w:line="360" w:lineRule="auto"/>
        <w:rPr>
          <w:rFonts w:ascii="宋体" w:hAnsi="宋体"/>
          <w:color w:val="auto"/>
          <w:szCs w:val="21"/>
          <w:highlight w:val="none"/>
        </w:rPr>
      </w:pPr>
    </w:p>
    <w:tbl>
      <w:tblPr>
        <w:tblStyle w:val="45"/>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olor w:val="auto"/>
                <w:szCs w:val="21"/>
                <w:highlight w:val="none"/>
              </w:rPr>
              <w:t xml:space="preserve">               费率</w:t>
            </w:r>
          </w:p>
          <w:p>
            <w:pPr>
              <w:spacing w:line="360" w:lineRule="auto"/>
              <w:rPr>
                <w:rFonts w:ascii="宋体" w:hAnsi="宋体"/>
                <w:color w:val="auto"/>
                <w:szCs w:val="21"/>
                <w:highlight w:val="none"/>
              </w:rPr>
            </w:pPr>
            <w:r>
              <w:rPr>
                <w:rFonts w:hint="eastAsia" w:ascii="宋体" w:hAnsi="宋体"/>
                <w:color w:val="auto"/>
                <w:szCs w:val="21"/>
                <w:highlight w:val="none"/>
              </w:rPr>
              <w:t>中标金额</w:t>
            </w:r>
          </w:p>
        </w:tc>
        <w:tc>
          <w:tcPr>
            <w:tcW w:w="165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货物招标</w:t>
            </w:r>
          </w:p>
        </w:tc>
        <w:tc>
          <w:tcPr>
            <w:tcW w:w="168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服务招标</w:t>
            </w:r>
          </w:p>
        </w:tc>
        <w:tc>
          <w:tcPr>
            <w:tcW w:w="165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olor w:val="auto"/>
                <w:szCs w:val="21"/>
                <w:highlight w:val="none"/>
              </w:rPr>
              <w:t>100万元以下</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1.5%                </w:t>
            </w:r>
          </w:p>
        </w:tc>
        <w:tc>
          <w:tcPr>
            <w:tcW w:w="1687" w:type="dxa"/>
            <w:tcBorders>
              <w:top w:val="single" w:color="auto" w:sz="4" w:space="0"/>
              <w:left w:val="single" w:color="auto" w:sz="4" w:space="0"/>
              <w:bottom w:val="single" w:color="auto" w:sz="4" w:space="0"/>
              <w:right w:val="single" w:color="auto" w:sz="4" w:space="0"/>
            </w:tcBorders>
            <w:noWrap/>
          </w:tcPr>
          <w:p>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1.5%</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olor w:val="auto"/>
                <w:szCs w:val="21"/>
                <w:highlight w:val="none"/>
              </w:rPr>
              <w:t>100万元～500万元</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1.1%                 </w:t>
            </w:r>
          </w:p>
        </w:tc>
        <w:tc>
          <w:tcPr>
            <w:tcW w:w="1687" w:type="dxa"/>
            <w:tcBorders>
              <w:top w:val="single" w:color="auto" w:sz="4" w:space="0"/>
              <w:left w:val="single" w:color="auto" w:sz="4" w:space="0"/>
              <w:bottom w:val="single" w:color="auto" w:sz="4" w:space="0"/>
              <w:right w:val="single" w:color="auto" w:sz="4" w:space="0"/>
            </w:tcBorders>
            <w:noWrap/>
          </w:tcPr>
          <w:p>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0.8%</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olor w:val="auto"/>
                <w:szCs w:val="21"/>
                <w:highlight w:val="none"/>
              </w:rPr>
              <w:t>500万元～1000万元</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0.8%                </w:t>
            </w:r>
          </w:p>
        </w:tc>
        <w:tc>
          <w:tcPr>
            <w:tcW w:w="1687" w:type="dxa"/>
            <w:tcBorders>
              <w:top w:val="single" w:color="auto" w:sz="4" w:space="0"/>
              <w:left w:val="single" w:color="auto" w:sz="4" w:space="0"/>
              <w:bottom w:val="single" w:color="auto" w:sz="4" w:space="0"/>
              <w:right w:val="single" w:color="auto" w:sz="4" w:space="0"/>
            </w:tcBorders>
            <w:noWrap/>
          </w:tcPr>
          <w:p>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0.45%</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olor w:val="auto"/>
                <w:szCs w:val="21"/>
                <w:highlight w:val="none"/>
              </w:rPr>
              <w:t>1000万元～5000万元</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0.5%                </w:t>
            </w:r>
          </w:p>
        </w:tc>
        <w:tc>
          <w:tcPr>
            <w:tcW w:w="1687" w:type="dxa"/>
            <w:tcBorders>
              <w:top w:val="single" w:color="auto" w:sz="4" w:space="0"/>
              <w:left w:val="single" w:color="auto" w:sz="4" w:space="0"/>
              <w:bottom w:val="single" w:color="auto" w:sz="4" w:space="0"/>
              <w:right w:val="single" w:color="auto" w:sz="4" w:space="0"/>
            </w:tcBorders>
            <w:noWrap/>
          </w:tcPr>
          <w:p>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0.25%</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olor w:val="auto"/>
                <w:szCs w:val="21"/>
                <w:highlight w:val="none"/>
              </w:rPr>
              <w:t>5000万元～1亿元</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0.25%                 </w:t>
            </w:r>
          </w:p>
        </w:tc>
        <w:tc>
          <w:tcPr>
            <w:tcW w:w="1687" w:type="dxa"/>
            <w:tcBorders>
              <w:top w:val="single" w:color="auto" w:sz="4" w:space="0"/>
              <w:left w:val="single" w:color="auto" w:sz="4" w:space="0"/>
              <w:bottom w:val="single" w:color="auto" w:sz="4" w:space="0"/>
              <w:right w:val="single" w:color="auto" w:sz="4" w:space="0"/>
            </w:tcBorders>
            <w:noWrap/>
          </w:tcPr>
          <w:p>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0.1%</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olor w:val="auto"/>
                <w:szCs w:val="21"/>
                <w:highlight w:val="none"/>
              </w:rPr>
              <w:t>1亿元～5亿元</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0.05%</w:t>
            </w:r>
          </w:p>
        </w:tc>
        <w:tc>
          <w:tcPr>
            <w:tcW w:w="1687"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olor w:val="auto"/>
                <w:szCs w:val="21"/>
                <w:highlight w:val="none"/>
              </w:rPr>
              <w:t>5亿元～10亿元</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c>
          <w:tcPr>
            <w:tcW w:w="1687"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olor w:val="auto"/>
                <w:szCs w:val="21"/>
                <w:highlight w:val="none"/>
              </w:rPr>
              <w:t xml:space="preserve">  0.035%</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olor w:val="auto"/>
                <w:szCs w:val="21"/>
                <w:highlight w:val="none"/>
              </w:rPr>
              <w:t>10亿元～50亿元</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c>
          <w:tcPr>
            <w:tcW w:w="1687" w:type="dxa"/>
            <w:tcBorders>
              <w:top w:val="single" w:color="auto" w:sz="4" w:space="0"/>
              <w:left w:val="single" w:color="auto" w:sz="4" w:space="0"/>
              <w:bottom w:val="single" w:color="auto" w:sz="4" w:space="0"/>
              <w:right w:val="single" w:color="auto" w:sz="4" w:space="0"/>
            </w:tcBorders>
            <w:noWrap/>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olor w:val="auto"/>
                <w:szCs w:val="21"/>
                <w:highlight w:val="none"/>
              </w:rPr>
              <w:t>50亿元～100亿元</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olor w:val="auto"/>
                <w:szCs w:val="21"/>
                <w:highlight w:val="none"/>
              </w:rPr>
              <w:t xml:space="preserve"> 0.006%</w:t>
            </w:r>
          </w:p>
        </w:tc>
        <w:tc>
          <w:tcPr>
            <w:tcW w:w="1687" w:type="dxa"/>
            <w:tcBorders>
              <w:top w:val="single" w:color="auto" w:sz="4" w:space="0"/>
              <w:left w:val="single" w:color="auto" w:sz="4" w:space="0"/>
              <w:bottom w:val="single" w:color="auto" w:sz="4" w:space="0"/>
              <w:right w:val="single" w:color="auto" w:sz="4" w:space="0"/>
            </w:tcBorders>
            <w:noWrap/>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olor w:val="auto"/>
                <w:szCs w:val="21"/>
                <w:highlight w:val="none"/>
              </w:rPr>
              <w:t>100亿以上</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highlight w:val="none"/>
              </w:rPr>
            </w:pPr>
            <w:r>
              <w:rPr>
                <w:rFonts w:hint="eastAsia" w:ascii="宋体" w:hAnsi="宋体"/>
                <w:color w:val="auto"/>
                <w:szCs w:val="21"/>
                <w:highlight w:val="none"/>
              </w:rPr>
              <w:t xml:space="preserve"> 0.004%</w:t>
            </w:r>
          </w:p>
        </w:tc>
        <w:tc>
          <w:tcPr>
            <w:tcW w:w="1687" w:type="dxa"/>
            <w:tcBorders>
              <w:top w:val="single" w:color="auto" w:sz="4" w:space="0"/>
              <w:left w:val="single" w:color="auto" w:sz="4" w:space="0"/>
              <w:bottom w:val="single" w:color="auto" w:sz="4" w:space="0"/>
              <w:right w:val="single" w:color="auto" w:sz="4" w:space="0"/>
            </w:tcBorders>
            <w:noWrap/>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tcBorders>
              <w:top w:val="single" w:color="auto" w:sz="4" w:space="0"/>
              <w:left w:val="single" w:color="auto" w:sz="4" w:space="0"/>
              <w:bottom w:val="single" w:color="auto" w:sz="4" w:space="0"/>
              <w:right w:val="single" w:color="auto" w:sz="4" w:space="0"/>
            </w:tcBorders>
            <w:noWra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货物采购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×1.1％＝1.1万元</w:t>
      </w:r>
    </w:p>
    <w:p>
      <w:pPr>
        <w:pStyle w:val="24"/>
        <w:snapToGrid w:val="0"/>
        <w:spacing w:line="360" w:lineRule="auto"/>
        <w:ind w:firstLine="420" w:firstLineChars="200"/>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1.1＝ 2.6 （万元）</w:t>
      </w:r>
    </w:p>
    <w:p>
      <w:pPr>
        <w:pStyle w:val="6"/>
        <w:keepNext w:val="0"/>
        <w:keepLines w:val="0"/>
        <w:spacing w:before="0" w:after="0" w:line="360" w:lineRule="auto"/>
        <w:rPr>
          <w:rFonts w:ascii="黑体" w:hAnsi="黑体" w:eastAsia="黑体"/>
          <w:color w:val="auto"/>
          <w:sz w:val="24"/>
          <w:highlight w:val="none"/>
        </w:rPr>
      </w:pPr>
      <w:r>
        <w:rPr>
          <w:rFonts w:ascii="黑体" w:hAnsi="黑体" w:eastAsia="黑体"/>
          <w:color w:val="auto"/>
          <w:sz w:val="24"/>
          <w:highlight w:val="none"/>
        </w:rPr>
        <w:t>40. 需要补充的其他内容</w:t>
      </w:r>
    </w:p>
    <w:p>
      <w:pPr>
        <w:pStyle w:val="24"/>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40.1本招标文件解释规则详见“投标人须知前附表”。</w:t>
      </w:r>
    </w:p>
    <w:p>
      <w:pPr>
        <w:pStyle w:val="24"/>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40.2 其他事项详见“投标人须知前附表”。</w:t>
      </w:r>
    </w:p>
    <w:p>
      <w:pPr>
        <w:pStyle w:val="24"/>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40.3</w:t>
      </w:r>
      <w:bookmarkStart w:id="137"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24"/>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pPr>
        <w:pStyle w:val="24"/>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pPr>
        <w:pStyle w:val="24"/>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24"/>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24"/>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37"/>
    </w:p>
    <w:p>
      <w:pPr>
        <w:pStyle w:val="18"/>
        <w:ind w:left="479" w:leftChars="114" w:hanging="240" w:hangingChars="10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24"/>
        <w:snapToGrid w:val="0"/>
        <w:spacing w:before="120" w:after="120"/>
        <w:rPr>
          <w:rFonts w:hAnsi="宋体"/>
          <w:color w:val="auto"/>
          <w:highlight w:val="none"/>
        </w:rPr>
      </w:pPr>
    </w:p>
    <w:p>
      <w:pPr>
        <w:pStyle w:val="3"/>
        <w:jc w:val="center"/>
        <w:rPr>
          <w:color w:val="auto"/>
          <w:highlight w:val="none"/>
        </w:rPr>
      </w:pPr>
      <w:bookmarkStart w:id="138" w:name="_Toc74320803"/>
      <w:bookmarkStart w:id="139" w:name="_Toc254970548"/>
      <w:bookmarkStart w:id="140" w:name="_Toc330456896"/>
      <w:bookmarkStart w:id="141" w:name="_Toc254970689"/>
      <w:r>
        <w:rPr>
          <w:rFonts w:hint="eastAsia"/>
          <w:color w:val="auto"/>
          <w:highlight w:val="none"/>
        </w:rPr>
        <w:t>第四章  评标方法及评标标准</w:t>
      </w:r>
      <w:bookmarkEnd w:id="138"/>
      <w:bookmarkEnd w:id="139"/>
      <w:bookmarkEnd w:id="140"/>
      <w:bookmarkEnd w:id="141"/>
    </w:p>
    <w:p>
      <w:pPr>
        <w:pStyle w:val="24"/>
        <w:spacing w:before="120" w:after="120"/>
        <w:outlineLvl w:val="0"/>
        <w:rPr>
          <w:rFonts w:hAnsi="宋体"/>
          <w:b/>
          <w:color w:val="auto"/>
          <w:highlight w:val="none"/>
        </w:rPr>
      </w:pPr>
      <w:bookmarkStart w:id="142" w:name="_Toc254970690"/>
      <w:bookmarkStart w:id="143" w:name="_Toc254970549"/>
    </w:p>
    <w:bookmarkEnd w:id="142"/>
    <w:bookmarkEnd w:id="143"/>
    <w:p>
      <w:pPr>
        <w:pStyle w:val="24"/>
        <w:spacing w:before="120" w:after="120"/>
        <w:outlineLvl w:val="0"/>
        <w:rPr>
          <w:rFonts w:hAnsi="宋体"/>
          <w:bCs/>
          <w:color w:val="auto"/>
          <w:sz w:val="32"/>
          <w:szCs w:val="32"/>
          <w:highlight w:val="none"/>
        </w:rPr>
      </w:pPr>
    </w:p>
    <w:p>
      <w:pPr>
        <w:pStyle w:val="24"/>
        <w:spacing w:before="120" w:after="120"/>
        <w:outlineLvl w:val="0"/>
        <w:rPr>
          <w:rFonts w:hAnsi="宋体"/>
          <w:bCs/>
          <w:color w:val="auto"/>
          <w:sz w:val="32"/>
          <w:szCs w:val="32"/>
          <w:highlight w:val="none"/>
        </w:rPr>
      </w:pPr>
    </w:p>
    <w:p>
      <w:pPr>
        <w:pStyle w:val="24"/>
        <w:spacing w:before="120" w:after="120"/>
        <w:outlineLvl w:val="0"/>
        <w:rPr>
          <w:rFonts w:hAnsi="宋体"/>
          <w:bCs/>
          <w:color w:val="auto"/>
          <w:sz w:val="32"/>
          <w:szCs w:val="32"/>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24"/>
        <w:spacing w:line="360" w:lineRule="exact"/>
        <w:rPr>
          <w:rFonts w:hAnsi="宋体"/>
          <w:b/>
          <w:color w:val="auto"/>
          <w:sz w:val="24"/>
          <w:highlight w:val="none"/>
        </w:rPr>
      </w:pPr>
    </w:p>
    <w:p>
      <w:pPr>
        <w:pStyle w:val="5"/>
        <w:keepNext w:val="0"/>
        <w:keepLines w:val="0"/>
        <w:jc w:val="center"/>
        <w:rPr>
          <w:color w:val="auto"/>
          <w:sz w:val="30"/>
          <w:szCs w:val="30"/>
          <w:highlight w:val="none"/>
        </w:rPr>
      </w:pPr>
      <w:r>
        <w:rPr>
          <w:rFonts w:hint="eastAsia"/>
          <w:color w:val="auto"/>
          <w:sz w:val="30"/>
          <w:szCs w:val="30"/>
          <w:highlight w:val="none"/>
        </w:rPr>
        <w:t>一、评标方法</w:t>
      </w:r>
    </w:p>
    <w:p>
      <w:pPr>
        <w:pStyle w:val="24"/>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pPr>
        <w:pStyle w:val="24"/>
        <w:spacing w:line="360" w:lineRule="auto"/>
        <w:ind w:firstLine="420"/>
        <w:rPr>
          <w:rFonts w:hAnsi="宋体"/>
          <w:color w:val="auto"/>
          <w:sz w:val="21"/>
          <w:highlight w:val="none"/>
        </w:rPr>
      </w:pPr>
      <w:r>
        <w:rPr>
          <w:rFonts w:hint="eastAsia" w:hAnsi="宋体"/>
          <w:color w:val="auto"/>
          <w:sz w:val="21"/>
          <w:highlight w:val="none"/>
        </w:rPr>
        <w:t>最低评标价法，是指投标文件满足招标文件全部实质性要求，且投标报价最低的投标人为中标候选人的评标方法。</w:t>
      </w:r>
    </w:p>
    <w:p>
      <w:pPr>
        <w:pStyle w:val="5"/>
        <w:keepNext w:val="0"/>
        <w:keepLines w:val="0"/>
        <w:jc w:val="center"/>
        <w:rPr>
          <w:color w:val="auto"/>
          <w:sz w:val="30"/>
          <w:szCs w:val="30"/>
          <w:highlight w:val="none"/>
        </w:rPr>
      </w:pPr>
      <w:r>
        <w:rPr>
          <w:rFonts w:hint="eastAsia"/>
          <w:color w:val="auto"/>
          <w:sz w:val="30"/>
          <w:szCs w:val="30"/>
          <w:highlight w:val="none"/>
        </w:rPr>
        <w:t>二、评标程序</w:t>
      </w:r>
    </w:p>
    <w:p>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pPr>
        <w:pStyle w:val="24"/>
        <w:snapToGrid w:val="0"/>
        <w:spacing w:line="360" w:lineRule="auto"/>
        <w:ind w:left="1" w:firstLine="420"/>
        <w:rPr>
          <w:rFonts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pPr>
        <w:pStyle w:val="7"/>
        <w:numPr>
          <w:ilvl w:val="0"/>
          <w:numId w:val="5"/>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未提供“投标人须知前附表”第13条“报价文件”规定中“必须提供”的文件资料的；</w:t>
      </w:r>
    </w:p>
    <w:p>
      <w:pPr>
        <w:pStyle w:val="7"/>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pPr>
        <w:pStyle w:val="7"/>
        <w:numPr>
          <w:ilvl w:val="0"/>
          <w:numId w:val="5"/>
        </w:numPr>
        <w:spacing w:line="360" w:lineRule="auto"/>
        <w:rPr>
          <w:rFonts w:ascii="宋体" w:hAnsi="宋体"/>
          <w:b/>
          <w:color w:val="auto"/>
          <w:szCs w:val="21"/>
          <w:highlight w:val="none"/>
        </w:rPr>
      </w:pPr>
      <w:r>
        <w:rPr>
          <w:rFonts w:hint="eastAsia" w:ascii="宋体" w:hAnsi="宋体"/>
          <w:b/>
          <w:color w:val="auto"/>
          <w:szCs w:val="21"/>
          <w:highlight w:val="none"/>
        </w:rPr>
        <w:t>各分标报价（总价、分项报价）超出招标文件相应分标规定最高限价（总价、分项最高限价），或者超出相应分标采购预算金额（总价、分项预算金额）的；</w:t>
      </w:r>
    </w:p>
    <w:p>
      <w:pPr>
        <w:pStyle w:val="7"/>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7"/>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修正后的报价，投标人不确认的；</w:t>
      </w:r>
    </w:p>
    <w:p>
      <w:pPr>
        <w:pStyle w:val="7"/>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pPr>
        <w:pStyle w:val="7"/>
        <w:numPr>
          <w:ilvl w:val="0"/>
          <w:numId w:val="5"/>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2.2在商务及技术评审时，如发现下列情形之一的，将被视为投标无效：</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投标文件未提供“投标人须知前附表”第13条“商务及技术文件”规定中“必须提供”或者“委托时必须提供”的文件资料的；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允许负偏离的条款数超过“投标人须知前附表”规定项数的；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投标文件中承诺的投标有效期低于招标文件要求的期限的；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pPr>
        <w:pStyle w:val="19"/>
        <w:numPr>
          <w:ilvl w:val="0"/>
          <w:numId w:val="6"/>
        </w:numPr>
        <w:snapToGrid w:val="0"/>
        <w:spacing w:line="360" w:lineRule="auto"/>
        <w:ind w:firstLine="413" w:firstLineChars="0"/>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虚假投标，或者出现其他情形而导致被评标委员会认定无效的；</w:t>
      </w:r>
    </w:p>
    <w:p>
      <w:pPr>
        <w:pStyle w:val="19"/>
        <w:numPr>
          <w:ilvl w:val="0"/>
          <w:numId w:val="6"/>
        </w:numPr>
        <w:snapToGrid w:val="0"/>
        <w:spacing w:line="360" w:lineRule="auto"/>
        <w:ind w:firstLine="413" w:firstLineChars="0"/>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p>
    <w:p>
      <w:pPr>
        <w:pStyle w:val="19"/>
        <w:numPr>
          <w:ilvl w:val="0"/>
          <w:numId w:val="6"/>
        </w:numPr>
        <w:snapToGrid w:val="0"/>
        <w:spacing w:line="360" w:lineRule="auto"/>
        <w:ind w:firstLine="413" w:firstLineChars="0"/>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未响应招标文件实质性要求的。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pPr>
        <w:spacing w:line="360" w:lineRule="auto"/>
        <w:ind w:firstLine="420" w:firstLineChars="200"/>
        <w:rPr>
          <w:rFonts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pPr>
        <w:pStyle w:val="6"/>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pPr>
        <w:pStyle w:val="6"/>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pPr>
        <w:pStyle w:val="6"/>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pPr>
        <w:pStyle w:val="6"/>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pPr>
        <w:snapToGrid w:val="0"/>
        <w:spacing w:line="360" w:lineRule="auto"/>
        <w:ind w:firstLine="399" w:firstLineChars="202"/>
        <w:jc w:val="left"/>
        <w:rPr>
          <w:rFonts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投标人不能证明其报价合理性的，评标委员会应当将其作为无效投标处理。</w:t>
      </w:r>
    </w:p>
    <w:p>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（3）评标委员会按照招标文件中的规定推荐中标候选人。</w:t>
      </w:r>
    </w:p>
    <w:p>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4" w:firstLineChars="202"/>
        <w:jc w:val="center"/>
        <w:rPr>
          <w:color w:val="auto"/>
          <w:highlight w:val="none"/>
        </w:rPr>
      </w:pPr>
      <w:r>
        <w:rPr>
          <w:color w:val="auto"/>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pPr>
        <w:pStyle w:val="5"/>
        <w:keepNext w:val="0"/>
        <w:keepLines w:val="0"/>
        <w:jc w:val="center"/>
        <w:rPr>
          <w:color w:val="auto"/>
          <w:highlight w:val="none"/>
        </w:rPr>
      </w:pPr>
      <w:r>
        <w:rPr>
          <w:rFonts w:hint="eastAsia"/>
          <w:color w:val="auto"/>
          <w:highlight w:val="none"/>
        </w:rPr>
        <w:t>综合评分法</w:t>
      </w:r>
    </w:p>
    <w:p>
      <w:pPr>
        <w:pStyle w:val="5"/>
        <w:spacing w:before="0" w:after="0" w:line="240" w:lineRule="auto"/>
        <w:jc w:val="left"/>
        <w:rPr>
          <w:rFonts w:ascii="宋体" w:hAnsi="宋体"/>
          <w:color w:val="auto"/>
          <w:sz w:val="24"/>
          <w:szCs w:val="24"/>
          <w:highlight w:val="none"/>
        </w:rPr>
      </w:pPr>
    </w:p>
    <w:tbl>
      <w:tblPr>
        <w:tblStyle w:val="45"/>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18"/>
        <w:gridCol w:w="6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360" w:lineRule="exact"/>
              <w:jc w:val="center"/>
              <w:textAlignment w:val="baseline"/>
              <w:rPr>
                <w:rFonts w:ascii="Calibri" w:hAnsi="Calibri"/>
                <w:color w:val="auto"/>
                <w:szCs w:val="21"/>
                <w:highlight w:val="none"/>
              </w:rPr>
            </w:pPr>
            <w:r>
              <w:rPr>
                <w:rFonts w:hint="eastAsia" w:hAnsi="宋体"/>
                <w:b/>
                <w:color w:val="auto"/>
                <w:szCs w:val="21"/>
                <w:highlight w:val="none"/>
              </w:rPr>
              <w:t>序号</w:t>
            </w:r>
          </w:p>
        </w:tc>
        <w:tc>
          <w:tcPr>
            <w:tcW w:w="1518"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exact"/>
              <w:jc w:val="center"/>
              <w:textAlignment w:val="baseline"/>
              <w:rPr>
                <w:color w:val="auto"/>
                <w:szCs w:val="21"/>
                <w:highlight w:val="none"/>
              </w:rPr>
            </w:pPr>
            <w:r>
              <w:rPr>
                <w:rFonts w:hint="eastAsia" w:hAnsi="宋体"/>
                <w:b/>
                <w:color w:val="auto"/>
                <w:szCs w:val="21"/>
                <w:highlight w:val="none"/>
              </w:rPr>
              <w:t>评分因素</w:t>
            </w:r>
          </w:p>
        </w:tc>
        <w:tc>
          <w:tcPr>
            <w:tcW w:w="6087"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exact"/>
              <w:jc w:val="center"/>
              <w:textAlignment w:val="baseline"/>
              <w:rPr>
                <w:color w:val="auto"/>
                <w:szCs w:val="21"/>
                <w:highlight w:val="none"/>
              </w:rPr>
            </w:pPr>
            <w:r>
              <w:rPr>
                <w:rFonts w:hint="eastAsia" w:hAnsi="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6" w:hRule="atLeast"/>
          <w:jc w:val="center"/>
        </w:trPr>
        <w:tc>
          <w:tcPr>
            <w:tcW w:w="52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exact"/>
              <w:jc w:val="center"/>
              <w:textAlignment w:val="baseline"/>
              <w:rPr>
                <w:b/>
                <w:color w:val="auto"/>
                <w:szCs w:val="21"/>
                <w:highlight w:val="none"/>
              </w:rPr>
            </w:pPr>
            <w:r>
              <w:rPr>
                <w:b/>
                <w:color w:val="auto"/>
                <w:szCs w:val="21"/>
                <w:highlight w:val="none"/>
              </w:rPr>
              <w:t>1</w:t>
            </w:r>
          </w:p>
        </w:tc>
        <w:tc>
          <w:tcPr>
            <w:tcW w:w="1320"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exact"/>
              <w:jc w:val="center"/>
              <w:textAlignment w:val="baseline"/>
              <w:rPr>
                <w:b/>
                <w:color w:val="auto"/>
                <w:szCs w:val="21"/>
                <w:highlight w:val="none"/>
              </w:rPr>
            </w:pPr>
            <w:r>
              <w:rPr>
                <w:rFonts w:hint="eastAsia" w:hAnsi="宋体"/>
                <w:b/>
                <w:color w:val="auto"/>
                <w:szCs w:val="21"/>
                <w:highlight w:val="none"/>
              </w:rPr>
              <w:t>价格分</w:t>
            </w:r>
          </w:p>
          <w:p>
            <w:pPr>
              <w:adjustRightInd w:val="0"/>
              <w:spacing w:line="360" w:lineRule="exact"/>
              <w:jc w:val="center"/>
              <w:textAlignment w:val="baseline"/>
              <w:rPr>
                <w:rFonts w:ascii="Calibri" w:hAnsi="Calibri"/>
                <w:b/>
                <w:color w:val="auto"/>
                <w:szCs w:val="21"/>
                <w:highlight w:val="none"/>
              </w:rPr>
            </w:pPr>
            <w:r>
              <w:rPr>
                <w:rFonts w:hint="eastAsia" w:hAnsi="宋体"/>
                <w:b/>
                <w:color w:val="auto"/>
                <w:szCs w:val="21"/>
                <w:highlight w:val="none"/>
              </w:rPr>
              <w:t>（</w:t>
            </w:r>
            <w:r>
              <w:rPr>
                <w:b/>
                <w:color w:val="auto"/>
                <w:szCs w:val="21"/>
                <w:highlight w:val="none"/>
              </w:rPr>
              <w:t>30</w:t>
            </w:r>
            <w:r>
              <w:rPr>
                <w:rFonts w:hint="eastAsia" w:hAnsi="宋体"/>
                <w:b/>
                <w:color w:val="auto"/>
                <w:szCs w:val="21"/>
                <w:highlight w:val="none"/>
              </w:rPr>
              <w:t>分）</w:t>
            </w:r>
          </w:p>
        </w:tc>
        <w:tc>
          <w:tcPr>
            <w:tcW w:w="1518"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exact"/>
              <w:jc w:val="center"/>
              <w:textAlignment w:val="baseline"/>
              <w:rPr>
                <w:rFonts w:hAnsi="宋体"/>
                <w:color w:val="auto"/>
                <w:szCs w:val="21"/>
                <w:highlight w:val="none"/>
              </w:rPr>
            </w:pPr>
            <w:r>
              <w:rPr>
                <w:rFonts w:hint="eastAsia" w:hAnsi="宋体"/>
                <w:color w:val="auto"/>
                <w:szCs w:val="21"/>
                <w:highlight w:val="none"/>
              </w:rPr>
              <w:t>投标报价</w:t>
            </w:r>
          </w:p>
          <w:p>
            <w:pPr>
              <w:adjustRightInd w:val="0"/>
              <w:spacing w:line="360" w:lineRule="exact"/>
              <w:jc w:val="center"/>
              <w:textAlignment w:val="baseline"/>
              <w:rPr>
                <w:rFonts w:ascii="Calibri" w:hAnsi="Calibri"/>
                <w:color w:val="auto"/>
                <w:szCs w:val="21"/>
                <w:highlight w:val="none"/>
              </w:rPr>
            </w:pPr>
            <w:r>
              <w:rPr>
                <w:rFonts w:hint="eastAsia" w:hAnsi="宋体"/>
                <w:color w:val="auto"/>
                <w:szCs w:val="21"/>
                <w:highlight w:val="none"/>
              </w:rPr>
              <w:t>（满分</w:t>
            </w:r>
            <w:r>
              <w:rPr>
                <w:color w:val="auto"/>
                <w:szCs w:val="21"/>
                <w:highlight w:val="none"/>
              </w:rPr>
              <w:t>30</w:t>
            </w:r>
            <w:r>
              <w:rPr>
                <w:rFonts w:hint="eastAsia" w:hAnsi="宋体"/>
                <w:color w:val="auto"/>
                <w:szCs w:val="21"/>
                <w:highlight w:val="none"/>
              </w:rPr>
              <w:t>分）</w:t>
            </w:r>
          </w:p>
        </w:tc>
        <w:tc>
          <w:tcPr>
            <w:tcW w:w="608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233" w:firstLineChars="111"/>
              <w:rPr>
                <w:rFonts w:ascii="Cambria Math" w:hAnsi="Cambria Math"/>
                <w:bCs/>
                <w:color w:val="auto"/>
                <w:szCs w:val="21"/>
                <w:highlight w:val="none"/>
              </w:rPr>
            </w:pPr>
            <w:r>
              <w:rPr>
                <w:rFonts w:hint="eastAsia" w:ascii="Cambria Math" w:hAnsi="Cambria Math"/>
                <w:bCs/>
                <w:color w:val="auto"/>
                <w:szCs w:val="21"/>
                <w:highlight w:val="none"/>
              </w:rPr>
              <w:t>（</w:t>
            </w:r>
            <w:r>
              <w:rPr>
                <w:rFonts w:ascii="Cambria Math" w:hAnsi="Cambria Math"/>
                <w:bCs/>
                <w:color w:val="auto"/>
                <w:szCs w:val="21"/>
                <w:highlight w:val="none"/>
              </w:rPr>
              <w:t>1</w:t>
            </w:r>
            <w:r>
              <w:rPr>
                <w:rFonts w:hint="eastAsia" w:ascii="Cambria Math" w:hAnsi="Cambria Math"/>
                <w:bCs/>
                <w:color w:val="auto"/>
                <w:szCs w:val="21"/>
                <w:highlight w:val="none"/>
              </w:rPr>
              <w:t>）评标报价为投标人的投标报价进行政策性扣除后的价格，评标报价只是作为评标时使用。最终中标人的中标金额等于投标报价。</w:t>
            </w:r>
          </w:p>
          <w:p>
            <w:pPr>
              <w:snapToGrid w:val="0"/>
              <w:spacing w:line="360" w:lineRule="auto"/>
              <w:ind w:firstLine="233" w:firstLineChars="111"/>
              <w:rPr>
                <w:rFonts w:ascii="Cambria Math" w:hAnsi="Cambria Math"/>
                <w:bCs/>
                <w:color w:val="auto"/>
                <w:szCs w:val="21"/>
                <w:highlight w:val="none"/>
              </w:rPr>
            </w:pPr>
            <w:r>
              <w:rPr>
                <w:rFonts w:hint="eastAsia" w:ascii="Cambria Math" w:hAnsi="Cambria Math"/>
                <w:bCs/>
                <w:color w:val="auto"/>
                <w:szCs w:val="21"/>
                <w:highlight w:val="none"/>
              </w:rPr>
              <w:t>（</w:t>
            </w:r>
            <w:r>
              <w:rPr>
                <w:rFonts w:ascii="Cambria Math" w:hAnsi="Cambria Math"/>
                <w:bCs/>
                <w:color w:val="auto"/>
                <w:szCs w:val="21"/>
                <w:highlight w:val="none"/>
              </w:rPr>
              <w:t>2</w:t>
            </w:r>
            <w:r>
              <w:rPr>
                <w:rFonts w:hint="eastAsia" w:ascii="Cambria Math" w:hAnsi="Cambria Math"/>
                <w:bCs/>
                <w:color w:val="auto"/>
                <w:szCs w:val="21"/>
                <w:highlight w:val="none"/>
              </w:rPr>
              <w:t>）政策性扣除计算方法。</w:t>
            </w:r>
          </w:p>
          <w:p>
            <w:pPr>
              <w:snapToGrid w:val="0"/>
              <w:spacing w:line="360" w:lineRule="auto"/>
              <w:ind w:firstLine="443" w:firstLineChars="211"/>
              <w:rPr>
                <w:rFonts w:ascii="Cambria Math" w:hAnsi="Cambria Math"/>
                <w:color w:val="auto"/>
                <w:szCs w:val="21"/>
                <w:highlight w:val="none"/>
              </w:rPr>
            </w:pPr>
            <w:bookmarkStart w:id="144" w:name="_Hlk65858438"/>
            <w:r>
              <w:rPr>
                <w:rFonts w:hint="eastAsia" w:ascii="Cambria Math" w:hAnsi="Cambria Math"/>
                <w:bCs/>
                <w:color w:val="auto"/>
                <w:szCs w:val="21"/>
                <w:highlight w:val="none"/>
              </w:rPr>
              <w:t>根据《政府采购促进中小企业发展管理办法》（财库〔</w:t>
            </w:r>
            <w:r>
              <w:rPr>
                <w:rFonts w:ascii="Cambria Math" w:hAnsi="Cambria Math"/>
                <w:bCs/>
                <w:color w:val="auto"/>
                <w:szCs w:val="21"/>
                <w:highlight w:val="none"/>
              </w:rPr>
              <w:t>2020</w:t>
            </w:r>
            <w:r>
              <w:rPr>
                <w:rFonts w:hint="eastAsia" w:ascii="Cambria Math" w:hAnsi="Cambria Math"/>
                <w:bCs/>
                <w:color w:val="auto"/>
                <w:szCs w:val="21"/>
                <w:highlight w:val="none"/>
              </w:rPr>
              <w:t>〕</w:t>
            </w:r>
            <w:r>
              <w:rPr>
                <w:rFonts w:ascii="Cambria Math" w:hAnsi="Cambria Math"/>
                <w:bCs/>
                <w:color w:val="auto"/>
                <w:szCs w:val="21"/>
                <w:highlight w:val="none"/>
              </w:rPr>
              <w:t>46</w:t>
            </w:r>
            <w:r>
              <w:rPr>
                <w:rFonts w:hint="eastAsia" w:ascii="Cambria Math" w:hAnsi="Cambria Math"/>
                <w:bCs/>
                <w:color w:val="auto"/>
                <w:szCs w:val="21"/>
                <w:highlight w:val="none"/>
              </w:rPr>
              <w:t>号）《广西壮族自治区财政厅关于持续优化政府采购营商环境推动高质量发展的通知》（桂财采〔2024〕55号）的规定，投标人在其投标文件中提供《中小企业声明函》，且其投标全部货物由小微企业制造的，对其投标报价给予</w:t>
            </w:r>
            <w:r>
              <w:rPr>
                <w:rFonts w:ascii="Cambria Math" w:hAnsi="Cambria Math"/>
                <w:bCs/>
                <w:color w:val="auto"/>
                <w:szCs w:val="21"/>
                <w:highlight w:val="none"/>
              </w:rPr>
              <w:t>10%</w:t>
            </w:r>
            <w:r>
              <w:rPr>
                <w:rFonts w:hint="eastAsia" w:ascii="Cambria Math" w:hAnsi="Cambria Math"/>
                <w:bCs/>
                <w:color w:val="auto"/>
                <w:szCs w:val="21"/>
                <w:highlight w:val="none"/>
              </w:rPr>
              <w:t>的扣除，扣除后的价格为评标报价，即评标报价</w:t>
            </w:r>
            <w:r>
              <w:rPr>
                <w:rFonts w:ascii="Cambria Math" w:hAnsi="Cambria Math"/>
                <w:bCs/>
                <w:color w:val="auto"/>
                <w:szCs w:val="21"/>
                <w:highlight w:val="none"/>
              </w:rPr>
              <w:t>=</w:t>
            </w:r>
            <w:r>
              <w:rPr>
                <w:rFonts w:hint="eastAsia" w:ascii="Cambria Math" w:hAnsi="Cambria Math"/>
                <w:bCs/>
                <w:color w:val="auto"/>
                <w:szCs w:val="21"/>
                <w:highlight w:val="none"/>
              </w:rPr>
              <w:t>投标报价×（</w:t>
            </w:r>
            <w:r>
              <w:rPr>
                <w:rFonts w:ascii="Cambria Math" w:hAnsi="Cambria Math"/>
                <w:bCs/>
                <w:color w:val="auto"/>
                <w:szCs w:val="21"/>
                <w:highlight w:val="none"/>
              </w:rPr>
              <w:t>1-10%</w:t>
            </w:r>
            <w:r>
              <w:rPr>
                <w:rFonts w:hint="eastAsia" w:ascii="Cambria Math" w:hAnsi="Cambria Math"/>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w:t>
            </w:r>
            <w:r>
              <w:rPr>
                <w:rFonts w:ascii="Cambria Math" w:hAnsi="Cambria Math"/>
                <w:bCs/>
                <w:color w:val="auto"/>
                <w:szCs w:val="21"/>
                <w:highlight w:val="none"/>
              </w:rPr>
              <w:t>30%</w:t>
            </w:r>
            <w:r>
              <w:rPr>
                <w:rFonts w:hint="eastAsia" w:ascii="Cambria Math" w:hAnsi="Cambria Math"/>
                <w:bCs/>
                <w:color w:val="auto"/>
                <w:szCs w:val="21"/>
                <w:highlight w:val="none"/>
              </w:rPr>
              <w:t>以上的，采购人、采购代理机构应当对联合体或者大中型企业的报价给予</w:t>
            </w:r>
            <w:r>
              <w:rPr>
                <w:rFonts w:ascii="Cambria Math" w:hAnsi="Cambria Math"/>
                <w:bCs/>
                <w:color w:val="auto"/>
                <w:szCs w:val="21"/>
                <w:highlight w:val="none"/>
              </w:rPr>
              <w:t>6%</w:t>
            </w:r>
            <w:r>
              <w:rPr>
                <w:rFonts w:hint="eastAsia" w:ascii="Cambria Math" w:hAnsi="Cambria Math"/>
                <w:bCs/>
                <w:color w:val="auto"/>
                <w:szCs w:val="21"/>
                <w:highlight w:val="none"/>
              </w:rPr>
              <w:t>的扣除，用扣除后的价格参加评审，扣除后的价格为评标报价，即评标报价</w:t>
            </w:r>
            <w:r>
              <w:rPr>
                <w:rFonts w:ascii="Cambria Math" w:hAnsi="Cambria Math"/>
                <w:bCs/>
                <w:color w:val="auto"/>
                <w:szCs w:val="21"/>
                <w:highlight w:val="none"/>
              </w:rPr>
              <w:t>=</w:t>
            </w:r>
            <w:r>
              <w:rPr>
                <w:rFonts w:hint="eastAsia" w:ascii="Cambria Math" w:hAnsi="Cambria Math"/>
                <w:bCs/>
                <w:color w:val="auto"/>
                <w:szCs w:val="21"/>
                <w:highlight w:val="none"/>
              </w:rPr>
              <w:t>投标报价×（</w:t>
            </w:r>
            <w:r>
              <w:rPr>
                <w:rFonts w:ascii="Cambria Math" w:hAnsi="Cambria Math"/>
                <w:bCs/>
                <w:color w:val="auto"/>
                <w:szCs w:val="21"/>
                <w:highlight w:val="none"/>
              </w:rPr>
              <w:t>1-</w:t>
            </w:r>
            <w:r>
              <w:rPr>
                <w:rFonts w:ascii="Cambria Math" w:hAnsi="Cambria Math"/>
                <w:bCs/>
                <w:color w:val="auto"/>
                <w:szCs w:val="21"/>
                <w:highlight w:val="none"/>
                <w:u w:val="single"/>
              </w:rPr>
              <w:t>6</w:t>
            </w:r>
            <w:r>
              <w:rPr>
                <w:rFonts w:ascii="Cambria Math" w:hAnsi="Cambria Math"/>
                <w:bCs/>
                <w:color w:val="auto"/>
                <w:szCs w:val="21"/>
                <w:highlight w:val="none"/>
              </w:rPr>
              <w:t>%</w:t>
            </w:r>
            <w:r>
              <w:rPr>
                <w:rFonts w:hint="eastAsia" w:ascii="Cambria Math" w:hAnsi="Cambria Math"/>
                <w:bCs/>
                <w:color w:val="auto"/>
                <w:szCs w:val="21"/>
                <w:highlight w:val="none"/>
              </w:rPr>
              <w:t>）。除上述情况外，评标报价</w:t>
            </w:r>
            <w:r>
              <w:rPr>
                <w:rFonts w:ascii="Cambria Math" w:hAnsi="Cambria Math"/>
                <w:bCs/>
                <w:color w:val="auto"/>
                <w:szCs w:val="21"/>
                <w:highlight w:val="none"/>
              </w:rPr>
              <w:t>=</w:t>
            </w:r>
            <w:r>
              <w:rPr>
                <w:rFonts w:hint="eastAsia" w:ascii="Cambria Math" w:hAnsi="Cambria Math"/>
                <w:bCs/>
                <w:color w:val="auto"/>
                <w:szCs w:val="21"/>
                <w:highlight w:val="none"/>
              </w:rPr>
              <w:t>投标报价。</w:t>
            </w:r>
            <w:bookmarkEnd w:id="144"/>
          </w:p>
          <w:p>
            <w:pPr>
              <w:snapToGrid w:val="0"/>
              <w:spacing w:line="360" w:lineRule="auto"/>
              <w:ind w:firstLine="233" w:firstLineChars="111"/>
              <w:rPr>
                <w:rFonts w:ascii="Cambria Math" w:hAnsi="Cambria Math"/>
                <w:bCs/>
                <w:color w:val="auto"/>
                <w:szCs w:val="21"/>
                <w:highlight w:val="none"/>
              </w:rPr>
            </w:pPr>
            <w:r>
              <w:rPr>
                <w:rFonts w:hint="eastAsia" w:ascii="Cambria Math" w:hAnsi="Cambria Math"/>
                <w:bCs/>
                <w:color w:val="auto"/>
                <w:szCs w:val="21"/>
                <w:highlight w:val="none"/>
              </w:rPr>
              <w:t>（</w:t>
            </w:r>
            <w:r>
              <w:rPr>
                <w:rFonts w:ascii="Cambria Math" w:hAnsi="Cambria Math"/>
                <w:bCs/>
                <w:color w:val="auto"/>
                <w:szCs w:val="21"/>
                <w:highlight w:val="none"/>
              </w:rPr>
              <w:t>3</w:t>
            </w:r>
            <w:r>
              <w:rPr>
                <w:rFonts w:hint="eastAsia" w:ascii="Cambria Math" w:hAnsi="Cambria Math"/>
                <w:bCs/>
                <w:color w:val="auto"/>
                <w:szCs w:val="21"/>
                <w:highlight w:val="none"/>
              </w:rPr>
              <w:t>）按照《财政部、司法部关于政府采购支持监狱企业发展有关问题的通知》（财库〔</w:t>
            </w:r>
            <w:r>
              <w:rPr>
                <w:rFonts w:ascii="Cambria Math" w:hAnsi="Cambria Math"/>
                <w:bCs/>
                <w:color w:val="auto"/>
                <w:szCs w:val="21"/>
                <w:highlight w:val="none"/>
              </w:rPr>
              <w:t>2014</w:t>
            </w:r>
            <w:r>
              <w:rPr>
                <w:rFonts w:hint="eastAsia" w:ascii="Cambria Math" w:hAnsi="Cambria Math"/>
                <w:bCs/>
                <w:color w:val="auto"/>
                <w:szCs w:val="21"/>
                <w:highlight w:val="none"/>
              </w:rPr>
              <w:t>〕</w:t>
            </w:r>
            <w:r>
              <w:rPr>
                <w:rFonts w:ascii="Cambria Math" w:hAnsi="Cambria Math"/>
                <w:bCs/>
                <w:color w:val="auto"/>
                <w:szCs w:val="21"/>
                <w:highlight w:val="none"/>
              </w:rPr>
              <w:t>68</w:t>
            </w:r>
            <w:r>
              <w:rPr>
                <w:rFonts w:hint="eastAsia" w:ascii="Cambria Math" w:hAnsi="Cambria Math"/>
                <w:bCs/>
                <w:color w:val="auto"/>
                <w:szCs w:val="21"/>
                <w:highlight w:val="none"/>
              </w:rPr>
              <w:t>号）的规定，监狱企业视同小型、微型企业，享受预留份额、评审中价格扣除等促进中小企业发展的政府采购政策。</w:t>
            </w:r>
            <w:r>
              <w:rPr>
                <w:rFonts w:hint="eastAsia" w:ascii="Cambria Math" w:hAnsi="Cambria Math"/>
                <w:color w:val="auto"/>
                <w:szCs w:val="21"/>
                <w:highlight w:val="none"/>
              </w:rPr>
              <w:t>监狱企业参加政府采购活动时，应当提供由省级以上监狱管理局、戒毒管理局（含新疆生产建设兵团）出具的属于监狱企业的证明文件。</w:t>
            </w:r>
            <w:r>
              <w:rPr>
                <w:rFonts w:hint="eastAsia" w:ascii="Cambria Math" w:hAnsi="Cambria Math"/>
                <w:bCs/>
                <w:color w:val="auto"/>
                <w:szCs w:val="21"/>
                <w:highlight w:val="none"/>
              </w:rPr>
              <w:t>监狱企业属于小型、微型企业的，不重复享受政策。</w:t>
            </w:r>
          </w:p>
          <w:p>
            <w:pPr>
              <w:snapToGrid w:val="0"/>
              <w:spacing w:line="360" w:lineRule="auto"/>
              <w:ind w:firstLine="233" w:firstLineChars="111"/>
              <w:rPr>
                <w:rFonts w:ascii="Cambria Math" w:hAnsi="Cambria Math"/>
                <w:bCs/>
                <w:color w:val="auto"/>
                <w:szCs w:val="21"/>
                <w:highlight w:val="none"/>
              </w:rPr>
            </w:pPr>
            <w:r>
              <w:rPr>
                <w:rFonts w:hint="eastAsia" w:ascii="Cambria Math" w:hAnsi="Cambria Math"/>
                <w:color w:val="auto"/>
                <w:szCs w:val="21"/>
                <w:highlight w:val="none"/>
              </w:rPr>
              <w:t>（</w:t>
            </w:r>
            <w:r>
              <w:rPr>
                <w:rFonts w:ascii="Cambria Math" w:hAnsi="Cambria Math"/>
                <w:color w:val="auto"/>
                <w:szCs w:val="21"/>
                <w:highlight w:val="none"/>
              </w:rPr>
              <w:t>4</w:t>
            </w:r>
            <w:r>
              <w:rPr>
                <w:rFonts w:hint="eastAsia" w:ascii="Cambria Math" w:hAnsi="Cambria Math"/>
                <w:color w:val="auto"/>
                <w:szCs w:val="21"/>
                <w:highlight w:val="none"/>
              </w:rPr>
              <w:t>）按照</w:t>
            </w:r>
            <w:r>
              <w:rPr>
                <w:rFonts w:hint="eastAsia" w:ascii="Cambria Math" w:hAnsi="Cambria Math"/>
                <w:bCs/>
                <w:color w:val="auto"/>
                <w:szCs w:val="21"/>
                <w:highlight w:val="none"/>
              </w:rPr>
              <w:t>《关于促进残疾人就业政府采购政策的通知》（财库〔</w:t>
            </w:r>
            <w:r>
              <w:rPr>
                <w:rFonts w:ascii="Cambria Math" w:hAnsi="Cambria Math"/>
                <w:bCs/>
                <w:color w:val="auto"/>
                <w:szCs w:val="21"/>
                <w:highlight w:val="none"/>
              </w:rPr>
              <w:t>2017</w:t>
            </w:r>
            <w:r>
              <w:rPr>
                <w:rFonts w:hint="eastAsia" w:ascii="Cambria Math" w:hAnsi="Cambria Math"/>
                <w:bCs/>
                <w:color w:val="auto"/>
                <w:szCs w:val="21"/>
                <w:highlight w:val="none"/>
              </w:rPr>
              <w:t>〕</w:t>
            </w:r>
            <w:r>
              <w:rPr>
                <w:rFonts w:ascii="Cambria Math" w:hAnsi="Cambria Math"/>
                <w:bCs/>
                <w:color w:val="auto"/>
                <w:szCs w:val="21"/>
                <w:highlight w:val="none"/>
              </w:rPr>
              <w:t>141</w:t>
            </w:r>
            <w:r>
              <w:rPr>
                <w:rFonts w:hint="eastAsia" w:ascii="Cambria Math" w:hAnsi="Cambria Math"/>
                <w:bCs/>
                <w:color w:val="auto"/>
                <w:szCs w:val="21"/>
                <w:highlight w:val="none"/>
              </w:rPr>
              <w:t>号）的规定，残疾人福利性单位视同小型、微型企业，享受预留份额、评审中价格扣除等促进中小企业发展的政府采购政策。</w:t>
            </w:r>
            <w:r>
              <w:rPr>
                <w:rFonts w:hint="eastAsia" w:ascii="Cambria Math" w:hAnsi="Cambria Math"/>
                <w:color w:val="auto"/>
                <w:szCs w:val="21"/>
                <w:highlight w:val="none"/>
              </w:rPr>
              <w:t>残疾人福利性单位参加政府采购活动时，应当提供该通知规定的《残疾人福利性单位声明函》，并对声明的真实性负责。</w:t>
            </w:r>
            <w:r>
              <w:rPr>
                <w:rFonts w:hint="eastAsia" w:ascii="Cambria Math" w:hAnsi="Cambria Math"/>
                <w:bCs/>
                <w:color w:val="auto"/>
                <w:szCs w:val="21"/>
                <w:highlight w:val="none"/>
              </w:rPr>
              <w:t>残疾人福利性单位属于小型、微型企业的，不重复享受政策。</w:t>
            </w:r>
          </w:p>
          <w:p>
            <w:pPr>
              <w:snapToGrid w:val="0"/>
              <w:spacing w:line="360" w:lineRule="auto"/>
              <w:ind w:firstLine="233" w:firstLineChars="111"/>
              <w:rPr>
                <w:rFonts w:ascii="Cambria Math" w:hAnsi="Cambria Math"/>
                <w:bCs/>
                <w:color w:val="auto"/>
                <w:szCs w:val="21"/>
                <w:highlight w:val="none"/>
              </w:rPr>
            </w:pPr>
            <w:r>
              <w:rPr>
                <w:rFonts w:hint="eastAsia" w:ascii="Cambria Math" w:hAnsi="Cambria Math"/>
                <w:bCs/>
                <w:color w:val="auto"/>
                <w:szCs w:val="21"/>
                <w:highlight w:val="none"/>
              </w:rPr>
              <w:t>（</w:t>
            </w:r>
            <w:r>
              <w:rPr>
                <w:rFonts w:ascii="Cambria Math" w:hAnsi="Cambria Math"/>
                <w:bCs/>
                <w:color w:val="auto"/>
                <w:szCs w:val="21"/>
                <w:highlight w:val="none"/>
              </w:rPr>
              <w:t>5</w:t>
            </w:r>
            <w:r>
              <w:rPr>
                <w:rFonts w:hint="eastAsia" w:ascii="Cambria Math" w:hAnsi="Cambria Math"/>
                <w:bCs/>
                <w:color w:val="auto"/>
                <w:szCs w:val="21"/>
                <w:highlight w:val="none"/>
              </w:rPr>
              <w:t>）满足招标文件要求且评标报价最低的评标报价为评标基准价，其价格分为满分。</w:t>
            </w:r>
          </w:p>
          <w:p>
            <w:pPr>
              <w:spacing w:line="360" w:lineRule="auto"/>
              <w:ind w:firstLine="233" w:firstLineChars="111"/>
              <w:rPr>
                <w:rFonts w:ascii="Cambria Math" w:hAnsi="Cambria Math"/>
                <w:bCs/>
                <w:color w:val="auto"/>
                <w:szCs w:val="21"/>
                <w:highlight w:val="none"/>
              </w:rPr>
            </w:pPr>
            <w:r>
              <w:rPr>
                <w:rFonts w:hint="eastAsia" w:ascii="Cambria Math" w:hAnsi="Cambria Math"/>
                <w:bCs/>
                <w:color w:val="auto"/>
                <w:szCs w:val="21"/>
                <w:highlight w:val="none"/>
              </w:rPr>
              <w:t>（</w:t>
            </w:r>
            <w:r>
              <w:rPr>
                <w:rFonts w:ascii="Cambria Math" w:hAnsi="Cambria Math"/>
                <w:bCs/>
                <w:color w:val="auto"/>
                <w:szCs w:val="21"/>
                <w:highlight w:val="none"/>
              </w:rPr>
              <w:t>6</w:t>
            </w:r>
            <w:r>
              <w:rPr>
                <w:rFonts w:hint="eastAsia" w:ascii="Cambria Math" w:hAnsi="Cambria Math"/>
                <w:bCs/>
                <w:color w:val="auto"/>
                <w:szCs w:val="21"/>
                <w:highlight w:val="none"/>
              </w:rPr>
              <w:t>）价格分计算公式：</w:t>
            </w:r>
          </w:p>
          <w:p>
            <w:pPr>
              <w:spacing w:line="240" w:lineRule="exact"/>
              <w:rPr>
                <w:rFonts w:hAnsi="Calibri"/>
                <w:bCs/>
                <w:color w:val="auto"/>
                <w:szCs w:val="21"/>
                <w:highlight w:val="none"/>
              </w:rPr>
            </w:pPr>
            <w:r>
              <w:rPr>
                <w:rFonts w:hint="eastAsia" w:hAnsi="Cambria Math"/>
                <w:bCs/>
                <w:color w:val="auto"/>
                <w:highlight w:val="none"/>
              </w:rPr>
              <w:t>价格分</w:t>
            </w:r>
            <w:r>
              <w:rPr>
                <w:rFonts w:hAnsi="Cambria Math" w:cs="Yu Mincho Light"/>
                <w:bCs/>
                <w:color w:val="auto"/>
                <w:highlight w:val="none"/>
              </w:rPr>
              <w:t>=</w:t>
            </w:r>
            <w:r>
              <w:rPr>
                <w:rFonts w:hint="eastAsia" w:hAnsi="Cambria Math" w:cs="Yu Mincho Light"/>
                <w:bCs/>
                <w:color w:val="auto"/>
                <w:highlight w:val="none"/>
              </w:rPr>
              <w:t>（评标基准价／评标报价）×</w:t>
            </w:r>
            <w:r>
              <w:rPr>
                <w:rFonts w:hAnsi="Cambria Math"/>
                <w:bCs/>
                <w:color w:val="auto"/>
                <w:highlight w:val="none"/>
                <w:u w:val="single"/>
              </w:rPr>
              <w:t>30</w:t>
            </w:r>
            <w:r>
              <w:rPr>
                <w:rFonts w:hint="eastAsia" w:hAnsi="Cambria Math" w:cs="Yu Mincho Light"/>
                <w:bCs/>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5" w:hRule="atLeast"/>
          <w:jc w:val="center"/>
        </w:trPr>
        <w:tc>
          <w:tcPr>
            <w:tcW w:w="525"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pacing w:line="360" w:lineRule="exact"/>
              <w:jc w:val="center"/>
              <w:textAlignment w:val="baseline"/>
              <w:rPr>
                <w:b/>
                <w:color w:val="auto"/>
                <w:szCs w:val="21"/>
                <w:highlight w:val="none"/>
              </w:rPr>
            </w:pPr>
            <w:r>
              <w:rPr>
                <w:b/>
                <w:color w:val="auto"/>
                <w:szCs w:val="21"/>
                <w:highlight w:val="none"/>
              </w:rPr>
              <w:t>2</w:t>
            </w:r>
          </w:p>
        </w:tc>
        <w:tc>
          <w:tcPr>
            <w:tcW w:w="132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pacing w:line="360" w:lineRule="exact"/>
              <w:ind w:left="-105" w:leftChars="-50" w:right="-105" w:rightChars="-50"/>
              <w:jc w:val="center"/>
              <w:textAlignment w:val="baseline"/>
              <w:rPr>
                <w:b/>
                <w:color w:val="auto"/>
                <w:szCs w:val="21"/>
                <w:highlight w:val="none"/>
              </w:rPr>
            </w:pPr>
            <w:r>
              <w:rPr>
                <w:rFonts w:hint="eastAsia" w:hAnsi="宋体"/>
                <w:b/>
                <w:color w:val="auto"/>
                <w:szCs w:val="21"/>
                <w:highlight w:val="none"/>
              </w:rPr>
              <w:t>技术分</w:t>
            </w:r>
          </w:p>
          <w:p>
            <w:pPr>
              <w:adjustRightInd w:val="0"/>
              <w:spacing w:line="360" w:lineRule="exact"/>
              <w:ind w:left="-105" w:leftChars="-50" w:right="-105" w:rightChars="-50"/>
              <w:jc w:val="center"/>
              <w:textAlignment w:val="baseline"/>
              <w:rPr>
                <w:rFonts w:ascii="Calibri" w:hAnsi="宋体"/>
                <w:b/>
                <w:color w:val="auto"/>
                <w:szCs w:val="21"/>
                <w:highlight w:val="none"/>
              </w:rPr>
            </w:pPr>
            <w:r>
              <w:rPr>
                <w:rFonts w:hint="eastAsia" w:hAnsi="宋体"/>
                <w:b/>
                <w:color w:val="auto"/>
                <w:szCs w:val="21"/>
                <w:highlight w:val="none"/>
              </w:rPr>
              <w:t>（</w:t>
            </w:r>
            <w:r>
              <w:rPr>
                <w:rFonts w:hint="eastAsia"/>
                <w:b/>
                <w:color w:val="auto"/>
                <w:highlight w:val="none"/>
              </w:rPr>
              <w:t>满分42</w:t>
            </w:r>
            <w:r>
              <w:rPr>
                <w:rFonts w:hint="eastAsia" w:hAnsi="宋体"/>
                <w:b/>
                <w:color w:val="auto"/>
                <w:szCs w:val="21"/>
                <w:highlight w:val="none"/>
              </w:rPr>
              <w:t>分）</w:t>
            </w:r>
          </w:p>
        </w:tc>
        <w:tc>
          <w:tcPr>
            <w:tcW w:w="1518"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exact"/>
              <w:jc w:val="center"/>
              <w:textAlignment w:val="baseline"/>
              <w:rPr>
                <w:rFonts w:hAnsi="宋体"/>
                <w:color w:val="auto"/>
                <w:szCs w:val="21"/>
                <w:highlight w:val="none"/>
              </w:rPr>
            </w:pPr>
            <w:r>
              <w:rPr>
                <w:rFonts w:hint="eastAsia" w:hAnsi="宋体"/>
                <w:color w:val="auto"/>
                <w:szCs w:val="21"/>
                <w:highlight w:val="none"/>
              </w:rPr>
              <w:t>技术性能分</w:t>
            </w:r>
          </w:p>
          <w:p>
            <w:pPr>
              <w:adjustRightInd w:val="0"/>
              <w:spacing w:line="360" w:lineRule="exact"/>
              <w:jc w:val="center"/>
              <w:textAlignment w:val="baseline"/>
              <w:rPr>
                <w:rFonts w:hAnsi="宋体"/>
                <w:color w:val="auto"/>
                <w:szCs w:val="21"/>
                <w:highlight w:val="none"/>
              </w:rPr>
            </w:pPr>
            <w:r>
              <w:rPr>
                <w:rFonts w:hint="eastAsia"/>
                <w:bCs/>
                <w:color w:val="auto"/>
                <w:highlight w:val="none"/>
              </w:rPr>
              <w:t>（</w:t>
            </w:r>
            <w:r>
              <w:rPr>
                <w:rFonts w:hint="eastAsia" w:hAnsi="宋体"/>
                <w:color w:val="auto"/>
                <w:szCs w:val="21"/>
                <w:highlight w:val="none"/>
              </w:rPr>
              <w:t>满分</w:t>
            </w:r>
            <w:r>
              <w:rPr>
                <w:rFonts w:hint="eastAsia"/>
                <w:bCs/>
                <w:color w:val="auto"/>
                <w:highlight w:val="none"/>
              </w:rPr>
              <w:t>15分）</w:t>
            </w:r>
          </w:p>
        </w:tc>
        <w:tc>
          <w:tcPr>
            <w:tcW w:w="6087" w:type="dxa"/>
            <w:tcBorders>
              <w:top w:val="single" w:color="auto" w:sz="4" w:space="0"/>
              <w:left w:val="single" w:color="auto" w:sz="4" w:space="0"/>
              <w:bottom w:val="single" w:color="auto" w:sz="4" w:space="0"/>
              <w:right w:val="single" w:color="auto" w:sz="4" w:space="0"/>
            </w:tcBorders>
            <w:noWrap/>
            <w:vAlign w:val="center"/>
          </w:tcPr>
          <w:p>
            <w:pPr>
              <w:pStyle w:val="152"/>
              <w:spacing w:line="360" w:lineRule="auto"/>
              <w:ind w:firstLine="420" w:firstLineChars="200"/>
              <w:rPr>
                <w:rFonts w:hAnsi="宋体" w:cs="宋体"/>
                <w:color w:val="auto"/>
                <w:sz w:val="21"/>
                <w:highlight w:val="none"/>
              </w:rPr>
            </w:pPr>
            <w:r>
              <w:rPr>
                <w:rFonts w:hint="eastAsia" w:hAnsi="宋体" w:cs="宋体"/>
                <w:color w:val="auto"/>
                <w:sz w:val="21"/>
                <w:highlight w:val="none"/>
              </w:rPr>
              <w:t>资格审查、符合性审查均合格的投标人，对《采购需求》的技术参数及性能（配置）要求进行评定，带▲的为实质性参数，不满足则投标无效。</w:t>
            </w:r>
            <w:r>
              <w:rPr>
                <w:rStyle w:val="119"/>
                <w:rFonts w:hint="eastAsia" w:hAnsi="宋体" w:cs="宋体"/>
                <w:b w:val="0"/>
                <w:bCs w:val="0"/>
                <w:color w:val="auto"/>
                <w:sz w:val="21"/>
                <w:szCs w:val="21"/>
                <w:highlight w:val="none"/>
              </w:rPr>
              <w:t>非带▲号的为主要技术参数</w:t>
            </w:r>
            <w:r>
              <w:rPr>
                <w:rFonts w:hint="eastAsia" w:hAnsi="宋体" w:cs="宋体"/>
                <w:color w:val="auto"/>
                <w:sz w:val="21"/>
                <w:highlight w:val="none"/>
              </w:rPr>
              <w:t>，</w:t>
            </w:r>
            <w:r>
              <w:rPr>
                <w:rStyle w:val="153"/>
                <w:rFonts w:hint="eastAsia" w:hAnsi="宋体" w:cs="宋体"/>
                <w:color w:val="auto"/>
                <w:sz w:val="21"/>
                <w:highlight w:val="none"/>
              </w:rPr>
              <w:t>由评委根据本项目采购需求及投标人投标文件提供的设备性能及配置情况进行评分</w:t>
            </w:r>
            <w:r>
              <w:rPr>
                <w:rFonts w:hint="eastAsia" w:hAnsi="宋体" w:cs="宋体"/>
                <w:color w:val="auto"/>
                <w:sz w:val="21"/>
                <w:highlight w:val="none"/>
              </w:rPr>
              <w:t>。</w:t>
            </w:r>
          </w:p>
          <w:p>
            <w:pPr>
              <w:pStyle w:val="152"/>
              <w:spacing w:line="360" w:lineRule="auto"/>
              <w:ind w:firstLine="420" w:firstLineChars="200"/>
              <w:rPr>
                <w:rFonts w:hAnsi="宋体" w:cs="宋体"/>
                <w:color w:val="auto"/>
                <w:sz w:val="21"/>
                <w:highlight w:val="none"/>
              </w:rPr>
            </w:pPr>
            <w:r>
              <w:rPr>
                <w:rFonts w:hint="eastAsia" w:hAnsi="宋体" w:cs="宋体"/>
                <w:color w:val="auto"/>
                <w:sz w:val="21"/>
                <w:highlight w:val="none"/>
              </w:rPr>
              <w:t>①投标产品“技术参数及性能（配置）要求”未标注▲项，有负偏离6项及以上的，该项得0分；有负偏离5项的，该项得0.5分；有负偏离4项的，该项得1分；有负偏离3项的，该项得1.5分；有负偏离2项的，该项得2分；有负偏离1项的，该项得2.5分；全部满足采购文件要求（技术参数无负偏离）得3分。本项满分3分。</w:t>
            </w:r>
          </w:p>
          <w:p>
            <w:pPr>
              <w:pStyle w:val="152"/>
              <w:spacing w:line="360" w:lineRule="auto"/>
              <w:ind w:firstLine="420" w:firstLineChars="200"/>
              <w:rPr>
                <w:rFonts w:hAnsi="宋体" w:cs="宋体"/>
                <w:color w:val="auto"/>
                <w:sz w:val="21"/>
                <w:highlight w:val="none"/>
              </w:rPr>
            </w:pPr>
            <w:r>
              <w:rPr>
                <w:rFonts w:hint="eastAsia" w:hAnsi="宋体" w:cs="宋体"/>
                <w:color w:val="auto"/>
                <w:sz w:val="21"/>
                <w:highlight w:val="none"/>
              </w:rPr>
              <w:t>②投标产品“技术参数及性能（配置）要求”未标注▲项完全满足采购文件的基础上，投标产品“技术参数及性能配置要求”标注▲项优于招标文件且评标时被评标委员会接受的，每优于（正偏离）1项加0.5分，本项满分12分。（须提供有效的证明材料或投标人的承诺函）</w:t>
            </w:r>
          </w:p>
          <w:p>
            <w:pPr>
              <w:pStyle w:val="152"/>
              <w:rPr>
                <w:bCs/>
                <w:color w:val="auto"/>
                <w:highlight w:val="none"/>
              </w:rPr>
            </w:pPr>
            <w:r>
              <w:rPr>
                <w:rFonts w:hint="eastAsia" w:hAnsi="宋体" w:cs="宋体"/>
                <w:color w:val="auto"/>
                <w:sz w:val="21"/>
                <w:highlight w:val="none"/>
              </w:rPr>
              <w:t xml:space="preserve">（备注：在“技术参数及性能（配置）要求”标注有▲项的，要求≥时，响应＞为优于（正偏离）；要求≤时，响应＜为优于（正偏离），同时并被评标委员会接受的。）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5" w:type="dxa"/>
            <w:vMerge w:val="continue"/>
            <w:tcBorders>
              <w:left w:val="single" w:color="auto" w:sz="4" w:space="0"/>
              <w:right w:val="single" w:color="auto" w:sz="4" w:space="0"/>
            </w:tcBorders>
            <w:noWrap/>
            <w:vAlign w:val="center"/>
          </w:tcPr>
          <w:p>
            <w:pPr>
              <w:adjustRightInd w:val="0"/>
              <w:spacing w:line="360" w:lineRule="exact"/>
              <w:jc w:val="center"/>
              <w:textAlignment w:val="baseline"/>
              <w:rPr>
                <w:b/>
                <w:color w:val="auto"/>
                <w:szCs w:val="21"/>
                <w:highlight w:val="none"/>
              </w:rPr>
            </w:pPr>
          </w:p>
        </w:tc>
        <w:tc>
          <w:tcPr>
            <w:tcW w:w="1320" w:type="dxa"/>
            <w:vMerge w:val="continue"/>
            <w:tcBorders>
              <w:left w:val="single" w:color="auto" w:sz="4" w:space="0"/>
              <w:right w:val="single" w:color="auto" w:sz="4" w:space="0"/>
            </w:tcBorders>
            <w:noWrap/>
            <w:vAlign w:val="center"/>
          </w:tcPr>
          <w:p>
            <w:pPr>
              <w:adjustRightInd w:val="0"/>
              <w:spacing w:line="360" w:lineRule="exact"/>
              <w:ind w:left="-105" w:leftChars="-50" w:right="-105" w:rightChars="-50"/>
              <w:jc w:val="center"/>
              <w:textAlignment w:val="baseline"/>
              <w:rPr>
                <w:rFonts w:hAnsi="宋体"/>
                <w:b/>
                <w:color w:val="auto"/>
                <w:szCs w:val="21"/>
                <w:highlight w:val="none"/>
              </w:rPr>
            </w:pPr>
          </w:p>
        </w:tc>
        <w:tc>
          <w:tcPr>
            <w:tcW w:w="1518" w:type="dxa"/>
            <w:tcBorders>
              <w:top w:val="single" w:color="auto" w:sz="4" w:space="0"/>
              <w:left w:val="single" w:color="auto" w:sz="4" w:space="0"/>
              <w:bottom w:val="single" w:color="auto" w:sz="4" w:space="0"/>
              <w:right w:val="single" w:color="auto" w:sz="4" w:space="0"/>
            </w:tcBorders>
            <w:noWrap/>
            <w:vAlign w:val="center"/>
          </w:tcPr>
          <w:p>
            <w:pPr>
              <w:spacing w:line="360" w:lineRule="exact"/>
              <w:rPr>
                <w:bCs/>
                <w:color w:val="auto"/>
                <w:highlight w:val="none"/>
              </w:rPr>
            </w:pPr>
            <w:r>
              <w:rPr>
                <w:rFonts w:hint="eastAsia" w:ascii="宋体" w:hAnsi="宋体"/>
                <w:color w:val="auto"/>
                <w:szCs w:val="21"/>
                <w:highlight w:val="none"/>
              </w:rPr>
              <w:t>设备选型方案分（</w:t>
            </w:r>
            <w:r>
              <w:rPr>
                <w:rFonts w:hint="eastAsia" w:hAnsi="宋体"/>
                <w:color w:val="auto"/>
                <w:szCs w:val="21"/>
                <w:highlight w:val="none"/>
              </w:rPr>
              <w:t>满分12</w:t>
            </w:r>
            <w:r>
              <w:rPr>
                <w:rFonts w:hint="eastAsia" w:ascii="宋体" w:hAnsi="宋体"/>
                <w:color w:val="auto"/>
                <w:szCs w:val="21"/>
                <w:highlight w:val="none"/>
              </w:rPr>
              <w:t>分）</w:t>
            </w:r>
          </w:p>
        </w:tc>
        <w:tc>
          <w:tcPr>
            <w:tcW w:w="6087" w:type="dxa"/>
            <w:tcBorders>
              <w:top w:val="single" w:color="auto" w:sz="4" w:space="0"/>
              <w:left w:val="single" w:color="auto" w:sz="4" w:space="0"/>
              <w:bottom w:val="single" w:color="auto" w:sz="4" w:space="0"/>
              <w:right w:val="single" w:color="auto" w:sz="4" w:space="0"/>
            </w:tcBorders>
            <w:noWrap/>
            <w:vAlign w:val="center"/>
          </w:tcPr>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一档(4分):没有提供设备选型方案或提供的设备选型方案没有针对性。</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二档(8分):仅提供了设备的选型方案，选型方案有基本的数据支撑，有匹配分析，基本符合项目需求。</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三档(12分):提供了包括设备在内的主要设备选型项目设备选型方案完整、合理、严谨、技术参数数据匹配科学合理，贴合本项目的要求，提供多联机设备专业软件出具的能耗模拟计算书、能通过选型或者工艺在降噪方面有措施和详细描述并符合要求、措施方案合理、有合理的节能降碳建议，提供多联机设备专业外机散热模拟分析、确保多联机外机安装散热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b/>
                <w:color w:val="auto"/>
                <w:szCs w:val="21"/>
                <w:highlight w:val="none"/>
              </w:rPr>
            </w:pPr>
          </w:p>
        </w:tc>
        <w:tc>
          <w:tcPr>
            <w:tcW w:w="132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Calibri" w:hAnsi="宋体"/>
                <w:b/>
                <w:color w:val="auto"/>
                <w:szCs w:val="21"/>
                <w:highlight w:val="none"/>
              </w:rPr>
            </w:pPr>
          </w:p>
        </w:tc>
        <w:tc>
          <w:tcPr>
            <w:tcW w:w="1518"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exact"/>
              <w:jc w:val="center"/>
              <w:textAlignment w:val="baseline"/>
              <w:rPr>
                <w:bCs/>
                <w:color w:val="auto"/>
                <w:highlight w:val="none"/>
              </w:rPr>
            </w:pPr>
            <w:r>
              <w:rPr>
                <w:rFonts w:hint="eastAsia"/>
                <w:bCs/>
                <w:color w:val="auto"/>
                <w:highlight w:val="none"/>
              </w:rPr>
              <w:t>技术方案分</w:t>
            </w:r>
          </w:p>
          <w:p>
            <w:pPr>
              <w:adjustRightInd w:val="0"/>
              <w:spacing w:line="360" w:lineRule="exact"/>
              <w:jc w:val="center"/>
              <w:textAlignment w:val="baseline"/>
              <w:rPr>
                <w:rFonts w:ascii="宋体" w:hAnsi="宋体"/>
                <w:color w:val="auto"/>
                <w:szCs w:val="21"/>
                <w:highlight w:val="none"/>
              </w:rPr>
            </w:pPr>
            <w:r>
              <w:rPr>
                <w:rFonts w:hint="eastAsia"/>
                <w:bCs/>
                <w:color w:val="auto"/>
                <w:highlight w:val="none"/>
              </w:rPr>
              <w:t>（</w:t>
            </w:r>
            <w:r>
              <w:rPr>
                <w:rFonts w:hint="eastAsia" w:hAnsi="宋体"/>
                <w:color w:val="auto"/>
                <w:szCs w:val="21"/>
                <w:highlight w:val="none"/>
              </w:rPr>
              <w:t>满分15</w:t>
            </w:r>
            <w:r>
              <w:rPr>
                <w:rFonts w:hint="eastAsia"/>
                <w:bCs/>
                <w:color w:val="auto"/>
                <w:highlight w:val="none"/>
              </w:rPr>
              <w:t>分）</w:t>
            </w:r>
          </w:p>
        </w:tc>
        <w:tc>
          <w:tcPr>
            <w:tcW w:w="6087" w:type="dxa"/>
            <w:tcBorders>
              <w:top w:val="single" w:color="auto" w:sz="4" w:space="0"/>
              <w:left w:val="single" w:color="auto" w:sz="4" w:space="0"/>
              <w:bottom w:val="single" w:color="auto" w:sz="4" w:space="0"/>
              <w:right w:val="single" w:color="auto" w:sz="4" w:space="0"/>
            </w:tcBorders>
            <w:noWrap/>
            <w:vAlign w:val="center"/>
          </w:tcPr>
          <w:p>
            <w:pPr>
              <w:pStyle w:val="24"/>
              <w:spacing w:line="400" w:lineRule="exact"/>
              <w:ind w:firstLine="420" w:firstLineChars="200"/>
              <w:rPr>
                <w:rFonts w:hAnsi="宋体"/>
                <w:color w:val="auto"/>
                <w:kern w:val="2"/>
                <w:sz w:val="21"/>
                <w:highlight w:val="none"/>
              </w:rPr>
            </w:pPr>
            <w:r>
              <w:rPr>
                <w:rFonts w:hint="eastAsia" w:hAnsi="宋体"/>
                <w:color w:val="auto"/>
                <w:kern w:val="2"/>
                <w:sz w:val="21"/>
                <w:highlight w:val="none"/>
              </w:rPr>
              <w:t>一档（5分）：提供的技术实施方案有基本框架，方案内容包含有项目主要技术、实施进度、检测验收方面描述。安装、设计、调试方案较合理，验收基本符合规范要求，服务培训内容仅满足本项目要求。</w:t>
            </w:r>
          </w:p>
          <w:p>
            <w:pPr>
              <w:spacing w:line="410" w:lineRule="exact"/>
              <w:ind w:firstLine="424" w:firstLineChars="202"/>
              <w:rPr>
                <w:rFonts w:ascii="宋体" w:hAnsi="宋体"/>
                <w:color w:val="auto"/>
                <w:szCs w:val="21"/>
                <w:highlight w:val="none"/>
              </w:rPr>
            </w:pPr>
            <w:r>
              <w:rPr>
                <w:rFonts w:hint="eastAsia" w:ascii="宋体" w:hAnsi="宋体"/>
                <w:color w:val="auto"/>
                <w:szCs w:val="21"/>
                <w:highlight w:val="none"/>
              </w:rPr>
              <w:t>二档（10分）：提供的技术实施方案完整合理，有关键技术点，步骤有序，方案内容包含有项目主要技术、</w:t>
            </w:r>
            <w:r>
              <w:rPr>
                <w:rFonts w:hint="eastAsia" w:ascii="宋体" w:hAnsi="宋体" w:cs="宋体"/>
                <w:color w:val="auto"/>
                <w:highlight w:val="none"/>
              </w:rPr>
              <w:t>实施进度、</w:t>
            </w:r>
            <w:r>
              <w:rPr>
                <w:rFonts w:hint="eastAsia" w:ascii="宋体" w:hAnsi="宋体"/>
                <w:bCs/>
                <w:color w:val="auto"/>
                <w:highlight w:val="none"/>
              </w:rPr>
              <w:t>检测验收、</w:t>
            </w:r>
            <w:r>
              <w:rPr>
                <w:rFonts w:hint="eastAsia" w:ascii="宋体" w:hAnsi="宋体" w:cs="宋体"/>
                <w:color w:val="auto"/>
                <w:highlight w:val="none"/>
              </w:rPr>
              <w:t>组织人员</w:t>
            </w:r>
            <w:r>
              <w:rPr>
                <w:rFonts w:hint="eastAsia" w:ascii="宋体" w:hAnsi="宋体"/>
                <w:bCs/>
                <w:color w:val="auto"/>
                <w:highlight w:val="none"/>
              </w:rPr>
              <w:t>、场地清理维护方面描述。</w:t>
            </w:r>
            <w:r>
              <w:rPr>
                <w:rFonts w:hint="eastAsia" w:hAnsi="宋体"/>
                <w:bCs/>
                <w:color w:val="auto"/>
                <w:highlight w:val="none"/>
              </w:rPr>
              <w:t>安装、设计、调试方案条理清晰，具有可行性，验收措施符合规范要求；服务培训内容充实、满足项目要求。</w:t>
            </w:r>
          </w:p>
          <w:p>
            <w:pPr>
              <w:spacing w:line="410" w:lineRule="exact"/>
              <w:ind w:firstLine="424" w:firstLineChars="202"/>
              <w:rPr>
                <w:rFonts w:ascii="宋体" w:hAnsi="宋体"/>
                <w:bCs/>
                <w:color w:val="auto"/>
                <w:highlight w:val="none"/>
              </w:rPr>
            </w:pPr>
            <w:r>
              <w:rPr>
                <w:rFonts w:hint="eastAsia" w:ascii="宋体" w:hAnsi="宋体"/>
                <w:color w:val="auto"/>
                <w:szCs w:val="21"/>
                <w:highlight w:val="none"/>
              </w:rPr>
              <w:t>三档（15分）：提供的技术实施方案完善全面可行，排产方案合理，系统功能配置齐全，能提供设计方案及整体架构图，步骤有序，方案整体性、可靠性、可维护性、安全性好，有针对性提出合理化建议，方案内容包含有项目主要技术、</w:t>
            </w:r>
            <w:r>
              <w:rPr>
                <w:rFonts w:hint="eastAsia" w:ascii="宋体" w:hAnsi="宋体" w:cs="宋体"/>
                <w:color w:val="auto"/>
                <w:highlight w:val="none"/>
              </w:rPr>
              <w:t>实施进度、</w:t>
            </w:r>
            <w:r>
              <w:rPr>
                <w:rFonts w:hint="eastAsia" w:ascii="宋体" w:hAnsi="宋体"/>
                <w:bCs/>
                <w:color w:val="auto"/>
                <w:highlight w:val="none"/>
              </w:rPr>
              <w:t>检测验收、</w:t>
            </w:r>
            <w:r>
              <w:rPr>
                <w:rFonts w:hint="eastAsia" w:ascii="宋体" w:hAnsi="宋体" w:cs="宋体"/>
                <w:color w:val="auto"/>
                <w:highlight w:val="none"/>
              </w:rPr>
              <w:t>组织人员、</w:t>
            </w:r>
            <w:r>
              <w:rPr>
                <w:rFonts w:hint="eastAsia" w:ascii="宋体" w:hAnsi="宋体"/>
                <w:bCs/>
                <w:color w:val="auto"/>
                <w:highlight w:val="none"/>
              </w:rPr>
              <w:t>场地清理维护、质量控制方面描述。</w:t>
            </w:r>
            <w:r>
              <w:rPr>
                <w:rFonts w:hint="eastAsia" w:hAnsi="宋体"/>
                <w:bCs/>
                <w:color w:val="auto"/>
                <w:highlight w:val="none"/>
              </w:rPr>
              <w:t>方案清晰、完整、严谨、合理，措施先进、具体、有效、成熟；安装、设计、调试方案清晰、合理，可行性强，验收措施充分符合规范要求、有序且高效；服务培训内容充分满足项目要求且有针对性、拓展性。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5" w:type="dxa"/>
            <w:vMerge w:val="restart"/>
            <w:tcBorders>
              <w:top w:val="single" w:color="auto" w:sz="4" w:space="0"/>
              <w:left w:val="single" w:color="auto" w:sz="4" w:space="0"/>
              <w:right w:val="single" w:color="auto" w:sz="4" w:space="0"/>
            </w:tcBorders>
            <w:noWrap/>
            <w:vAlign w:val="center"/>
          </w:tcPr>
          <w:p>
            <w:pPr>
              <w:spacing w:line="410" w:lineRule="exact"/>
              <w:jc w:val="center"/>
              <w:rPr>
                <w:b/>
                <w:color w:val="auto"/>
                <w:szCs w:val="21"/>
                <w:highlight w:val="none"/>
              </w:rPr>
            </w:pPr>
            <w:r>
              <w:rPr>
                <w:b/>
                <w:color w:val="auto"/>
                <w:szCs w:val="21"/>
                <w:highlight w:val="none"/>
              </w:rPr>
              <w:t xml:space="preserve"> 3</w:t>
            </w:r>
          </w:p>
        </w:tc>
        <w:tc>
          <w:tcPr>
            <w:tcW w:w="1320" w:type="dxa"/>
            <w:vMerge w:val="restart"/>
            <w:tcBorders>
              <w:top w:val="single" w:color="auto" w:sz="4" w:space="0"/>
              <w:left w:val="single" w:color="auto" w:sz="4" w:space="0"/>
              <w:right w:val="single" w:color="auto" w:sz="4" w:space="0"/>
            </w:tcBorders>
            <w:noWrap/>
            <w:vAlign w:val="center"/>
          </w:tcPr>
          <w:p>
            <w:pPr>
              <w:spacing w:line="410" w:lineRule="exact"/>
              <w:jc w:val="center"/>
              <w:rPr>
                <w:b/>
                <w:color w:val="auto"/>
                <w:szCs w:val="21"/>
                <w:highlight w:val="none"/>
              </w:rPr>
            </w:pPr>
            <w:r>
              <w:rPr>
                <w:rFonts w:hint="eastAsia"/>
                <w:b/>
                <w:color w:val="auto"/>
                <w:highlight w:val="none"/>
              </w:rPr>
              <w:t>售后服务分（满分17分）</w:t>
            </w:r>
          </w:p>
        </w:tc>
        <w:tc>
          <w:tcPr>
            <w:tcW w:w="1518"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spacing w:line="410" w:lineRule="exact"/>
              <w:jc w:val="center"/>
              <w:rPr>
                <w:rFonts w:ascii="Calibri" w:hAnsi="Calibri"/>
                <w:color w:val="auto"/>
                <w:szCs w:val="21"/>
                <w:highlight w:val="none"/>
              </w:rPr>
            </w:pPr>
            <w:r>
              <w:rPr>
                <w:rFonts w:hint="eastAsia"/>
                <w:bCs/>
                <w:color w:val="auto"/>
                <w:highlight w:val="none"/>
              </w:rPr>
              <w:t>售后服务方案分（</w:t>
            </w:r>
            <w:r>
              <w:rPr>
                <w:rFonts w:hint="eastAsia" w:hAnsi="宋体"/>
                <w:color w:val="auto"/>
                <w:szCs w:val="21"/>
                <w:highlight w:val="none"/>
              </w:rPr>
              <w:t>满分</w:t>
            </w:r>
            <w:r>
              <w:rPr>
                <w:rFonts w:hint="eastAsia"/>
                <w:bCs/>
                <w:color w:val="auto"/>
                <w:highlight w:val="none"/>
              </w:rPr>
              <w:t>9分）</w:t>
            </w:r>
          </w:p>
        </w:tc>
        <w:tc>
          <w:tcPr>
            <w:tcW w:w="6087" w:type="dxa"/>
            <w:tcBorders>
              <w:top w:val="single" w:color="auto" w:sz="4" w:space="0"/>
              <w:left w:val="single" w:color="auto" w:sz="4" w:space="0"/>
              <w:bottom w:val="single" w:color="auto" w:sz="4" w:space="0"/>
              <w:right w:val="single" w:color="auto" w:sz="4" w:space="0"/>
            </w:tcBorders>
            <w:noWrap/>
            <w:vAlign w:val="center"/>
          </w:tcPr>
          <w:p>
            <w:pPr>
              <w:spacing w:line="410" w:lineRule="exact"/>
              <w:ind w:firstLine="420" w:firstLineChars="200"/>
              <w:rPr>
                <w:bCs/>
                <w:color w:val="auto"/>
                <w:highlight w:val="none"/>
              </w:rPr>
            </w:pPr>
            <w:r>
              <w:rPr>
                <w:rFonts w:hint="eastAsia"/>
                <w:bCs/>
                <w:color w:val="auto"/>
                <w:highlight w:val="none"/>
              </w:rPr>
              <w:t>一档（</w:t>
            </w:r>
            <w:r>
              <w:rPr>
                <w:bCs/>
                <w:color w:val="auto"/>
                <w:highlight w:val="none"/>
              </w:rPr>
              <w:t>3</w:t>
            </w:r>
            <w:r>
              <w:rPr>
                <w:rFonts w:hint="eastAsia"/>
                <w:bCs/>
                <w:color w:val="auto"/>
                <w:highlight w:val="none"/>
              </w:rPr>
              <w:t>分）：有明确售后服务承诺，售后体系及保障措施完善，售后服务人员落实，岗位职责明确，制定定期维护</w:t>
            </w:r>
            <w:r>
              <w:rPr>
                <w:bCs/>
                <w:color w:val="auto"/>
                <w:highlight w:val="none"/>
              </w:rPr>
              <w:t xml:space="preserve"> (</w:t>
            </w:r>
            <w:r>
              <w:rPr>
                <w:rFonts w:hint="eastAsia"/>
                <w:bCs/>
                <w:color w:val="auto"/>
                <w:highlight w:val="none"/>
              </w:rPr>
              <w:t>注明时间</w:t>
            </w:r>
            <w:r>
              <w:rPr>
                <w:bCs/>
                <w:color w:val="auto"/>
                <w:highlight w:val="none"/>
              </w:rPr>
              <w:t>)</w:t>
            </w:r>
            <w:r>
              <w:rPr>
                <w:rFonts w:hint="eastAsia"/>
                <w:bCs/>
                <w:color w:val="auto"/>
                <w:highlight w:val="none"/>
              </w:rPr>
              <w:t>、技术培训方案</w:t>
            </w:r>
          </w:p>
          <w:p>
            <w:pPr>
              <w:spacing w:line="410" w:lineRule="exact"/>
              <w:ind w:firstLine="420" w:firstLineChars="200"/>
              <w:rPr>
                <w:bCs/>
                <w:color w:val="auto"/>
                <w:highlight w:val="none"/>
              </w:rPr>
            </w:pPr>
            <w:r>
              <w:rPr>
                <w:rFonts w:hint="eastAsia"/>
                <w:bCs/>
                <w:color w:val="auto"/>
                <w:highlight w:val="none"/>
              </w:rPr>
              <w:t>二档（</w:t>
            </w:r>
            <w:r>
              <w:rPr>
                <w:bCs/>
                <w:color w:val="auto"/>
                <w:highlight w:val="none"/>
              </w:rPr>
              <w:t>6</w:t>
            </w:r>
            <w:r>
              <w:rPr>
                <w:rFonts w:hint="eastAsia"/>
                <w:bCs/>
                <w:color w:val="auto"/>
                <w:highlight w:val="none"/>
              </w:rPr>
              <w:t>分）：在一档的基础上，对设备在使用过程中可能出现的问题进行分析并提出针对性解决办法。分别针对产品软件和硬件提出明确的质量保证期内和质量保证期外的售后承诺和措施。</w:t>
            </w:r>
          </w:p>
          <w:p>
            <w:pPr>
              <w:spacing w:line="410" w:lineRule="exact"/>
              <w:ind w:firstLine="420" w:firstLineChars="200"/>
              <w:rPr>
                <w:color w:val="auto"/>
                <w:highlight w:val="none"/>
              </w:rPr>
            </w:pPr>
            <w:r>
              <w:rPr>
                <w:rFonts w:hint="eastAsia"/>
                <w:bCs/>
                <w:color w:val="auto"/>
                <w:highlight w:val="none"/>
              </w:rPr>
              <w:t>三档（9分）：在二档的基础上提供质量保证期内的紧急情况下的售后预案和质保期满后的服务方案等，有明确的售后服务负责人，联系方式。投标文件中提供投标产品生产厂家针对本项目的售后服务承诺和措施、售后服务机构、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5" w:type="dxa"/>
            <w:vMerge w:val="continue"/>
            <w:tcBorders>
              <w:left w:val="single" w:color="auto" w:sz="4" w:space="0"/>
              <w:right w:val="single" w:color="auto" w:sz="4" w:space="0"/>
            </w:tcBorders>
            <w:noWrap/>
            <w:vAlign w:val="center"/>
          </w:tcPr>
          <w:p>
            <w:pPr>
              <w:spacing w:line="410" w:lineRule="exact"/>
              <w:jc w:val="center"/>
              <w:rPr>
                <w:b/>
                <w:color w:val="auto"/>
                <w:szCs w:val="21"/>
                <w:highlight w:val="none"/>
              </w:rPr>
            </w:pPr>
          </w:p>
        </w:tc>
        <w:tc>
          <w:tcPr>
            <w:tcW w:w="1320" w:type="dxa"/>
            <w:vMerge w:val="continue"/>
            <w:tcBorders>
              <w:left w:val="single" w:color="auto" w:sz="4" w:space="0"/>
              <w:right w:val="single" w:color="auto" w:sz="4" w:space="0"/>
            </w:tcBorders>
            <w:noWrap/>
            <w:vAlign w:val="center"/>
          </w:tcPr>
          <w:p>
            <w:pPr>
              <w:spacing w:line="410" w:lineRule="exact"/>
              <w:jc w:val="center"/>
              <w:rPr>
                <w:b/>
                <w:color w:val="auto"/>
                <w:highlight w:val="none"/>
              </w:rPr>
            </w:pPr>
          </w:p>
        </w:tc>
        <w:tc>
          <w:tcPr>
            <w:tcW w:w="1518"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spacing w:line="360" w:lineRule="exact"/>
              <w:jc w:val="center"/>
              <w:rPr>
                <w:rFonts w:hAnsi="宋体"/>
                <w:bCs/>
                <w:color w:val="auto"/>
                <w:szCs w:val="21"/>
                <w:highlight w:val="none"/>
              </w:rPr>
            </w:pPr>
            <w:r>
              <w:rPr>
                <w:rFonts w:hint="eastAsia" w:hAnsi="宋体"/>
                <w:bCs/>
                <w:color w:val="auto"/>
                <w:szCs w:val="21"/>
                <w:highlight w:val="none"/>
              </w:rPr>
              <w:t>质量保证期分</w:t>
            </w:r>
          </w:p>
          <w:p>
            <w:pPr>
              <w:spacing w:line="360" w:lineRule="exact"/>
              <w:jc w:val="center"/>
              <w:rPr>
                <w:bCs/>
                <w:color w:val="auto"/>
                <w:highlight w:val="none"/>
              </w:rPr>
            </w:pPr>
            <w:r>
              <w:rPr>
                <w:rFonts w:hint="eastAsia" w:hAnsi="宋体"/>
                <w:bCs/>
                <w:color w:val="auto"/>
                <w:szCs w:val="21"/>
                <w:highlight w:val="none"/>
              </w:rPr>
              <w:t>（</w:t>
            </w:r>
            <w:r>
              <w:rPr>
                <w:rFonts w:hint="eastAsia" w:hAnsi="宋体"/>
                <w:color w:val="auto"/>
                <w:szCs w:val="21"/>
                <w:highlight w:val="none"/>
              </w:rPr>
              <w:t>满分</w:t>
            </w:r>
            <w:r>
              <w:rPr>
                <w:rFonts w:hint="eastAsia"/>
                <w:bCs/>
                <w:color w:val="auto"/>
                <w:szCs w:val="21"/>
                <w:highlight w:val="none"/>
              </w:rPr>
              <w:t>5</w:t>
            </w:r>
            <w:r>
              <w:rPr>
                <w:rFonts w:hint="eastAsia" w:hAnsi="宋体"/>
                <w:bCs/>
                <w:color w:val="auto"/>
                <w:szCs w:val="21"/>
                <w:highlight w:val="none"/>
              </w:rPr>
              <w:t>分）</w:t>
            </w:r>
          </w:p>
        </w:tc>
        <w:tc>
          <w:tcPr>
            <w:tcW w:w="6087" w:type="dxa"/>
            <w:tcBorders>
              <w:top w:val="single" w:color="auto" w:sz="4" w:space="0"/>
              <w:left w:val="single" w:color="auto" w:sz="4" w:space="0"/>
              <w:bottom w:val="single" w:color="auto" w:sz="4" w:space="0"/>
              <w:right w:val="single" w:color="auto" w:sz="4" w:space="0"/>
            </w:tcBorders>
            <w:noWrap/>
            <w:vAlign w:val="center"/>
          </w:tcPr>
          <w:p>
            <w:pPr>
              <w:spacing w:line="400" w:lineRule="exact"/>
              <w:rPr>
                <w:bCs/>
                <w:color w:val="auto"/>
                <w:highlight w:val="none"/>
              </w:rPr>
            </w:pPr>
            <w:r>
              <w:rPr>
                <w:rFonts w:hint="eastAsia" w:hAnsi="宋体"/>
                <w:bCs/>
                <w:color w:val="auto"/>
                <w:szCs w:val="21"/>
                <w:highlight w:val="none"/>
              </w:rPr>
              <w:t>在满足基本质量保证期后，质量保证期延长</w:t>
            </w:r>
            <w:r>
              <w:rPr>
                <w:rFonts w:hAnsi="宋体"/>
                <w:bCs/>
                <w:color w:val="auto"/>
                <w:szCs w:val="21"/>
                <w:highlight w:val="none"/>
              </w:rPr>
              <w:t>1</w:t>
            </w:r>
            <w:r>
              <w:rPr>
                <w:rFonts w:hint="eastAsia" w:hAnsi="宋体"/>
                <w:bCs/>
                <w:color w:val="auto"/>
                <w:szCs w:val="21"/>
                <w:highlight w:val="none"/>
              </w:rPr>
              <w:t>年得</w:t>
            </w:r>
            <w:r>
              <w:rPr>
                <w:rFonts w:hAnsi="宋体"/>
                <w:bCs/>
                <w:color w:val="auto"/>
                <w:szCs w:val="21"/>
                <w:highlight w:val="none"/>
              </w:rPr>
              <w:t>1</w:t>
            </w:r>
            <w:r>
              <w:rPr>
                <w:rFonts w:hint="eastAsia" w:hAnsi="宋体"/>
                <w:bCs/>
                <w:color w:val="auto"/>
                <w:szCs w:val="21"/>
                <w:highlight w:val="none"/>
              </w:rPr>
              <w:t>分，延长2年得3分，延长3年或以上得5分（（</w:t>
            </w:r>
            <w:r>
              <w:rPr>
                <w:rFonts w:hint="eastAsia" w:hAnsi="宋体"/>
                <w:bCs/>
                <w:color w:val="auto"/>
                <w:highlight w:val="none"/>
              </w:rPr>
              <w:t>以设备生产厂家承诺为准），投标文件中提供厂家证明文件</w:t>
            </w:r>
            <w:r>
              <w:rPr>
                <w:rFonts w:hint="eastAsia" w:hAnsi="宋体"/>
                <w:bCs/>
                <w:color w:val="auto"/>
                <w:szCs w:val="21"/>
                <w:highlight w:val="none"/>
              </w:rPr>
              <w:t>，满分5分。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5" w:type="dxa"/>
            <w:vMerge w:val="continue"/>
            <w:tcBorders>
              <w:left w:val="single" w:color="auto" w:sz="4" w:space="0"/>
              <w:bottom w:val="single" w:color="auto" w:sz="4" w:space="0"/>
              <w:right w:val="single" w:color="auto" w:sz="4" w:space="0"/>
            </w:tcBorders>
            <w:noWrap/>
            <w:vAlign w:val="center"/>
          </w:tcPr>
          <w:p>
            <w:pPr>
              <w:widowControl/>
              <w:jc w:val="left"/>
              <w:rPr>
                <w:b/>
                <w:color w:val="auto"/>
                <w:szCs w:val="21"/>
                <w:highlight w:val="none"/>
              </w:rPr>
            </w:pPr>
          </w:p>
        </w:tc>
        <w:tc>
          <w:tcPr>
            <w:tcW w:w="1320" w:type="dxa"/>
            <w:vMerge w:val="continue"/>
            <w:tcBorders>
              <w:left w:val="single" w:color="auto" w:sz="4" w:space="0"/>
              <w:bottom w:val="single" w:color="auto" w:sz="4" w:space="0"/>
              <w:right w:val="single" w:color="auto" w:sz="4" w:space="0"/>
            </w:tcBorders>
            <w:noWrap/>
            <w:vAlign w:val="center"/>
          </w:tcPr>
          <w:p>
            <w:pPr>
              <w:widowControl/>
              <w:jc w:val="left"/>
              <w:rPr>
                <w:b/>
                <w:color w:val="auto"/>
                <w:szCs w:val="21"/>
                <w:highlight w:val="none"/>
              </w:rPr>
            </w:pPr>
          </w:p>
        </w:tc>
        <w:tc>
          <w:tcPr>
            <w:tcW w:w="1518"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spacing w:line="360" w:lineRule="exact"/>
              <w:jc w:val="center"/>
              <w:rPr>
                <w:rFonts w:hAnsi="宋体"/>
                <w:bCs/>
                <w:color w:val="auto"/>
                <w:szCs w:val="21"/>
                <w:highlight w:val="none"/>
              </w:rPr>
            </w:pPr>
            <w:r>
              <w:rPr>
                <w:rFonts w:hint="eastAsia" w:hAnsi="宋体"/>
                <w:bCs/>
                <w:color w:val="auto"/>
                <w:szCs w:val="21"/>
                <w:highlight w:val="none"/>
              </w:rPr>
              <w:t>拟投入项目人员分（</w:t>
            </w:r>
            <w:r>
              <w:rPr>
                <w:rFonts w:hint="eastAsia" w:hAnsi="宋体"/>
                <w:color w:val="auto"/>
                <w:szCs w:val="21"/>
                <w:highlight w:val="none"/>
              </w:rPr>
              <w:t>满分3</w:t>
            </w:r>
            <w:r>
              <w:rPr>
                <w:rFonts w:hint="eastAsia" w:hAnsi="宋体"/>
                <w:bCs/>
                <w:color w:val="auto"/>
                <w:szCs w:val="21"/>
                <w:highlight w:val="none"/>
              </w:rPr>
              <w:t>分）</w:t>
            </w:r>
          </w:p>
        </w:tc>
        <w:tc>
          <w:tcPr>
            <w:tcW w:w="6087"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Ansi="宋体"/>
                <w:bCs/>
                <w:color w:val="auto"/>
                <w:szCs w:val="21"/>
                <w:highlight w:val="none"/>
              </w:rPr>
            </w:pPr>
            <w:r>
              <w:rPr>
                <w:rFonts w:hint="eastAsia" w:hAnsi="宋体"/>
                <w:bCs/>
                <w:color w:val="auto"/>
                <w:szCs w:val="21"/>
                <w:highlight w:val="none"/>
              </w:rPr>
              <w:t>拟派项目经理：具备机电工程专业壹级注册建造师执业资格且具有机电工程（或同类专业）高级工程师及以上职称得3分，具备机电工程专业贰级注册建造师执业资格且具有机电工程（或同类专业）工程师职称得2分，满分3分。</w:t>
            </w:r>
          </w:p>
          <w:p>
            <w:pPr>
              <w:spacing w:line="400" w:lineRule="exact"/>
              <w:rPr>
                <w:rFonts w:hAnsi="宋体"/>
                <w:bCs/>
                <w:color w:val="auto"/>
                <w:szCs w:val="21"/>
                <w:highlight w:val="none"/>
              </w:rPr>
            </w:pPr>
            <w:r>
              <w:rPr>
                <w:rFonts w:hint="eastAsia" w:hAnsi="宋体"/>
                <w:bCs/>
                <w:color w:val="auto"/>
                <w:szCs w:val="21"/>
                <w:highlight w:val="none"/>
              </w:rPr>
              <w:t>投标文件提供人员资格（职称）证书</w:t>
            </w:r>
            <w:r>
              <w:rPr>
                <w:rFonts w:hint="eastAsia"/>
                <w:color w:val="auto"/>
                <w:highlight w:val="none"/>
              </w:rPr>
              <w:t>或、拟投入人员的社保证明复印件或劳动协议复印件</w:t>
            </w:r>
            <w:r>
              <w:rPr>
                <w:rFonts w:hint="eastAsia" w:hAnsi="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noWrap/>
            <w:vAlign w:val="center"/>
          </w:tcPr>
          <w:p>
            <w:pPr>
              <w:adjustRightInd w:val="0"/>
              <w:spacing w:line="410" w:lineRule="exact"/>
              <w:jc w:val="center"/>
              <w:textAlignment w:val="baseline"/>
              <w:rPr>
                <w:b/>
                <w:color w:val="auto"/>
                <w:szCs w:val="21"/>
                <w:highlight w:val="none"/>
              </w:rPr>
            </w:pPr>
            <w:r>
              <w:rPr>
                <w:b/>
                <w:color w:val="auto"/>
                <w:szCs w:val="21"/>
                <w:highlight w:val="none"/>
              </w:rPr>
              <w:t>4</w:t>
            </w:r>
          </w:p>
        </w:tc>
        <w:tc>
          <w:tcPr>
            <w:tcW w:w="1320" w:type="dxa"/>
            <w:tcBorders>
              <w:top w:val="single" w:color="auto" w:sz="4" w:space="0"/>
              <w:left w:val="single" w:color="auto" w:sz="4" w:space="0"/>
              <w:bottom w:val="single" w:color="auto" w:sz="4" w:space="0"/>
              <w:right w:val="single" w:color="auto" w:sz="4" w:space="0"/>
            </w:tcBorders>
            <w:noWrap/>
            <w:vAlign w:val="center"/>
          </w:tcPr>
          <w:p>
            <w:pPr>
              <w:adjustRightInd w:val="0"/>
              <w:spacing w:line="410" w:lineRule="exact"/>
              <w:jc w:val="center"/>
              <w:textAlignment w:val="baseline"/>
              <w:rPr>
                <w:b/>
                <w:color w:val="auto"/>
                <w:szCs w:val="21"/>
                <w:highlight w:val="none"/>
              </w:rPr>
            </w:pPr>
            <w:r>
              <w:rPr>
                <w:rFonts w:hint="eastAsia"/>
                <w:b/>
                <w:color w:val="auto"/>
                <w:highlight w:val="none"/>
              </w:rPr>
              <w:t>商务分（满分9分）</w:t>
            </w:r>
          </w:p>
        </w:tc>
        <w:tc>
          <w:tcPr>
            <w:tcW w:w="1518"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spacing w:line="410" w:lineRule="exact"/>
              <w:jc w:val="center"/>
              <w:rPr>
                <w:rFonts w:hAnsi="宋体"/>
                <w:color w:val="auto"/>
                <w:szCs w:val="21"/>
                <w:highlight w:val="none"/>
              </w:rPr>
            </w:pPr>
            <w:r>
              <w:rPr>
                <w:rFonts w:hint="eastAsia" w:hAnsi="宋体"/>
                <w:color w:val="auto"/>
                <w:szCs w:val="21"/>
                <w:highlight w:val="none"/>
              </w:rPr>
              <w:t>信誉及业绩分</w:t>
            </w:r>
          </w:p>
          <w:p>
            <w:pPr>
              <w:spacing w:line="410" w:lineRule="exact"/>
              <w:jc w:val="center"/>
              <w:rPr>
                <w:rFonts w:ascii="Calibri" w:hAnsi="Calibri"/>
                <w:color w:val="auto"/>
                <w:szCs w:val="21"/>
                <w:highlight w:val="none"/>
              </w:rPr>
            </w:pPr>
            <w:r>
              <w:rPr>
                <w:rFonts w:hint="eastAsia"/>
                <w:bCs/>
                <w:color w:val="auto"/>
                <w:highlight w:val="none"/>
              </w:rPr>
              <w:t>（</w:t>
            </w:r>
            <w:r>
              <w:rPr>
                <w:rFonts w:hint="eastAsia" w:hAnsi="宋体"/>
                <w:color w:val="auto"/>
                <w:szCs w:val="21"/>
                <w:highlight w:val="none"/>
              </w:rPr>
              <w:t>满分9</w:t>
            </w:r>
            <w:r>
              <w:rPr>
                <w:rFonts w:hint="eastAsia"/>
                <w:color w:val="auto"/>
                <w:highlight w:val="none"/>
              </w:rPr>
              <w:t>分</w:t>
            </w:r>
            <w:r>
              <w:rPr>
                <w:rFonts w:hint="eastAsia"/>
                <w:bCs/>
                <w:color w:val="auto"/>
                <w:highlight w:val="none"/>
              </w:rPr>
              <w:t>）</w:t>
            </w:r>
          </w:p>
        </w:tc>
        <w:tc>
          <w:tcPr>
            <w:tcW w:w="6087" w:type="dxa"/>
            <w:tcBorders>
              <w:top w:val="single" w:color="auto" w:sz="4" w:space="0"/>
              <w:left w:val="single" w:color="auto" w:sz="4" w:space="0"/>
              <w:bottom w:val="single" w:color="auto" w:sz="4" w:space="0"/>
              <w:right w:val="single" w:color="auto" w:sz="4" w:space="0"/>
            </w:tcBorders>
            <w:noWrap/>
          </w:tcPr>
          <w:p>
            <w:pPr>
              <w:spacing w:line="410" w:lineRule="exact"/>
              <w:rPr>
                <w:color w:val="auto"/>
                <w:szCs w:val="21"/>
                <w:highlight w:val="none"/>
              </w:rPr>
            </w:pPr>
            <w:r>
              <w:rPr>
                <w:rFonts w:hint="eastAsia" w:hAnsi="宋体"/>
                <w:color w:val="auto"/>
                <w:szCs w:val="21"/>
                <w:highlight w:val="none"/>
              </w:rPr>
              <w:t>（</w:t>
            </w:r>
            <w:r>
              <w:rPr>
                <w:color w:val="auto"/>
                <w:szCs w:val="21"/>
                <w:highlight w:val="none"/>
              </w:rPr>
              <w:t>1</w:t>
            </w:r>
            <w:r>
              <w:rPr>
                <w:rFonts w:hint="eastAsia" w:hAnsi="宋体"/>
                <w:color w:val="auto"/>
                <w:szCs w:val="21"/>
                <w:highlight w:val="none"/>
              </w:rPr>
              <w:t>）投标人通过</w:t>
            </w:r>
            <w:r>
              <w:rPr>
                <w:rFonts w:hint="eastAsia" w:ascii="宋体" w:hAnsi="宋体" w:cs="宋体"/>
                <w:color w:val="auto"/>
                <w:highlight w:val="none"/>
              </w:rPr>
              <w:t>质量管理体系认证得0.5分，通过环境管理体系认证得0.5分，满分1分</w:t>
            </w:r>
            <w:r>
              <w:rPr>
                <w:rFonts w:hint="eastAsia" w:hAnsi="宋体"/>
                <w:color w:val="auto"/>
                <w:szCs w:val="21"/>
                <w:highlight w:val="none"/>
              </w:rPr>
              <w:t>。</w:t>
            </w:r>
            <w:r>
              <w:rPr>
                <w:rFonts w:hint="eastAsia" w:ascii="宋体" w:hAnsi="宋体"/>
                <w:bCs/>
                <w:color w:val="auto"/>
                <w:szCs w:val="21"/>
                <w:highlight w:val="none"/>
              </w:rPr>
              <w:t>投标文件中提供有效的认证</w:t>
            </w:r>
            <w:r>
              <w:rPr>
                <w:rFonts w:hint="eastAsia" w:ascii="宋体" w:hAnsi="宋体" w:cs="Courier New"/>
                <w:color w:val="auto"/>
                <w:szCs w:val="21"/>
                <w:highlight w:val="none"/>
              </w:rPr>
              <w:t>证书复印件。</w:t>
            </w:r>
          </w:p>
          <w:p>
            <w:pPr>
              <w:spacing w:line="400" w:lineRule="exact"/>
              <w:rPr>
                <w:rFonts w:hAnsi="宋体"/>
                <w:bCs/>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）投标人</w:t>
            </w:r>
            <w:r>
              <w:rPr>
                <w:color w:val="auto"/>
                <w:szCs w:val="21"/>
                <w:highlight w:val="none"/>
              </w:rPr>
              <w:t>202</w:t>
            </w:r>
            <w:r>
              <w:rPr>
                <w:rFonts w:hint="eastAsia"/>
                <w:color w:val="auto"/>
                <w:szCs w:val="21"/>
                <w:highlight w:val="none"/>
              </w:rPr>
              <w:t>1</w:t>
            </w:r>
            <w:r>
              <w:rPr>
                <w:rFonts w:hint="eastAsia" w:hAnsi="宋体"/>
                <w:color w:val="auto"/>
                <w:szCs w:val="21"/>
                <w:highlight w:val="none"/>
              </w:rPr>
              <w:t>年</w:t>
            </w:r>
            <w:r>
              <w:rPr>
                <w:rFonts w:hAnsi="宋体"/>
                <w:color w:val="auto"/>
                <w:szCs w:val="21"/>
                <w:highlight w:val="none"/>
              </w:rPr>
              <w:t>1</w:t>
            </w:r>
            <w:r>
              <w:rPr>
                <w:rFonts w:hint="eastAsia" w:hAnsi="宋体"/>
                <w:color w:val="auto"/>
                <w:szCs w:val="21"/>
                <w:highlight w:val="none"/>
              </w:rPr>
              <w:t>月</w:t>
            </w:r>
            <w:r>
              <w:rPr>
                <w:rFonts w:hAnsi="宋体"/>
                <w:color w:val="auto"/>
                <w:szCs w:val="21"/>
                <w:highlight w:val="none"/>
              </w:rPr>
              <w:t>1</w:t>
            </w:r>
            <w:r>
              <w:rPr>
                <w:rFonts w:hint="eastAsia" w:hAnsi="宋体"/>
                <w:color w:val="auto"/>
                <w:szCs w:val="21"/>
                <w:highlight w:val="none"/>
              </w:rPr>
              <w:t>日至投标文件递交截止时间具有</w:t>
            </w:r>
            <w:r>
              <w:rPr>
                <w:rFonts w:hint="eastAsia" w:hAnsi="宋体"/>
                <w:bCs/>
                <w:color w:val="auto"/>
                <w:szCs w:val="21"/>
                <w:highlight w:val="none"/>
              </w:rPr>
              <w:t>同类项目业绩，每有1项得0.5分，满分3分，投标文件中提供有效的合同或中标通知书复印件。</w:t>
            </w:r>
          </w:p>
          <w:p>
            <w:pPr>
              <w:spacing w:line="400" w:lineRule="exact"/>
              <w:rPr>
                <w:rFonts w:hAnsi="宋体"/>
                <w:bCs/>
                <w:color w:val="auto"/>
                <w:szCs w:val="21"/>
                <w:highlight w:val="none"/>
              </w:rPr>
            </w:pPr>
            <w:r>
              <w:rPr>
                <w:rFonts w:hint="eastAsia" w:hAnsi="宋体"/>
                <w:color w:val="auto"/>
                <w:szCs w:val="21"/>
                <w:highlight w:val="none"/>
              </w:rPr>
              <w:t>（3）投标人具有建筑机电安装工程专业承包或机电工程施工总承包资质，壹级得5分，贰级得3分，叁级得1分。投标文件中提供有效的证书复印件。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noWrap/>
            <w:vAlign w:val="center"/>
          </w:tcPr>
          <w:p>
            <w:pPr>
              <w:spacing w:line="410" w:lineRule="exact"/>
              <w:jc w:val="center"/>
              <w:rPr>
                <w:b/>
                <w:color w:val="auto"/>
                <w:szCs w:val="21"/>
                <w:highlight w:val="none"/>
              </w:rPr>
            </w:pPr>
            <w:r>
              <w:rPr>
                <w:b/>
                <w:color w:val="auto"/>
                <w:szCs w:val="21"/>
                <w:highlight w:val="none"/>
              </w:rPr>
              <w:t>5</w:t>
            </w:r>
          </w:p>
        </w:tc>
        <w:tc>
          <w:tcPr>
            <w:tcW w:w="1320" w:type="dxa"/>
            <w:tcBorders>
              <w:top w:val="single" w:color="auto" w:sz="4" w:space="0"/>
              <w:left w:val="single" w:color="auto" w:sz="4" w:space="0"/>
              <w:bottom w:val="single" w:color="auto" w:sz="4" w:space="0"/>
              <w:right w:val="single" w:color="auto" w:sz="4" w:space="0"/>
            </w:tcBorders>
            <w:noWrap/>
            <w:vAlign w:val="center"/>
          </w:tcPr>
          <w:p>
            <w:pPr>
              <w:spacing w:line="410" w:lineRule="exact"/>
              <w:jc w:val="center"/>
              <w:rPr>
                <w:b/>
                <w:color w:val="auto"/>
                <w:szCs w:val="21"/>
                <w:highlight w:val="none"/>
              </w:rPr>
            </w:pPr>
            <w:r>
              <w:rPr>
                <w:rFonts w:hint="eastAsia" w:hAnsi="宋体"/>
                <w:b/>
                <w:color w:val="auto"/>
                <w:szCs w:val="21"/>
                <w:highlight w:val="none"/>
              </w:rPr>
              <w:t>政策功能分（满分</w:t>
            </w:r>
            <w:r>
              <w:rPr>
                <w:b/>
                <w:color w:val="auto"/>
                <w:szCs w:val="21"/>
                <w:highlight w:val="none"/>
              </w:rPr>
              <w:t>2</w:t>
            </w:r>
            <w:r>
              <w:rPr>
                <w:rFonts w:hint="eastAsia" w:hAnsi="宋体"/>
                <w:b/>
                <w:color w:val="auto"/>
                <w:szCs w:val="21"/>
                <w:highlight w:val="none"/>
              </w:rPr>
              <w:t>分）</w:t>
            </w:r>
          </w:p>
        </w:tc>
        <w:tc>
          <w:tcPr>
            <w:tcW w:w="1518"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spacing w:line="410" w:lineRule="exact"/>
              <w:jc w:val="center"/>
              <w:rPr>
                <w:color w:val="auto"/>
                <w:szCs w:val="21"/>
                <w:highlight w:val="none"/>
              </w:rPr>
            </w:pPr>
            <w:r>
              <w:rPr>
                <w:rFonts w:hint="eastAsia" w:hAnsi="宋体"/>
                <w:color w:val="auto"/>
                <w:szCs w:val="21"/>
                <w:highlight w:val="none"/>
              </w:rPr>
              <w:t>节能、环保产品</w:t>
            </w:r>
            <w:r>
              <w:rPr>
                <w:rFonts w:hint="eastAsia"/>
                <w:bCs/>
                <w:color w:val="auto"/>
                <w:highlight w:val="none"/>
              </w:rPr>
              <w:t>（</w:t>
            </w:r>
            <w:r>
              <w:rPr>
                <w:rFonts w:hint="eastAsia"/>
                <w:color w:val="auto"/>
                <w:highlight w:val="none"/>
              </w:rPr>
              <w:t>满分</w:t>
            </w:r>
            <w:r>
              <w:rPr>
                <w:color w:val="auto"/>
                <w:highlight w:val="none"/>
              </w:rPr>
              <w:t>2</w:t>
            </w:r>
            <w:r>
              <w:rPr>
                <w:rFonts w:hint="eastAsia"/>
                <w:color w:val="auto"/>
                <w:highlight w:val="none"/>
              </w:rPr>
              <w:t>分</w:t>
            </w:r>
            <w:r>
              <w:rPr>
                <w:rFonts w:hint="eastAsia"/>
                <w:bCs/>
                <w:color w:val="auto"/>
                <w:highlight w:val="none"/>
              </w:rPr>
              <w:t>）</w:t>
            </w:r>
          </w:p>
        </w:tc>
        <w:tc>
          <w:tcPr>
            <w:tcW w:w="6087" w:type="dxa"/>
            <w:tcBorders>
              <w:top w:val="single" w:color="auto" w:sz="4" w:space="0"/>
              <w:left w:val="single" w:color="auto" w:sz="4" w:space="0"/>
              <w:bottom w:val="single" w:color="auto" w:sz="4" w:space="0"/>
              <w:right w:val="single" w:color="auto" w:sz="4" w:space="0"/>
            </w:tcBorders>
            <w:noWrap/>
          </w:tcPr>
          <w:p>
            <w:pPr>
              <w:widowControl/>
              <w:spacing w:line="360" w:lineRule="exact"/>
              <w:jc w:val="left"/>
              <w:rPr>
                <w:rFonts w:ascii="宋体" w:hAnsi="宋体"/>
                <w:color w:val="auto"/>
                <w:szCs w:val="21"/>
                <w:highlight w:val="none"/>
              </w:rPr>
            </w:pPr>
            <w:r>
              <w:rPr>
                <w:rFonts w:hint="eastAsia" w:ascii="宋体" w:hAnsi="宋体"/>
                <w:color w:val="auto"/>
                <w:szCs w:val="21"/>
                <w:highlight w:val="none"/>
              </w:rPr>
              <w:t>（1）属于财政部《节能产品政府采购品目清单》内优先采购（清单内未标注“</w:t>
            </w:r>
            <w:r>
              <w:rPr>
                <w:rFonts w:hint="eastAsia" w:ascii="宋体" w:hAnsi="宋体" w:cs="宋体"/>
                <w:color w:val="auto"/>
                <w:szCs w:val="21"/>
                <w:highlight w:val="none"/>
              </w:rPr>
              <w:t>★</w:t>
            </w:r>
            <w:r>
              <w:rPr>
                <w:rFonts w:hint="eastAsia" w:ascii="宋体" w:hAnsi="宋体"/>
                <w:color w:val="auto"/>
                <w:szCs w:val="21"/>
                <w:highlight w:val="none"/>
              </w:rPr>
              <w:t>”的品目）的产品[投标文件中提供有效的认证证书复印件及品目清单（标注出投标产品在品目清单中所属的品目），并加盖供应商公章]，根据其所占项目（或分标）金额比例得0-1分。</w:t>
            </w:r>
          </w:p>
          <w:p>
            <w:pPr>
              <w:widowControl/>
              <w:spacing w:line="360" w:lineRule="exact"/>
              <w:jc w:val="left"/>
              <w:rPr>
                <w:color w:val="auto"/>
                <w:szCs w:val="21"/>
                <w:highlight w:val="none"/>
              </w:rPr>
            </w:pPr>
            <w:r>
              <w:rPr>
                <w:rFonts w:hint="eastAsia" w:ascii="宋体" w:hAnsi="宋体"/>
                <w:color w:val="auto"/>
                <w:szCs w:val="21"/>
                <w:highlight w:val="none"/>
              </w:rPr>
              <w:t>（2）属于财政部《环境标志产品政府采购品目清单》内的产品[投标文件中提供有效的认证证书复印件及品目清单（标注出投标产品在品目清单中所属的品目），并加盖供应商公章]，根据其所占项目（或分标）金额比例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0"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exact"/>
              <w:ind w:firstLine="420"/>
              <w:rPr>
                <w:bCs/>
                <w:color w:val="auto"/>
                <w:szCs w:val="21"/>
                <w:highlight w:val="none"/>
              </w:rPr>
            </w:pPr>
            <w:r>
              <w:rPr>
                <w:rFonts w:hint="eastAsia" w:hAnsi="宋体"/>
                <w:b/>
                <w:bCs/>
                <w:color w:val="auto"/>
                <w:szCs w:val="21"/>
                <w:highlight w:val="none"/>
              </w:rPr>
              <w:t>总得分</w:t>
            </w:r>
            <w:r>
              <w:rPr>
                <w:b/>
                <w:bCs/>
                <w:color w:val="auto"/>
                <w:szCs w:val="21"/>
                <w:highlight w:val="none"/>
              </w:rPr>
              <w:t>=1+2+3+4+5</w:t>
            </w:r>
            <w:r>
              <w:rPr>
                <w:rFonts w:hint="eastAsia" w:hAnsi="宋体"/>
                <w:b/>
                <w:bCs/>
                <w:color w:val="auto"/>
                <w:szCs w:val="21"/>
                <w:highlight w:val="none"/>
              </w:rPr>
              <w:t>。</w:t>
            </w:r>
          </w:p>
        </w:tc>
      </w:tr>
    </w:tbl>
    <w:p>
      <w:pPr>
        <w:rPr>
          <w:rFonts w:ascii="Calibri" w:hAnsi="Calibri"/>
          <w:color w:val="auto"/>
          <w:highlight w:val="none"/>
        </w:rPr>
      </w:pPr>
    </w:p>
    <w:p>
      <w:pPr>
        <w:pStyle w:val="24"/>
        <w:spacing w:line="360" w:lineRule="auto"/>
        <w:ind w:firstLine="420"/>
        <w:rPr>
          <w:rFonts w:hAnsi="宋体"/>
          <w:bCs/>
          <w:color w:val="auto"/>
          <w:sz w:val="21"/>
          <w:highlight w:val="none"/>
        </w:rPr>
      </w:pPr>
      <w:r>
        <w:rPr>
          <w:rFonts w:hint="eastAsia" w:hAnsi="宋体"/>
          <w:bCs/>
          <w:color w:val="auto"/>
          <w:sz w:val="21"/>
          <w:highlight w:val="none"/>
        </w:rPr>
        <w:t>注：计分方法按四舍五入取至百分位</w:t>
      </w:r>
    </w:p>
    <w:p>
      <w:pPr>
        <w:pStyle w:val="5"/>
        <w:keepNext w:val="0"/>
        <w:keepLines w:val="0"/>
        <w:jc w:val="center"/>
        <w:rPr>
          <w:rFonts w:hAnsi="宋体"/>
          <w:color w:val="auto"/>
          <w:highlight w:val="none"/>
        </w:rPr>
      </w:pPr>
    </w:p>
    <w:p>
      <w:pPr>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5"/>
        <w:keepNext w:val="0"/>
        <w:keepLines w:val="0"/>
        <w:jc w:val="center"/>
        <w:rPr>
          <w:color w:val="auto"/>
          <w:sz w:val="30"/>
          <w:szCs w:val="30"/>
          <w:highlight w:val="none"/>
        </w:rPr>
      </w:pPr>
      <w:r>
        <w:rPr>
          <w:rFonts w:hint="eastAsia"/>
          <w:color w:val="auto"/>
          <w:sz w:val="30"/>
          <w:szCs w:val="30"/>
          <w:highlight w:val="none"/>
        </w:rPr>
        <w:t>四、中标候选人推荐</w:t>
      </w:r>
    </w:p>
    <w:p>
      <w:pPr>
        <w:pStyle w:val="24"/>
        <w:spacing w:line="360" w:lineRule="auto"/>
        <w:contextualSpacing/>
        <w:rPr>
          <w:rFonts w:hAnsi="宋体"/>
          <w:b/>
          <w:bCs/>
          <w:color w:val="auto"/>
          <w:sz w:val="24"/>
          <w:szCs w:val="24"/>
          <w:highlight w:val="none"/>
        </w:rPr>
      </w:pPr>
      <w:r>
        <w:rPr>
          <w:rFonts w:hint="eastAsia" w:hAnsi="宋体"/>
          <w:b/>
          <w:color w:val="auto"/>
          <w:highlight w:val="none"/>
        </w:rPr>
        <w:t>√</w:t>
      </w:r>
      <w:r>
        <w:rPr>
          <w:rFonts w:hint="eastAsia" w:hAnsi="宋体"/>
          <w:b/>
          <w:bCs/>
          <w:color w:val="auto"/>
          <w:sz w:val="24"/>
          <w:szCs w:val="24"/>
          <w:highlight w:val="none"/>
        </w:rPr>
        <w:t>（一）综合评分法</w:t>
      </w:r>
    </w:p>
    <w:p>
      <w:pPr>
        <w:pStyle w:val="24"/>
        <w:spacing w:line="360" w:lineRule="auto"/>
        <w:ind w:firstLine="422" w:firstLineChars="200"/>
        <w:contextualSpacing/>
        <w:rPr>
          <w:rFonts w:hAnsi="宋体"/>
          <w:b/>
          <w:color w:val="auto"/>
          <w:sz w:val="21"/>
          <w:highlight w:val="none"/>
        </w:rPr>
      </w:pPr>
      <w:r>
        <w:rPr>
          <w:rFonts w:hint="eastAsia" w:hAnsi="宋体"/>
          <w:b/>
          <w:color w:val="auto"/>
          <w:sz w:val="21"/>
          <w:highlight w:val="none"/>
        </w:rPr>
        <w:t>1</w:t>
      </w:r>
      <w:r>
        <w:rPr>
          <w:rFonts w:hAnsi="宋体"/>
          <w:b/>
          <w:color w:val="auto"/>
          <w:sz w:val="21"/>
          <w:highlight w:val="none"/>
        </w:rPr>
        <w:t>.</w:t>
      </w:r>
      <w:r>
        <w:rPr>
          <w:rFonts w:hint="eastAsia" w:hAnsi="宋体"/>
          <w:b/>
          <w:color w:val="auto"/>
          <w:sz w:val="21"/>
          <w:highlight w:val="none"/>
        </w:rPr>
        <w:t>评标委员会根据原始评标记录和评标结果编写评标报告，并通过电子交易平台向采购人、采购代理机构提交。</w:t>
      </w:r>
    </w:p>
    <w:p>
      <w:pPr>
        <w:pStyle w:val="24"/>
        <w:spacing w:line="360" w:lineRule="auto"/>
        <w:ind w:firstLine="422" w:firstLineChars="200"/>
        <w:contextualSpacing/>
        <w:rPr>
          <w:rFonts w:hAnsi="宋体"/>
          <w:b/>
          <w:color w:val="auto"/>
          <w:sz w:val="21"/>
          <w:highlight w:val="none"/>
        </w:rPr>
      </w:pPr>
      <w:r>
        <w:rPr>
          <w:rFonts w:hint="eastAsia" w:hAnsi="宋体"/>
          <w:b/>
          <w:color w:val="auto"/>
          <w:sz w:val="21"/>
          <w:highlight w:val="none"/>
        </w:rPr>
        <w:t>2</w:t>
      </w:r>
      <w:r>
        <w:rPr>
          <w:rFonts w:hAnsi="宋体"/>
          <w:b/>
          <w:color w:val="auto"/>
          <w:sz w:val="21"/>
          <w:highlight w:val="none"/>
        </w:rPr>
        <w:t>.</w:t>
      </w:r>
      <w:r>
        <w:rPr>
          <w:rFonts w:hint="eastAsia" w:hAnsi="宋体"/>
          <w:b/>
          <w:color w:val="auto"/>
          <w:sz w:val="21"/>
          <w:highlight w:val="none"/>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pStyle w:val="4"/>
        <w:keepNext w:val="0"/>
        <w:keepLines w:val="0"/>
        <w:jc w:val="center"/>
        <w:rPr>
          <w:color w:val="auto"/>
          <w:highlight w:val="none"/>
        </w:rPr>
      </w:pPr>
    </w:p>
    <w:p>
      <w:pPr>
        <w:pStyle w:val="4"/>
        <w:keepNext w:val="0"/>
        <w:keepLines w:val="0"/>
        <w:jc w:val="center"/>
        <w:rPr>
          <w:color w:val="auto"/>
          <w:highlight w:val="none"/>
        </w:rPr>
      </w:pPr>
    </w:p>
    <w:p>
      <w:pPr>
        <w:pStyle w:val="4"/>
        <w:keepNext w:val="0"/>
        <w:keepLines w:val="0"/>
        <w:jc w:val="center"/>
        <w:rPr>
          <w:color w:val="auto"/>
          <w:highlight w:val="none"/>
        </w:rPr>
      </w:pPr>
    </w:p>
    <w:p>
      <w:pPr>
        <w:pStyle w:val="4"/>
        <w:keepNext w:val="0"/>
        <w:keepLines w:val="0"/>
        <w:jc w:val="center"/>
        <w:rPr>
          <w:color w:val="auto"/>
          <w:highlight w:val="none"/>
        </w:rPr>
      </w:pPr>
    </w:p>
    <w:p>
      <w:pPr>
        <w:pStyle w:val="4"/>
        <w:keepNext w:val="0"/>
        <w:keepLines w:val="0"/>
        <w:jc w:val="center"/>
        <w:rPr>
          <w:color w:val="auto"/>
          <w:highlight w:val="none"/>
        </w:rPr>
      </w:pPr>
    </w:p>
    <w:p>
      <w:pPr>
        <w:pStyle w:val="4"/>
        <w:keepNext w:val="0"/>
        <w:keepLines w:val="0"/>
        <w:jc w:val="center"/>
        <w:rPr>
          <w:color w:val="auto"/>
          <w:highlight w:val="none"/>
        </w:rPr>
      </w:pPr>
    </w:p>
    <w:p>
      <w:pPr>
        <w:pStyle w:val="4"/>
        <w:keepNext w:val="0"/>
        <w:keepLines w:val="0"/>
        <w:jc w:val="center"/>
        <w:rPr>
          <w:color w:val="auto"/>
          <w:highlight w:val="none"/>
        </w:rPr>
      </w:pPr>
    </w:p>
    <w:p>
      <w:pPr>
        <w:pStyle w:val="3"/>
        <w:jc w:val="center"/>
        <w:rPr>
          <w:color w:val="auto"/>
          <w:highlight w:val="none"/>
        </w:rPr>
      </w:pPr>
      <w:bookmarkStart w:id="145" w:name="_Toc74320804"/>
      <w:r>
        <w:rPr>
          <w:rFonts w:hint="eastAsia"/>
          <w:color w:val="auto"/>
          <w:highlight w:val="none"/>
        </w:rPr>
        <w:t>第五章  拟签订的合同文本</w:t>
      </w:r>
      <w:bookmarkEnd w:id="145"/>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rPr>
          <w:rFonts w:ascii="宋体" w:hAnsi="宋体"/>
          <w:bCs/>
          <w:color w:val="auto"/>
          <w:sz w:val="32"/>
          <w:szCs w:val="32"/>
          <w:highlight w:val="none"/>
        </w:rPr>
      </w:pPr>
      <w:bookmarkStart w:id="146" w:name="_Hlk55381736"/>
    </w:p>
    <w:p>
      <w:pPr>
        <w:snapToGrid w:val="0"/>
        <w:spacing w:line="360" w:lineRule="auto"/>
        <w:ind w:firstLine="640" w:firstLineChars="200"/>
        <w:rPr>
          <w:rFonts w:ascii="宋体" w:hAnsi="宋体"/>
          <w:color w:val="auto"/>
          <w:szCs w:val="21"/>
          <w:highlight w:val="none"/>
        </w:rPr>
      </w:pPr>
      <w:r>
        <w:rPr>
          <w:rFonts w:ascii="宋体" w:hAnsi="宋体"/>
          <w:bCs/>
          <w:color w:val="auto"/>
          <w:sz w:val="32"/>
          <w:szCs w:val="32"/>
          <w:highlight w:val="none"/>
        </w:rPr>
        <w:br w:type="page"/>
      </w:r>
    </w:p>
    <w:p>
      <w:pPr>
        <w:snapToGrid w:val="0"/>
        <w:spacing w:line="360" w:lineRule="auto"/>
        <w:jc w:val="center"/>
        <w:rPr>
          <w:rFonts w:ascii="宋体" w:hAnsi="宋体"/>
          <w:b/>
          <w:bCs/>
          <w:color w:val="auto"/>
          <w:sz w:val="32"/>
          <w:szCs w:val="32"/>
          <w:highlight w:val="none"/>
        </w:rPr>
      </w:pPr>
    </w:p>
    <w:p>
      <w:pPr>
        <w:snapToGrid w:val="0"/>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pPr>
        <w:snapToGrid w:val="0"/>
        <w:spacing w:line="360" w:lineRule="auto"/>
        <w:jc w:val="center"/>
        <w:rPr>
          <w:rFonts w:ascii="宋体" w:hAnsi="宋体"/>
          <w:b/>
          <w:bCs/>
          <w:color w:val="auto"/>
          <w:sz w:val="32"/>
          <w:szCs w:val="32"/>
          <w:highlight w:val="none"/>
        </w:rPr>
      </w:pPr>
    </w:p>
    <w:p>
      <w:pPr>
        <w:snapToGrid w:val="0"/>
        <w:spacing w:line="360" w:lineRule="auto"/>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p>
    <w:p>
      <w:pPr>
        <w:snapToGrid w:val="0"/>
        <w:spacing w:line="360" w:lineRule="auto"/>
        <w:rPr>
          <w:rFonts w:ascii="宋体" w:hAnsi="宋体"/>
          <w:color w:val="auto"/>
          <w:szCs w:val="21"/>
          <w:highlight w:val="none"/>
        </w:rPr>
      </w:pPr>
      <w:r>
        <w:rPr>
          <w:rFonts w:hint="eastAsia" w:ascii="宋体" w:hAnsi="宋体"/>
          <w:color w:val="auto"/>
          <w:spacing w:val="-20"/>
          <w:szCs w:val="21"/>
          <w:highlight w:val="none"/>
        </w:rPr>
        <w:t>采 购 计 划 号：</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项目名称：项目编号：</w:t>
      </w:r>
    </w:p>
    <w:p>
      <w:pPr>
        <w:snapToGrid w:val="0"/>
        <w:spacing w:line="360" w:lineRule="auto"/>
        <w:rPr>
          <w:rFonts w:ascii="宋体" w:hAnsi="宋体"/>
          <w:color w:val="auto"/>
          <w:szCs w:val="21"/>
          <w:highlight w:val="none"/>
        </w:rPr>
      </w:pPr>
      <w:r>
        <w:rPr>
          <w:rFonts w:hint="eastAsia" w:ascii="宋体" w:hAnsi="宋体"/>
          <w:color w:val="auto"/>
          <w:szCs w:val="21"/>
          <w:highlight w:val="none"/>
        </w:rPr>
        <w:t>合同类型：</w:t>
      </w:r>
      <w:r>
        <w:rPr>
          <w:rFonts w:hint="eastAsia" w:ascii="宋体" w:hAnsi="宋体"/>
          <w:color w:val="auto"/>
          <w:szCs w:val="21"/>
          <w:highlight w:val="none"/>
          <w:u w:val="single"/>
        </w:rPr>
        <w:t>买卖合同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i/>
          <w:color w:val="auto"/>
          <w:szCs w:val="21"/>
          <w:highlight w:val="none"/>
          <w:u w:val="single"/>
        </w:rPr>
        <w:t>（是/否）</w:t>
      </w:r>
      <w:r>
        <w:rPr>
          <w:rFonts w:hint="eastAsia" w:ascii="宋体" w:hAnsi="宋体" w:cs="宋体"/>
          <w:color w:val="auto"/>
          <w:szCs w:val="21"/>
          <w:highlight w:val="none"/>
        </w:rPr>
        <w:t>。</w:t>
      </w:r>
    </w:p>
    <w:p>
      <w:pPr>
        <w:pStyle w:val="18"/>
        <w:spacing w:line="360" w:lineRule="auto"/>
        <w:rPr>
          <w:rFonts w:ascii="宋体" w:hAnsi="宋体"/>
          <w:color w:val="auto"/>
          <w:szCs w:val="21"/>
          <w:highlight w:val="none"/>
        </w:rPr>
      </w:pP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根据《中华人民共和国政府采购法》、《中华人民共和国民法典》等法律、法规规定，按照采购文件规定条款和乙方投标（竞标）承诺，甲乙双方签订本合同。</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tbl>
      <w:tblPr>
        <w:tblStyle w:val="45"/>
        <w:tblW w:w="91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6"/>
        <w:gridCol w:w="1190"/>
        <w:gridCol w:w="1166"/>
        <w:gridCol w:w="1089"/>
        <w:gridCol w:w="907"/>
        <w:gridCol w:w="668"/>
        <w:gridCol w:w="94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trPr>
        <w:tc>
          <w:tcPr>
            <w:tcW w:w="71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8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11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商标品牌</w:t>
            </w:r>
          </w:p>
        </w:tc>
        <w:tc>
          <w:tcPr>
            <w:tcW w:w="11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规格型号</w:t>
            </w:r>
          </w:p>
        </w:tc>
        <w:tc>
          <w:tcPr>
            <w:tcW w:w="108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90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  量</w:t>
            </w:r>
          </w:p>
        </w:tc>
        <w:tc>
          <w:tcPr>
            <w:tcW w:w="66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94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  价</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c>
          <w:tcPr>
            <w:tcW w:w="118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金  额</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8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11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118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8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11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118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8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11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118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28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11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c>
          <w:tcPr>
            <w:tcW w:w="118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150" w:type="dxa"/>
            <w:gridSpan w:val="9"/>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合计金额（人民币）：</w:t>
            </w:r>
            <w:r>
              <w:rPr>
                <w:rFonts w:hint="eastAsia" w:ascii="宋体" w:hAnsi="宋体"/>
                <w:color w:val="auto"/>
                <w:szCs w:val="21"/>
                <w:highlight w:val="none"/>
                <w:u w:val="single"/>
              </w:rPr>
              <w:t xml:space="preserve">（大写）                          （小写）                 </w:t>
            </w:r>
          </w:p>
        </w:tc>
      </w:tr>
    </w:tbl>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第二条　标的质量</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1.乙方所提供标的的名称、商标品牌、生产厂家、规格型号、技术参数等内容必须与乙方投标（响应）文件及有关承诺相一致，且满足项目实施要求。</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2.乙方所提供的货物必须是全新、未使用的原装产品，且在正常安装、使用和保养条件下，其使用寿命期内各项指标均达到投标（响应）文件的承诺。</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第三条　</w:t>
      </w:r>
      <w:r>
        <w:rPr>
          <w:rFonts w:hint="eastAsia" w:ascii="宋体" w:hAnsi="宋体"/>
          <w:color w:val="auto"/>
          <w:szCs w:val="21"/>
          <w:highlight w:val="none"/>
        </w:rPr>
        <w:t>履行时间（期限）、地点和方式</w:t>
      </w:r>
    </w:p>
    <w:p>
      <w:pPr>
        <w:snapToGrid w:val="0"/>
        <w:spacing w:line="360" w:lineRule="auto"/>
        <w:ind w:firstLine="420" w:firstLineChars="200"/>
        <w:rPr>
          <w:rFonts w:ascii="宋体" w:hAnsi="宋体"/>
          <w:i/>
          <w:color w:val="auto"/>
          <w:szCs w:val="21"/>
          <w:highlight w:val="none"/>
        </w:rPr>
      </w:pPr>
      <w:r>
        <w:rPr>
          <w:rFonts w:hint="eastAsia" w:ascii="宋体" w:hAnsi="宋体" w:cs="宋体"/>
          <w:color w:val="auto"/>
          <w:szCs w:val="21"/>
          <w:highlight w:val="none"/>
        </w:rPr>
        <w:t>1.履行时间（期限）：</w:t>
      </w:r>
      <w:r>
        <w:rPr>
          <w:rFonts w:hint="eastAsia" w:ascii="宋体" w:hAnsi="宋体"/>
          <w:i/>
          <w:color w:val="auto"/>
          <w:szCs w:val="21"/>
          <w:highlight w:val="none"/>
        </w:rPr>
        <w:t>自签订合同之日起个工作日内交付使用</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2.履行地点：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3.履行方式</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乙方负责货物运输，</w:t>
      </w:r>
      <w:r>
        <w:rPr>
          <w:rFonts w:hint="eastAsia" w:ascii="宋体" w:hAnsi="宋体" w:cs="宋体"/>
          <w:color w:val="auto"/>
          <w:szCs w:val="21"/>
          <w:highlight w:val="none"/>
        </w:rPr>
        <w:t>货物的运输方式：</w:t>
      </w:r>
      <w:r>
        <w:rPr>
          <w:rFonts w:hint="eastAsia" w:ascii="宋体" w:hAnsi="宋体" w:cs="宋体"/>
          <w:color w:val="auto"/>
          <w:szCs w:val="21"/>
          <w:highlight w:val="none"/>
          <w:u w:val="single"/>
        </w:rPr>
        <w:t xml:space="preserve"> 不限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（2）交货方式</w:t>
      </w:r>
    </w:p>
    <w:p>
      <w:p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乙方将货物送到甲方指定地点。</w:t>
      </w:r>
    </w:p>
    <w:p>
      <w:p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甲方自行到乙方指定地点提货。</w:t>
      </w:r>
    </w:p>
    <w:p>
      <w:p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其他：。</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第四条　包装方式</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1.乙方提供的货物均应按投标（响应）文件承诺的要求的包装材料、包装标准、包装方式进行包装。</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2.乙方应在货物发运前对其进行满足运输距离、防水、防潮、防震、防锈和防破损装卸等要求包装，以保证货物安全运达甲方指定地点。</w:t>
      </w:r>
    </w:p>
    <w:p>
      <w:pPr>
        <w:pStyle w:val="18"/>
        <w:spacing w:line="360" w:lineRule="auto"/>
        <w:ind w:firstLine="480" w:firstLineChars="200"/>
        <w:rPr>
          <w:rFonts w:ascii="宋体" w:hAnsi="宋体"/>
          <w:color w:val="auto"/>
          <w:sz w:val="21"/>
          <w:szCs w:val="21"/>
          <w:highlight w:val="none"/>
        </w:rPr>
      </w:pPr>
      <w:r>
        <w:rPr>
          <w:rFonts w:hint="eastAsia" w:ascii="宋体" w:hAnsi="宋体"/>
          <w:color w:val="auto"/>
          <w:szCs w:val="21"/>
          <w:highlight w:val="none"/>
        </w:rPr>
        <w:t>3.货物的使用说明书（货物属于进口产品的，供货时应同时附上中文使用说明书）、质量检验证明书、质量合格证、随配附件和工具以及清单一并附于货物包装内。</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第五条　安装和培训</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1.安装时间：</w:t>
      </w:r>
      <w:r>
        <w:rPr>
          <w:rFonts w:hint="eastAsia" w:ascii="宋体" w:hAnsi="宋体"/>
          <w:color w:val="auto"/>
          <w:szCs w:val="21"/>
          <w:highlight w:val="none"/>
          <w:u w:val="single"/>
        </w:rPr>
        <w:t xml:space="preserve">  按甲方要求   </w:t>
      </w:r>
      <w:r>
        <w:rPr>
          <w:rFonts w:hint="eastAsia" w:ascii="宋体" w:hAnsi="宋体"/>
          <w:color w:val="auto"/>
          <w:szCs w:val="21"/>
          <w:highlight w:val="none"/>
        </w:rPr>
        <w:t>；安装地点：</w:t>
      </w:r>
      <w:r>
        <w:rPr>
          <w:rFonts w:hint="eastAsia" w:ascii="宋体" w:hAnsi="宋体"/>
          <w:color w:val="auto"/>
          <w:szCs w:val="21"/>
          <w:highlight w:val="none"/>
          <w:u w:val="single"/>
        </w:rPr>
        <w:t xml:space="preserve">  按甲方要求    </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2.安装要求：</w:t>
      </w:r>
      <w:r>
        <w:rPr>
          <w:rFonts w:hint="eastAsia" w:ascii="宋体" w:hAnsi="宋体"/>
          <w:color w:val="auto"/>
          <w:szCs w:val="21"/>
          <w:highlight w:val="none"/>
          <w:u w:val="single"/>
        </w:rPr>
        <w:t>按甲方要求</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3.甲方应提供必要安装条件（如场地、电源、水源等）。</w:t>
      </w:r>
    </w:p>
    <w:p>
      <w:pPr>
        <w:pStyle w:val="18"/>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4.乙方应当按照投标（响应）文件的承诺对甲方有关人员进行培训。培训时间：</w:t>
      </w:r>
      <w:r>
        <w:rPr>
          <w:rFonts w:hint="eastAsia" w:ascii="宋体" w:hAnsi="宋体"/>
          <w:color w:val="auto"/>
          <w:sz w:val="21"/>
          <w:szCs w:val="21"/>
          <w:highlight w:val="none"/>
          <w:u w:val="single"/>
        </w:rPr>
        <w:t xml:space="preserve">  按甲方要求     </w:t>
      </w:r>
      <w:r>
        <w:rPr>
          <w:rFonts w:hint="eastAsia" w:ascii="宋体" w:hAnsi="宋体"/>
          <w:color w:val="auto"/>
          <w:sz w:val="21"/>
          <w:szCs w:val="21"/>
          <w:highlight w:val="none"/>
        </w:rPr>
        <w:t>；培训地点</w:t>
      </w:r>
      <w:r>
        <w:rPr>
          <w:rFonts w:hint="eastAsia" w:ascii="宋体" w:hAnsi="宋体"/>
          <w:color w:val="auto"/>
          <w:sz w:val="21"/>
          <w:szCs w:val="21"/>
          <w:highlight w:val="none"/>
          <w:u w:val="single"/>
        </w:rPr>
        <w:t xml:space="preserve">：  按甲方要求     </w:t>
      </w:r>
      <w:r>
        <w:rPr>
          <w:rFonts w:hint="eastAsia" w:ascii="宋体" w:hAnsi="宋体"/>
          <w:color w:val="auto"/>
          <w:sz w:val="21"/>
          <w:szCs w:val="21"/>
          <w:highlight w:val="none"/>
        </w:rPr>
        <w:t>。</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第六条　合同价款及支付</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1.本合同以人民币付款。</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2.合同价款：详见第一条　合同标的                     。</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合同价款包括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对于本文件中未列明，而乙方认为必需的费用也需列入总报价。在合同实施时，甲方将不予支付乙方没有列入的项目费用，并认为此项目的费用已包括在投标总报价中。</w:t>
      </w:r>
    </w:p>
    <w:p>
      <w:pPr>
        <w:snapToGrid w:val="0"/>
        <w:spacing w:line="360" w:lineRule="auto"/>
        <w:ind w:firstLine="422" w:firstLineChars="200"/>
        <w:rPr>
          <w:rFonts w:ascii="宋体" w:hAnsi="宋体"/>
          <w:color w:val="auto"/>
          <w:kern w:val="0"/>
          <w:szCs w:val="21"/>
          <w:highlight w:val="none"/>
        </w:rPr>
      </w:pPr>
      <w:r>
        <w:rPr>
          <w:rFonts w:hint="eastAsia" w:ascii="Arial" w:hAnsi="Arial" w:cs="Arial"/>
          <w:b/>
          <w:bCs/>
          <w:color w:val="auto"/>
          <w:szCs w:val="21"/>
          <w:highlight w:val="none"/>
        </w:rPr>
        <w:t>本项目为固定总价交钥匙项目，本合同已包含产生的所有相关费用。</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4.付款进度安排：具体按招标文件第二章采购需求表格“商务要求”-“付款方式”执行。</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 xml:space="preserve"> 5.资金支付方式：</w:t>
      </w:r>
      <w:r>
        <w:rPr>
          <w:rFonts w:hint="eastAsia" w:hAnsi="宋体"/>
          <w:color w:val="auto"/>
          <w:sz w:val="21"/>
          <w:highlight w:val="none"/>
          <w:u w:val="single"/>
        </w:rPr>
        <w:t xml:space="preserve">    银行转账 </w:t>
      </w:r>
      <w:r>
        <w:rPr>
          <w:rFonts w:hint="eastAsia" w:hAnsi="宋体"/>
          <w:color w:val="auto"/>
          <w:sz w:val="21"/>
          <w:highlight w:val="none"/>
        </w:rPr>
        <w:t xml:space="preserve">  。</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第七条　验收、交付标准和方法</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1.验收标准和方法</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（1）验收标准：</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1）甲方对乙方提交的货物依据采购合同要求和国家有关质量标准进行现场签收，外观、说明书、及各项功能符合采购合同要求的，给予签收，不合格的不予签收。</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3）乙方需负责安装、调试（测试），并培训甲方的使用操作人员，直到设备符合技术要求，甲方方可验收。</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甲方或甲方委托的第三方机构负责组织验收，乙方必须到场配合，由甲方在交货设备中随机抽取一定比例数量的设备，乙方按甲方要求进行现场演示操作。验收合格后双方签署验收合格凭证。验收地点由甲方或甲方委托的第三方机构协商确定。</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其他未尽事宜应严格按照《关于印发广西壮族自治区政府采购项目履约验收管理办法的通知》[桂财采〔2015〕22号]以及《财政部关于进一步加强政府采购需求和履约验收管理的指导意见》[财库〔2016〕205号]规定执行。</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6）验收产生的费用由乙方负责。</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（2）验收程序及方法：</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1）乙方履行完合同义务后，书面向甲方提交验收申请。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2）甲方收到乙方验收申请之日起7个工作日内组织验收，并提出验收意见，逾期不验收的，视同验收合格。甲方委托第三方机构组织项目验收的，其验收时间以该项目验收方案确定的验收时间为准。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3）本项目验收由验收小组按照采购合同约定对每一项技术和商务要求的履约情况进行确认。</w:t>
      </w:r>
    </w:p>
    <w:p>
      <w:pPr>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4）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 xml:space="preserve">）验收书一式两份，甲乙双方各执一份、受托第三方机构一份（如有）。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）验收结论不合格的，乙方应自收到验收书后</w:t>
      </w:r>
      <w:r>
        <w:rPr>
          <w:rFonts w:hint="eastAsia" w:ascii="宋体" w:hAnsi="宋体"/>
          <w:color w:val="auto"/>
          <w:szCs w:val="21"/>
          <w:highlight w:val="none"/>
          <w:u w:val="single"/>
        </w:rPr>
        <w:t xml:space="preserve"> 5</w:t>
      </w:r>
      <w:r>
        <w:rPr>
          <w:rFonts w:hint="eastAsia" w:ascii="宋体" w:hAnsi="宋体"/>
          <w:color w:val="auto"/>
          <w:szCs w:val="21"/>
          <w:highlight w:val="none"/>
        </w:rPr>
        <w:t>日内及时予以解决。经乙方对验收结论不合格的货物进行整改后，仍然达不到要求的，甲方可按以下办法处理：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更换：由乙方承担所发生的全部费用。</w:t>
      </w:r>
    </w:p>
    <w:p>
      <w:pPr>
        <w:spacing w:line="360" w:lineRule="auto"/>
        <w:ind w:firstLine="420" w:firstLineChars="200"/>
        <w:rPr>
          <w:color w:val="auto"/>
          <w:highlight w:val="none"/>
        </w:rPr>
      </w:pPr>
      <w:r>
        <w:rPr>
          <w:rFonts w:hint="eastAsia"/>
          <w:color w:val="auto"/>
          <w:highlight w:val="none"/>
        </w:rPr>
        <w:t>退货处理：乙方应退还甲方支付的合同款，同时应承担该货物的直接费用（运输、保险、检验、货款利息及银行手续费等）。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2.交付标准和方法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（1）除售后服务验收外，验收结论合格的，乙方应自收到验收书后</w:t>
      </w:r>
      <w:r>
        <w:rPr>
          <w:rFonts w:hint="eastAsia" w:ascii="宋体" w:hAnsi="宋体"/>
          <w:color w:val="auto"/>
          <w:szCs w:val="21"/>
          <w:highlight w:val="none"/>
          <w:u w:val="single"/>
        </w:rPr>
        <w:t>5</w:t>
      </w:r>
      <w:r>
        <w:rPr>
          <w:rFonts w:hint="eastAsia" w:ascii="宋体" w:hAnsi="宋体"/>
          <w:color w:val="auto"/>
          <w:szCs w:val="21"/>
          <w:highlight w:val="none"/>
        </w:rPr>
        <w:t>日内向甲方交付使用。</w:t>
      </w:r>
    </w:p>
    <w:p>
      <w:pPr>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（2）货物的所有权和风险自交付时起由乙方转移至甲方，货物交付给甲方之前所有风险均由乙方承担。</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第八条  售后服务</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1.乙方应按照国家有关法律法规规定以及投标（响应）文件承诺，为甲方提供售后服务。</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2.质量保修范围:</w:t>
      </w:r>
      <w:r>
        <w:rPr>
          <w:rFonts w:hint="eastAsia" w:ascii="宋体" w:hAnsi="宋体"/>
          <w:color w:val="auto"/>
          <w:szCs w:val="21"/>
          <w:highlight w:val="none"/>
          <w:u w:val="single"/>
        </w:rPr>
        <w:t xml:space="preserve"> 按采购文件要求   </w:t>
      </w:r>
      <w:r>
        <w:rPr>
          <w:rFonts w:hint="eastAsia" w:ascii="宋体" w:hAnsi="宋体"/>
          <w:color w:val="auto"/>
          <w:szCs w:val="21"/>
          <w:highlight w:val="none"/>
        </w:rPr>
        <w:t>；质保期：。</w:t>
      </w:r>
    </w:p>
    <w:p>
      <w:pPr>
        <w:snapToGrid w:val="0"/>
        <w:spacing w:line="360" w:lineRule="auto"/>
        <w:ind w:left="-61" w:leftChars="-29" w:firstLine="517" w:firstLineChars="245"/>
        <w:rPr>
          <w:rFonts w:ascii="宋体" w:hAnsi="宋体"/>
          <w:b/>
          <w:color w:val="auto"/>
          <w:szCs w:val="21"/>
          <w:highlight w:val="none"/>
        </w:rPr>
      </w:pPr>
      <w:r>
        <w:rPr>
          <w:rFonts w:hint="eastAsia" w:ascii="宋体" w:hAnsi="宋体"/>
          <w:b/>
          <w:color w:val="auto"/>
          <w:szCs w:val="21"/>
          <w:highlight w:val="none"/>
        </w:rPr>
        <w:t>第九条　履约保证金</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履约保证金金额：非中小企业按合同金额的3 %，中小企业按合同金额的 2 %。即元。</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履约保证金递交方式：银行转账、支票、汇票、本票或者银行、保险机构出具的保函（含电子保函）等非现金方式</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履约保证金缴纳期限: 自中标通知书发出之日起 5日内。</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退付方式、时间及条件：履约保证金在项目履约完成（按合同约定履行完合同所有内容，包括但不限于承诺的免费保修）后无息退还。由乙方向履约保证金收取单位提供《广西壮族自治区政府采购项目合同验收书》（详见桂财采〔2015〕22号），保证金收取单位在收到合格材料后5个工作日内办理退还手续（不计利息）。</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不予退还的情形：签订合同后，如乙方不按双方签订的合同规定履约，则其全部履约保证金不予退还。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履约保证金指定账户： </w:t>
      </w:r>
    </w:p>
    <w:p>
      <w:pPr>
        <w:pStyle w:val="18"/>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开户名称：广西艺术学院 </w:t>
      </w:r>
    </w:p>
    <w:p>
      <w:pPr>
        <w:pStyle w:val="18"/>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开户银行：建行南宁市桃源支行</w:t>
      </w:r>
    </w:p>
    <w:p>
      <w:pPr>
        <w:pStyle w:val="18"/>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银行账号：4500 1604 5590 5050 0909</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第十条　违约责任</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1.合同一方不履行合同义务、履行合同义务不符合约定或者违反合同项下所作保证的， 应向对方承担继续履行、采取修理、更换、退货等补救措施或者赔偿损失（包括但不限于：律师费、案件受理费、保全费、保全保函保险费、交通费、鉴定评估费等）等违约责任。</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2.乙方未能按时交付货物的，应向甲方支付迟延交付违约金。迟延交付违约金的计算方法如下：</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（1）从迟交的第一周到第四周，每周迟延交付违约金为合同价款（报酬）的</w:t>
      </w:r>
      <w:r>
        <w:rPr>
          <w:rFonts w:hint="eastAsia" w:hAnsi="宋体"/>
          <w:i/>
          <w:color w:val="auto"/>
          <w:sz w:val="21"/>
          <w:highlight w:val="none"/>
          <w:u w:val="single"/>
        </w:rPr>
        <w:t xml:space="preserve"> 0.5% </w:t>
      </w:r>
      <w:r>
        <w:rPr>
          <w:rFonts w:hint="eastAsia" w:hAnsi="宋体"/>
          <w:color w:val="auto"/>
          <w:sz w:val="21"/>
          <w:highlight w:val="none"/>
        </w:rPr>
        <w:t>；</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（2）从迟交的第五周到第八周，每周迟延交付违约金为合同价款（报酬）的</w:t>
      </w:r>
      <w:r>
        <w:rPr>
          <w:rFonts w:hint="eastAsia" w:hAnsi="宋体"/>
          <w:i/>
          <w:color w:val="auto"/>
          <w:sz w:val="21"/>
          <w:highlight w:val="none"/>
          <w:u w:val="single"/>
        </w:rPr>
        <w:t xml:space="preserve"> 1% </w:t>
      </w:r>
      <w:r>
        <w:rPr>
          <w:rFonts w:hint="eastAsia" w:hAnsi="宋体"/>
          <w:color w:val="auto"/>
          <w:sz w:val="21"/>
          <w:highlight w:val="none"/>
        </w:rPr>
        <w:t>；</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（3）从迟交第九周起，每周迟延交付违约金为合同价款（报酬）的</w:t>
      </w:r>
      <w:r>
        <w:rPr>
          <w:rFonts w:hint="eastAsia" w:hAnsi="宋体"/>
          <w:i/>
          <w:color w:val="auto"/>
          <w:sz w:val="21"/>
          <w:highlight w:val="none"/>
          <w:u w:val="single"/>
        </w:rPr>
        <w:t xml:space="preserve"> 1.5% </w:t>
      </w:r>
      <w:r>
        <w:rPr>
          <w:rFonts w:hint="eastAsia" w:hAnsi="宋体"/>
          <w:color w:val="auto"/>
          <w:sz w:val="21"/>
          <w:highlight w:val="none"/>
        </w:rPr>
        <w:t>。在计算迟延交付违约金时，迟交不足一周的按一周计算。迟延交付违约金的总额不得超过合同价款（报酬）的</w:t>
      </w:r>
      <w:r>
        <w:rPr>
          <w:rFonts w:hint="eastAsia" w:hAnsi="宋体"/>
          <w:color w:val="auto"/>
          <w:sz w:val="21"/>
          <w:highlight w:val="none"/>
          <w:u w:val="single"/>
        </w:rPr>
        <w:t xml:space="preserve"> 10% </w:t>
      </w:r>
      <w:r>
        <w:rPr>
          <w:rFonts w:hint="eastAsia" w:hAnsi="宋体"/>
          <w:color w:val="auto"/>
          <w:sz w:val="21"/>
          <w:highlight w:val="none"/>
        </w:rPr>
        <w:t>。迟延交付违约金的支付不能免除乙方继续交付相关合同货物的义务，但如迟延交付必然导致合同货物安装、调试、验收等工作推迟的，相关工作应相应顺延。</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3.甲方未能按合同约定支付合同价款的，应向乙方支付延迟付款违约金。迟延付款违约金的计算方法如下：</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（1）从迟付的第一周到第四周，每周迟延付款违约金为迟延付款金额的</w:t>
      </w:r>
      <w:r>
        <w:rPr>
          <w:rFonts w:hint="eastAsia" w:hAnsi="宋体"/>
          <w:i/>
          <w:color w:val="auto"/>
          <w:sz w:val="21"/>
          <w:highlight w:val="none"/>
          <w:u w:val="single"/>
        </w:rPr>
        <w:t xml:space="preserve"> 0.5% </w:t>
      </w:r>
      <w:r>
        <w:rPr>
          <w:rFonts w:hint="eastAsia" w:hAnsi="宋体"/>
          <w:color w:val="auto"/>
          <w:sz w:val="21"/>
          <w:highlight w:val="none"/>
        </w:rPr>
        <w:t>；</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（2）从迟付的第五周到第八周，每周迟延付款违约金为迟延付款金额的</w:t>
      </w:r>
      <w:r>
        <w:rPr>
          <w:rFonts w:hint="eastAsia" w:hAnsi="宋体"/>
          <w:i/>
          <w:color w:val="auto"/>
          <w:sz w:val="21"/>
          <w:highlight w:val="none"/>
          <w:u w:val="single"/>
        </w:rPr>
        <w:t xml:space="preserve"> 1% </w:t>
      </w:r>
      <w:r>
        <w:rPr>
          <w:rFonts w:hint="eastAsia" w:hAnsi="宋体"/>
          <w:color w:val="auto"/>
          <w:sz w:val="21"/>
          <w:highlight w:val="none"/>
        </w:rPr>
        <w:t>；</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（3）从迟付第九周起，每周迟延付款违约金为迟延付款金额的</w:t>
      </w:r>
      <w:r>
        <w:rPr>
          <w:rFonts w:hint="eastAsia" w:hAnsi="宋体"/>
          <w:i/>
          <w:color w:val="auto"/>
          <w:sz w:val="21"/>
          <w:highlight w:val="none"/>
          <w:u w:val="single"/>
        </w:rPr>
        <w:t xml:space="preserve"> 1.5% </w:t>
      </w:r>
      <w:r>
        <w:rPr>
          <w:rFonts w:hint="eastAsia" w:hAnsi="宋体"/>
          <w:color w:val="auto"/>
          <w:sz w:val="21"/>
          <w:highlight w:val="none"/>
        </w:rPr>
        <w:t>。在计算迟延付款违约金时，迟付不足一周的按一周计算。迟延付款违约金的总额不得超过合同价格的</w:t>
      </w:r>
      <w:r>
        <w:rPr>
          <w:rFonts w:hint="eastAsia" w:hAnsi="宋体"/>
          <w:color w:val="auto"/>
          <w:sz w:val="21"/>
          <w:highlight w:val="none"/>
          <w:u w:val="single"/>
        </w:rPr>
        <w:t xml:space="preserve"> 10% </w:t>
      </w:r>
      <w:r>
        <w:rPr>
          <w:rFonts w:hint="eastAsia" w:hAnsi="宋体"/>
          <w:color w:val="auto"/>
          <w:sz w:val="21"/>
          <w:highlight w:val="none"/>
        </w:rPr>
        <w:t>。</w:t>
      </w:r>
    </w:p>
    <w:p>
      <w:pPr>
        <w:snapToGrid w:val="0"/>
        <w:spacing w:line="400" w:lineRule="exact"/>
        <w:ind w:firstLine="420" w:firstLineChars="200"/>
        <w:rPr>
          <w:rFonts w:hAnsi="宋体"/>
          <w:color w:val="auto"/>
          <w:highlight w:val="none"/>
        </w:rPr>
      </w:pPr>
      <w:r>
        <w:rPr>
          <w:rFonts w:hint="eastAsia" w:hAnsi="宋体"/>
          <w:color w:val="auto"/>
          <w:highlight w:val="none"/>
        </w:rPr>
        <w:t xml:space="preserve">4. </w:t>
      </w:r>
      <w:r>
        <w:rPr>
          <w:rFonts w:hint="eastAsia" w:ascii="宋体" w:hAnsi="宋体" w:cs="宋体"/>
          <w:color w:val="auto"/>
          <w:szCs w:val="21"/>
          <w:highlight w:val="none"/>
        </w:rPr>
        <w:t>乙方提供的产品或安装服务不符合本合同第二条和招标文件规定的规格、质量等要求的，经整改仍不达标的，甲方有权要求乙方无条件换货或者退货，甲方换货的，相关的运费及损失由乙方承担；甲方退货的，乙方应在甲方发出退货通知之日起三日内，将所收取的款项全额予以退回，乙方应向甲方支付合同总额30%的违约金，并承担由此造成甲方的全部损失。</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 xml:space="preserve">乙方未按本合同和投标（响应）文件承诺提供售后服务的，乙方应按本合同价款（报酬）的 </w:t>
      </w:r>
      <w:r>
        <w:rPr>
          <w:rFonts w:hint="eastAsia" w:hAnsi="宋体"/>
          <w:color w:val="auto"/>
          <w:sz w:val="21"/>
          <w:highlight w:val="none"/>
          <w:u w:val="single"/>
        </w:rPr>
        <w:t xml:space="preserve"> 10 </w:t>
      </w:r>
      <w:r>
        <w:rPr>
          <w:rFonts w:hint="eastAsia" w:hAnsi="宋体"/>
          <w:color w:val="auto"/>
          <w:sz w:val="21"/>
          <w:highlight w:val="none"/>
        </w:rPr>
        <w:t>%向甲方支付违约金。</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5.因某一方原因导致变更、中止或者终止政府采购合同的，该方应当对另一方受到的损失予以赔偿或者补偿。</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6.其它违约责任按《中华人民共和国民法典》处理。</w:t>
      </w:r>
    </w:p>
    <w:p>
      <w:pPr>
        <w:pStyle w:val="24"/>
        <w:snapToGrid w:val="0"/>
        <w:spacing w:line="360" w:lineRule="auto"/>
        <w:ind w:firstLine="413" w:firstLineChars="196"/>
        <w:rPr>
          <w:rFonts w:hAnsi="宋体"/>
          <w:b/>
          <w:color w:val="auto"/>
          <w:sz w:val="21"/>
          <w:highlight w:val="none"/>
        </w:rPr>
      </w:pPr>
      <w:r>
        <w:rPr>
          <w:rFonts w:hint="eastAsia" w:hAnsi="宋体"/>
          <w:b/>
          <w:color w:val="auto"/>
          <w:sz w:val="21"/>
          <w:highlight w:val="none"/>
        </w:rPr>
        <w:t>第十一条  不可抗力事件处理</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2.不可抗力事件发生后，应立即通知对方，并寄送有关权威机构出具的证明。</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3.不可抗力事件延续三十天以上，双方应通过友好协商，确定是否继续履行合同。</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第十二条  合同争议解决</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autoSpaceDE w:val="0"/>
        <w:autoSpaceDN w:val="0"/>
        <w:adjustRightInd w:val="0"/>
        <w:spacing w:line="360" w:lineRule="auto"/>
        <w:ind w:left="100" w:right="42" w:firstLine="420"/>
        <w:rPr>
          <w:rFonts w:ascii="宋体" w:hAnsi="宋体"/>
          <w:color w:val="auto"/>
          <w:szCs w:val="21"/>
          <w:highlight w:val="none"/>
        </w:rPr>
      </w:pPr>
      <w:r>
        <w:rPr>
          <w:rFonts w:hint="eastAsia" w:ascii="宋体" w:hAnsi="宋体"/>
          <w:color w:val="auto"/>
          <w:szCs w:val="21"/>
          <w:highlight w:val="none"/>
        </w:rPr>
        <w:t>2.因履行本合同引起的或者与本合同有关的争议，甲乙双方应首先通过友好协商解决，如果协商不能解决，按下列</w:t>
      </w:r>
      <w:r>
        <w:rPr>
          <w:rFonts w:hint="eastAsia" w:ascii="宋体" w:hAnsi="宋体"/>
          <w:color w:val="auto"/>
          <w:szCs w:val="21"/>
          <w:highlight w:val="none"/>
          <w:u w:val="single"/>
        </w:rPr>
        <w:t xml:space="preserve"> （2） </w:t>
      </w:r>
      <w:r>
        <w:rPr>
          <w:rFonts w:hint="eastAsia" w:ascii="宋体" w:hAnsi="宋体"/>
          <w:color w:val="auto"/>
          <w:szCs w:val="21"/>
          <w:highlight w:val="none"/>
        </w:rPr>
        <w:t>方式解决：</w:t>
      </w:r>
    </w:p>
    <w:p>
      <w:pPr>
        <w:autoSpaceDE w:val="0"/>
        <w:autoSpaceDN w:val="0"/>
        <w:adjustRightInd w:val="0"/>
        <w:spacing w:line="360" w:lineRule="auto"/>
        <w:ind w:right="40" w:firstLine="420"/>
        <w:rPr>
          <w:rFonts w:ascii="宋体" w:hAnsi="宋体"/>
          <w:color w:val="auto"/>
          <w:szCs w:val="21"/>
          <w:highlight w:val="none"/>
        </w:rPr>
      </w:pPr>
      <w:r>
        <w:rPr>
          <w:rFonts w:hint="eastAsia" w:ascii="宋体" w:hAnsi="宋体"/>
          <w:color w:val="auto"/>
          <w:szCs w:val="21"/>
          <w:highlight w:val="none"/>
        </w:rPr>
        <w:t>（1）向仲裁委员会申请仲裁；</w:t>
      </w:r>
    </w:p>
    <w:p>
      <w:pPr>
        <w:autoSpaceDE w:val="0"/>
        <w:autoSpaceDN w:val="0"/>
        <w:adjustRightInd w:val="0"/>
        <w:spacing w:line="360" w:lineRule="auto"/>
        <w:ind w:right="40" w:firstLine="420"/>
        <w:rPr>
          <w:rFonts w:ascii="宋体" w:hAnsi="宋体"/>
          <w:color w:val="auto"/>
          <w:szCs w:val="21"/>
          <w:highlight w:val="none"/>
        </w:rPr>
      </w:pPr>
      <w:r>
        <w:rPr>
          <w:rFonts w:hint="eastAsia" w:ascii="宋体" w:hAnsi="宋体"/>
          <w:color w:val="auto"/>
          <w:szCs w:val="21"/>
          <w:highlight w:val="none"/>
        </w:rPr>
        <w:t>（2）向甲方所在地的人民法院提起诉讼。</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第十三条　合同的变更、中止或者终止</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除《中华人民共和国政府采购法》第五十条规定的情形外，本合同一经签订，甲乙双方不得擅自变更、中止或者终止合同。</w:t>
      </w:r>
    </w:p>
    <w:p>
      <w:pPr>
        <w:pStyle w:val="18"/>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2.采购合同继续履行将损害国家利益和社会公共利益的，双方当事人应当变更、中止或者终止合同。有过错的一方应当承担赔偿责任，双方都有过错的，各自承担相应的责任。</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第十四条　</w:t>
      </w:r>
      <w:r>
        <w:rPr>
          <w:rFonts w:hint="eastAsia" w:ascii="宋体" w:hAnsi="宋体" w:cs="微软雅黑"/>
          <w:b/>
          <w:color w:val="auto"/>
          <w:kern w:val="0"/>
          <w:szCs w:val="21"/>
          <w:highlight w:val="none"/>
        </w:rPr>
        <w:t>合</w:t>
      </w:r>
      <w:r>
        <w:rPr>
          <w:rFonts w:hint="eastAsia" w:ascii="宋体" w:hAnsi="宋体" w:cs="微软雅黑"/>
          <w:b/>
          <w:color w:val="auto"/>
          <w:spacing w:val="-2"/>
          <w:kern w:val="0"/>
          <w:szCs w:val="21"/>
          <w:highlight w:val="none"/>
        </w:rPr>
        <w:t>同</w:t>
      </w:r>
      <w:r>
        <w:rPr>
          <w:rFonts w:hint="eastAsia" w:ascii="宋体" w:hAnsi="宋体" w:cs="微软雅黑"/>
          <w:b/>
          <w:color w:val="auto"/>
          <w:kern w:val="0"/>
          <w:szCs w:val="21"/>
          <w:highlight w:val="none"/>
        </w:rPr>
        <w:t>文</w:t>
      </w:r>
      <w:r>
        <w:rPr>
          <w:rFonts w:hint="eastAsia" w:ascii="宋体" w:hAnsi="宋体" w:cs="微软雅黑"/>
          <w:b/>
          <w:color w:val="auto"/>
          <w:spacing w:val="-2"/>
          <w:kern w:val="0"/>
          <w:szCs w:val="21"/>
          <w:highlight w:val="none"/>
        </w:rPr>
        <w:t>件构成</w:t>
      </w:r>
    </w:p>
    <w:p>
      <w:pPr>
        <w:pStyle w:val="24"/>
        <w:snapToGrid w:val="0"/>
        <w:spacing w:line="360" w:lineRule="auto"/>
        <w:ind w:left="420" w:leftChars="200"/>
        <w:rPr>
          <w:rFonts w:hAnsi="宋体"/>
          <w:color w:val="auto"/>
          <w:sz w:val="21"/>
          <w:highlight w:val="none"/>
        </w:rPr>
      </w:pPr>
      <w:r>
        <w:rPr>
          <w:rFonts w:hint="eastAsia" w:hAnsi="宋体"/>
          <w:color w:val="auto"/>
          <w:sz w:val="21"/>
          <w:highlight w:val="none"/>
        </w:rPr>
        <w:t>1.政府采购合同；</w:t>
      </w:r>
    </w:p>
    <w:p>
      <w:pPr>
        <w:pStyle w:val="24"/>
        <w:snapToGrid w:val="0"/>
        <w:spacing w:line="360" w:lineRule="auto"/>
        <w:ind w:left="420" w:leftChars="200"/>
        <w:rPr>
          <w:rFonts w:hAnsi="宋体"/>
          <w:color w:val="auto"/>
          <w:sz w:val="21"/>
          <w:highlight w:val="none"/>
        </w:rPr>
      </w:pPr>
      <w:r>
        <w:rPr>
          <w:rFonts w:hint="eastAsia" w:hAnsi="宋体"/>
          <w:color w:val="auto"/>
          <w:sz w:val="21"/>
          <w:highlight w:val="none"/>
        </w:rPr>
        <w:t>2.中标（成交）通知书；</w:t>
      </w:r>
    </w:p>
    <w:p>
      <w:pPr>
        <w:pStyle w:val="24"/>
        <w:snapToGrid w:val="0"/>
        <w:spacing w:line="360" w:lineRule="auto"/>
        <w:ind w:left="420" w:leftChars="200"/>
        <w:rPr>
          <w:rFonts w:hAnsi="宋体"/>
          <w:color w:val="auto"/>
          <w:sz w:val="21"/>
          <w:highlight w:val="none"/>
        </w:rPr>
      </w:pPr>
      <w:r>
        <w:rPr>
          <w:rFonts w:hint="eastAsia" w:hAnsi="宋体"/>
          <w:color w:val="auto"/>
          <w:sz w:val="21"/>
          <w:highlight w:val="none"/>
        </w:rPr>
        <w:t>3.投标（响应）文件；</w:t>
      </w:r>
    </w:p>
    <w:p>
      <w:pPr>
        <w:pStyle w:val="24"/>
        <w:snapToGrid w:val="0"/>
        <w:spacing w:line="360" w:lineRule="auto"/>
        <w:ind w:left="420" w:leftChars="200"/>
        <w:rPr>
          <w:rFonts w:hAnsi="宋体"/>
          <w:color w:val="auto"/>
          <w:sz w:val="21"/>
          <w:highlight w:val="none"/>
        </w:rPr>
      </w:pPr>
      <w:r>
        <w:rPr>
          <w:rFonts w:hint="eastAsia" w:hAnsi="宋体"/>
          <w:color w:val="auto"/>
          <w:sz w:val="21"/>
          <w:highlight w:val="none"/>
        </w:rPr>
        <w:t>4.采购文件及更正公告（澄清或补充通知）；</w:t>
      </w:r>
    </w:p>
    <w:p>
      <w:pPr>
        <w:pStyle w:val="24"/>
        <w:snapToGrid w:val="0"/>
        <w:spacing w:line="360" w:lineRule="auto"/>
        <w:ind w:left="420" w:leftChars="200"/>
        <w:rPr>
          <w:rFonts w:hAnsi="宋体"/>
          <w:color w:val="auto"/>
          <w:sz w:val="21"/>
          <w:highlight w:val="none"/>
        </w:rPr>
      </w:pPr>
      <w:r>
        <w:rPr>
          <w:rFonts w:hint="eastAsia" w:hAnsi="宋体"/>
          <w:color w:val="auto"/>
          <w:sz w:val="21"/>
          <w:highlight w:val="none"/>
        </w:rPr>
        <w:t>5.标准、规范及有关技术文件；</w:t>
      </w:r>
    </w:p>
    <w:p>
      <w:pPr>
        <w:pStyle w:val="24"/>
        <w:snapToGrid w:val="0"/>
        <w:spacing w:line="360" w:lineRule="auto"/>
        <w:ind w:left="420" w:leftChars="200"/>
        <w:rPr>
          <w:rFonts w:hAnsi="宋体"/>
          <w:color w:val="auto"/>
          <w:sz w:val="21"/>
          <w:highlight w:val="none"/>
        </w:rPr>
      </w:pPr>
      <w:r>
        <w:rPr>
          <w:rFonts w:hint="eastAsia" w:hAnsi="宋体"/>
          <w:color w:val="auto"/>
          <w:sz w:val="21"/>
          <w:highlight w:val="none"/>
        </w:rPr>
        <w:t>6.双方约定的其他合同文件。</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上述合同文件互相补充和解释。如果合同文件之间存在矛盾或者不一致之处，以上述文件的排列顺序在先者为准。</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第十五条　知识产权和保密要求</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1.甲方在履行合同过程中提供给乙方的全部图纸、文件和其他含有数据和信息的资料，其知识产权属于甲方。</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2.除采购文件采购需求另有约定外，甲方不因签署和履行合同而享有乙方在履行合同过程中提供给甲方的图纸、文件、配套软件、电子辅助程序和其他含有数据和信息的资料的知识产权。</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6.乙方保证将要交付的货物的所有权完全属于乙方且无任何抵押、质押、查封等产权瑕疵。</w:t>
      </w:r>
    </w:p>
    <w:p>
      <w:pPr>
        <w:pStyle w:val="24"/>
        <w:snapToGrid w:val="0"/>
        <w:spacing w:line="360" w:lineRule="auto"/>
        <w:ind w:firstLine="413" w:firstLineChars="196"/>
        <w:rPr>
          <w:rFonts w:hAnsi="宋体"/>
          <w:b/>
          <w:color w:val="auto"/>
          <w:sz w:val="21"/>
          <w:highlight w:val="none"/>
        </w:rPr>
      </w:pPr>
      <w:r>
        <w:rPr>
          <w:rFonts w:hint="eastAsia" w:hAnsi="宋体"/>
          <w:b/>
          <w:color w:val="auto"/>
          <w:sz w:val="21"/>
          <w:highlight w:val="none"/>
        </w:rPr>
        <w:t>第十六条  合同生效及其它</w:t>
      </w:r>
    </w:p>
    <w:p>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1.合同经双方法定代表人或者委托代理人签字并加盖单位公章后生效（委托代理人签字的需后附授权委托书，格式自拟）。</w:t>
      </w:r>
    </w:p>
    <w:p>
      <w:pPr>
        <w:pStyle w:val="18"/>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2.合同执行中涉及采购资金和采购内容修改或者补充的，并签书面补充协议报财政部门备案，方可作为主合同不可分割的一部分。</w:t>
      </w:r>
    </w:p>
    <w:p>
      <w:pPr>
        <w:pStyle w:val="18"/>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3.合同生效后，甲乙双方不得因姓名、名称的变更或者法定代表人、负责人、承办人的变动而不履行合同义务。</w:t>
      </w:r>
    </w:p>
    <w:p>
      <w:pPr>
        <w:pStyle w:val="24"/>
        <w:snapToGrid w:val="0"/>
        <w:spacing w:line="360" w:lineRule="auto"/>
        <w:ind w:left="420" w:leftChars="200"/>
        <w:rPr>
          <w:rFonts w:hAnsi="宋体"/>
          <w:color w:val="auto"/>
          <w:sz w:val="21"/>
          <w:highlight w:val="none"/>
        </w:rPr>
      </w:pPr>
      <w:r>
        <w:rPr>
          <w:rFonts w:hint="eastAsia" w:hAnsi="宋体"/>
          <w:color w:val="auto"/>
          <w:sz w:val="21"/>
          <w:highlight w:val="none"/>
        </w:rPr>
        <w:t>4.本合同未尽事宜，按采购文件的要求和投标文件的承诺执行，如采购文件及投标文件均不涉及的，遵照《中华人民共和国民法典》有关条文执行。</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5.本合同一式六份，具有同等法律效力，采购代理机构一份，甲方三份，乙方二份。</w:t>
      </w:r>
    </w:p>
    <w:p>
      <w:pPr>
        <w:snapToGrid w:val="0"/>
        <w:jc w:val="center"/>
        <w:rPr>
          <w:rFonts w:ascii="宋体" w:hAnsi="宋体" w:cs="宋体"/>
          <w:color w:val="auto"/>
          <w:szCs w:val="21"/>
          <w:highlight w:val="none"/>
        </w:rPr>
      </w:pPr>
    </w:p>
    <w:p>
      <w:pPr>
        <w:snapToGrid w:val="0"/>
        <w:spacing w:line="360" w:lineRule="auto"/>
        <w:rPr>
          <w:rFonts w:ascii="宋体" w:hAnsi="宋体"/>
          <w:color w:val="auto"/>
          <w:szCs w:val="21"/>
          <w:highlight w:val="none"/>
        </w:rPr>
      </w:pPr>
    </w:p>
    <w:tbl>
      <w:tblPr>
        <w:tblStyle w:val="45"/>
        <w:tblW w:w="90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Layout w:type="fixed"/>
          <w:tblCellMar>
            <w:top w:w="0" w:type="dxa"/>
            <w:left w:w="108" w:type="dxa"/>
            <w:bottom w:w="0" w:type="dxa"/>
            <w:right w:w="108" w:type="dxa"/>
          </w:tblCellMar>
        </w:tblPrEx>
        <w:trPr>
          <w:cantSplit/>
          <w:trHeight w:val="1078" w:hRule="atLeast"/>
        </w:trPr>
        <w:tc>
          <w:tcPr>
            <w:tcW w:w="451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pPr>
              <w:snapToGrid w:val="0"/>
              <w:spacing w:line="360" w:lineRule="auto"/>
              <w:rPr>
                <w:rFonts w:ascii="宋体" w:hAnsi="宋体"/>
                <w:color w:val="auto"/>
                <w:szCs w:val="21"/>
                <w:highlight w:val="none"/>
              </w:rPr>
            </w:pPr>
          </w:p>
          <w:p>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pPr>
              <w:snapToGrid w:val="0"/>
              <w:spacing w:line="360" w:lineRule="auto"/>
              <w:rPr>
                <w:rFonts w:ascii="宋体" w:hAnsi="宋体"/>
                <w:color w:val="auto"/>
                <w:szCs w:val="21"/>
                <w:highlight w:val="none"/>
              </w:rPr>
            </w:pPr>
          </w:p>
          <w:p>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451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trPr>
        <w:tc>
          <w:tcPr>
            <w:tcW w:w="4516"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451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451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51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451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trPr>
        <w:tc>
          <w:tcPr>
            <w:tcW w:w="451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pPr>
        <w:snapToGrid w:val="0"/>
        <w:spacing w:line="360" w:lineRule="auto"/>
        <w:ind w:left="420" w:hanging="420" w:hangingChars="200"/>
        <w:rPr>
          <w:rFonts w:ascii="宋体" w:hAnsi="宋体"/>
          <w:color w:val="auto"/>
          <w:szCs w:val="21"/>
          <w:highlight w:val="none"/>
        </w:rPr>
      </w:pPr>
    </w:p>
    <w:p>
      <w:pPr>
        <w:pStyle w:val="18"/>
        <w:rPr>
          <w:color w:val="auto"/>
          <w:highlight w:val="none"/>
        </w:rPr>
      </w:pPr>
    </w:p>
    <w:p>
      <w:pPr>
        <w:pStyle w:val="18"/>
        <w:rPr>
          <w:color w:val="auto"/>
          <w:highlight w:val="none"/>
        </w:rPr>
      </w:pPr>
    </w:p>
    <w:p>
      <w:pPr>
        <w:snapToGrid w:val="0"/>
        <w:jc w:val="center"/>
        <w:rPr>
          <w:rFonts w:ascii="宋体" w:hAnsi="宋体"/>
          <w:bCs/>
          <w:color w:val="auto"/>
          <w:sz w:val="32"/>
          <w:szCs w:val="32"/>
          <w:highlight w:val="none"/>
        </w:rPr>
      </w:pPr>
      <w:r>
        <w:rPr>
          <w:rFonts w:ascii="宋体" w:hAnsi="宋体"/>
          <w:b/>
          <w:color w:val="auto"/>
          <w:sz w:val="32"/>
          <w:szCs w:val="32"/>
          <w:highlight w:val="none"/>
        </w:rPr>
        <w:br w:type="page"/>
      </w:r>
    </w:p>
    <w:bookmarkEnd w:id="146"/>
    <w:p>
      <w:pPr>
        <w:snapToGrid w:val="0"/>
        <w:spacing w:line="480" w:lineRule="auto"/>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pStyle w:val="3"/>
        <w:jc w:val="center"/>
        <w:rPr>
          <w:color w:val="auto"/>
          <w:highlight w:val="none"/>
        </w:rPr>
      </w:pPr>
      <w:bookmarkStart w:id="147" w:name="_Toc74320805"/>
      <w:r>
        <w:rPr>
          <w:rFonts w:hint="eastAsia"/>
          <w:color w:val="auto"/>
          <w:highlight w:val="none"/>
        </w:rPr>
        <w:t>第六章　投标文件格式</w:t>
      </w:r>
      <w:bookmarkEnd w:id="147"/>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120" w:beforeLines="50" w:after="50"/>
        <w:jc w:val="center"/>
        <w:outlineLvl w:val="1"/>
        <w:rPr>
          <w:rFonts w:ascii="宋体" w:hAnsi="宋体"/>
          <w:color w:val="auto"/>
          <w:highlight w:val="none"/>
        </w:rPr>
      </w:pPr>
    </w:p>
    <w:p>
      <w:pPr>
        <w:rPr>
          <w:b/>
          <w:color w:val="auto"/>
          <w:sz w:val="28"/>
          <w:szCs w:val="28"/>
          <w:highlight w:val="none"/>
        </w:rPr>
      </w:pPr>
      <w:bookmarkStart w:id="148" w:name="_Toc19686836"/>
      <w:bookmarkStart w:id="149" w:name="_Toc254970557"/>
      <w:bookmarkStart w:id="150" w:name="_Toc254970698"/>
      <w:r>
        <w:rPr>
          <w:rFonts w:hint="eastAsia"/>
          <w:b/>
          <w:color w:val="auto"/>
          <w:sz w:val="28"/>
          <w:szCs w:val="28"/>
          <w:highlight w:val="none"/>
        </w:rPr>
        <w:t>一、报价文件格式</w:t>
      </w:r>
      <w:bookmarkEnd w:id="148"/>
    </w:p>
    <w:p>
      <w:pPr>
        <w:snapToGrid w:val="0"/>
        <w:spacing w:before="120" w:beforeLines="50" w:after="50" w:line="360" w:lineRule="auto"/>
        <w:ind w:left="142"/>
        <w:jc w:val="left"/>
        <w:rPr>
          <w:rFonts w:ascii="宋体" w:hAnsi="宋体"/>
          <w:b/>
          <w:color w:val="auto"/>
          <w:sz w:val="24"/>
          <w:highlight w:val="none"/>
        </w:rPr>
      </w:pPr>
      <w:r>
        <w:rPr>
          <w:rFonts w:hint="eastAsia" w:ascii="宋体" w:hAnsi="宋体"/>
          <w:b/>
          <w:color w:val="auto"/>
          <w:sz w:val="24"/>
          <w:highlight w:val="none"/>
        </w:rPr>
        <w:t xml:space="preserve">1. 报价文件封面格式： </w:t>
      </w:r>
    </w:p>
    <w:p>
      <w:pPr>
        <w:snapToGrid w:val="0"/>
        <w:spacing w:before="120" w:beforeLines="50" w:after="50" w:line="360" w:lineRule="auto"/>
        <w:ind w:left="142"/>
        <w:jc w:val="center"/>
        <w:rPr>
          <w:rFonts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pPr>
        <w:snapToGrid w:val="0"/>
        <w:spacing w:before="120" w:beforeLines="50" w:after="50" w:line="400" w:lineRule="exact"/>
        <w:jc w:val="left"/>
        <w:rPr>
          <w:rFonts w:ascii="宋体" w:hAnsi="宋体" w:eastAsia="方正小标宋简体"/>
          <w:bCs/>
          <w:color w:val="auto"/>
          <w:sz w:val="48"/>
          <w:szCs w:val="48"/>
          <w:highlight w:val="none"/>
        </w:rPr>
      </w:pPr>
    </w:p>
    <w:p>
      <w:pPr>
        <w:snapToGrid w:val="0"/>
        <w:spacing w:before="120" w:beforeLines="50" w:after="50" w:line="4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报  价  文  件</w:t>
      </w: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pStyle w:val="7"/>
        <w:snapToGrid w:val="0"/>
        <w:spacing w:before="50" w:after="50" w:line="400" w:lineRule="exact"/>
        <w:ind w:firstLine="960" w:firstLineChars="400"/>
        <w:rPr>
          <w:rFonts w:ascii="宋体" w:hAnsi="宋体"/>
          <w:bCs/>
          <w:color w:val="auto"/>
          <w:sz w:val="24"/>
          <w:szCs w:val="24"/>
          <w:highlight w:val="none"/>
        </w:rPr>
      </w:pPr>
    </w:p>
    <w:p>
      <w:pPr>
        <w:snapToGrid w:val="0"/>
        <w:spacing w:before="120" w:beforeLines="50" w:after="50" w:line="400" w:lineRule="exact"/>
        <w:rPr>
          <w:rFonts w:ascii="宋体" w:hAnsi="宋体"/>
          <w:color w:val="auto"/>
          <w:sz w:val="30"/>
          <w:szCs w:val="20"/>
          <w:highlight w:val="none"/>
        </w:rPr>
      </w:pPr>
      <w:r>
        <w:rPr>
          <w:rFonts w:hint="eastAsia" w:ascii="宋体" w:hAnsi="宋体"/>
          <w:color w:val="auto"/>
          <w:sz w:val="24"/>
          <w:highlight w:val="none"/>
        </w:rPr>
        <w:t xml:space="preserve">                                   年  月  日</w:t>
      </w:r>
    </w:p>
    <w:p>
      <w:pPr>
        <w:snapToGrid w:val="0"/>
        <w:spacing w:before="120" w:beforeLines="50" w:after="50" w:line="360" w:lineRule="auto"/>
        <w:jc w:val="left"/>
        <w:rPr>
          <w:rFonts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pPr>
        <w:snapToGrid w:val="0"/>
        <w:spacing w:before="120" w:beforeLines="50" w:after="50"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pPr>
        <w:snapToGrid w:val="0"/>
        <w:spacing w:before="120" w:beforeLines="50" w:after="50" w:line="320" w:lineRule="exact"/>
        <w:rPr>
          <w:rFonts w:ascii="宋体" w:hAnsi="宋体"/>
          <w:b/>
          <w:color w:val="auto"/>
          <w:sz w:val="32"/>
          <w:szCs w:val="32"/>
          <w:highlight w:val="none"/>
        </w:rPr>
      </w:pPr>
    </w:p>
    <w:p>
      <w:pPr>
        <w:spacing w:line="360" w:lineRule="auto"/>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360" w:lineRule="auto"/>
        <w:ind w:firstLine="480"/>
        <w:contextualSpacing/>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（项目编号：）的招标文件，签字代表______（姓名）经正式授权并代表投标人（投标人名称）提交投标文件。</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据此函，我方宣布同意如下：</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3.本投标有效期自投标截止之日起日。</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9.与本项目有关的一切正式往来信函请寄：</w:t>
      </w:r>
    </w:p>
    <w:p>
      <w:pPr>
        <w:spacing w:line="360" w:lineRule="auto"/>
        <w:ind w:firstLine="480" w:firstLineChars="200"/>
        <w:contextualSpacing/>
        <w:rPr>
          <w:rFonts w:ascii="宋体" w:hAnsi="宋体"/>
          <w:color w:val="auto"/>
          <w:sz w:val="24"/>
          <w:highlight w:val="none"/>
          <w:u w:val="single"/>
        </w:rPr>
      </w:pPr>
      <w:r>
        <w:rPr>
          <w:rFonts w:hint="eastAsia" w:ascii="宋体" w:hAnsi="宋体"/>
          <w:color w:val="auto"/>
          <w:sz w:val="24"/>
          <w:highlight w:val="none"/>
        </w:rPr>
        <w:t>地址：邮编：</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联系人：电话：传真： 电子邮箱：</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投标人名称：</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开户银行：   银行账号：</w:t>
      </w:r>
    </w:p>
    <w:p>
      <w:pPr>
        <w:pStyle w:val="18"/>
        <w:rPr>
          <w:color w:val="auto"/>
          <w:highlight w:val="none"/>
        </w:rPr>
      </w:pP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pPr>
        <w:pStyle w:val="24"/>
        <w:spacing w:line="360" w:lineRule="auto"/>
        <w:contextualSpacing/>
        <w:jc w:val="center"/>
        <w:rPr>
          <w:rFonts w:hAnsi="宋体"/>
          <w:color w:val="auto"/>
          <w:sz w:val="24"/>
          <w:szCs w:val="24"/>
          <w:highlight w:val="none"/>
          <w:u w:val="single"/>
        </w:rPr>
      </w:pPr>
      <w:r>
        <w:rPr>
          <w:rFonts w:hint="eastAsia" w:hAnsi="宋体"/>
          <w:color w:val="auto"/>
          <w:sz w:val="24"/>
          <w:highlight w:val="none"/>
        </w:rPr>
        <w:t>投标人名称（电子签章）：</w:t>
      </w:r>
    </w:p>
    <w:p>
      <w:pPr>
        <w:pStyle w:val="24"/>
        <w:spacing w:line="360" w:lineRule="auto"/>
        <w:contextualSpacing/>
        <w:rPr>
          <w:rFonts w:hAnsi="宋体"/>
          <w:color w:val="auto"/>
          <w:sz w:val="24"/>
          <w:highlight w:val="none"/>
        </w:rPr>
      </w:pPr>
      <w:r>
        <w:rPr>
          <w:rFonts w:hint="eastAsia" w:hAnsi="宋体"/>
          <w:color w:val="auto"/>
          <w:sz w:val="24"/>
          <w:szCs w:val="24"/>
          <w:highlight w:val="none"/>
        </w:rPr>
        <w:t>年月日</w:t>
      </w:r>
    </w:p>
    <w:p>
      <w:pPr>
        <w:snapToGrid w:val="0"/>
        <w:spacing w:before="120" w:beforeLines="50" w:after="50"/>
        <w:jc w:val="left"/>
        <w:rPr>
          <w:rFonts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w:t>
      </w:r>
    </w:p>
    <w:p>
      <w:pPr>
        <w:snapToGrid w:val="0"/>
        <w:spacing w:before="50" w:after="50"/>
        <w:jc w:val="center"/>
        <w:rPr>
          <w:rFonts w:ascii="宋体" w:hAnsi="宋体"/>
          <w:b/>
          <w:color w:val="auto"/>
          <w:sz w:val="30"/>
          <w:highlight w:val="none"/>
        </w:rPr>
      </w:pPr>
      <w:r>
        <w:rPr>
          <w:rFonts w:hint="eastAsia" w:ascii="宋体" w:hAnsi="宋体"/>
          <w:b/>
          <w:color w:val="auto"/>
          <w:sz w:val="30"/>
          <w:highlight w:val="none"/>
        </w:rPr>
        <w:t>开标一览表</w:t>
      </w:r>
    </w:p>
    <w:p>
      <w:pPr>
        <w:snapToGrid w:val="0"/>
        <w:spacing w:before="50" w:after="50"/>
        <w:jc w:val="center"/>
        <w:rPr>
          <w:rFonts w:ascii="宋体" w:hAnsi="宋体"/>
          <w:b/>
          <w:color w:val="auto"/>
          <w:sz w:val="30"/>
          <w:szCs w:val="20"/>
          <w:highlight w:val="none"/>
        </w:rPr>
      </w:pPr>
    </w:p>
    <w:p>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项目名称：项目编号：         分标：</w:t>
      </w:r>
    </w:p>
    <w:p>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投标人名称：                       单位：元</w:t>
      </w:r>
    </w:p>
    <w:tbl>
      <w:tblPr>
        <w:tblStyle w:val="45"/>
        <w:tblW w:w="87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2295"/>
        <w:gridCol w:w="698"/>
        <w:gridCol w:w="1662"/>
        <w:gridCol w:w="698"/>
        <w:gridCol w:w="26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6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229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标的的名称</w:t>
            </w:r>
          </w:p>
        </w:tc>
        <w:tc>
          <w:tcPr>
            <w:tcW w:w="6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品牌</w:t>
            </w:r>
          </w:p>
        </w:tc>
        <w:tc>
          <w:tcPr>
            <w:tcW w:w="166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数量及单位①</w:t>
            </w:r>
          </w:p>
        </w:tc>
        <w:tc>
          <w:tcPr>
            <w:tcW w:w="6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单价</w:t>
            </w:r>
          </w:p>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②</w:t>
            </w:r>
          </w:p>
        </w:tc>
        <w:tc>
          <w:tcPr>
            <w:tcW w:w="266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投标报价</w:t>
            </w:r>
          </w:p>
          <w:p>
            <w:pPr>
              <w:snapToGrid w:val="0"/>
              <w:spacing w:before="50" w:after="50" w:line="360" w:lineRule="auto"/>
              <w:jc w:val="center"/>
              <w:rPr>
                <w:rFonts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1" w:hRule="atLeast"/>
          <w:jc w:val="center"/>
        </w:trPr>
        <w:tc>
          <w:tcPr>
            <w:tcW w:w="6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1</w:t>
            </w:r>
          </w:p>
        </w:tc>
        <w:tc>
          <w:tcPr>
            <w:tcW w:w="229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b/>
                <w:color w:val="auto"/>
                <w:sz w:val="24"/>
                <w:highlight w:val="none"/>
              </w:rPr>
            </w:pPr>
          </w:p>
        </w:tc>
        <w:tc>
          <w:tcPr>
            <w:tcW w:w="6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rPr>
                <w:rFonts w:ascii="宋体" w:hAnsi="宋体"/>
                <w:color w:val="auto"/>
                <w:sz w:val="24"/>
                <w:highlight w:val="none"/>
              </w:rPr>
            </w:pPr>
          </w:p>
        </w:tc>
        <w:tc>
          <w:tcPr>
            <w:tcW w:w="166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rPr>
                <w:rFonts w:ascii="宋体" w:hAnsi="宋体"/>
                <w:color w:val="auto"/>
                <w:sz w:val="24"/>
                <w:highlight w:val="none"/>
              </w:rPr>
            </w:pPr>
          </w:p>
        </w:tc>
        <w:tc>
          <w:tcPr>
            <w:tcW w:w="6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rPr>
                <w:rFonts w:ascii="宋体" w:hAnsi="宋体"/>
                <w:color w:val="auto"/>
                <w:sz w:val="24"/>
                <w:highlight w:val="none"/>
              </w:rPr>
            </w:pPr>
          </w:p>
        </w:tc>
        <w:tc>
          <w:tcPr>
            <w:tcW w:w="266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2" w:hRule="atLeast"/>
          <w:jc w:val="center"/>
        </w:trPr>
        <w:tc>
          <w:tcPr>
            <w:tcW w:w="6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2</w:t>
            </w:r>
          </w:p>
        </w:tc>
        <w:tc>
          <w:tcPr>
            <w:tcW w:w="229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b/>
                <w:color w:val="auto"/>
                <w:sz w:val="24"/>
                <w:highlight w:val="none"/>
              </w:rPr>
            </w:pPr>
          </w:p>
        </w:tc>
        <w:tc>
          <w:tcPr>
            <w:tcW w:w="6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rPr>
                <w:rFonts w:ascii="宋体" w:hAnsi="宋体"/>
                <w:color w:val="auto"/>
                <w:sz w:val="24"/>
                <w:highlight w:val="none"/>
              </w:rPr>
            </w:pPr>
          </w:p>
        </w:tc>
        <w:tc>
          <w:tcPr>
            <w:tcW w:w="166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rPr>
                <w:rFonts w:ascii="宋体" w:hAnsi="宋体"/>
                <w:color w:val="auto"/>
                <w:sz w:val="24"/>
                <w:highlight w:val="none"/>
              </w:rPr>
            </w:pPr>
          </w:p>
        </w:tc>
        <w:tc>
          <w:tcPr>
            <w:tcW w:w="6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rPr>
                <w:rFonts w:ascii="宋体" w:hAnsi="宋体"/>
                <w:color w:val="auto"/>
                <w:sz w:val="24"/>
                <w:highlight w:val="none"/>
              </w:rPr>
            </w:pPr>
          </w:p>
        </w:tc>
        <w:tc>
          <w:tcPr>
            <w:tcW w:w="266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jc w:val="center"/>
        </w:trPr>
        <w:tc>
          <w:tcPr>
            <w:tcW w:w="6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229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6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rPr>
                <w:rFonts w:ascii="宋体" w:hAnsi="宋体"/>
                <w:color w:val="auto"/>
                <w:sz w:val="24"/>
                <w:highlight w:val="none"/>
              </w:rPr>
            </w:pPr>
          </w:p>
        </w:tc>
        <w:tc>
          <w:tcPr>
            <w:tcW w:w="166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rPr>
                <w:rFonts w:ascii="宋体" w:hAnsi="宋体"/>
                <w:color w:val="auto"/>
                <w:sz w:val="24"/>
                <w:highlight w:val="none"/>
              </w:rPr>
            </w:pPr>
          </w:p>
        </w:tc>
        <w:tc>
          <w:tcPr>
            <w:tcW w:w="6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rPr>
                <w:rFonts w:ascii="宋体" w:hAnsi="宋体"/>
                <w:color w:val="auto"/>
                <w:sz w:val="24"/>
                <w:highlight w:val="none"/>
              </w:rPr>
            </w:pPr>
          </w:p>
        </w:tc>
        <w:tc>
          <w:tcPr>
            <w:tcW w:w="266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jc w:val="center"/>
        </w:trPr>
        <w:tc>
          <w:tcPr>
            <w:tcW w:w="8720" w:type="dxa"/>
            <w:gridSpan w:val="6"/>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rPr>
                <w:rFonts w:ascii="宋体" w:hAnsi="宋体"/>
                <w:color w:val="auto"/>
                <w:sz w:val="24"/>
                <w:highlight w:val="none"/>
              </w:rPr>
            </w:pPr>
            <w:r>
              <w:rPr>
                <w:rFonts w:hint="eastAsia" w:ascii="宋体" w:hAnsi="宋体" w:cs="仿宋_GB2312"/>
                <w:color w:val="auto"/>
                <w:sz w:val="24"/>
                <w:highlight w:val="none"/>
              </w:rPr>
              <w:t>合计金额大写：人民币（¥）</w:t>
            </w: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注： </w:t>
      </w:r>
    </w:p>
    <w:p>
      <w:pPr>
        <w:snapToGrid w:val="0"/>
        <w:spacing w:line="360" w:lineRule="auto"/>
        <w:ind w:firstLine="480" w:firstLineChars="200"/>
        <w:jc w:val="left"/>
        <w:rPr>
          <w:rFonts w:ascii="宋体" w:hAnsi="宋体"/>
          <w:b/>
          <w:color w:val="auto"/>
          <w:sz w:val="24"/>
          <w:highlight w:val="none"/>
        </w:rPr>
      </w:pPr>
      <w:r>
        <w:rPr>
          <w:rFonts w:hint="eastAsia" w:ascii="宋体" w:hAnsi="宋体"/>
          <w:bCs/>
          <w:color w:val="auto"/>
          <w:sz w:val="24"/>
          <w:highlight w:val="none"/>
        </w:rPr>
        <w:t>1.</w:t>
      </w:r>
      <w:r>
        <w:rPr>
          <w:rFonts w:hint="eastAsia" w:ascii="宋体" w:hAnsi="宋体"/>
          <w:color w:val="auto"/>
          <w:sz w:val="24"/>
          <w:highlight w:val="none"/>
        </w:rPr>
        <w:t>报价一经涂改，应在涂改处加盖投标人公章</w:t>
      </w:r>
      <w:r>
        <w:rPr>
          <w:rFonts w:hint="eastAsia" w:ascii="宋体" w:hAnsi="宋体" w:cs="仿宋_GB2312"/>
          <w:color w:val="auto"/>
          <w:sz w:val="24"/>
          <w:highlight w:val="none"/>
        </w:rPr>
        <w:t>或者加盖电子签章</w:t>
      </w:r>
      <w:r>
        <w:rPr>
          <w:rFonts w:hint="eastAsia" w:ascii="宋体" w:hAnsi="宋体"/>
          <w:color w:val="auto"/>
          <w:sz w:val="24"/>
          <w:highlight w:val="none"/>
        </w:rPr>
        <w:t>或者由法定代表人或者委托代理人签字（或者电子签名）</w:t>
      </w:r>
      <w:r>
        <w:rPr>
          <w:rFonts w:hint="eastAsia" w:ascii="宋体" w:hAnsi="宋体"/>
          <w:b/>
          <w:color w:val="auto"/>
          <w:sz w:val="24"/>
          <w:highlight w:val="none"/>
        </w:rPr>
        <w:t>，否则其投标作无效标处理。</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2.招标文件中列明采购专用耗材的，应按招标文件规定的耗材量或者按耗材的常规试用量提供报价。</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3.如为联合体投标，“投标人名称”处必须列明联合体各方名称，并标注联合体牵头人名称，</w:t>
      </w:r>
      <w:r>
        <w:rPr>
          <w:rFonts w:hint="eastAsia" w:ascii="宋体" w:hAnsi="宋体"/>
          <w:b/>
          <w:color w:val="auto"/>
          <w:sz w:val="24"/>
          <w:highlight w:val="none"/>
        </w:rPr>
        <w:t>否则其投标作无效标处理。</w:t>
      </w:r>
    </w:p>
    <w:p>
      <w:pPr>
        <w:snapToGrid w:val="0"/>
        <w:spacing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4.如为联合体投标，盖章处须加盖联合体牵头人电子签章，</w:t>
      </w:r>
      <w:r>
        <w:rPr>
          <w:rFonts w:hint="eastAsia" w:ascii="宋体" w:hAnsi="宋体"/>
          <w:b/>
          <w:color w:val="auto"/>
          <w:spacing w:val="-6"/>
          <w:sz w:val="24"/>
          <w:highlight w:val="none"/>
        </w:rPr>
        <w:t>否则其投标作无效标处理。</w:t>
      </w:r>
    </w:p>
    <w:p>
      <w:pPr>
        <w:snapToGrid w:val="0"/>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5.如有多分标，按分标分别提供开标一览表，</w:t>
      </w:r>
      <w:r>
        <w:rPr>
          <w:rFonts w:hint="eastAsia" w:ascii="宋体" w:hAnsi="宋体"/>
          <w:b/>
          <w:color w:val="auto"/>
          <w:sz w:val="24"/>
          <w:highlight w:val="none"/>
        </w:rPr>
        <w:t>否则投标无效。</w:t>
      </w:r>
    </w:p>
    <w:p>
      <w:pPr>
        <w:pStyle w:val="18"/>
        <w:rPr>
          <w:color w:val="auto"/>
          <w:highlight w:val="none"/>
        </w:rPr>
      </w:pPr>
    </w:p>
    <w:p>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投标人名称（电子签章）：</w:t>
      </w:r>
    </w:p>
    <w:p>
      <w:pPr>
        <w:snapToGrid w:val="0"/>
        <w:spacing w:line="360" w:lineRule="auto"/>
        <w:ind w:left="-3" w:leftChars="-15" w:right="-817" w:rightChars="-389" w:hanging="28" w:hangingChars="12"/>
        <w:rPr>
          <w:rFonts w:ascii="宋体" w:hAnsi="宋体"/>
          <w:color w:val="auto"/>
          <w:szCs w:val="21"/>
          <w:highlight w:val="none"/>
        </w:rPr>
      </w:pPr>
      <w:r>
        <w:rPr>
          <w:rFonts w:hint="eastAsia" w:ascii="宋体" w:hAnsi="宋体"/>
          <w:color w:val="auto"/>
          <w:sz w:val="24"/>
          <w:highlight w:val="none"/>
        </w:rPr>
        <w:t xml:space="preserve">                                  日期：    年   月   日</w:t>
      </w:r>
    </w:p>
    <w:p>
      <w:pPr>
        <w:rPr>
          <w:b/>
          <w:color w:val="auto"/>
          <w:sz w:val="28"/>
          <w:szCs w:val="28"/>
          <w:highlight w:val="none"/>
        </w:rPr>
      </w:pPr>
      <w:r>
        <w:rPr>
          <w:rFonts w:ascii="宋体" w:hAnsi="宋体"/>
          <w:b/>
          <w:bCs/>
          <w:color w:val="auto"/>
          <w:sz w:val="24"/>
          <w:highlight w:val="none"/>
        </w:rPr>
        <w:br w:type="page"/>
      </w:r>
      <w:bookmarkStart w:id="151" w:name="_Toc19686837"/>
      <w:r>
        <w:rPr>
          <w:rFonts w:hint="eastAsia"/>
          <w:b/>
          <w:color w:val="auto"/>
          <w:sz w:val="28"/>
          <w:szCs w:val="28"/>
          <w:highlight w:val="none"/>
        </w:rPr>
        <w:t>二、资格证明文件格式</w:t>
      </w:r>
      <w:bookmarkEnd w:id="149"/>
      <w:bookmarkEnd w:id="150"/>
      <w:bookmarkEnd w:id="151"/>
    </w:p>
    <w:p>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1.资格证明文件封面格式： </w:t>
      </w:r>
    </w:p>
    <w:p>
      <w:pPr>
        <w:snapToGrid w:val="0"/>
        <w:spacing w:before="120" w:beforeLines="50" w:after="50"/>
        <w:jc w:val="center"/>
        <w:rPr>
          <w:rFonts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pPr>
        <w:pStyle w:val="7"/>
        <w:snapToGrid w:val="0"/>
        <w:spacing w:before="50" w:after="50"/>
        <w:ind w:firstLine="540" w:firstLineChars="225"/>
        <w:rPr>
          <w:rFonts w:ascii="宋体" w:hAnsi="宋体"/>
          <w:bCs/>
          <w:color w:val="auto"/>
          <w:sz w:val="24"/>
          <w:szCs w:val="24"/>
          <w:highlight w:val="none"/>
        </w:rPr>
      </w:pPr>
    </w:p>
    <w:p>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7"/>
        <w:snapToGrid w:val="0"/>
        <w:spacing w:before="50" w:after="50"/>
        <w:ind w:firstLine="540" w:firstLineChars="225"/>
        <w:rPr>
          <w:rFonts w:ascii="宋体" w:hAnsi="宋体"/>
          <w:bCs/>
          <w:color w:val="auto"/>
          <w:sz w:val="24"/>
          <w:szCs w:val="24"/>
          <w:highlight w:val="none"/>
        </w:rPr>
      </w:pPr>
    </w:p>
    <w:p>
      <w:pPr>
        <w:pStyle w:val="7"/>
        <w:snapToGrid w:val="0"/>
        <w:spacing w:before="50" w:after="50"/>
        <w:ind w:firstLine="960" w:firstLineChars="400"/>
        <w:rPr>
          <w:rFonts w:ascii="宋体" w:hAnsi="宋体"/>
          <w:bCs/>
          <w:color w:val="auto"/>
          <w:sz w:val="24"/>
          <w:szCs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line="360" w:lineRule="auto"/>
        <w:jc w:val="left"/>
        <w:rPr>
          <w:rFonts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2.资格证明文件目录</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pPr>
        <w:snapToGrid w:val="0"/>
        <w:spacing w:before="50" w:after="120" w:afterLines="50"/>
        <w:jc w:val="left"/>
        <w:rPr>
          <w:rFonts w:ascii="宋体" w:hAnsi="宋体"/>
          <w:color w:val="auto"/>
          <w:sz w:val="24"/>
          <w:highlight w:val="none"/>
        </w:rPr>
      </w:pPr>
    </w:p>
    <w:p>
      <w:pPr>
        <w:snapToGrid w:val="0"/>
        <w:spacing w:before="50" w:after="120" w:afterLines="50"/>
        <w:jc w:val="left"/>
        <w:rPr>
          <w:rFonts w:ascii="宋体" w:hAnsi="宋体"/>
          <w:color w:val="auto"/>
          <w:sz w:val="24"/>
          <w:highlight w:val="none"/>
        </w:rPr>
      </w:pPr>
    </w:p>
    <w:p>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w:t>
      </w:r>
      <w:r>
        <w:rPr>
          <w:rFonts w:hint="eastAsia" w:ascii="宋体" w:hAnsi="宋体"/>
          <w:b/>
          <w:color w:val="auto"/>
          <w:sz w:val="28"/>
          <w:szCs w:val="28"/>
          <w:highlight w:val="none"/>
        </w:rPr>
        <w:t>投标人直接控股股东信息表</w:t>
      </w:r>
    </w:p>
    <w:p>
      <w:pPr>
        <w:snapToGrid w:val="0"/>
        <w:spacing w:before="50" w:after="120" w:afterLines="50"/>
        <w:jc w:val="center"/>
        <w:rPr>
          <w:rFonts w:ascii="宋体" w:hAnsi="宋体"/>
          <w:b/>
          <w:color w:val="auto"/>
          <w:sz w:val="28"/>
          <w:szCs w:val="28"/>
          <w:highlight w:val="none"/>
        </w:rPr>
      </w:pPr>
    </w:p>
    <w:p>
      <w:pPr>
        <w:snapToGrid w:val="0"/>
        <w:spacing w:before="50" w:after="12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45"/>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Layout w:type="fixed"/>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投标人名称（电子签章）：</w:t>
      </w:r>
    </w:p>
    <w:p>
      <w:pPr>
        <w:snapToGrid w:val="0"/>
        <w:spacing w:line="360" w:lineRule="auto"/>
        <w:jc w:val="left"/>
        <w:rPr>
          <w:rFonts w:ascii="宋体" w:hAnsi="宋体"/>
          <w:color w:val="auto"/>
          <w:szCs w:val="21"/>
          <w:highlight w:val="none"/>
        </w:rPr>
      </w:pPr>
      <w:r>
        <w:rPr>
          <w:rFonts w:hint="eastAsia" w:ascii="宋体" w:hAnsi="宋体"/>
          <w:color w:val="auto"/>
          <w:sz w:val="24"/>
          <w:highlight w:val="none"/>
        </w:rPr>
        <w:t xml:space="preserve">                                    日期：    年   月   日</w:t>
      </w:r>
    </w:p>
    <w:p>
      <w:pPr>
        <w:snapToGrid w:val="0"/>
        <w:jc w:val="center"/>
        <w:rPr>
          <w:rFonts w:ascii="宋体" w:hAnsi="宋体"/>
          <w:b/>
          <w:color w:val="auto"/>
          <w:sz w:val="28"/>
          <w:szCs w:val="28"/>
          <w:highlight w:val="none"/>
        </w:rPr>
      </w:pPr>
    </w:p>
    <w:p>
      <w:pPr>
        <w:snapToGrid w:val="0"/>
        <w:spacing w:line="360" w:lineRule="auto"/>
        <w:jc w:val="left"/>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24"/>
          <w:highlight w:val="none"/>
        </w:rPr>
        <w:t>4.</w:t>
      </w:r>
      <w:r>
        <w:rPr>
          <w:rFonts w:hint="eastAsia" w:ascii="宋体" w:hAnsi="宋体"/>
          <w:b/>
          <w:color w:val="auto"/>
          <w:sz w:val="28"/>
          <w:szCs w:val="28"/>
          <w:highlight w:val="none"/>
        </w:rPr>
        <w:t>投标人直接管理关系信息表</w:t>
      </w:r>
    </w:p>
    <w:p>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45"/>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Layout w:type="fixed"/>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color w:val="auto"/>
          <w:sz w:val="24"/>
          <w:highlight w:val="none"/>
        </w:rPr>
      </w:pPr>
    </w:p>
    <w:p>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投标人名称（电子签章）：</w:t>
      </w:r>
    </w:p>
    <w:p>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pPr>
        <w:snapToGrid w:val="0"/>
        <w:spacing w:before="120" w:beforeLines="50" w:after="50"/>
        <w:jc w:val="left"/>
        <w:rPr>
          <w:rFonts w:ascii="宋体" w:hAnsi="宋体"/>
          <w:b/>
          <w:color w:val="auto"/>
          <w:sz w:val="24"/>
          <w:szCs w:val="20"/>
          <w:highlight w:val="none"/>
        </w:rPr>
      </w:pPr>
    </w:p>
    <w:p>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5.投标声明</w:t>
      </w:r>
    </w:p>
    <w:p>
      <w:pPr>
        <w:snapToGrid w:val="0"/>
        <w:spacing w:before="50" w:after="120" w:afterLines="50"/>
        <w:jc w:val="left"/>
        <w:rPr>
          <w:rFonts w:ascii="宋体" w:hAnsi="宋体"/>
          <w:color w:val="auto"/>
          <w:highlight w:val="none"/>
        </w:rPr>
      </w:pPr>
    </w:p>
    <w:p>
      <w:pPr>
        <w:snapToGrid w:val="0"/>
        <w:spacing w:before="50" w:after="120" w:afterLines="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pPr>
        <w:spacing w:line="400" w:lineRule="exact"/>
        <w:contextualSpacing/>
        <w:jc w:val="left"/>
        <w:rPr>
          <w:color w:val="auto"/>
          <w:sz w:val="24"/>
          <w:highlight w:val="none"/>
        </w:rPr>
      </w:pPr>
      <w:r>
        <w:rPr>
          <w:rFonts w:hint="eastAsia"/>
          <w:color w:val="auto"/>
          <w:sz w:val="24"/>
          <w:highlight w:val="none"/>
        </w:rPr>
        <w:t>（采购人名称）：</w:t>
      </w:r>
    </w:p>
    <w:p>
      <w:pPr>
        <w:spacing w:line="400" w:lineRule="exact"/>
        <w:ind w:firstLine="523" w:firstLineChars="218"/>
        <w:contextualSpacing/>
        <w:jc w:val="left"/>
        <w:rPr>
          <w:rFonts w:ascii="宋体" w:hAnsi="宋体"/>
          <w:color w:val="auto"/>
          <w:sz w:val="24"/>
          <w:highlight w:val="none"/>
        </w:rPr>
      </w:pPr>
      <w:r>
        <w:rPr>
          <w:rFonts w:hint="eastAsia" w:ascii="宋体" w:hAnsi="宋体"/>
          <w:color w:val="auto"/>
          <w:sz w:val="24"/>
          <w:highlight w:val="none"/>
        </w:rPr>
        <w:t>我方参加贵单位组织项目（项目编号：）的政府采购活动。我方在此郑重声明：</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（六）法律、行政法规规定的其他条件。</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pPr>
        <w:snapToGrid w:val="0"/>
        <w:spacing w:before="50" w:after="50"/>
        <w:rPr>
          <w:rFonts w:ascii="宋体" w:hAnsi="宋体"/>
          <w:color w:val="auto"/>
          <w:sz w:val="24"/>
          <w:highlight w:val="none"/>
        </w:rPr>
      </w:pPr>
    </w:p>
    <w:p>
      <w:pPr>
        <w:snapToGrid w:val="0"/>
        <w:spacing w:before="50" w:after="50"/>
        <w:ind w:firstLine="840" w:firstLineChars="350"/>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p>
    <w:p>
      <w:pPr>
        <w:spacing w:line="400" w:lineRule="exact"/>
        <w:contextualSpacing/>
        <w:jc w:val="left"/>
        <w:rPr>
          <w:rFonts w:ascii="宋体" w:hAnsi="宋体"/>
          <w:color w:val="auto"/>
          <w:sz w:val="24"/>
          <w:highlight w:val="none"/>
        </w:rPr>
      </w:pP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投标人名称（电子签章）：</w:t>
      </w:r>
    </w:p>
    <w:p>
      <w:pPr>
        <w:spacing w:line="400" w:lineRule="exact"/>
        <w:contextualSpacing/>
        <w:jc w:val="left"/>
        <w:rPr>
          <w:rFonts w:ascii="宋体" w:hAnsi="宋体"/>
          <w:color w:val="auto"/>
          <w:highlight w:val="none"/>
        </w:rPr>
      </w:pPr>
      <w:r>
        <w:rPr>
          <w:rFonts w:hint="eastAsia" w:ascii="宋体" w:hAnsi="宋体"/>
          <w:color w:val="auto"/>
          <w:sz w:val="24"/>
          <w:highlight w:val="none"/>
        </w:rPr>
        <w:t xml:space="preserve">                                                  年    月    日</w:t>
      </w:r>
    </w:p>
    <w:p>
      <w:pPr>
        <w:spacing w:line="440" w:lineRule="exact"/>
        <w:contextualSpacing/>
        <w:rPr>
          <w:rFonts w:ascii="宋体" w:hAnsi="宋体"/>
          <w:b/>
          <w:color w:val="auto"/>
          <w:sz w:val="24"/>
          <w:highlight w:val="none"/>
        </w:rPr>
      </w:pPr>
      <w:bookmarkStart w:id="152" w:name="_Toc19686838"/>
      <w:r>
        <w:rPr>
          <w:rFonts w:hint="eastAsia" w:ascii="宋体" w:hAnsi="宋体"/>
          <w:b/>
          <w:color w:val="auto"/>
          <w:sz w:val="24"/>
          <w:highlight w:val="none"/>
        </w:rPr>
        <w:t>注：如为联合体投标，盖章处须加盖联合体牵头人电子签章并由联合体牵头人法定代表人签字或者盖章或者电子签名，否则投标无效。</w:t>
      </w:r>
    </w:p>
    <w:p>
      <w:pPr>
        <w:rPr>
          <w:b/>
          <w:color w:val="auto"/>
          <w:sz w:val="28"/>
          <w:szCs w:val="28"/>
          <w:highlight w:val="none"/>
        </w:rPr>
      </w:pPr>
      <w:r>
        <w:rPr>
          <w:b/>
          <w:color w:val="auto"/>
          <w:sz w:val="28"/>
          <w:szCs w:val="28"/>
          <w:highlight w:val="none"/>
        </w:rPr>
        <w:br w:type="page"/>
      </w:r>
      <w:r>
        <w:rPr>
          <w:rFonts w:hint="eastAsia"/>
          <w:b/>
          <w:color w:val="auto"/>
          <w:sz w:val="28"/>
          <w:szCs w:val="28"/>
          <w:highlight w:val="none"/>
        </w:rPr>
        <w:t>三、商务及技术文件格式</w:t>
      </w:r>
      <w:bookmarkEnd w:id="152"/>
    </w:p>
    <w:p>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1.商务及技术文件封面格式： </w:t>
      </w:r>
    </w:p>
    <w:p>
      <w:pPr>
        <w:snapToGrid w:val="0"/>
        <w:spacing w:before="120" w:beforeLines="50" w:after="50"/>
        <w:jc w:val="center"/>
        <w:rPr>
          <w:rFonts w:ascii="宋体" w:hAnsi="宋体"/>
          <w:color w:val="auto"/>
          <w:sz w:val="24"/>
          <w:highlight w:val="none"/>
        </w:rPr>
      </w:pPr>
      <w:r>
        <w:rPr>
          <w:rFonts w:hint="eastAsia" w:ascii="宋体" w:hAnsi="宋体" w:eastAsia="方正小标宋简体"/>
          <w:bCs/>
          <w:color w:val="auto"/>
          <w:sz w:val="48"/>
          <w:szCs w:val="48"/>
          <w:highlight w:val="none"/>
        </w:rPr>
        <w:t>电子投标文件</w:t>
      </w: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商务及技术文件</w:t>
      </w:r>
    </w:p>
    <w:p>
      <w:pPr>
        <w:snapToGrid w:val="0"/>
        <w:spacing w:before="120" w:beforeLines="50" w:after="50"/>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ind w:firstLine="540" w:firstLineChars="225"/>
        <w:rPr>
          <w:rFonts w:ascii="宋体" w:hAnsi="宋体"/>
          <w:bCs/>
          <w:color w:val="auto"/>
          <w:sz w:val="24"/>
          <w:szCs w:val="20"/>
          <w:highlight w:val="none"/>
        </w:rPr>
      </w:pPr>
    </w:p>
    <w:p>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7"/>
        <w:snapToGrid w:val="0"/>
        <w:spacing w:before="50" w:after="50"/>
        <w:ind w:firstLine="540" w:firstLineChars="225"/>
        <w:rPr>
          <w:rFonts w:ascii="宋体" w:hAnsi="宋体"/>
          <w:bCs/>
          <w:color w:val="auto"/>
          <w:sz w:val="24"/>
          <w:szCs w:val="24"/>
          <w:highlight w:val="none"/>
        </w:rPr>
      </w:pPr>
    </w:p>
    <w:p>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pPr>
        <w:pStyle w:val="7"/>
        <w:snapToGrid w:val="0"/>
        <w:spacing w:before="50" w:after="50"/>
        <w:ind w:firstLine="960" w:firstLineChars="400"/>
        <w:rPr>
          <w:rFonts w:ascii="宋体" w:hAnsi="宋体"/>
          <w:bCs/>
          <w:color w:val="auto"/>
          <w:sz w:val="24"/>
          <w:szCs w:val="24"/>
          <w:highlight w:val="none"/>
        </w:rPr>
      </w:pPr>
    </w:p>
    <w:p>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rPr>
          <w:rFonts w:ascii="宋体" w:hAnsi="宋体"/>
          <w:color w:val="auto"/>
          <w:sz w:val="24"/>
          <w:szCs w:val="20"/>
          <w:highlight w:val="none"/>
        </w:rPr>
      </w:pPr>
    </w:p>
    <w:p>
      <w:pPr>
        <w:snapToGrid w:val="0"/>
        <w:spacing w:line="360" w:lineRule="auto"/>
        <w:jc w:val="left"/>
        <w:rPr>
          <w:rFonts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2.商务及技术文件目录</w:t>
      </w:r>
    </w:p>
    <w:p>
      <w:pPr>
        <w:snapToGrid w:val="0"/>
        <w:spacing w:before="50" w:after="120" w:afterLines="50" w:line="360" w:lineRule="auto"/>
        <w:ind w:firstLine="560" w:firstLineChars="200"/>
        <w:jc w:val="left"/>
        <w:rPr>
          <w:rFonts w:ascii="微软雅黑" w:hAnsi="微软雅黑" w:eastAsia="微软雅黑"/>
          <w:b/>
          <w:bCs/>
          <w:color w:val="auto"/>
          <w:sz w:val="32"/>
          <w:szCs w:val="32"/>
          <w:highlight w:val="none"/>
        </w:rPr>
      </w:pPr>
      <w:r>
        <w:rPr>
          <w:rFonts w:hint="eastAsia" w:ascii="宋体" w:hAnsi="宋体"/>
          <w:color w:val="auto"/>
          <w:sz w:val="28"/>
          <w:szCs w:val="28"/>
          <w:highlight w:val="none"/>
        </w:rPr>
        <w:t>根据招标文件规定及投标人提供的材料自行编写目录。</w:t>
      </w:r>
    </w:p>
    <w:p>
      <w:pPr>
        <w:snapToGrid w:val="0"/>
        <w:spacing w:before="50" w:after="120" w:afterLines="50"/>
        <w:jc w:val="left"/>
        <w:rPr>
          <w:rFonts w:ascii="宋体" w:hAnsi="宋体"/>
          <w:color w:val="auto"/>
          <w:highlight w:val="none"/>
        </w:rPr>
      </w:pPr>
    </w:p>
    <w:p>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pPr>
        <w:snapToGrid w:val="0"/>
        <w:spacing w:before="120" w:beforeLines="50" w:after="50"/>
        <w:jc w:val="left"/>
        <w:rPr>
          <w:rFonts w:ascii="宋体" w:hAnsi="宋体"/>
          <w:b/>
          <w:color w:val="auto"/>
          <w:sz w:val="24"/>
          <w:highlight w:val="none"/>
        </w:rPr>
      </w:pPr>
    </w:p>
    <w:p>
      <w:pPr>
        <w:spacing w:line="360" w:lineRule="auto"/>
        <w:ind w:left="420"/>
        <w:contextualSpacing/>
        <w:jc w:val="center"/>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pPr>
        <w:spacing w:line="440" w:lineRule="exact"/>
        <w:contextualSpacing/>
        <w:jc w:val="left"/>
        <w:rPr>
          <w:rFonts w:ascii="宋体" w:hAnsi="宋体"/>
          <w:b/>
          <w:color w:val="auto"/>
          <w:sz w:val="24"/>
          <w:highlight w:val="none"/>
        </w:rPr>
      </w:pPr>
      <w:r>
        <w:rPr>
          <w:rFonts w:hint="eastAsia" w:ascii="宋体" w:hAnsi="宋体"/>
          <w:b/>
          <w:color w:val="auto"/>
          <w:sz w:val="24"/>
          <w:highlight w:val="none"/>
        </w:rPr>
        <w:t>一、我方承诺无下列相互串通投标的情形：</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5.不同投标人的投标文件相互混装；</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pPr>
        <w:spacing w:line="440" w:lineRule="exact"/>
        <w:contextualSpacing/>
        <w:jc w:val="left"/>
        <w:rPr>
          <w:rFonts w:ascii="宋体" w:hAnsi="宋体"/>
          <w:color w:val="auto"/>
          <w:sz w:val="24"/>
          <w:highlight w:val="none"/>
        </w:rPr>
      </w:pPr>
      <w:r>
        <w:rPr>
          <w:rFonts w:hint="eastAsia" w:ascii="宋体" w:hAnsi="宋体"/>
          <w:b/>
          <w:color w:val="auto"/>
          <w:sz w:val="24"/>
          <w:highlight w:val="none"/>
        </w:rPr>
        <w:t>二、我方承诺无下列恶意串通的情形：</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pPr>
        <w:pStyle w:val="24"/>
        <w:spacing w:line="440" w:lineRule="exact"/>
        <w:ind w:firstLine="960" w:firstLineChars="400"/>
        <w:contextualSpacing/>
        <w:rPr>
          <w:rFonts w:hAnsi="宋体"/>
          <w:color w:val="auto"/>
          <w:sz w:val="24"/>
          <w:szCs w:val="24"/>
          <w:highlight w:val="none"/>
        </w:rPr>
      </w:pPr>
      <w:r>
        <w:rPr>
          <w:rFonts w:hint="eastAsia" w:hAnsi="宋体"/>
          <w:color w:val="auto"/>
          <w:sz w:val="24"/>
          <w:highlight w:val="none"/>
        </w:rPr>
        <w:t>法定代表人或者委托代理人</w:t>
      </w:r>
      <w:r>
        <w:rPr>
          <w:rFonts w:hint="eastAsia" w:hAnsi="宋体"/>
          <w:color w:val="auto"/>
          <w:spacing w:val="20"/>
          <w:sz w:val="24"/>
          <w:highlight w:val="none"/>
        </w:rPr>
        <w:t>（签字或者电子签名）：</w:t>
      </w:r>
    </w:p>
    <w:p>
      <w:pPr>
        <w:pStyle w:val="24"/>
        <w:spacing w:line="440" w:lineRule="exact"/>
        <w:contextualSpacing/>
        <w:jc w:val="center"/>
        <w:rPr>
          <w:rFonts w:hAnsi="宋体"/>
          <w:color w:val="auto"/>
          <w:sz w:val="24"/>
          <w:szCs w:val="24"/>
          <w:highlight w:val="none"/>
        </w:rPr>
      </w:pPr>
      <w:r>
        <w:rPr>
          <w:rFonts w:hint="eastAsia" w:hAnsi="宋体"/>
          <w:color w:val="auto"/>
          <w:sz w:val="24"/>
          <w:szCs w:val="24"/>
          <w:highlight w:val="none"/>
        </w:rPr>
        <w:t>投标人名称（电子签章）</w:t>
      </w:r>
    </w:p>
    <w:p>
      <w:pPr>
        <w:pStyle w:val="24"/>
        <w:spacing w:line="440" w:lineRule="exact"/>
        <w:contextualSpacing/>
        <w:rPr>
          <w:rFonts w:hAnsi="宋体"/>
          <w:color w:val="auto"/>
          <w:sz w:val="24"/>
          <w:highlight w:val="none"/>
        </w:rPr>
      </w:pPr>
      <w:r>
        <w:rPr>
          <w:rFonts w:hint="eastAsia" w:hAnsi="宋体"/>
          <w:color w:val="auto"/>
          <w:sz w:val="24"/>
          <w:highlight w:val="none"/>
        </w:rPr>
        <w:t>年月日</w:t>
      </w:r>
    </w:p>
    <w:p>
      <w:pPr>
        <w:snapToGrid w:val="0"/>
        <w:spacing w:before="120" w:beforeLines="50" w:after="50"/>
        <w:jc w:val="left"/>
        <w:rPr>
          <w:rFonts w:ascii="宋体" w:hAnsi="宋体"/>
          <w:b/>
          <w:color w:val="auto"/>
          <w:sz w:val="24"/>
          <w:szCs w:val="20"/>
          <w:highlight w:val="none"/>
        </w:rPr>
      </w:pPr>
      <w:r>
        <w:rPr>
          <w:rFonts w:hint="eastAsia" w:ascii="宋体" w:hAnsi="宋体"/>
          <w:b/>
          <w:color w:val="auto"/>
          <w:sz w:val="24"/>
          <w:highlight w:val="none"/>
        </w:rPr>
        <w:t>4.法定代表人身份证明</w:t>
      </w:r>
    </w:p>
    <w:p>
      <w:pPr>
        <w:spacing w:before="240" w:beforeLines="100" w:after="120" w:afterLines="50"/>
        <w:ind w:left="540"/>
        <w:jc w:val="center"/>
        <w:rPr>
          <w:rFonts w:ascii="宋体" w:hAnsi="Courier New"/>
          <w:b/>
          <w:color w:val="auto"/>
          <w:sz w:val="32"/>
          <w:szCs w:val="32"/>
          <w:highlight w:val="none"/>
        </w:rPr>
      </w:pPr>
    </w:p>
    <w:p>
      <w:pPr>
        <w:spacing w:before="240" w:beforeLines="100" w:after="120" w:afterLines="50"/>
        <w:ind w:left="54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pPr>
        <w:spacing w:line="500" w:lineRule="exact"/>
        <w:ind w:left="540"/>
        <w:rPr>
          <w:rFonts w:ascii="宋体" w:hAnsi="宋体"/>
          <w:color w:val="auto"/>
          <w:sz w:val="24"/>
          <w:highlight w:val="none"/>
        </w:rPr>
      </w:pPr>
      <w:r>
        <w:rPr>
          <w:rFonts w:hint="eastAsia" w:ascii="宋体" w:hAnsi="宋体"/>
          <w:color w:val="auto"/>
          <w:sz w:val="24"/>
          <w:highlight w:val="none"/>
        </w:rPr>
        <w:t>投 标 人：</w:t>
      </w:r>
    </w:p>
    <w:p>
      <w:pPr>
        <w:spacing w:line="500" w:lineRule="exact"/>
        <w:ind w:left="540"/>
        <w:rPr>
          <w:rFonts w:ascii="宋体" w:hAnsi="宋体"/>
          <w:color w:val="auto"/>
          <w:sz w:val="24"/>
          <w:highlight w:val="none"/>
        </w:rPr>
      </w:pPr>
      <w:r>
        <w:rPr>
          <w:rFonts w:hint="eastAsia" w:ascii="宋体" w:hAnsi="宋体"/>
          <w:color w:val="auto"/>
          <w:sz w:val="24"/>
          <w:highlight w:val="none"/>
        </w:rPr>
        <w:t>地    址：</w:t>
      </w:r>
    </w:p>
    <w:p>
      <w:pPr>
        <w:spacing w:line="500" w:lineRule="exact"/>
        <w:ind w:left="540"/>
        <w:rPr>
          <w:rFonts w:ascii="宋体" w:hAnsi="宋体"/>
          <w:color w:val="auto"/>
          <w:sz w:val="24"/>
          <w:highlight w:val="none"/>
        </w:rPr>
      </w:pPr>
      <w:r>
        <w:rPr>
          <w:rFonts w:hint="eastAsia" w:ascii="宋体" w:hAnsi="宋体"/>
          <w:color w:val="auto"/>
          <w:sz w:val="24"/>
          <w:highlight w:val="none"/>
        </w:rPr>
        <w:t>姓    名：性      别：</w:t>
      </w:r>
    </w:p>
    <w:p>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龄：职      务：</w:t>
      </w:r>
    </w:p>
    <w:p>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p>
    <w:p>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ascii="宋体" w:hAnsi="宋体"/>
          <w:color w:val="auto"/>
          <w:sz w:val="24"/>
          <w:highlight w:val="none"/>
        </w:rPr>
      </w:pPr>
    </w:p>
    <w:p>
      <w:pPr>
        <w:spacing w:line="500" w:lineRule="exact"/>
        <w:ind w:left="540"/>
        <w:jc w:val="right"/>
        <w:rPr>
          <w:rFonts w:ascii="宋体" w:hAnsi="宋体"/>
          <w:color w:val="auto"/>
          <w:sz w:val="24"/>
          <w:highlight w:val="none"/>
        </w:rPr>
      </w:pPr>
      <w:r>
        <w:rPr>
          <w:rFonts w:hint="eastAsia" w:ascii="宋体" w:hAnsi="宋体"/>
          <w:color w:val="auto"/>
          <w:sz w:val="24"/>
          <w:highlight w:val="none"/>
        </w:rPr>
        <w:t>投标人名称（电子签章）</w:t>
      </w:r>
    </w:p>
    <w:p>
      <w:pPr>
        <w:spacing w:line="500" w:lineRule="exact"/>
        <w:ind w:left="540"/>
        <w:jc w:val="right"/>
        <w:rPr>
          <w:rFonts w:ascii="宋体" w:hAnsi="宋体"/>
          <w:color w:val="auto"/>
          <w:sz w:val="24"/>
          <w:highlight w:val="none"/>
        </w:rPr>
      </w:pPr>
    </w:p>
    <w:p>
      <w:pPr>
        <w:snapToGrid w:val="0"/>
        <w:spacing w:before="120" w:beforeLines="50" w:after="50"/>
        <w:ind w:left="540"/>
        <w:jc w:val="right"/>
        <w:rPr>
          <w:rFonts w:ascii="宋体" w:hAnsi="宋体"/>
          <w:color w:val="auto"/>
          <w:sz w:val="24"/>
          <w:highlight w:val="none"/>
        </w:rPr>
      </w:pPr>
      <w:r>
        <w:rPr>
          <w:rFonts w:hint="eastAsia" w:ascii="宋体" w:hAnsi="宋体"/>
          <w:color w:val="auto"/>
          <w:sz w:val="24"/>
          <w:highlight w:val="none"/>
        </w:rPr>
        <w:t>年月日</w:t>
      </w:r>
    </w:p>
    <w:p>
      <w:pPr>
        <w:snapToGrid w:val="0"/>
        <w:spacing w:before="120" w:beforeLines="50" w:after="50"/>
        <w:jc w:val="center"/>
        <w:rPr>
          <w:rFonts w:ascii="宋体" w:hAnsi="宋体"/>
          <w:b/>
          <w:color w:val="auto"/>
          <w:sz w:val="24"/>
          <w:highlight w:val="none"/>
        </w:rPr>
      </w:pPr>
    </w:p>
    <w:p>
      <w:pPr>
        <w:snapToGrid w:val="0"/>
        <w:spacing w:before="120" w:beforeLines="50" w:after="50"/>
        <w:jc w:val="left"/>
        <w:rPr>
          <w:rFonts w:ascii="宋体" w:hAnsi="宋体"/>
          <w:b/>
          <w:color w:val="auto"/>
          <w:sz w:val="24"/>
          <w:szCs w:val="20"/>
          <w:highlight w:val="none"/>
        </w:rPr>
      </w:pPr>
      <w:r>
        <w:rPr>
          <w:rFonts w:hint="eastAsia" w:ascii="宋体" w:hAnsi="宋体"/>
          <w:color w:val="auto"/>
          <w:sz w:val="24"/>
          <w:highlight w:val="none"/>
        </w:rPr>
        <w:t>注：自然人投标的无需提供</w:t>
      </w:r>
    </w:p>
    <w:p>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pPr>
        <w:snapToGrid w:val="0"/>
        <w:spacing w:before="120" w:beforeLines="50" w:after="50"/>
        <w:jc w:val="center"/>
        <w:rPr>
          <w:rFonts w:ascii="宋体" w:hAnsi="宋体"/>
          <w:b/>
          <w:color w:val="auto"/>
          <w:sz w:val="44"/>
          <w:szCs w:val="44"/>
          <w:highlight w:val="none"/>
        </w:rPr>
      </w:pPr>
    </w:p>
    <w:p>
      <w:pPr>
        <w:spacing w:line="360" w:lineRule="auto"/>
        <w:contextualSpacing/>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pPr>
        <w:spacing w:line="360" w:lineRule="auto"/>
        <w:contextualSpacing/>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pPr>
        <w:spacing w:line="360" w:lineRule="auto"/>
        <w:contextualSpacing/>
        <w:jc w:val="center"/>
        <w:rPr>
          <w:rFonts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pPr>
        <w:spacing w:line="440" w:lineRule="exact"/>
        <w:contextualSpacing/>
        <w:jc w:val="center"/>
        <w:rPr>
          <w:rFonts w:ascii="宋体" w:hAnsi="宋体"/>
          <w:b/>
          <w:color w:val="auto"/>
          <w:sz w:val="24"/>
          <w:highlight w:val="none"/>
        </w:rPr>
      </w:pPr>
    </w:p>
    <w:p>
      <w:pPr>
        <w:spacing w:line="440" w:lineRule="exact"/>
        <w:contextualSpacing/>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我（姓名）系（投标人名称）的法定代表人，现授权委托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以我方的名义参加项目的投标活动，并代表我方全权办理针对上述项目的所有采购程序和环节的具体事务和签署相关文件。</w:t>
      </w:r>
    </w:p>
    <w:p>
      <w:pPr>
        <w:spacing w:line="440" w:lineRule="exact"/>
        <w:contextualSpacing/>
        <w:rPr>
          <w:rFonts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pPr>
        <w:spacing w:line="440" w:lineRule="exact"/>
        <w:contextualSpacing/>
        <w:rPr>
          <w:rFonts w:ascii="宋体" w:hAnsi="宋体"/>
          <w:color w:val="auto"/>
          <w:sz w:val="24"/>
          <w:highlight w:val="none"/>
        </w:rPr>
      </w:pPr>
    </w:p>
    <w:p>
      <w:pPr>
        <w:spacing w:line="440" w:lineRule="exact"/>
        <w:contextualSpacing/>
        <w:rPr>
          <w:rFonts w:ascii="宋体" w:hAnsi="宋体"/>
          <w:color w:val="auto"/>
          <w:sz w:val="24"/>
          <w:highlight w:val="none"/>
        </w:rPr>
      </w:pPr>
      <w:r>
        <w:rPr>
          <w:rFonts w:hint="eastAsia" w:ascii="宋体" w:hAnsi="宋体"/>
          <w:color w:val="auto"/>
          <w:sz w:val="24"/>
          <w:highlight w:val="none"/>
        </w:rPr>
        <w:t>委托代理人（签字或者电子签名）：</w:t>
      </w:r>
    </w:p>
    <w:p>
      <w:pPr>
        <w:spacing w:line="440" w:lineRule="exact"/>
        <w:contextualSpacing/>
        <w:rPr>
          <w:rFonts w:ascii="宋体" w:hAnsi="宋体"/>
          <w:color w:val="auto"/>
          <w:sz w:val="24"/>
          <w:highlight w:val="none"/>
          <w:u w:val="single"/>
        </w:rPr>
      </w:pPr>
      <w:r>
        <w:rPr>
          <w:rFonts w:hint="eastAsia" w:ascii="宋体" w:hAnsi="宋体"/>
          <w:color w:val="auto"/>
          <w:sz w:val="24"/>
          <w:highlight w:val="none"/>
        </w:rPr>
        <w:t>委托代理人身份证号码：</w:t>
      </w:r>
    </w:p>
    <w:p>
      <w:pPr>
        <w:spacing w:line="440" w:lineRule="exact"/>
        <w:contextualSpacing/>
        <w:rPr>
          <w:rFonts w:ascii="宋体" w:hAnsi="宋体"/>
          <w:color w:val="auto"/>
          <w:sz w:val="24"/>
          <w:highlight w:val="none"/>
          <w:u w:val="single"/>
        </w:rPr>
      </w:pPr>
      <w:r>
        <w:rPr>
          <w:rFonts w:hint="eastAsia" w:ascii="宋体" w:hAnsi="宋体"/>
          <w:color w:val="auto"/>
          <w:sz w:val="24"/>
          <w:highlight w:val="none"/>
        </w:rPr>
        <w:t>法定代表人（签字或者盖章或者电子签名）：</w:t>
      </w:r>
    </w:p>
    <w:p>
      <w:pPr>
        <w:spacing w:line="440" w:lineRule="exact"/>
        <w:contextualSpacing/>
        <w:rPr>
          <w:rFonts w:ascii="宋体" w:hAnsi="宋体"/>
          <w:color w:val="auto"/>
          <w:sz w:val="24"/>
          <w:highlight w:val="none"/>
        </w:rPr>
      </w:pPr>
    </w:p>
    <w:p>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投标人名称（电子签章）：</w:t>
      </w:r>
    </w:p>
    <w:p>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年    月    日</w:t>
      </w:r>
    </w:p>
    <w:p>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153" w:name="_Hlk65851555"/>
      <w:bookmarkStart w:id="154"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53"/>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54"/>
    </w:p>
    <w:p>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pPr>
        <w:snapToGrid w:val="0"/>
        <w:spacing w:before="120" w:beforeLines="50" w:after="50"/>
        <w:ind w:firstLine="566" w:firstLineChars="236"/>
        <w:jc w:val="center"/>
        <w:rPr>
          <w:rFonts w:ascii="方正小标宋简体" w:hAnsi="方正小标宋简体" w:eastAsia="方正小标宋简体" w:cs="方正小标宋简体"/>
          <w:color w:val="auto"/>
          <w:sz w:val="44"/>
          <w:szCs w:val="44"/>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pPr>
        <w:snapToGrid w:val="0"/>
        <w:spacing w:before="120" w:beforeLines="50" w:after="50"/>
        <w:ind w:firstLine="755" w:firstLineChars="236"/>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（联合体投标格式）</w:t>
      </w:r>
    </w:p>
    <w:p>
      <w:pPr>
        <w:snapToGrid w:val="0"/>
        <w:spacing w:before="120" w:beforeLines="50" w:after="50"/>
        <w:ind w:firstLine="755" w:firstLineChars="236"/>
        <w:jc w:val="center"/>
        <w:rPr>
          <w:rFonts w:ascii="方正小标宋简体" w:hAnsi="方正小标宋简体" w:eastAsia="方正小标宋简体" w:cs="方正小标宋简体"/>
          <w:color w:val="auto"/>
          <w:sz w:val="24"/>
          <w:highlight w:val="none"/>
        </w:rPr>
      </w:pPr>
      <w:r>
        <w:rPr>
          <w:rFonts w:hint="eastAsia" w:ascii="方正小标宋简体" w:hAnsi="方正小标宋简体" w:eastAsia="方正小标宋简体" w:cs="方正小标宋简体"/>
          <w:color w:val="auto"/>
          <w:sz w:val="32"/>
          <w:szCs w:val="32"/>
          <w:highlight w:val="none"/>
        </w:rPr>
        <w:t>（如有委托时）</w:t>
      </w:r>
    </w:p>
    <w:p>
      <w:pPr>
        <w:spacing w:line="440" w:lineRule="exact"/>
        <w:contextualSpacing/>
        <w:jc w:val="left"/>
        <w:rPr>
          <w:rFonts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以我方的名义参加项目的投标活动，并代表我方全权办理针对上述项目的所有采购程序和环节的具体事务和签署相关文件。</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我方对委托代理人的签字或者电子签名事项负全部责任。</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pPr>
        <w:spacing w:line="440" w:lineRule="exact"/>
        <w:ind w:firstLine="566" w:firstLineChars="236"/>
        <w:contextualSpacing/>
        <w:rPr>
          <w:rFonts w:ascii="宋体" w:hAnsi="宋体"/>
          <w:color w:val="auto"/>
          <w:sz w:val="24"/>
          <w:highlight w:val="none"/>
        </w:rPr>
      </w:pP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牵头人法定代表人（签字或者盖章或者电子签名）：</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牵头人（电子签章）：</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日期：    年   月   日</w:t>
      </w:r>
    </w:p>
    <w:p>
      <w:pPr>
        <w:spacing w:line="440" w:lineRule="exact"/>
        <w:ind w:firstLine="566" w:firstLineChars="236"/>
        <w:contextualSpacing/>
        <w:rPr>
          <w:rFonts w:ascii="宋体" w:hAnsi="宋体"/>
          <w:color w:val="auto"/>
          <w:sz w:val="24"/>
          <w:highlight w:val="none"/>
        </w:rPr>
      </w:pP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被授权人（签字或者电子签名）：</w:t>
      </w:r>
    </w:p>
    <w:p>
      <w:pPr>
        <w:spacing w:line="440" w:lineRule="exact"/>
        <w:ind w:firstLine="566" w:firstLineChars="236"/>
        <w:contextualSpacing/>
        <w:rPr>
          <w:rFonts w:ascii="宋体" w:hAnsi="宋体" w:cs="仿宋_GB2312"/>
          <w:color w:val="auto"/>
          <w:sz w:val="32"/>
          <w:szCs w:val="32"/>
          <w:highlight w:val="none"/>
        </w:rPr>
      </w:pPr>
      <w:r>
        <w:rPr>
          <w:rFonts w:hint="eastAsia" w:ascii="宋体" w:hAnsi="宋体"/>
          <w:color w:val="auto"/>
          <w:sz w:val="24"/>
          <w:highlight w:val="none"/>
        </w:rPr>
        <w:t>日期：    年   月   日</w:t>
      </w:r>
    </w:p>
    <w:p>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pPr>
        <w:spacing w:line="440" w:lineRule="exact"/>
        <w:contextualSpacing/>
        <w:rPr>
          <w:rFonts w:ascii="宋体" w:hAnsi="宋体"/>
          <w:color w:val="auto"/>
          <w:sz w:val="24"/>
          <w:highlight w:val="none"/>
        </w:rPr>
      </w:pPr>
    </w:p>
    <w:p>
      <w:pPr>
        <w:snapToGrid w:val="0"/>
        <w:spacing w:before="50" w:after="120" w:afterLines="50"/>
        <w:ind w:firstLine="480" w:firstLineChars="200"/>
        <w:jc w:val="left"/>
        <w:rPr>
          <w:rFonts w:ascii="宋体" w:hAnsi="宋体"/>
          <w:color w:val="auto"/>
          <w:sz w:val="24"/>
          <w:highlight w:val="none"/>
        </w:rPr>
        <w:sectPr>
          <w:footerReference r:id="rId6" w:type="first"/>
          <w:headerReference r:id="rId3" w:type="default"/>
          <w:footerReference r:id="rId4" w:type="default"/>
          <w:footerReference r:id="rId5" w:type="even"/>
          <w:pgSz w:w="11906" w:h="16838"/>
          <w:pgMar w:top="1701" w:right="1701" w:bottom="1701" w:left="1701" w:header="851" w:footer="992" w:gutter="0"/>
          <w:cols w:space="720" w:num="1"/>
          <w:titlePg/>
          <w:docGrid w:linePitch="312" w:charSpace="0"/>
        </w:sectPr>
      </w:pPr>
    </w:p>
    <w:p>
      <w:pPr>
        <w:rPr>
          <w:rFonts w:ascii="宋体" w:hAnsi="宋体"/>
          <w:color w:val="auto"/>
          <w:sz w:val="24"/>
          <w:highlight w:val="none"/>
        </w:rPr>
      </w:pPr>
    </w:p>
    <w:p>
      <w:pPr>
        <w:rPr>
          <w:rFonts w:ascii="宋体" w:hAnsi="宋体"/>
          <w:b/>
          <w:color w:val="auto"/>
          <w:sz w:val="24"/>
          <w:szCs w:val="20"/>
          <w:highlight w:val="none"/>
        </w:rPr>
      </w:pPr>
      <w:r>
        <w:rPr>
          <w:rFonts w:hint="eastAsia" w:ascii="宋体" w:hAnsi="宋体"/>
          <w:b/>
          <w:color w:val="auto"/>
          <w:sz w:val="24"/>
          <w:highlight w:val="none"/>
        </w:rPr>
        <w:t>6.商务要求偏离表格式</w:t>
      </w:r>
    </w:p>
    <w:p>
      <w:pPr>
        <w:snapToGrid w:val="0"/>
        <w:spacing w:before="50"/>
        <w:jc w:val="left"/>
        <w:rPr>
          <w:rFonts w:ascii="宋体" w:hAnsi="宋体"/>
          <w:color w:val="auto"/>
          <w:sz w:val="24"/>
          <w:highlight w:val="none"/>
        </w:rPr>
      </w:pPr>
    </w:p>
    <w:p>
      <w:pPr>
        <w:pStyle w:val="24"/>
        <w:rPr>
          <w:rFonts w:hAnsi="宋体"/>
          <w:color w:val="auto"/>
          <w:sz w:val="24"/>
          <w:szCs w:val="24"/>
          <w:highlight w:val="none"/>
        </w:rPr>
      </w:pPr>
      <w:r>
        <w:rPr>
          <w:rFonts w:hint="eastAsia" w:hAnsi="宋体"/>
          <w:color w:val="auto"/>
          <w:sz w:val="24"/>
          <w:szCs w:val="24"/>
          <w:highlight w:val="none"/>
        </w:rPr>
        <w:t>所投分标：分标</w:t>
      </w:r>
    </w:p>
    <w:p>
      <w:pPr>
        <w:snapToGrid w:val="0"/>
        <w:spacing w:before="50"/>
        <w:jc w:val="left"/>
        <w:rPr>
          <w:rFonts w:ascii="宋体" w:hAnsi="宋体"/>
          <w:color w:val="auto"/>
          <w:sz w:val="24"/>
          <w:highlight w:val="none"/>
          <w:u w:val="single"/>
        </w:rPr>
      </w:pPr>
    </w:p>
    <w:tbl>
      <w:tblPr>
        <w:tblStyle w:val="45"/>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noWrap/>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auto"/>
                <w:sz w:val="24"/>
                <w:highlight w:val="none"/>
              </w:rPr>
            </w:pPr>
            <w:r>
              <w:rPr>
                <w:rFonts w:hint="eastAsia" w:ascii="宋体" w:hAnsi="宋体"/>
                <w:i/>
                <w:color w:val="auto"/>
                <w:sz w:val="24"/>
                <w:highlight w:val="none"/>
              </w:rPr>
              <w:t>交付（实施）的时间（期限）和地点（范围）</w:t>
            </w:r>
          </w:p>
        </w:tc>
        <w:tc>
          <w:tcPr>
            <w:tcW w:w="3336" w:type="dxa"/>
            <w:tcBorders>
              <w:top w:val="single" w:color="auto" w:sz="4" w:space="0"/>
              <w:left w:val="single" w:color="auto" w:sz="4" w:space="0"/>
              <w:bottom w:val="single" w:color="auto" w:sz="4" w:space="0"/>
              <w:right w:val="single" w:color="auto" w:sz="4" w:space="0"/>
            </w:tcBorders>
            <w:noWrap/>
          </w:tcPr>
          <w:p>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tcPr>
          <w:p>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tcPr>
          <w:p>
            <w:pPr>
              <w:snapToGrid w:val="0"/>
              <w:spacing w:before="120" w:beforeLines="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auto"/>
                <w:sz w:val="24"/>
                <w:highlight w:val="none"/>
              </w:rPr>
            </w:pPr>
            <w:r>
              <w:rPr>
                <w:rFonts w:hint="eastAsia" w:ascii="宋体" w:hAnsi="宋体"/>
                <w:i/>
                <w:color w:val="auto"/>
                <w:sz w:val="24"/>
                <w:highlight w:val="none"/>
              </w:rPr>
              <w:t>合同签订时间</w:t>
            </w:r>
          </w:p>
        </w:tc>
        <w:tc>
          <w:tcPr>
            <w:tcW w:w="3336" w:type="dxa"/>
            <w:tcBorders>
              <w:top w:val="single" w:color="auto" w:sz="4" w:space="0"/>
              <w:left w:val="single" w:color="auto" w:sz="4" w:space="0"/>
              <w:bottom w:val="single" w:color="auto" w:sz="4" w:space="0"/>
              <w:right w:val="single" w:color="auto" w:sz="4" w:space="0"/>
            </w:tcBorders>
            <w:noWrap/>
          </w:tcPr>
          <w:p>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noWrap/>
          </w:tcPr>
          <w:p>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tcPr>
          <w:p>
            <w:pPr>
              <w:snapToGrid w:val="0"/>
              <w:spacing w:before="120" w:beforeLines="50"/>
              <w:ind w:left="43"/>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tcPr>
          <w:p>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tcPr>
          <w:p>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tcPr>
          <w:p>
            <w:pPr>
              <w:snapToGrid w:val="0"/>
              <w:spacing w:before="120" w:beforeLines="50"/>
              <w:jc w:val="center"/>
              <w:rPr>
                <w:rFonts w:ascii="宋体" w:hAnsi="宋体"/>
                <w:color w:val="auto"/>
                <w:sz w:val="24"/>
                <w:highlight w:val="none"/>
              </w:rPr>
            </w:pPr>
          </w:p>
        </w:tc>
      </w:tr>
    </w:tbl>
    <w:p>
      <w:pPr>
        <w:pStyle w:val="17"/>
        <w:rPr>
          <w:rFonts w:ascii="宋体" w:hAnsi="宋体"/>
          <w:color w:val="auto"/>
          <w:highlight w:val="none"/>
        </w:rPr>
      </w:pPr>
      <w:r>
        <w:rPr>
          <w:rFonts w:hint="eastAsia" w:ascii="宋体" w:hAnsi="宋体"/>
          <w:color w:val="auto"/>
          <w:highlight w:val="none"/>
        </w:rPr>
        <w:t>注：</w:t>
      </w:r>
    </w:p>
    <w:p>
      <w:pPr>
        <w:pStyle w:val="19"/>
        <w:spacing w:line="520" w:lineRule="exact"/>
        <w:ind w:firstLine="0" w:firstLineChars="0"/>
        <w:rPr>
          <w:rFonts w:hAnsi="仿宋_GB2312" w:cs="仿宋_GB2312"/>
          <w:color w:val="auto"/>
          <w:szCs w:val="32"/>
          <w:highlight w:val="none"/>
        </w:rPr>
      </w:pPr>
      <w:r>
        <w:rPr>
          <w:rFonts w:hint="eastAsia" w:ascii="宋体" w:hAnsi="宋体" w:eastAsia="宋体"/>
          <w:color w:val="auto"/>
          <w:sz w:val="24"/>
          <w:szCs w:val="24"/>
          <w:highlight w:val="none"/>
        </w:rPr>
        <w:t>1.说明：应对照招标文件“第二章 采购需求”中的商务要求逐条作明确的投标响应，并作出偏离说明。</w:t>
      </w:r>
    </w:p>
    <w:p>
      <w:pPr>
        <w:pStyle w:val="17"/>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snapToGrid w:val="0"/>
        <w:spacing w:before="50" w:after="50"/>
        <w:rPr>
          <w:rFonts w:ascii="宋体" w:hAnsi="宋体"/>
          <w:color w:val="auto"/>
          <w:sz w:val="24"/>
          <w:highlight w:val="none"/>
        </w:rPr>
      </w:pPr>
    </w:p>
    <w:p>
      <w:pPr>
        <w:snapToGrid w:val="0"/>
        <w:spacing w:before="50" w:after="50"/>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p>
    <w:p>
      <w:pPr>
        <w:snapToGrid w:val="0"/>
        <w:spacing w:before="120" w:beforeLines="50"/>
        <w:rPr>
          <w:rFonts w:ascii="宋体" w:hAnsi="宋体"/>
          <w:color w:val="auto"/>
          <w:spacing w:val="20"/>
          <w:sz w:val="24"/>
          <w:highlight w:val="none"/>
        </w:rPr>
      </w:pPr>
      <w:r>
        <w:rPr>
          <w:rFonts w:hint="eastAsia" w:ascii="宋体" w:hAnsi="宋体"/>
          <w:color w:val="auto"/>
          <w:spacing w:val="20"/>
          <w:sz w:val="24"/>
          <w:highlight w:val="none"/>
        </w:rPr>
        <w:t>投标人名称（电子签章）：</w:t>
      </w:r>
    </w:p>
    <w:p>
      <w:pPr>
        <w:snapToGrid w:val="0"/>
        <w:spacing w:before="120" w:beforeLines="50"/>
        <w:rPr>
          <w:rFonts w:ascii="宋体" w:hAnsi="宋体"/>
          <w:color w:val="auto"/>
          <w:sz w:val="24"/>
          <w:szCs w:val="20"/>
          <w:highlight w:val="none"/>
        </w:rPr>
      </w:pPr>
      <w:r>
        <w:rPr>
          <w:rFonts w:hint="eastAsia" w:ascii="宋体" w:hAnsi="宋体"/>
          <w:color w:val="auto"/>
          <w:spacing w:val="20"/>
          <w:sz w:val="24"/>
          <w:highlight w:val="none"/>
        </w:rPr>
        <w:t>日  期：</w:t>
      </w:r>
    </w:p>
    <w:p>
      <w:pPr>
        <w:snapToGrid w:val="0"/>
        <w:spacing w:before="120" w:beforeLines="50"/>
        <w:rPr>
          <w:rFonts w:ascii="宋体" w:hAnsi="宋体"/>
          <w:color w:val="auto"/>
          <w:sz w:val="24"/>
          <w:szCs w:val="20"/>
          <w:highlight w:val="none"/>
        </w:rPr>
      </w:pPr>
    </w:p>
    <w:p>
      <w:pPr>
        <w:snapToGrid w:val="0"/>
        <w:spacing w:before="120" w:beforeLines="50" w:after="50"/>
        <w:jc w:val="left"/>
        <w:rPr>
          <w:rFonts w:ascii="宋体" w:hAnsi="宋体"/>
          <w:color w:val="auto"/>
          <w:sz w:val="24"/>
          <w:szCs w:val="20"/>
          <w:highlight w:val="none"/>
        </w:rPr>
      </w:pPr>
    </w:p>
    <w:p>
      <w:pPr>
        <w:snapToGrid w:val="0"/>
        <w:spacing w:before="120" w:beforeLines="50" w:after="50"/>
        <w:jc w:val="left"/>
        <w:rPr>
          <w:rFonts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pPr>
        <w:pStyle w:val="34"/>
        <w:snapToGrid w:val="0"/>
        <w:ind w:left="480" w:hanging="480"/>
        <w:rPr>
          <w:rFonts w:ascii="宋体" w:hAnsi="宋体"/>
          <w:color w:val="auto"/>
          <w:sz w:val="24"/>
          <w:highlight w:val="none"/>
        </w:rPr>
      </w:pPr>
    </w:p>
    <w:p>
      <w:pPr>
        <w:pStyle w:val="34"/>
        <w:snapToGrid w:val="0"/>
        <w:ind w:left="480" w:hanging="480"/>
        <w:rPr>
          <w:rFonts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5"/>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合同金额</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2855"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4"/>
                <w:highlight w:val="none"/>
              </w:rPr>
            </w:pPr>
          </w:p>
        </w:tc>
        <w:tc>
          <w:tcPr>
            <w:tcW w:w="2855"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noWrap/>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tcPr>
          <w:p>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noWrap/>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noWrap/>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tcPr>
          <w:p>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noWrap/>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noWrap/>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tcPr>
          <w:p>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noWrap/>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noWrap/>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tcPr>
          <w:p>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noWrap/>
          </w:tcPr>
          <w:p>
            <w:pPr>
              <w:snapToGrid w:val="0"/>
              <w:spacing w:before="50" w:after="120" w:afterLines="50" w:line="400" w:lineRule="exact"/>
              <w:jc w:val="left"/>
              <w:rPr>
                <w:rFonts w:ascii="宋体" w:hAnsi="宋体"/>
                <w:color w:val="auto"/>
                <w:sz w:val="24"/>
                <w:highlight w:val="none"/>
              </w:rPr>
            </w:pPr>
          </w:p>
        </w:tc>
      </w:tr>
    </w:tbl>
    <w:p>
      <w:pPr>
        <w:pStyle w:val="14"/>
        <w:spacing w:before="0" w:after="0" w:line="360" w:lineRule="auto"/>
        <w:contextualSpacing/>
        <w:rPr>
          <w:rFonts w:ascii="宋体" w:hAnsi="宋体" w:eastAsia="宋体"/>
          <w:color w:val="auto"/>
          <w:sz w:val="24"/>
          <w:szCs w:val="24"/>
          <w:highlight w:val="none"/>
        </w:rPr>
      </w:pPr>
    </w:p>
    <w:p>
      <w:pPr>
        <w:pStyle w:val="14"/>
        <w:spacing w:before="0" w:after="0" w:line="360" w:lineRule="auto"/>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pPr>
        <w:pStyle w:val="14"/>
        <w:spacing w:before="0" w:after="0" w:line="360" w:lineRule="auto"/>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法定代表人或者委托代理人（签字或者电子签名）：</w:t>
      </w:r>
      <w:r>
        <w:rPr>
          <w:rFonts w:hint="eastAsia" w:ascii="宋体" w:hAnsi="宋体" w:eastAsia="宋体"/>
          <w:color w:val="auto"/>
          <w:sz w:val="24"/>
          <w:szCs w:val="24"/>
          <w:highlight w:val="none"/>
          <w:u w:val="single"/>
        </w:rPr>
        <w:t>　　　　　</w:t>
      </w:r>
    </w:p>
    <w:p>
      <w:pPr>
        <w:spacing w:line="360" w:lineRule="auto"/>
        <w:ind w:right="480"/>
        <w:contextualSpacing/>
        <w:jc w:val="left"/>
        <w:rPr>
          <w:rFonts w:ascii="宋体" w:hAnsi="宋体"/>
          <w:color w:val="auto"/>
          <w:sz w:val="24"/>
          <w:szCs w:val="20"/>
          <w:highlight w:val="none"/>
        </w:rPr>
      </w:pPr>
      <w:r>
        <w:rPr>
          <w:rFonts w:hint="eastAsia" w:ascii="宋体" w:hAnsi="宋体" w:cs="Arial"/>
          <w:color w:val="auto"/>
          <w:sz w:val="24"/>
          <w:highlight w:val="none"/>
        </w:rPr>
        <w:t xml:space="preserve">投标人名称（电子签章）： </w:t>
      </w:r>
      <w:r>
        <w:rPr>
          <w:rFonts w:hint="eastAsia" w:ascii="宋体" w:hAnsi="宋体"/>
          <w:color w:val="auto"/>
          <w:sz w:val="24"/>
          <w:highlight w:val="none"/>
        </w:rPr>
        <w:t xml:space="preserve">                                                              年    月    日</w:t>
      </w:r>
    </w:p>
    <w:p>
      <w:pPr>
        <w:snapToGrid w:val="0"/>
        <w:spacing w:before="50"/>
        <w:ind w:firstLine="480" w:firstLineChars="200"/>
        <w:jc w:val="left"/>
        <w:rPr>
          <w:rFonts w:ascii="宋体" w:hAnsi="宋体"/>
          <w:color w:val="auto"/>
          <w:sz w:val="24"/>
          <w:szCs w:val="20"/>
          <w:highlight w:val="none"/>
        </w:rPr>
      </w:pPr>
    </w:p>
    <w:p>
      <w:pPr>
        <w:snapToGrid w:val="0"/>
        <w:spacing w:before="120" w:beforeLines="50" w:after="50"/>
        <w:jc w:val="left"/>
        <w:rPr>
          <w:rFonts w:ascii="方正小标宋简体" w:hAnsi="方正小标宋简体" w:eastAsia="方正小标宋简体" w:cs="方正小标宋简体"/>
          <w:bCs/>
          <w:color w:val="auto"/>
          <w:szCs w:val="21"/>
          <w:highlight w:val="none"/>
        </w:rPr>
      </w:pPr>
      <w:r>
        <w:rPr>
          <w:rFonts w:ascii="宋体" w:hAnsi="宋体"/>
          <w:color w:val="auto"/>
          <w:sz w:val="24"/>
          <w:highlight w:val="none"/>
        </w:rPr>
        <w:br w:type="page"/>
      </w:r>
      <w:r>
        <w:rPr>
          <w:rFonts w:hint="eastAsia" w:ascii="宋体" w:hAnsi="宋体"/>
          <w:color w:val="auto"/>
          <w:sz w:val="24"/>
          <w:highlight w:val="none"/>
        </w:rPr>
        <w:t>8.</w:t>
      </w:r>
      <w:r>
        <w:rPr>
          <w:rFonts w:hint="eastAsia" w:ascii="方正小标宋简体" w:hAnsi="方正小标宋简体" w:eastAsia="方正小标宋简体" w:cs="方正小标宋简体"/>
          <w:bCs/>
          <w:color w:val="auto"/>
          <w:szCs w:val="21"/>
          <w:highlight w:val="none"/>
        </w:rPr>
        <w:t xml:space="preserve"> 代理服务费承诺书（如本项目为采购人支付代理服务费的，无需提供）</w:t>
      </w:r>
    </w:p>
    <w:p>
      <w:pPr>
        <w:snapToGrid w:val="0"/>
        <w:spacing w:before="120" w:beforeLines="50" w:after="50"/>
        <w:jc w:val="left"/>
        <w:rPr>
          <w:rFonts w:ascii="方正小标宋简体" w:hAnsi="方正小标宋简体" w:eastAsia="方正小标宋简体" w:cs="方正小标宋简体"/>
          <w:bCs/>
          <w:color w:val="auto"/>
          <w:szCs w:val="21"/>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pPr>
        <w:snapToGrid w:val="0"/>
        <w:spacing w:before="120" w:beforeLines="50" w:after="50"/>
        <w:jc w:val="center"/>
        <w:rPr>
          <w:rFonts w:ascii="宋体" w:hAnsi="宋体"/>
          <w:b/>
          <w:color w:val="auto"/>
          <w:sz w:val="24"/>
          <w:highlight w:val="none"/>
        </w:rPr>
      </w:pPr>
    </w:p>
    <w:p>
      <w:pPr>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招标代理机构名称</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2.本单位选择第种方式作为代理服务费开票类型：</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第一种方式：开具增值税普通发票。开票信息如下：</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第二种方式：开具增值税专用发票，开票信息如下：</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_                   </w:t>
      </w:r>
      <w:r>
        <w:rPr>
          <w:rFonts w:hint="eastAsia" w:ascii="宋体" w:hAnsi="宋体"/>
          <w:color w:val="auto"/>
          <w:sz w:val="24"/>
          <w:highlight w:val="none"/>
        </w:rPr>
        <w:t>；</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_                   </w:t>
      </w:r>
      <w:r>
        <w:rPr>
          <w:rFonts w:hint="eastAsia" w:ascii="宋体" w:hAnsi="宋体"/>
          <w:color w:val="auto"/>
          <w:sz w:val="24"/>
          <w:highlight w:val="none"/>
        </w:rPr>
        <w:t>；</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_                           </w:t>
      </w:r>
      <w:r>
        <w:rPr>
          <w:rFonts w:hint="eastAsia" w:ascii="宋体" w:hAnsi="宋体"/>
          <w:color w:val="auto"/>
          <w:sz w:val="24"/>
          <w:highlight w:val="none"/>
        </w:rPr>
        <w:t>。</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napToGrid w:val="0"/>
        <w:spacing w:line="360" w:lineRule="auto"/>
        <w:ind w:left="-2" w:leftChars="-1" w:right="-817" w:rightChars="-389" w:firstLine="1920" w:firstLineChars="800"/>
        <w:rPr>
          <w:rFonts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供应商公章（电子签章）：</w:t>
      </w:r>
    </w:p>
    <w:p>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pPr>
        <w:rPr>
          <w:color w:val="auto"/>
          <w:highlight w:val="none"/>
        </w:rPr>
      </w:pPr>
    </w:p>
    <w:p>
      <w:pPr>
        <w:snapToGrid w:val="0"/>
        <w:spacing w:before="50"/>
        <w:jc w:val="left"/>
        <w:rPr>
          <w:rFonts w:ascii="宋体" w:hAnsi="宋体"/>
          <w:color w:val="auto"/>
          <w:sz w:val="24"/>
          <w:highlight w:val="none"/>
        </w:rPr>
      </w:pPr>
    </w:p>
    <w:p>
      <w:pPr>
        <w:snapToGrid w:val="0"/>
        <w:spacing w:before="120" w:beforeLines="50"/>
        <w:rPr>
          <w:rFonts w:ascii="宋体" w:hAnsi="宋体"/>
          <w:color w:val="auto"/>
          <w:sz w:val="24"/>
          <w:szCs w:val="20"/>
          <w:highlight w:val="none"/>
        </w:rPr>
        <w:sectPr>
          <w:pgSz w:w="11906" w:h="16838"/>
          <w:pgMar w:top="1440" w:right="1797" w:bottom="1440" w:left="1797" w:header="851" w:footer="992" w:gutter="0"/>
          <w:cols w:space="720" w:num="1"/>
          <w:docGrid w:linePitch="312" w:charSpace="0"/>
        </w:sectPr>
      </w:pPr>
    </w:p>
    <w:p>
      <w:pPr>
        <w:snapToGrid w:val="0"/>
        <w:spacing w:before="120" w:beforeLines="50" w:after="50"/>
        <w:jc w:val="left"/>
        <w:rPr>
          <w:rFonts w:ascii="宋体" w:hAnsi="宋体"/>
          <w:b/>
          <w:color w:val="auto"/>
          <w:sz w:val="24"/>
          <w:highlight w:val="none"/>
        </w:rPr>
      </w:pPr>
      <w:r>
        <w:rPr>
          <w:rFonts w:hint="eastAsia" w:ascii="宋体" w:hAnsi="宋体"/>
          <w:b/>
          <w:color w:val="auto"/>
          <w:sz w:val="24"/>
          <w:highlight w:val="none"/>
        </w:rPr>
        <w:t>9. 设备性能配置清单格式</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设备性能配置清单</w:t>
      </w:r>
    </w:p>
    <w:p>
      <w:pPr>
        <w:pStyle w:val="24"/>
        <w:rPr>
          <w:color w:val="auto"/>
          <w:sz w:val="24"/>
          <w:szCs w:val="24"/>
          <w:highlight w:val="none"/>
        </w:rPr>
      </w:pPr>
      <w:r>
        <w:rPr>
          <w:rFonts w:hint="eastAsia"/>
          <w:color w:val="auto"/>
          <w:sz w:val="24"/>
          <w:szCs w:val="24"/>
          <w:highlight w:val="none"/>
        </w:rPr>
        <w:t>所投分标：分标</w:t>
      </w:r>
    </w:p>
    <w:tbl>
      <w:tblPr>
        <w:tblStyle w:val="45"/>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6"/>
        <w:gridCol w:w="1216"/>
        <w:gridCol w:w="1216"/>
        <w:gridCol w:w="616"/>
        <w:gridCol w:w="1016"/>
        <w:gridCol w:w="816"/>
        <w:gridCol w:w="816"/>
        <w:gridCol w:w="22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6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12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r>
              <w:rPr>
                <w:rFonts w:hint="eastAsia" w:hAnsi="宋体" w:cs="Courier New"/>
                <w:color w:val="auto"/>
                <w:sz w:val="24"/>
                <w:highlight w:val="none"/>
              </w:rPr>
              <w:t>标的的名称</w:t>
            </w:r>
          </w:p>
        </w:tc>
        <w:tc>
          <w:tcPr>
            <w:tcW w:w="12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6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101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宋体" w:hAnsi="宋体"/>
                <w:color w:val="auto"/>
                <w:sz w:val="24"/>
                <w:highlight w:val="none"/>
              </w:rPr>
            </w:pPr>
          </w:p>
          <w:p>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8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8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c>
          <w:tcPr>
            <w:tcW w:w="22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jc w:val="center"/>
        </w:trPr>
        <w:tc>
          <w:tcPr>
            <w:tcW w:w="6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6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101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宋体" w:hAnsi="宋体"/>
                <w:color w:val="auto"/>
                <w:sz w:val="24"/>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22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jc w:val="center"/>
        </w:trPr>
        <w:tc>
          <w:tcPr>
            <w:tcW w:w="6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6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101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宋体" w:hAnsi="宋体"/>
                <w:color w:val="auto"/>
                <w:sz w:val="24"/>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22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jc w:val="center"/>
        </w:trPr>
        <w:tc>
          <w:tcPr>
            <w:tcW w:w="6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6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101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宋体" w:hAnsi="宋体"/>
                <w:color w:val="auto"/>
                <w:sz w:val="24"/>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c>
          <w:tcPr>
            <w:tcW w:w="22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olor w:val="auto"/>
                <w:sz w:val="24"/>
                <w:highlight w:val="none"/>
              </w:rPr>
            </w:pPr>
          </w:p>
        </w:tc>
      </w:tr>
    </w:tbl>
    <w:p>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hAnsi="宋体" w:cs="Courier New"/>
          <w:color w:val="auto"/>
          <w:sz w:val="24"/>
          <w:highlight w:val="none"/>
        </w:rPr>
        <w:t>标的的名称</w:t>
      </w:r>
      <w:r>
        <w:rPr>
          <w:rFonts w:hint="eastAsia" w:ascii="宋体" w:hAnsi="宋体"/>
          <w:color w:val="auto"/>
          <w:sz w:val="24"/>
          <w:highlight w:val="none"/>
        </w:rPr>
        <w:t>、数量及单位、品牌必须与“开标一览表”一致，</w:t>
      </w:r>
      <w:r>
        <w:rPr>
          <w:rFonts w:hint="eastAsia" w:ascii="宋体" w:hAnsi="宋体"/>
          <w:b/>
          <w:color w:val="auto"/>
          <w:sz w:val="24"/>
          <w:highlight w:val="none"/>
        </w:rPr>
        <w:t>否则按无效投标处理。</w:t>
      </w:r>
    </w:p>
    <w:p>
      <w:pPr>
        <w:spacing w:line="360" w:lineRule="auto"/>
        <w:ind w:firstLine="480" w:firstLineChars="200"/>
        <w:contextualSpacing/>
        <w:rPr>
          <w:rFonts w:ascii="宋体" w:hAnsi="宋体"/>
          <w:color w:val="auto"/>
          <w:sz w:val="24"/>
          <w:highlight w:val="none"/>
        </w:rPr>
      </w:pPr>
    </w:p>
    <w:p>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p>
    <w:p>
      <w:pPr>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投标人名称（电子签章）：</w:t>
      </w:r>
    </w:p>
    <w:p>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日  期：</w:t>
      </w:r>
    </w:p>
    <w:p>
      <w:pPr>
        <w:snapToGrid w:val="0"/>
        <w:spacing w:before="50" w:after="120" w:afterLines="50"/>
        <w:jc w:val="left"/>
        <w:rPr>
          <w:rFonts w:ascii="宋体" w:hAnsi="宋体"/>
          <w:color w:val="auto"/>
          <w:sz w:val="24"/>
          <w:szCs w:val="20"/>
          <w:highlight w:val="none"/>
        </w:rPr>
      </w:pPr>
    </w:p>
    <w:p>
      <w:pPr>
        <w:snapToGrid w:val="0"/>
        <w:spacing w:before="50" w:after="120" w:afterLines="50"/>
        <w:jc w:val="left"/>
        <w:rPr>
          <w:rFonts w:ascii="宋体" w:hAnsi="宋体"/>
          <w:color w:val="auto"/>
          <w:sz w:val="24"/>
          <w:szCs w:val="20"/>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10. 技术要求偏离表格式</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p>
      <w:pPr>
        <w:pStyle w:val="24"/>
        <w:rPr>
          <w:rFonts w:hAnsi="宋体"/>
          <w:color w:val="auto"/>
          <w:sz w:val="24"/>
          <w:szCs w:val="24"/>
          <w:highlight w:val="none"/>
        </w:rPr>
      </w:pPr>
      <w:r>
        <w:rPr>
          <w:rFonts w:hint="eastAsia" w:hAnsi="宋体"/>
          <w:color w:val="auto"/>
          <w:sz w:val="24"/>
          <w:szCs w:val="24"/>
          <w:highlight w:val="none"/>
        </w:rPr>
        <w:t>所投分标：分标</w:t>
      </w:r>
    </w:p>
    <w:tbl>
      <w:tblPr>
        <w:tblStyle w:val="45"/>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852" w:type="dxa"/>
            <w:noWrap/>
            <w:vAlign w:val="center"/>
          </w:tcPr>
          <w:p>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noWrap/>
            <w:vAlign w:val="center"/>
          </w:tcPr>
          <w:p>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noWrap/>
            <w:vAlign w:val="center"/>
          </w:tcPr>
          <w:p>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技术要求</w:t>
            </w:r>
          </w:p>
        </w:tc>
        <w:tc>
          <w:tcPr>
            <w:tcW w:w="2181" w:type="dxa"/>
            <w:noWrap/>
            <w:vAlign w:val="center"/>
          </w:tcPr>
          <w:p>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noWrap/>
            <w:vAlign w:val="center"/>
          </w:tcPr>
          <w:p>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tcPr>
          <w:p>
            <w:pPr>
              <w:pStyle w:val="24"/>
              <w:spacing w:line="600" w:lineRule="exact"/>
              <w:jc w:val="center"/>
              <w:rPr>
                <w:rFonts w:hAnsi="宋体" w:cs="Courier New"/>
                <w:color w:val="auto"/>
                <w:kern w:val="2"/>
                <w:sz w:val="24"/>
                <w:szCs w:val="24"/>
                <w:highlight w:val="none"/>
              </w:rPr>
            </w:pPr>
          </w:p>
        </w:tc>
        <w:tc>
          <w:tcPr>
            <w:tcW w:w="2143" w:type="dxa"/>
            <w:noWrap/>
            <w:vAlign w:val="center"/>
          </w:tcPr>
          <w:p>
            <w:pPr>
              <w:pStyle w:val="24"/>
              <w:spacing w:line="600" w:lineRule="exact"/>
              <w:jc w:val="center"/>
              <w:rPr>
                <w:rFonts w:hAnsi="宋体" w:cs="Courier New"/>
                <w:color w:val="auto"/>
                <w:kern w:val="2"/>
                <w:sz w:val="24"/>
                <w:szCs w:val="24"/>
                <w:highlight w:val="none"/>
              </w:rPr>
            </w:pPr>
          </w:p>
        </w:tc>
        <w:tc>
          <w:tcPr>
            <w:tcW w:w="1834" w:type="dxa"/>
            <w:noWrap/>
            <w:vAlign w:val="center"/>
          </w:tcPr>
          <w:p>
            <w:pPr>
              <w:pStyle w:val="24"/>
              <w:spacing w:line="600" w:lineRule="exact"/>
              <w:jc w:val="center"/>
              <w:rPr>
                <w:rFonts w:hAnsi="宋体" w:cs="Courier New"/>
                <w:color w:val="auto"/>
                <w:kern w:val="2"/>
                <w:sz w:val="24"/>
                <w:szCs w:val="24"/>
                <w:highlight w:val="none"/>
              </w:rPr>
            </w:pPr>
          </w:p>
        </w:tc>
        <w:tc>
          <w:tcPr>
            <w:tcW w:w="2181" w:type="dxa"/>
            <w:noWrap/>
            <w:vAlign w:val="center"/>
          </w:tcPr>
          <w:p>
            <w:pPr>
              <w:pStyle w:val="24"/>
              <w:spacing w:line="600" w:lineRule="exact"/>
              <w:jc w:val="center"/>
              <w:rPr>
                <w:rFonts w:hAnsi="宋体" w:cs="Courier New"/>
                <w:color w:val="auto"/>
                <w:kern w:val="2"/>
                <w:sz w:val="24"/>
                <w:szCs w:val="24"/>
                <w:highlight w:val="none"/>
              </w:rPr>
            </w:pPr>
          </w:p>
        </w:tc>
        <w:tc>
          <w:tcPr>
            <w:tcW w:w="1934" w:type="dxa"/>
            <w:noWrap/>
            <w:vAlign w:val="center"/>
          </w:tcPr>
          <w:p>
            <w:pPr>
              <w:pStyle w:val="24"/>
              <w:spacing w:line="600" w:lineRule="exact"/>
              <w:jc w:val="center"/>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tcPr>
          <w:p>
            <w:pPr>
              <w:pStyle w:val="24"/>
              <w:spacing w:line="600" w:lineRule="exact"/>
              <w:rPr>
                <w:rFonts w:hAnsi="宋体" w:cs="Courier New"/>
                <w:color w:val="auto"/>
                <w:kern w:val="2"/>
                <w:sz w:val="24"/>
                <w:szCs w:val="24"/>
                <w:highlight w:val="none"/>
              </w:rPr>
            </w:pPr>
          </w:p>
        </w:tc>
        <w:tc>
          <w:tcPr>
            <w:tcW w:w="2143" w:type="dxa"/>
            <w:noWrap/>
          </w:tcPr>
          <w:p>
            <w:pPr>
              <w:pStyle w:val="24"/>
              <w:spacing w:line="600" w:lineRule="exact"/>
              <w:rPr>
                <w:rFonts w:hAnsi="宋体" w:cs="Courier New"/>
                <w:color w:val="auto"/>
                <w:kern w:val="2"/>
                <w:sz w:val="24"/>
                <w:szCs w:val="24"/>
                <w:highlight w:val="none"/>
              </w:rPr>
            </w:pPr>
          </w:p>
        </w:tc>
        <w:tc>
          <w:tcPr>
            <w:tcW w:w="1834" w:type="dxa"/>
            <w:noWrap/>
          </w:tcPr>
          <w:p>
            <w:pPr>
              <w:pStyle w:val="24"/>
              <w:spacing w:line="600" w:lineRule="exact"/>
              <w:rPr>
                <w:rFonts w:hAnsi="宋体" w:cs="Courier New"/>
                <w:color w:val="auto"/>
                <w:kern w:val="2"/>
                <w:sz w:val="24"/>
                <w:szCs w:val="24"/>
                <w:highlight w:val="none"/>
              </w:rPr>
            </w:pPr>
          </w:p>
        </w:tc>
        <w:tc>
          <w:tcPr>
            <w:tcW w:w="2181" w:type="dxa"/>
            <w:noWrap/>
          </w:tcPr>
          <w:p>
            <w:pPr>
              <w:pStyle w:val="24"/>
              <w:spacing w:line="600" w:lineRule="exact"/>
              <w:rPr>
                <w:rFonts w:hAnsi="宋体" w:cs="Courier New"/>
                <w:color w:val="auto"/>
                <w:kern w:val="2"/>
                <w:sz w:val="24"/>
                <w:szCs w:val="24"/>
                <w:highlight w:val="none"/>
              </w:rPr>
            </w:pPr>
          </w:p>
        </w:tc>
        <w:tc>
          <w:tcPr>
            <w:tcW w:w="1934" w:type="dxa"/>
            <w:noWrap/>
          </w:tcPr>
          <w:p>
            <w:pPr>
              <w:pStyle w:val="24"/>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tcPr>
          <w:p>
            <w:pPr>
              <w:pStyle w:val="24"/>
              <w:spacing w:line="600" w:lineRule="exact"/>
              <w:rPr>
                <w:rFonts w:hAnsi="宋体" w:cs="Courier New"/>
                <w:color w:val="auto"/>
                <w:kern w:val="2"/>
                <w:sz w:val="24"/>
                <w:szCs w:val="24"/>
                <w:highlight w:val="none"/>
              </w:rPr>
            </w:pPr>
          </w:p>
        </w:tc>
        <w:tc>
          <w:tcPr>
            <w:tcW w:w="2143" w:type="dxa"/>
            <w:noWrap/>
          </w:tcPr>
          <w:p>
            <w:pPr>
              <w:pStyle w:val="24"/>
              <w:spacing w:line="600" w:lineRule="exact"/>
              <w:rPr>
                <w:rFonts w:hAnsi="宋体" w:cs="Courier New"/>
                <w:color w:val="auto"/>
                <w:kern w:val="2"/>
                <w:sz w:val="24"/>
                <w:szCs w:val="24"/>
                <w:highlight w:val="none"/>
              </w:rPr>
            </w:pPr>
          </w:p>
        </w:tc>
        <w:tc>
          <w:tcPr>
            <w:tcW w:w="1834" w:type="dxa"/>
            <w:noWrap/>
          </w:tcPr>
          <w:p>
            <w:pPr>
              <w:pStyle w:val="24"/>
              <w:spacing w:line="600" w:lineRule="exact"/>
              <w:rPr>
                <w:rFonts w:hAnsi="宋体" w:cs="Courier New"/>
                <w:color w:val="auto"/>
                <w:kern w:val="2"/>
                <w:sz w:val="24"/>
                <w:szCs w:val="24"/>
                <w:highlight w:val="none"/>
              </w:rPr>
            </w:pPr>
          </w:p>
        </w:tc>
        <w:tc>
          <w:tcPr>
            <w:tcW w:w="2181" w:type="dxa"/>
            <w:noWrap/>
          </w:tcPr>
          <w:p>
            <w:pPr>
              <w:pStyle w:val="24"/>
              <w:spacing w:line="600" w:lineRule="exact"/>
              <w:rPr>
                <w:rFonts w:hAnsi="宋体" w:cs="Courier New"/>
                <w:color w:val="auto"/>
                <w:kern w:val="2"/>
                <w:sz w:val="24"/>
                <w:szCs w:val="24"/>
                <w:highlight w:val="none"/>
              </w:rPr>
            </w:pPr>
          </w:p>
        </w:tc>
        <w:tc>
          <w:tcPr>
            <w:tcW w:w="1934" w:type="dxa"/>
            <w:noWrap/>
          </w:tcPr>
          <w:p>
            <w:pPr>
              <w:pStyle w:val="24"/>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tcPr>
          <w:p>
            <w:pPr>
              <w:pStyle w:val="24"/>
              <w:spacing w:line="600" w:lineRule="exact"/>
              <w:rPr>
                <w:rFonts w:hAnsi="宋体" w:cs="Courier New"/>
                <w:color w:val="auto"/>
                <w:kern w:val="2"/>
                <w:sz w:val="24"/>
                <w:szCs w:val="24"/>
                <w:highlight w:val="none"/>
              </w:rPr>
            </w:pPr>
          </w:p>
        </w:tc>
        <w:tc>
          <w:tcPr>
            <w:tcW w:w="2143" w:type="dxa"/>
            <w:noWrap/>
          </w:tcPr>
          <w:p>
            <w:pPr>
              <w:pStyle w:val="24"/>
              <w:spacing w:line="600" w:lineRule="exact"/>
              <w:rPr>
                <w:rFonts w:hAnsi="宋体" w:cs="Courier New"/>
                <w:color w:val="auto"/>
                <w:kern w:val="2"/>
                <w:sz w:val="24"/>
                <w:szCs w:val="24"/>
                <w:highlight w:val="none"/>
              </w:rPr>
            </w:pPr>
          </w:p>
        </w:tc>
        <w:tc>
          <w:tcPr>
            <w:tcW w:w="1834" w:type="dxa"/>
            <w:noWrap/>
          </w:tcPr>
          <w:p>
            <w:pPr>
              <w:pStyle w:val="24"/>
              <w:spacing w:line="600" w:lineRule="exact"/>
              <w:rPr>
                <w:rFonts w:hAnsi="宋体" w:cs="Courier New"/>
                <w:color w:val="auto"/>
                <w:kern w:val="2"/>
                <w:sz w:val="24"/>
                <w:szCs w:val="24"/>
                <w:highlight w:val="none"/>
              </w:rPr>
            </w:pPr>
          </w:p>
        </w:tc>
        <w:tc>
          <w:tcPr>
            <w:tcW w:w="2181" w:type="dxa"/>
            <w:noWrap/>
          </w:tcPr>
          <w:p>
            <w:pPr>
              <w:pStyle w:val="24"/>
              <w:spacing w:line="600" w:lineRule="exact"/>
              <w:rPr>
                <w:rFonts w:hAnsi="宋体" w:cs="Courier New"/>
                <w:color w:val="auto"/>
                <w:kern w:val="2"/>
                <w:sz w:val="24"/>
                <w:szCs w:val="24"/>
                <w:highlight w:val="none"/>
              </w:rPr>
            </w:pPr>
          </w:p>
        </w:tc>
        <w:tc>
          <w:tcPr>
            <w:tcW w:w="1934" w:type="dxa"/>
            <w:noWrap/>
          </w:tcPr>
          <w:p>
            <w:pPr>
              <w:pStyle w:val="24"/>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tcPr>
          <w:p>
            <w:pPr>
              <w:pStyle w:val="24"/>
              <w:spacing w:line="600" w:lineRule="exact"/>
              <w:rPr>
                <w:rFonts w:hAnsi="宋体" w:cs="Courier New"/>
                <w:color w:val="auto"/>
                <w:kern w:val="2"/>
                <w:sz w:val="24"/>
                <w:szCs w:val="24"/>
                <w:highlight w:val="none"/>
              </w:rPr>
            </w:pPr>
          </w:p>
        </w:tc>
        <w:tc>
          <w:tcPr>
            <w:tcW w:w="2143" w:type="dxa"/>
            <w:noWrap/>
          </w:tcPr>
          <w:p>
            <w:pPr>
              <w:pStyle w:val="24"/>
              <w:spacing w:line="600" w:lineRule="exact"/>
              <w:rPr>
                <w:rFonts w:hAnsi="宋体" w:cs="Courier New"/>
                <w:color w:val="auto"/>
                <w:kern w:val="2"/>
                <w:sz w:val="24"/>
                <w:szCs w:val="24"/>
                <w:highlight w:val="none"/>
              </w:rPr>
            </w:pPr>
          </w:p>
        </w:tc>
        <w:tc>
          <w:tcPr>
            <w:tcW w:w="1834" w:type="dxa"/>
            <w:noWrap/>
          </w:tcPr>
          <w:p>
            <w:pPr>
              <w:pStyle w:val="24"/>
              <w:spacing w:line="600" w:lineRule="exact"/>
              <w:rPr>
                <w:rFonts w:hAnsi="宋体" w:cs="Courier New"/>
                <w:color w:val="auto"/>
                <w:kern w:val="2"/>
                <w:sz w:val="24"/>
                <w:szCs w:val="24"/>
                <w:highlight w:val="none"/>
              </w:rPr>
            </w:pPr>
          </w:p>
        </w:tc>
        <w:tc>
          <w:tcPr>
            <w:tcW w:w="2181" w:type="dxa"/>
            <w:noWrap/>
          </w:tcPr>
          <w:p>
            <w:pPr>
              <w:pStyle w:val="24"/>
              <w:spacing w:line="600" w:lineRule="exact"/>
              <w:rPr>
                <w:rFonts w:hAnsi="宋体" w:cs="Courier New"/>
                <w:color w:val="auto"/>
                <w:kern w:val="2"/>
                <w:sz w:val="24"/>
                <w:szCs w:val="24"/>
                <w:highlight w:val="none"/>
              </w:rPr>
            </w:pPr>
          </w:p>
        </w:tc>
        <w:tc>
          <w:tcPr>
            <w:tcW w:w="1934" w:type="dxa"/>
            <w:noWrap/>
          </w:tcPr>
          <w:p>
            <w:pPr>
              <w:pStyle w:val="24"/>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tcPr>
          <w:p>
            <w:pPr>
              <w:pStyle w:val="24"/>
              <w:spacing w:line="600" w:lineRule="exact"/>
              <w:rPr>
                <w:rFonts w:hAnsi="宋体" w:cs="Courier New"/>
                <w:color w:val="auto"/>
                <w:kern w:val="2"/>
                <w:sz w:val="24"/>
                <w:szCs w:val="24"/>
                <w:highlight w:val="none"/>
              </w:rPr>
            </w:pPr>
          </w:p>
        </w:tc>
        <w:tc>
          <w:tcPr>
            <w:tcW w:w="2143" w:type="dxa"/>
            <w:noWrap/>
          </w:tcPr>
          <w:p>
            <w:pPr>
              <w:pStyle w:val="24"/>
              <w:spacing w:line="600" w:lineRule="exact"/>
              <w:rPr>
                <w:rFonts w:hAnsi="宋体" w:cs="Courier New"/>
                <w:color w:val="auto"/>
                <w:kern w:val="2"/>
                <w:sz w:val="24"/>
                <w:szCs w:val="24"/>
                <w:highlight w:val="none"/>
              </w:rPr>
            </w:pPr>
          </w:p>
        </w:tc>
        <w:tc>
          <w:tcPr>
            <w:tcW w:w="1834" w:type="dxa"/>
            <w:noWrap/>
          </w:tcPr>
          <w:p>
            <w:pPr>
              <w:pStyle w:val="24"/>
              <w:spacing w:line="600" w:lineRule="exact"/>
              <w:rPr>
                <w:rFonts w:hAnsi="宋体" w:cs="Courier New"/>
                <w:color w:val="auto"/>
                <w:kern w:val="2"/>
                <w:sz w:val="24"/>
                <w:szCs w:val="24"/>
                <w:highlight w:val="none"/>
              </w:rPr>
            </w:pPr>
          </w:p>
        </w:tc>
        <w:tc>
          <w:tcPr>
            <w:tcW w:w="2181" w:type="dxa"/>
            <w:noWrap/>
          </w:tcPr>
          <w:p>
            <w:pPr>
              <w:pStyle w:val="24"/>
              <w:spacing w:line="600" w:lineRule="exact"/>
              <w:rPr>
                <w:rFonts w:hAnsi="宋体" w:cs="Courier New"/>
                <w:color w:val="auto"/>
                <w:kern w:val="2"/>
                <w:sz w:val="24"/>
                <w:szCs w:val="24"/>
                <w:highlight w:val="none"/>
              </w:rPr>
            </w:pPr>
          </w:p>
        </w:tc>
        <w:tc>
          <w:tcPr>
            <w:tcW w:w="1934" w:type="dxa"/>
            <w:noWrap/>
          </w:tcPr>
          <w:p>
            <w:pPr>
              <w:pStyle w:val="24"/>
              <w:spacing w:line="600" w:lineRule="exact"/>
              <w:rPr>
                <w:rFonts w:hAnsi="宋体" w:cs="Courier New"/>
                <w:color w:val="auto"/>
                <w:kern w:val="2"/>
                <w:sz w:val="24"/>
                <w:szCs w:val="24"/>
                <w:highlight w:val="none"/>
              </w:rPr>
            </w:pPr>
          </w:p>
        </w:tc>
      </w:tr>
    </w:tbl>
    <w:p>
      <w:pPr>
        <w:pStyle w:val="17"/>
        <w:rPr>
          <w:rFonts w:ascii="宋体" w:hAnsi="宋体"/>
          <w:color w:val="auto"/>
          <w:highlight w:val="none"/>
        </w:rPr>
      </w:pPr>
      <w:r>
        <w:rPr>
          <w:rFonts w:hint="eastAsia" w:ascii="宋体" w:hAnsi="宋体"/>
          <w:color w:val="auto"/>
          <w:highlight w:val="none"/>
        </w:rPr>
        <w:t>注：</w:t>
      </w:r>
    </w:p>
    <w:p>
      <w:pPr>
        <w:pStyle w:val="19"/>
        <w:spacing w:line="360" w:lineRule="auto"/>
        <w:ind w:firstLine="0" w:firstLineChars="0"/>
        <w:rPr>
          <w:rFonts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pPr>
        <w:pStyle w:val="17"/>
        <w:spacing w:line="360" w:lineRule="auto"/>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pStyle w:val="19"/>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p>
    <w:p>
      <w:pPr>
        <w:snapToGrid w:val="0"/>
        <w:spacing w:before="50" w:after="50" w:line="360" w:lineRule="auto"/>
        <w:rPr>
          <w:rFonts w:ascii="宋体" w:hAnsi="宋体"/>
          <w:color w:val="auto"/>
          <w:spacing w:val="20"/>
          <w:sz w:val="24"/>
          <w:highlight w:val="none"/>
        </w:rPr>
      </w:pPr>
      <w:r>
        <w:rPr>
          <w:rFonts w:hint="eastAsia" w:ascii="宋体" w:hAnsi="宋体"/>
          <w:color w:val="auto"/>
          <w:spacing w:val="20"/>
          <w:sz w:val="24"/>
          <w:highlight w:val="none"/>
        </w:rPr>
        <w:t>投标人名称（电子签章）：</w:t>
      </w:r>
    </w:p>
    <w:p>
      <w:pPr>
        <w:snapToGrid w:val="0"/>
        <w:spacing w:before="50" w:after="50" w:line="360" w:lineRule="auto"/>
        <w:rPr>
          <w:rFonts w:ascii="宋体" w:hAnsi="宋体"/>
          <w:color w:val="auto"/>
          <w:spacing w:val="20"/>
          <w:sz w:val="24"/>
          <w:highlight w:val="none"/>
          <w:u w:val="single"/>
        </w:rPr>
      </w:pPr>
      <w:r>
        <w:rPr>
          <w:rFonts w:hint="eastAsia" w:ascii="宋体" w:hAnsi="宋体"/>
          <w:color w:val="auto"/>
          <w:spacing w:val="20"/>
          <w:sz w:val="24"/>
          <w:highlight w:val="none"/>
        </w:rPr>
        <w:t>日 期：</w:t>
      </w:r>
    </w:p>
    <w:p>
      <w:pPr>
        <w:snapToGrid w:val="0"/>
        <w:spacing w:before="50" w:after="50" w:line="360" w:lineRule="auto"/>
        <w:rPr>
          <w:rFonts w:ascii="宋体" w:hAnsi="宋体"/>
          <w:color w:val="auto"/>
          <w:sz w:val="24"/>
          <w:szCs w:val="20"/>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11. 项目实施人员一览表格式</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pPr>
        <w:pStyle w:val="24"/>
        <w:rPr>
          <w:color w:val="auto"/>
          <w:sz w:val="24"/>
          <w:szCs w:val="24"/>
          <w:highlight w:val="none"/>
        </w:rPr>
      </w:pPr>
      <w:r>
        <w:rPr>
          <w:rFonts w:hint="eastAsia"/>
          <w:color w:val="auto"/>
          <w:sz w:val="24"/>
          <w:szCs w:val="24"/>
          <w:highlight w:val="none"/>
        </w:rPr>
        <w:t>所投分标：分标</w:t>
      </w:r>
    </w:p>
    <w:tbl>
      <w:tblPr>
        <w:tblStyle w:val="45"/>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参加本单位</w:t>
            </w:r>
          </w:p>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ign w:val="center"/>
          </w:tcPr>
          <w:p>
            <w:pPr>
              <w:snapToGrid w:val="0"/>
              <w:spacing w:before="50" w:after="120" w:afterLines="50"/>
              <w:jc w:val="center"/>
              <w:rPr>
                <w:rFonts w:ascii="宋体" w:hAnsi="宋体"/>
                <w:color w:val="auto"/>
                <w:sz w:val="24"/>
                <w:szCs w:val="20"/>
                <w:highlight w:val="none"/>
              </w:rPr>
            </w:pPr>
          </w:p>
        </w:tc>
        <w:tc>
          <w:tcPr>
            <w:tcW w:w="709" w:type="dxa"/>
            <w:noWrap/>
            <w:vAlign w:val="center"/>
          </w:tcPr>
          <w:p>
            <w:pPr>
              <w:snapToGrid w:val="0"/>
              <w:spacing w:before="50" w:after="120" w:afterLines="50"/>
              <w:jc w:val="center"/>
              <w:rPr>
                <w:rFonts w:ascii="宋体" w:hAnsi="宋体"/>
                <w:color w:val="auto"/>
                <w:sz w:val="24"/>
                <w:szCs w:val="20"/>
                <w:highlight w:val="none"/>
              </w:rPr>
            </w:pPr>
          </w:p>
        </w:tc>
        <w:tc>
          <w:tcPr>
            <w:tcW w:w="1701" w:type="dxa"/>
            <w:noWrap/>
            <w:vAlign w:val="center"/>
          </w:tcPr>
          <w:p>
            <w:pPr>
              <w:snapToGrid w:val="0"/>
              <w:spacing w:before="50" w:after="120" w:afterLines="50"/>
              <w:jc w:val="center"/>
              <w:rPr>
                <w:rFonts w:ascii="宋体" w:hAnsi="宋体"/>
                <w:color w:val="auto"/>
                <w:sz w:val="24"/>
                <w:szCs w:val="20"/>
                <w:highlight w:val="none"/>
              </w:rPr>
            </w:pPr>
          </w:p>
        </w:tc>
        <w:tc>
          <w:tcPr>
            <w:tcW w:w="1420" w:type="dxa"/>
            <w:noWrap/>
            <w:vAlign w:val="center"/>
          </w:tcPr>
          <w:p>
            <w:pPr>
              <w:snapToGrid w:val="0"/>
              <w:spacing w:before="50" w:after="120" w:afterLines="50"/>
              <w:jc w:val="center"/>
              <w:rPr>
                <w:rFonts w:ascii="宋体" w:hAnsi="宋体"/>
                <w:color w:val="auto"/>
                <w:sz w:val="24"/>
                <w:szCs w:val="20"/>
                <w:highlight w:val="none"/>
              </w:rPr>
            </w:pPr>
          </w:p>
        </w:tc>
        <w:tc>
          <w:tcPr>
            <w:tcW w:w="1698" w:type="dxa"/>
            <w:noWrap/>
            <w:vAlign w:val="center"/>
          </w:tcPr>
          <w:p>
            <w:pPr>
              <w:snapToGrid w:val="0"/>
              <w:spacing w:before="50" w:after="120" w:afterLines="50"/>
              <w:jc w:val="center"/>
              <w:rPr>
                <w:rFonts w:ascii="宋体" w:hAnsi="宋体"/>
                <w:color w:val="auto"/>
                <w:sz w:val="24"/>
                <w:szCs w:val="20"/>
                <w:highlight w:val="none"/>
              </w:rPr>
            </w:pPr>
          </w:p>
        </w:tc>
        <w:tc>
          <w:tcPr>
            <w:tcW w:w="1843" w:type="dxa"/>
            <w:noWrap/>
            <w:vAlign w:val="center"/>
          </w:tcPr>
          <w:p>
            <w:pPr>
              <w:snapToGrid w:val="0"/>
              <w:spacing w:before="50" w:after="120" w:after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ign w:val="center"/>
          </w:tcPr>
          <w:p>
            <w:pPr>
              <w:snapToGrid w:val="0"/>
              <w:spacing w:before="50" w:after="120" w:afterLines="50"/>
              <w:jc w:val="center"/>
              <w:rPr>
                <w:rFonts w:ascii="宋体" w:hAnsi="宋体"/>
                <w:color w:val="auto"/>
                <w:sz w:val="24"/>
                <w:szCs w:val="20"/>
                <w:highlight w:val="none"/>
              </w:rPr>
            </w:pPr>
          </w:p>
        </w:tc>
        <w:tc>
          <w:tcPr>
            <w:tcW w:w="709" w:type="dxa"/>
            <w:noWrap/>
            <w:vAlign w:val="center"/>
          </w:tcPr>
          <w:p>
            <w:pPr>
              <w:snapToGrid w:val="0"/>
              <w:spacing w:before="50" w:after="120" w:afterLines="50"/>
              <w:jc w:val="center"/>
              <w:rPr>
                <w:rFonts w:ascii="宋体" w:hAnsi="宋体"/>
                <w:color w:val="auto"/>
                <w:sz w:val="24"/>
                <w:szCs w:val="20"/>
                <w:highlight w:val="none"/>
              </w:rPr>
            </w:pPr>
          </w:p>
        </w:tc>
        <w:tc>
          <w:tcPr>
            <w:tcW w:w="1701" w:type="dxa"/>
            <w:noWrap/>
            <w:vAlign w:val="center"/>
          </w:tcPr>
          <w:p>
            <w:pPr>
              <w:snapToGrid w:val="0"/>
              <w:spacing w:before="50" w:after="120" w:afterLines="50"/>
              <w:jc w:val="center"/>
              <w:rPr>
                <w:rFonts w:ascii="宋体" w:hAnsi="宋体"/>
                <w:color w:val="auto"/>
                <w:sz w:val="24"/>
                <w:szCs w:val="20"/>
                <w:highlight w:val="none"/>
              </w:rPr>
            </w:pPr>
          </w:p>
        </w:tc>
        <w:tc>
          <w:tcPr>
            <w:tcW w:w="1420" w:type="dxa"/>
            <w:noWrap/>
            <w:vAlign w:val="center"/>
          </w:tcPr>
          <w:p>
            <w:pPr>
              <w:snapToGrid w:val="0"/>
              <w:spacing w:before="50" w:after="120" w:afterLines="50"/>
              <w:jc w:val="center"/>
              <w:rPr>
                <w:rFonts w:ascii="宋体" w:hAnsi="宋体"/>
                <w:color w:val="auto"/>
                <w:sz w:val="24"/>
                <w:szCs w:val="20"/>
                <w:highlight w:val="none"/>
              </w:rPr>
            </w:pPr>
          </w:p>
        </w:tc>
        <w:tc>
          <w:tcPr>
            <w:tcW w:w="1698" w:type="dxa"/>
            <w:noWrap/>
            <w:vAlign w:val="center"/>
          </w:tcPr>
          <w:p>
            <w:pPr>
              <w:snapToGrid w:val="0"/>
              <w:spacing w:before="50" w:after="120" w:afterLines="50"/>
              <w:jc w:val="center"/>
              <w:rPr>
                <w:rFonts w:ascii="宋体" w:hAnsi="宋体"/>
                <w:color w:val="auto"/>
                <w:sz w:val="24"/>
                <w:szCs w:val="20"/>
                <w:highlight w:val="none"/>
              </w:rPr>
            </w:pPr>
          </w:p>
        </w:tc>
        <w:tc>
          <w:tcPr>
            <w:tcW w:w="1843" w:type="dxa"/>
            <w:noWrap/>
            <w:vAlign w:val="center"/>
          </w:tcPr>
          <w:p>
            <w:pPr>
              <w:snapToGrid w:val="0"/>
              <w:spacing w:before="50" w:after="120" w:after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ign w:val="center"/>
          </w:tcPr>
          <w:p>
            <w:pPr>
              <w:snapToGrid w:val="0"/>
              <w:spacing w:before="50" w:after="120" w:afterLines="50"/>
              <w:jc w:val="center"/>
              <w:rPr>
                <w:rFonts w:ascii="宋体" w:hAnsi="宋体"/>
                <w:color w:val="auto"/>
                <w:sz w:val="24"/>
                <w:szCs w:val="20"/>
                <w:highlight w:val="none"/>
              </w:rPr>
            </w:pPr>
          </w:p>
        </w:tc>
        <w:tc>
          <w:tcPr>
            <w:tcW w:w="709" w:type="dxa"/>
            <w:noWrap/>
            <w:vAlign w:val="center"/>
          </w:tcPr>
          <w:p>
            <w:pPr>
              <w:snapToGrid w:val="0"/>
              <w:spacing w:before="50" w:after="120" w:afterLines="50"/>
              <w:jc w:val="center"/>
              <w:rPr>
                <w:rFonts w:ascii="宋体" w:hAnsi="宋体"/>
                <w:color w:val="auto"/>
                <w:sz w:val="24"/>
                <w:szCs w:val="20"/>
                <w:highlight w:val="none"/>
              </w:rPr>
            </w:pPr>
          </w:p>
        </w:tc>
        <w:tc>
          <w:tcPr>
            <w:tcW w:w="1701" w:type="dxa"/>
            <w:noWrap/>
            <w:vAlign w:val="center"/>
          </w:tcPr>
          <w:p>
            <w:pPr>
              <w:snapToGrid w:val="0"/>
              <w:spacing w:before="50" w:after="120" w:afterLines="50"/>
              <w:jc w:val="center"/>
              <w:rPr>
                <w:rFonts w:ascii="宋体" w:hAnsi="宋体"/>
                <w:color w:val="auto"/>
                <w:sz w:val="24"/>
                <w:szCs w:val="20"/>
                <w:highlight w:val="none"/>
              </w:rPr>
            </w:pPr>
          </w:p>
        </w:tc>
        <w:tc>
          <w:tcPr>
            <w:tcW w:w="1420" w:type="dxa"/>
            <w:noWrap/>
            <w:vAlign w:val="center"/>
          </w:tcPr>
          <w:p>
            <w:pPr>
              <w:snapToGrid w:val="0"/>
              <w:spacing w:before="50" w:after="120" w:afterLines="50"/>
              <w:jc w:val="center"/>
              <w:rPr>
                <w:rFonts w:ascii="宋体" w:hAnsi="宋体"/>
                <w:color w:val="auto"/>
                <w:sz w:val="24"/>
                <w:szCs w:val="20"/>
                <w:highlight w:val="none"/>
              </w:rPr>
            </w:pPr>
          </w:p>
        </w:tc>
        <w:tc>
          <w:tcPr>
            <w:tcW w:w="1698" w:type="dxa"/>
            <w:noWrap/>
            <w:vAlign w:val="center"/>
          </w:tcPr>
          <w:p>
            <w:pPr>
              <w:snapToGrid w:val="0"/>
              <w:spacing w:before="50" w:after="120" w:afterLines="50"/>
              <w:jc w:val="center"/>
              <w:rPr>
                <w:rFonts w:ascii="宋体" w:hAnsi="宋体"/>
                <w:color w:val="auto"/>
                <w:sz w:val="24"/>
                <w:szCs w:val="20"/>
                <w:highlight w:val="none"/>
              </w:rPr>
            </w:pPr>
          </w:p>
        </w:tc>
        <w:tc>
          <w:tcPr>
            <w:tcW w:w="1843" w:type="dxa"/>
            <w:noWrap/>
            <w:vAlign w:val="center"/>
          </w:tcPr>
          <w:p>
            <w:pPr>
              <w:snapToGrid w:val="0"/>
              <w:spacing w:before="50" w:after="120" w:afterLines="50"/>
              <w:jc w:val="center"/>
              <w:rPr>
                <w:rFonts w:ascii="宋体" w:hAnsi="宋体"/>
                <w:color w:val="auto"/>
                <w:sz w:val="24"/>
                <w:szCs w:val="20"/>
                <w:highlight w:val="none"/>
              </w:rPr>
            </w:pPr>
          </w:p>
        </w:tc>
      </w:tr>
    </w:tbl>
    <w:p>
      <w:pPr>
        <w:snapToGrid w:val="0"/>
        <w:spacing w:before="50" w:after="120" w:afterLines="50"/>
        <w:jc w:val="left"/>
        <w:rPr>
          <w:rFonts w:ascii="宋体" w:hAnsi="宋体"/>
          <w:color w:val="auto"/>
          <w:sz w:val="24"/>
          <w:szCs w:val="20"/>
          <w:highlight w:val="none"/>
        </w:rPr>
      </w:pP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投标人应当附本表所列证书的复印件并加盖投标人电子签章。</w:t>
      </w:r>
    </w:p>
    <w:p>
      <w:pPr>
        <w:spacing w:line="360" w:lineRule="auto"/>
        <w:contextualSpacing/>
        <w:jc w:val="left"/>
        <w:rPr>
          <w:rFonts w:ascii="宋体" w:hAnsi="宋体"/>
          <w:color w:val="auto"/>
          <w:sz w:val="24"/>
          <w:szCs w:val="20"/>
          <w:highlight w:val="none"/>
        </w:rPr>
      </w:pPr>
    </w:p>
    <w:p>
      <w:pPr>
        <w:spacing w:line="360" w:lineRule="auto"/>
        <w:contextualSpacing/>
        <w:jc w:val="left"/>
        <w:rPr>
          <w:rFonts w:ascii="宋体" w:hAnsi="宋体"/>
          <w:color w:val="auto"/>
          <w:sz w:val="24"/>
          <w:szCs w:val="20"/>
          <w:highlight w:val="none"/>
        </w:rPr>
      </w:pPr>
    </w:p>
    <w:p>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p>
    <w:p>
      <w:pPr>
        <w:spacing w:line="360" w:lineRule="auto"/>
        <w:contextualSpacing/>
        <w:jc w:val="left"/>
        <w:rPr>
          <w:rFonts w:ascii="宋体" w:hAnsi="宋体"/>
          <w:color w:val="auto"/>
          <w:spacing w:val="20"/>
          <w:sz w:val="24"/>
          <w:highlight w:val="none"/>
        </w:rPr>
      </w:pPr>
      <w:r>
        <w:rPr>
          <w:rFonts w:hint="eastAsia" w:ascii="宋体" w:hAnsi="宋体"/>
          <w:color w:val="auto"/>
          <w:spacing w:val="20"/>
          <w:sz w:val="24"/>
          <w:highlight w:val="none"/>
        </w:rPr>
        <w:t>投标人名称（电子签章）：</w:t>
      </w:r>
    </w:p>
    <w:p>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日 期：</w:t>
      </w:r>
    </w:p>
    <w:p>
      <w:pPr>
        <w:snapToGrid w:val="0"/>
        <w:spacing w:before="50" w:after="120" w:afterLines="50"/>
        <w:jc w:val="left"/>
        <w:rPr>
          <w:rFonts w:ascii="宋体" w:hAnsi="宋体"/>
          <w:color w:val="auto"/>
          <w:sz w:val="24"/>
          <w:szCs w:val="20"/>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12. 选配件、专用耗材、售后服务优惠表格式</w:t>
      </w: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选配件、专用耗材、售后服务优惠表</w:t>
      </w:r>
    </w:p>
    <w:p>
      <w:pPr>
        <w:pStyle w:val="24"/>
        <w:rPr>
          <w:color w:val="auto"/>
          <w:sz w:val="24"/>
          <w:szCs w:val="24"/>
          <w:highlight w:val="none"/>
        </w:rPr>
      </w:pPr>
      <w:r>
        <w:rPr>
          <w:rFonts w:hint="eastAsia"/>
          <w:color w:val="auto"/>
          <w:sz w:val="24"/>
          <w:szCs w:val="24"/>
          <w:highlight w:val="none"/>
        </w:rPr>
        <w:t>所投分标：分标</w:t>
      </w:r>
    </w:p>
    <w:tbl>
      <w:tblPr>
        <w:tblStyle w:val="45"/>
        <w:tblW w:w="86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Style w:val="24"/>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noWrap/>
            <w:vAlign w:val="center"/>
          </w:tcPr>
          <w:p>
            <w:pPr>
              <w:pStyle w:val="24"/>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noWrap/>
            <w:vAlign w:val="center"/>
          </w:tcPr>
          <w:p>
            <w:pPr>
              <w:pStyle w:val="24"/>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noWrap/>
            <w:tcMar>
              <w:top w:w="15" w:type="dxa"/>
              <w:left w:w="15" w:type="dxa"/>
              <w:bottom w:w="0" w:type="dxa"/>
              <w:right w:w="15" w:type="dxa"/>
            </w:tcMar>
            <w:vAlign w:val="center"/>
          </w:tcPr>
          <w:p>
            <w:pPr>
              <w:pStyle w:val="24"/>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noWrap/>
            <w:vAlign w:val="center"/>
          </w:tcPr>
          <w:p>
            <w:pPr>
              <w:pStyle w:val="24"/>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noWrap/>
            <w:vAlign w:val="center"/>
          </w:tcPr>
          <w:p>
            <w:pPr>
              <w:pStyle w:val="24"/>
              <w:snapToGrid w:val="0"/>
              <w:spacing w:before="295" w:after="295"/>
              <w:jc w:val="center"/>
              <w:rPr>
                <w:rFonts w:hAnsi="宋体"/>
                <w:color w:val="auto"/>
                <w:kern w:val="2"/>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noWrap/>
            <w:vAlign w:val="center"/>
          </w:tcPr>
          <w:p>
            <w:pPr>
              <w:pStyle w:val="24"/>
              <w:snapToGrid w:val="0"/>
              <w:spacing w:before="295" w:after="295"/>
              <w:jc w:val="center"/>
              <w:rPr>
                <w:rFonts w:hAnsi="宋体"/>
                <w:color w:val="auto"/>
                <w:kern w:val="2"/>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pStyle w:val="24"/>
              <w:snapToGrid w:val="0"/>
              <w:spacing w:before="295" w:after="295"/>
              <w:jc w:val="center"/>
              <w:rPr>
                <w:rFonts w:hAnsi="宋体"/>
                <w:color w:val="auto"/>
                <w:kern w:val="2"/>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noWrap/>
            <w:vAlign w:val="center"/>
          </w:tcPr>
          <w:p>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noWrap/>
            <w:vAlign w:val="center"/>
          </w:tcPr>
          <w:p>
            <w:pPr>
              <w:pStyle w:val="24"/>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noWrap/>
            <w:vAlign w:val="center"/>
          </w:tcPr>
          <w:p>
            <w:pPr>
              <w:pStyle w:val="24"/>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pStyle w:val="24"/>
              <w:snapToGrid w:val="0"/>
              <w:spacing w:before="295" w:after="295"/>
              <w:jc w:val="center"/>
              <w:rPr>
                <w:rFonts w:hAnsi="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noWrap/>
            <w:vAlign w:val="center"/>
          </w:tcPr>
          <w:p>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noWrap/>
            <w:vAlign w:val="center"/>
          </w:tcPr>
          <w:p>
            <w:pPr>
              <w:pStyle w:val="24"/>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noWrap/>
            <w:vAlign w:val="center"/>
          </w:tcPr>
          <w:p>
            <w:pPr>
              <w:pStyle w:val="24"/>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pStyle w:val="24"/>
              <w:snapToGrid w:val="0"/>
              <w:spacing w:before="295" w:after="295"/>
              <w:jc w:val="center"/>
              <w:rPr>
                <w:rFonts w:hAnsi="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noWrap/>
            <w:vAlign w:val="center"/>
          </w:tcPr>
          <w:p>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w:t>
            </w:r>
          </w:p>
        </w:tc>
      </w:tr>
    </w:tbl>
    <w:p>
      <w:pPr>
        <w:spacing w:line="360" w:lineRule="auto"/>
        <w:contextualSpacing/>
        <w:rPr>
          <w:rFonts w:ascii="宋体" w:hAnsi="宋体"/>
          <w:color w:val="auto"/>
          <w:sz w:val="24"/>
          <w:highlight w:val="none"/>
        </w:rPr>
      </w:pPr>
    </w:p>
    <w:p>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p>
    <w:p>
      <w:pPr>
        <w:spacing w:line="360" w:lineRule="auto"/>
        <w:contextualSpacing/>
        <w:jc w:val="left"/>
        <w:rPr>
          <w:rFonts w:ascii="宋体" w:hAnsi="宋体"/>
          <w:color w:val="auto"/>
          <w:spacing w:val="20"/>
          <w:sz w:val="24"/>
          <w:highlight w:val="none"/>
        </w:rPr>
      </w:pPr>
      <w:r>
        <w:rPr>
          <w:rFonts w:hint="eastAsia" w:ascii="宋体" w:hAnsi="宋体"/>
          <w:color w:val="auto"/>
          <w:spacing w:val="20"/>
          <w:sz w:val="24"/>
          <w:highlight w:val="none"/>
        </w:rPr>
        <w:t>投标人名称（电子签章）：</w:t>
      </w:r>
    </w:p>
    <w:p>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日 期：</w:t>
      </w:r>
    </w:p>
    <w:p>
      <w:pPr>
        <w:snapToGrid w:val="0"/>
        <w:spacing w:before="50" w:after="120" w:afterLines="50"/>
        <w:jc w:val="left"/>
        <w:rPr>
          <w:rFonts w:ascii="宋体" w:hAnsi="宋体"/>
          <w:color w:val="auto"/>
          <w:sz w:val="24"/>
          <w:szCs w:val="20"/>
          <w:highlight w:val="none"/>
        </w:rPr>
      </w:pPr>
    </w:p>
    <w:p>
      <w:pPr>
        <w:rPr>
          <w:b/>
          <w:color w:val="auto"/>
          <w:sz w:val="28"/>
          <w:szCs w:val="28"/>
          <w:highlight w:val="none"/>
        </w:rPr>
      </w:pPr>
      <w:r>
        <w:rPr>
          <w:rFonts w:ascii="宋体" w:hAnsi="宋体"/>
          <w:b/>
          <w:bCs/>
          <w:color w:val="auto"/>
          <w:sz w:val="24"/>
          <w:highlight w:val="none"/>
        </w:rPr>
        <w:br w:type="page"/>
      </w:r>
      <w:r>
        <w:rPr>
          <w:rFonts w:hint="eastAsia"/>
          <w:b/>
          <w:color w:val="auto"/>
          <w:sz w:val="28"/>
          <w:szCs w:val="28"/>
          <w:highlight w:val="none"/>
        </w:rPr>
        <w:t>四、其他文书、文件格式</w:t>
      </w:r>
    </w:p>
    <w:p>
      <w:pPr>
        <w:snapToGrid w:val="0"/>
        <w:spacing w:before="120" w:beforeLines="50" w:after="50"/>
        <w:ind w:left="142"/>
        <w:jc w:val="left"/>
        <w:rPr>
          <w:rFonts w:ascii="宋体" w:hAnsi="宋体"/>
          <w:b/>
          <w:color w:val="auto"/>
          <w:spacing w:val="20"/>
          <w:sz w:val="24"/>
          <w:highlight w:val="none"/>
        </w:rPr>
      </w:pPr>
      <w:r>
        <w:rPr>
          <w:rFonts w:hint="eastAsia" w:ascii="宋体" w:hAnsi="宋体"/>
          <w:b/>
          <w:color w:val="auto"/>
          <w:spacing w:val="20"/>
          <w:sz w:val="24"/>
          <w:highlight w:val="none"/>
        </w:rPr>
        <w:t>1.联合投标协议书格式</w:t>
      </w:r>
    </w:p>
    <w:p>
      <w:pPr>
        <w:pStyle w:val="7"/>
        <w:overflowPunct w:val="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联合体协议书</w:t>
      </w:r>
    </w:p>
    <w:p>
      <w:pPr>
        <w:pStyle w:val="7"/>
        <w:overflowPunct w:val="0"/>
        <w:rPr>
          <w:rFonts w:ascii="宋体" w:hAnsi="宋体"/>
          <w:color w:val="auto"/>
          <w:sz w:val="24"/>
          <w:highlight w:val="none"/>
        </w:rPr>
      </w:pPr>
    </w:p>
    <w:p>
      <w:pPr>
        <w:pStyle w:val="7"/>
        <w:overflowPunct w:val="0"/>
        <w:spacing w:line="360" w:lineRule="auto"/>
        <w:contextualSpacing/>
        <w:rPr>
          <w:rFonts w:ascii="宋体" w:hAnsi="宋体"/>
          <w:color w:val="auto"/>
          <w:sz w:val="24"/>
          <w:highlight w:val="none"/>
        </w:rPr>
      </w:pPr>
      <w:r>
        <w:rPr>
          <w:rFonts w:ascii="宋体" w:hAnsi="宋体"/>
          <w:color w:val="auto"/>
          <w:sz w:val="24"/>
          <w:highlight w:val="none"/>
          <w:u w:val="single"/>
        </w:rPr>
        <w:tab/>
      </w:r>
      <w:r>
        <w:rPr>
          <w:rFonts w:hint="eastAsia" w:ascii="宋体" w:hAnsi="宋体"/>
          <w:color w:val="auto"/>
          <w:sz w:val="24"/>
          <w:highlight w:val="none"/>
        </w:rPr>
        <w:t>（所有成员单位名称）自愿组成</w:t>
      </w:r>
      <w:r>
        <w:rPr>
          <w:rFonts w:ascii="宋体" w:hAnsi="宋体"/>
          <w:color w:val="auto"/>
          <w:sz w:val="24"/>
          <w:highlight w:val="none"/>
          <w:u w:val="single"/>
        </w:rPr>
        <w:tab/>
      </w:r>
      <w:r>
        <w:rPr>
          <w:rFonts w:hint="eastAsia" w:ascii="宋体" w:hAnsi="宋体"/>
          <w:color w:val="auto"/>
          <w:sz w:val="24"/>
          <w:highlight w:val="none"/>
        </w:rPr>
        <w:t>（联合体名称）联合体，共同参加</w:t>
      </w:r>
      <w:r>
        <w:rPr>
          <w:rFonts w:ascii="宋体" w:hAnsi="宋体"/>
          <w:color w:val="auto"/>
          <w:sz w:val="24"/>
          <w:highlight w:val="none"/>
          <w:u w:val="single"/>
        </w:rPr>
        <w:tab/>
      </w:r>
      <w:r>
        <w:rPr>
          <w:rFonts w:hint="eastAsia" w:ascii="宋体" w:hAnsi="宋体"/>
          <w:color w:val="auto"/>
          <w:sz w:val="24"/>
          <w:highlight w:val="none"/>
          <w:u w:val="single"/>
        </w:rPr>
        <w:t>（项目名称）</w:t>
      </w:r>
      <w:r>
        <w:rPr>
          <w:rFonts w:hint="eastAsia" w:ascii="宋体" w:hAnsi="宋体"/>
          <w:color w:val="auto"/>
          <w:sz w:val="24"/>
          <w:highlight w:val="none"/>
        </w:rPr>
        <w:t>采购招标项目投标。现就联合体投标事宜订立如下协议。</w:t>
      </w:r>
    </w:p>
    <w:p>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u w:val="single"/>
        </w:rPr>
        <w:tab/>
      </w:r>
      <w:r>
        <w:rPr>
          <w:rFonts w:hint="eastAsia" w:ascii="宋体" w:hAnsi="宋体"/>
          <w:color w:val="auto"/>
          <w:sz w:val="24"/>
          <w:highlight w:val="none"/>
        </w:rPr>
        <w:t>（某成员单位名称）为</w:t>
      </w:r>
      <w:r>
        <w:rPr>
          <w:rFonts w:ascii="宋体" w:hAnsi="宋体"/>
          <w:color w:val="auto"/>
          <w:sz w:val="24"/>
          <w:highlight w:val="none"/>
          <w:u w:val="single"/>
        </w:rPr>
        <w:tab/>
      </w:r>
      <w:r>
        <w:rPr>
          <w:rFonts w:hint="eastAsia" w:ascii="宋体" w:hAnsi="宋体"/>
          <w:color w:val="auto"/>
          <w:sz w:val="24"/>
          <w:highlight w:val="none"/>
        </w:rPr>
        <w:t>（联合体名称）牵头人。</w:t>
      </w:r>
    </w:p>
    <w:p>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联合体牵头人在本项目中签署和盖章的一切文件和处理的一切事宜，联合体各成员均予以承认。联合体各成员将严格按照招标文件、投标文件和合同的要求全面履行义务，并向招标人承担连带责任。</w:t>
      </w:r>
    </w:p>
    <w:p>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ascii="宋体" w:hAnsi="宋体"/>
          <w:color w:val="auto"/>
          <w:sz w:val="24"/>
          <w:highlight w:val="none"/>
          <w:u w:val="single"/>
        </w:rPr>
        <w:tab/>
      </w:r>
      <w:r>
        <w:rPr>
          <w:rFonts w:hint="eastAsia" w:ascii="宋体" w:hAnsi="宋体"/>
          <w:color w:val="auto"/>
          <w:sz w:val="24"/>
          <w:highlight w:val="none"/>
        </w:rPr>
        <w:t>。</w:t>
      </w:r>
    </w:p>
    <w:p>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本协议书自所有成员单位法定代表人或者其委托代理人签字（或者电子签名）或者盖公章之日起生效，合同履行完毕后自动失效。</w:t>
      </w:r>
    </w:p>
    <w:p>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本协议书一式</w:t>
      </w:r>
      <w:r>
        <w:rPr>
          <w:rFonts w:ascii="宋体" w:hAnsi="宋体"/>
          <w:color w:val="auto"/>
          <w:sz w:val="24"/>
          <w:highlight w:val="none"/>
          <w:u w:val="single"/>
        </w:rPr>
        <w:tab/>
      </w:r>
      <w:r>
        <w:rPr>
          <w:rFonts w:hint="eastAsia" w:ascii="宋体" w:hAnsi="宋体"/>
          <w:color w:val="auto"/>
          <w:sz w:val="24"/>
          <w:highlight w:val="none"/>
        </w:rPr>
        <w:t>份，联合体成员和招标人各执一份。</w:t>
      </w:r>
    </w:p>
    <w:p>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注：本协议书应附法定代表人身份证明；有委托代理的，应附授权委托书</w:t>
      </w:r>
      <w:r>
        <w:rPr>
          <w:rFonts w:hint="eastAsia" w:ascii="宋体" w:hAnsi="宋体" w:cs="仿宋_GB2312"/>
          <w:color w:val="auto"/>
          <w:sz w:val="24"/>
          <w:highlight w:val="none"/>
        </w:rPr>
        <w:t>（格式自拟）</w:t>
      </w:r>
      <w:r>
        <w:rPr>
          <w:rFonts w:hint="eastAsia" w:ascii="宋体" w:hAnsi="宋体"/>
          <w:color w:val="auto"/>
          <w:sz w:val="24"/>
          <w:highlight w:val="none"/>
        </w:rPr>
        <w:t>。</w:t>
      </w:r>
    </w:p>
    <w:p>
      <w:pPr>
        <w:pStyle w:val="7"/>
        <w:overflowPunct w:val="0"/>
        <w:spacing w:line="360" w:lineRule="auto"/>
        <w:ind w:firstLineChars="175"/>
        <w:contextualSpacing/>
        <w:rPr>
          <w:rFonts w:ascii="宋体" w:hAnsi="宋体"/>
          <w:color w:val="auto"/>
          <w:sz w:val="24"/>
          <w:highlight w:val="none"/>
        </w:rPr>
      </w:pPr>
    </w:p>
    <w:p>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联合体牵头人名称（电子签章）：</w:t>
      </w:r>
    </w:p>
    <w:p>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ab/>
      </w:r>
      <w:r>
        <w:rPr>
          <w:rFonts w:hint="eastAsia" w:ascii="宋体" w:hAnsi="宋体"/>
          <w:color w:val="auto"/>
          <w:sz w:val="24"/>
          <w:highlight w:val="none"/>
        </w:rPr>
        <w:t>（签字或者电子签名）</w:t>
      </w:r>
    </w:p>
    <w:p>
      <w:pPr>
        <w:pStyle w:val="7"/>
        <w:overflowPunct w:val="0"/>
        <w:spacing w:line="360" w:lineRule="auto"/>
        <w:ind w:firstLineChars="175"/>
        <w:contextualSpacing/>
        <w:rPr>
          <w:rFonts w:ascii="宋体" w:hAnsi="宋体"/>
          <w:color w:val="auto"/>
          <w:sz w:val="24"/>
          <w:highlight w:val="none"/>
        </w:rPr>
      </w:pPr>
    </w:p>
    <w:p>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联合体成员名称（</w:t>
      </w:r>
      <w:r>
        <w:rPr>
          <w:rFonts w:hint="eastAsia" w:ascii="宋体" w:hAnsi="宋体" w:cs="仿宋_GB2312"/>
          <w:color w:val="auto"/>
          <w:sz w:val="24"/>
          <w:highlight w:val="none"/>
        </w:rPr>
        <w:t>盖公章或者电子签章</w:t>
      </w:r>
      <w:r>
        <w:rPr>
          <w:rFonts w:hint="eastAsia" w:ascii="宋体" w:hAnsi="宋体"/>
          <w:color w:val="auto"/>
          <w:sz w:val="24"/>
          <w:highlight w:val="none"/>
        </w:rPr>
        <w:t>）：</w:t>
      </w:r>
    </w:p>
    <w:p>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ab/>
      </w:r>
      <w:r>
        <w:rPr>
          <w:rFonts w:hint="eastAsia" w:ascii="宋体" w:hAnsi="宋体"/>
          <w:color w:val="auto"/>
          <w:sz w:val="24"/>
          <w:highlight w:val="none"/>
        </w:rPr>
        <w:t>（签字或者电子签名）</w:t>
      </w:r>
    </w:p>
    <w:p>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w:t>
      </w:r>
    </w:p>
    <w:p>
      <w:pPr>
        <w:pStyle w:val="7"/>
        <w:overflowPunct w:val="0"/>
        <w:spacing w:line="360" w:lineRule="auto"/>
        <w:ind w:firstLineChars="175"/>
        <w:contextualSpacing/>
        <w:rPr>
          <w:rFonts w:ascii="宋体" w:hAnsi="宋体"/>
          <w:color w:val="auto"/>
          <w:sz w:val="24"/>
          <w:highlight w:val="none"/>
        </w:rPr>
      </w:pPr>
    </w:p>
    <w:p>
      <w:pPr>
        <w:pStyle w:val="7"/>
        <w:overflowPunct w:val="0"/>
        <w:spacing w:line="360" w:lineRule="auto"/>
        <w:ind w:firstLineChars="175"/>
        <w:contextualSpacing/>
        <w:jc w:val="right"/>
        <w:rPr>
          <w:rFonts w:ascii="宋体" w:hAnsi="宋体"/>
          <w:b/>
          <w:color w:val="auto"/>
          <w:sz w:val="24"/>
          <w:highlight w:val="none"/>
        </w:rPr>
      </w:pP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ab/>
      </w:r>
      <w:r>
        <w:rPr>
          <w:rFonts w:hint="eastAsia" w:ascii="宋体" w:hAnsi="宋体"/>
          <w:color w:val="auto"/>
          <w:sz w:val="24"/>
          <w:highlight w:val="none"/>
        </w:rPr>
        <w:t>月</w:t>
      </w:r>
      <w:r>
        <w:rPr>
          <w:rFonts w:ascii="宋体" w:hAnsi="宋体"/>
          <w:color w:val="auto"/>
          <w:sz w:val="24"/>
          <w:highlight w:val="none"/>
        </w:rPr>
        <w:tab/>
      </w:r>
      <w:r>
        <w:rPr>
          <w:rFonts w:hint="eastAsia" w:ascii="宋体" w:hAnsi="宋体"/>
          <w:color w:val="auto"/>
          <w:sz w:val="24"/>
          <w:highlight w:val="none"/>
        </w:rPr>
        <w:t>日</w:t>
      </w:r>
    </w:p>
    <w:p>
      <w:pPr>
        <w:snapToGrid w:val="0"/>
        <w:spacing w:before="120" w:beforeLines="50" w:after="50"/>
        <w:jc w:val="left"/>
        <w:rPr>
          <w:rFonts w:ascii="宋体" w:hAnsi="宋体"/>
          <w:b/>
          <w:color w:val="auto"/>
          <w:sz w:val="24"/>
          <w:highlight w:val="none"/>
        </w:rPr>
      </w:pPr>
    </w:p>
    <w:p>
      <w:pPr>
        <w:snapToGrid w:val="0"/>
        <w:spacing w:before="120" w:beforeLines="50" w:after="50"/>
        <w:jc w:val="left"/>
        <w:rPr>
          <w:color w:val="auto"/>
          <w:highlight w:val="none"/>
        </w:rPr>
      </w:pPr>
      <w:r>
        <w:rPr>
          <w:rFonts w:ascii="宋体" w:hAnsi="宋体"/>
          <w:b/>
          <w:color w:val="auto"/>
          <w:sz w:val="24"/>
          <w:highlight w:val="none"/>
        </w:rPr>
        <w:br w:type="page"/>
      </w:r>
      <w:r>
        <w:rPr>
          <w:rFonts w:hint="eastAsia" w:ascii="宋体" w:hAnsi="宋体"/>
          <w:b/>
          <w:color w:val="auto"/>
          <w:sz w:val="24"/>
          <w:highlight w:val="none"/>
        </w:rPr>
        <w:t>2.中小企业声明函格式</w:t>
      </w:r>
    </w:p>
    <w:p>
      <w:pPr>
        <w:rPr>
          <w:color w:val="auto"/>
          <w:highlight w:val="none"/>
        </w:rPr>
      </w:pP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中小企业声明函（货物）</w:t>
      </w:r>
    </w:p>
    <w:p>
      <w:pPr>
        <w:spacing w:before="2" w:line="500" w:lineRule="exact"/>
        <w:rPr>
          <w:rFonts w:ascii="宋体" w:hAnsi="宋体" w:cs="宋体"/>
          <w:b/>
          <w:bCs/>
          <w:color w:val="auto"/>
          <w:sz w:val="27"/>
          <w:szCs w:val="27"/>
          <w:highlight w:val="none"/>
        </w:rPr>
      </w:pPr>
    </w:p>
    <w:p>
      <w:pPr>
        <w:pStyle w:val="18"/>
        <w:spacing w:line="360" w:lineRule="auto"/>
        <w:ind w:left="-426" w:leftChars="-203" w:right="142" w:firstLine="48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，从业人员人，营业收入为万元，资产总额为万元，属于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，从业人员人，营业收入为万元，资产总额为万元，属于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pStyle w:val="18"/>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pPr>
        <w:pStyle w:val="18"/>
        <w:spacing w:line="360" w:lineRule="auto"/>
        <w:ind w:left="-405" w:leftChars="-193" w:right="142" w:firstLine="453"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pPr>
        <w:pStyle w:val="18"/>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pPr>
        <w:pStyle w:val="18"/>
        <w:spacing w:line="360" w:lineRule="auto"/>
        <w:ind w:left="3960" w:right="1808"/>
        <w:contextualSpacing/>
        <w:rPr>
          <w:rFonts w:ascii="宋体" w:hAnsi="宋体"/>
          <w:color w:val="auto"/>
          <w:kern w:val="24"/>
          <w:highlight w:val="none"/>
        </w:rPr>
      </w:pPr>
    </w:p>
    <w:p>
      <w:pPr>
        <w:pStyle w:val="18"/>
        <w:spacing w:line="360" w:lineRule="auto"/>
        <w:ind w:left="3960" w:right="1808"/>
        <w:contextualSpacing/>
        <w:rPr>
          <w:rFonts w:ascii="宋体" w:hAnsi="宋体"/>
          <w:color w:val="auto"/>
          <w:kern w:val="24"/>
          <w:highlight w:val="none"/>
        </w:rPr>
      </w:pPr>
      <w:r>
        <w:rPr>
          <w:rFonts w:ascii="宋体" w:hAnsi="宋体"/>
          <w:color w:val="auto"/>
          <w:kern w:val="24"/>
          <w:highlight w:val="none"/>
        </w:rPr>
        <w:t>企业名称（</w:t>
      </w:r>
      <w:r>
        <w:rPr>
          <w:rFonts w:hint="eastAsia" w:ascii="宋体" w:hAnsi="宋体"/>
          <w:color w:val="auto"/>
          <w:kern w:val="24"/>
          <w:highlight w:val="none"/>
        </w:rPr>
        <w:t>电子签章</w:t>
      </w:r>
      <w:r>
        <w:rPr>
          <w:rFonts w:ascii="宋体" w:hAnsi="宋体"/>
          <w:color w:val="auto"/>
          <w:kern w:val="24"/>
          <w:highlight w:val="none"/>
        </w:rPr>
        <w:t xml:space="preserve">）： </w:t>
      </w:r>
    </w:p>
    <w:p>
      <w:pPr>
        <w:pStyle w:val="18"/>
        <w:spacing w:line="360" w:lineRule="auto"/>
        <w:ind w:left="3960" w:right="1808"/>
        <w:contextualSpacing/>
        <w:rPr>
          <w:rFonts w:ascii="宋体" w:hAnsi="宋体"/>
          <w:color w:val="auto"/>
          <w:kern w:val="24"/>
          <w:highlight w:val="none"/>
        </w:rPr>
      </w:pPr>
      <w:r>
        <w:rPr>
          <w:rFonts w:ascii="宋体" w:hAnsi="宋体"/>
          <w:color w:val="auto"/>
          <w:kern w:val="24"/>
          <w:highlight w:val="none"/>
        </w:rPr>
        <w:t>日期：</w:t>
      </w:r>
    </w:p>
    <w:p>
      <w:pPr>
        <w:pStyle w:val="18"/>
        <w:spacing w:line="360" w:lineRule="auto"/>
        <w:ind w:left="3960" w:right="1808"/>
        <w:contextualSpacing/>
        <w:rPr>
          <w:rFonts w:ascii="宋体" w:hAnsi="宋体"/>
          <w:color w:val="auto"/>
          <w:kern w:val="24"/>
          <w:highlight w:val="none"/>
        </w:rPr>
      </w:pPr>
    </w:p>
    <w:p>
      <w:pPr>
        <w:pStyle w:val="18"/>
        <w:spacing w:line="360" w:lineRule="auto"/>
        <w:ind w:left="3960" w:right="1808"/>
        <w:contextualSpacing/>
        <w:rPr>
          <w:rFonts w:ascii="宋体" w:hAnsi="宋体"/>
          <w:color w:val="auto"/>
          <w:kern w:val="24"/>
          <w:highlight w:val="none"/>
        </w:rPr>
      </w:pPr>
    </w:p>
    <w:p>
      <w:pPr>
        <w:pStyle w:val="18"/>
        <w:spacing w:line="360" w:lineRule="auto"/>
        <w:ind w:left="-426" w:right="142" w:firstLine="567"/>
        <w:contextualSpacing/>
        <w:rPr>
          <w:rFonts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3.残疾人福利性单位声明函格式</w:t>
      </w:r>
    </w:p>
    <w:p>
      <w:pPr>
        <w:spacing w:line="588" w:lineRule="exact"/>
        <w:jc w:val="center"/>
        <w:rPr>
          <w:rFonts w:ascii="仿宋_GB2312" w:eastAsia="仿宋_GB2312"/>
          <w:b/>
          <w:color w:val="auto"/>
          <w:spacing w:val="6"/>
          <w:sz w:val="32"/>
          <w:szCs w:val="32"/>
          <w:highlight w:val="none"/>
        </w:rPr>
      </w:pPr>
    </w:p>
    <w:p>
      <w:pPr>
        <w:spacing w:line="588" w:lineRule="exact"/>
        <w:jc w:val="center"/>
        <w:rPr>
          <w:rFonts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pPr>
        <w:spacing w:line="360" w:lineRule="auto"/>
        <w:contextualSpacing/>
        <w:rPr>
          <w:rFonts w:ascii="仿宋_GB2312" w:eastAsia="仿宋_GB2312"/>
          <w:bCs/>
          <w:color w:val="auto"/>
          <w:spacing w:val="6"/>
          <w:sz w:val="30"/>
          <w:szCs w:val="30"/>
          <w:highlight w:val="none"/>
        </w:rPr>
      </w:pP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contextualSpacing/>
        <w:rPr>
          <w:rFonts w:ascii="宋体" w:hAnsi="宋体"/>
          <w:color w:val="auto"/>
          <w:spacing w:val="6"/>
          <w:sz w:val="24"/>
          <w:highlight w:val="none"/>
        </w:rPr>
      </w:pPr>
    </w:p>
    <w:p>
      <w:pPr>
        <w:spacing w:line="360" w:lineRule="auto"/>
        <w:ind w:firstLine="504" w:firstLineChars="200"/>
        <w:contextualSpacing/>
        <w:rPr>
          <w:rFonts w:ascii="宋体" w:hAnsi="宋体"/>
          <w:color w:val="auto"/>
          <w:spacing w:val="6"/>
          <w:sz w:val="24"/>
          <w:highlight w:val="none"/>
        </w:rPr>
      </w:pP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单位名称（电子签章）：</w:t>
      </w: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4.质疑函（格式）</w:t>
      </w:r>
    </w:p>
    <w:p>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质疑函（格式）</w:t>
      </w:r>
    </w:p>
    <w:p>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2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质疑供应商：</w:t>
      </w:r>
    </w:p>
    <w:p>
      <w:pPr>
        <w:pStyle w:val="2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2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pPr>
        <w:pStyle w:val="2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授权代表：</w:t>
      </w:r>
    </w:p>
    <w:p>
      <w:pPr>
        <w:pStyle w:val="24"/>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pPr>
        <w:pStyle w:val="2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二、质疑项目基本情况：</w:t>
      </w:r>
    </w:p>
    <w:p>
      <w:pPr>
        <w:pStyle w:val="2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pPr>
        <w:pStyle w:val="2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采购人名称：</w:t>
      </w: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w:t>
      </w:r>
    </w:p>
    <w:p>
      <w:pPr>
        <w:pStyle w:val="24"/>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□招标文件   招标文件获取日期：</w:t>
      </w:r>
    </w:p>
    <w:p>
      <w:pPr>
        <w:pStyle w:val="24"/>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 xml:space="preserve">□招标过程   </w:t>
      </w:r>
    </w:p>
    <w:p>
      <w:pPr>
        <w:pStyle w:val="24"/>
        <w:spacing w:line="360" w:lineRule="auto"/>
        <w:ind w:left="25" w:leftChars="12" w:firstLine="352" w:firstLineChars="147"/>
        <w:rPr>
          <w:rFonts w:hAnsi="宋体"/>
          <w:bCs/>
          <w:color w:val="auto"/>
          <w:sz w:val="24"/>
          <w:szCs w:val="24"/>
          <w:highlight w:val="none"/>
          <w:u w:val="single"/>
        </w:rPr>
      </w:pPr>
      <w:r>
        <w:rPr>
          <w:rFonts w:hint="eastAsia" w:hAnsi="宋体"/>
          <w:color w:val="auto"/>
          <w:sz w:val="24"/>
          <w:szCs w:val="24"/>
          <w:highlight w:val="none"/>
        </w:rPr>
        <w:t xml:space="preserve">□招标结果   </w:t>
      </w:r>
    </w:p>
    <w:p>
      <w:pPr>
        <w:pStyle w:val="2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三、质疑事项具体内容</w:t>
      </w: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质疑事项1：</w:t>
      </w: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事实依据：</w:t>
      </w: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法律依据：</w:t>
      </w: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质疑事项2</w:t>
      </w:r>
    </w:p>
    <w:p>
      <w:pPr>
        <w:pStyle w:val="24"/>
        <w:spacing w:line="360" w:lineRule="auto"/>
        <w:ind w:left="25" w:leftChars="12" w:firstLine="472" w:firstLineChars="197"/>
        <w:rPr>
          <w:rFonts w:hAnsi="宋体"/>
          <w:color w:val="auto"/>
          <w:sz w:val="24"/>
          <w:szCs w:val="24"/>
          <w:highlight w:val="none"/>
        </w:rPr>
      </w:pPr>
      <w:r>
        <w:rPr>
          <w:rFonts w:hAnsi="宋体"/>
          <w:color w:val="auto"/>
          <w:sz w:val="24"/>
          <w:szCs w:val="24"/>
          <w:highlight w:val="none"/>
        </w:rPr>
        <w:t>……</w:t>
      </w: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四、与质疑事项相关的质疑请求：</w:t>
      </w: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pPr>
        <w:pStyle w:val="24"/>
        <w:spacing w:line="360" w:lineRule="auto"/>
        <w:ind w:left="25" w:leftChars="12" w:firstLine="352" w:firstLineChars="147"/>
        <w:rPr>
          <w:rFonts w:hAnsi="宋体"/>
          <w:color w:val="auto"/>
          <w:sz w:val="24"/>
          <w:szCs w:val="24"/>
          <w:highlight w:val="none"/>
        </w:rPr>
      </w:pP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pPr>
        <w:pStyle w:val="24"/>
        <w:spacing w:line="360" w:lineRule="auto"/>
        <w:ind w:left="25" w:leftChars="12" w:firstLine="352" w:firstLineChars="147"/>
        <w:rPr>
          <w:rFonts w:hAnsi="宋体"/>
          <w:color w:val="auto"/>
          <w:sz w:val="24"/>
          <w:szCs w:val="24"/>
          <w:highlight w:val="none"/>
        </w:rPr>
      </w:pP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pPr>
        <w:pStyle w:val="24"/>
        <w:snapToGrid w:val="0"/>
        <w:spacing w:line="360" w:lineRule="auto"/>
        <w:rPr>
          <w:rFonts w:hAnsi="宋体"/>
          <w:b/>
          <w:color w:val="auto"/>
          <w:sz w:val="24"/>
          <w:szCs w:val="24"/>
          <w:highlight w:val="none"/>
        </w:rPr>
      </w:pPr>
    </w:p>
    <w:p>
      <w:pPr>
        <w:pStyle w:val="24"/>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pPr>
        <w:pStyle w:val="24"/>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4.质疑函的质疑请求应与质疑事项相关。</w:t>
      </w:r>
    </w:p>
    <w:p>
      <w:pPr>
        <w:pStyle w:val="24"/>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pStyle w:val="24"/>
        <w:snapToGrid w:val="0"/>
        <w:rPr>
          <w:b/>
          <w:color w:val="auto"/>
          <w:sz w:val="24"/>
          <w:szCs w:val="24"/>
          <w:highlight w:val="none"/>
        </w:rPr>
      </w:pPr>
    </w:p>
    <w:p>
      <w:pPr>
        <w:spacing w:line="360" w:lineRule="auto"/>
        <w:jc w:val="left"/>
        <w:rPr>
          <w:rFonts w:ascii="宋体" w:hAnsi="宋体"/>
          <w:b/>
          <w:bCs/>
          <w:color w:val="auto"/>
          <w:sz w:val="32"/>
          <w:szCs w:val="32"/>
          <w:highlight w:val="none"/>
        </w:rPr>
      </w:pPr>
      <w:r>
        <w:rPr>
          <w:rFonts w:eastAsia="隶书"/>
          <w:color w:val="auto"/>
          <w:sz w:val="44"/>
          <w:highlight w:val="none"/>
        </w:rPr>
        <w:br w:type="page"/>
      </w:r>
      <w:r>
        <w:rPr>
          <w:rFonts w:hint="eastAsia" w:ascii="宋体" w:hAnsi="宋体"/>
          <w:b/>
          <w:color w:val="auto"/>
          <w:sz w:val="24"/>
          <w:highlight w:val="none"/>
        </w:rPr>
        <w:t>5.投诉书（格式）</w:t>
      </w:r>
    </w:p>
    <w:p>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pPr>
        <w:pStyle w:val="24"/>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投标人：</w:t>
      </w:r>
    </w:p>
    <w:p>
      <w:pPr>
        <w:pStyle w:val="24"/>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24"/>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法定代表人/主要负责人：</w:t>
      </w:r>
    </w:p>
    <w:p>
      <w:pPr>
        <w:pStyle w:val="24"/>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pPr>
        <w:pStyle w:val="24"/>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pPr>
        <w:pStyle w:val="24"/>
        <w:snapToGrid w:val="0"/>
        <w:spacing w:line="360" w:lineRule="auto"/>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pPr>
        <w:pStyle w:val="24"/>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pPr>
        <w:pStyle w:val="24"/>
        <w:snapToGrid w:val="0"/>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被投诉人1：</w:t>
      </w:r>
    </w:p>
    <w:p>
      <w:pPr>
        <w:pStyle w:val="24"/>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地址：</w:t>
      </w:r>
    </w:p>
    <w:p>
      <w:pPr>
        <w:pStyle w:val="24"/>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pPr>
        <w:pStyle w:val="24"/>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pPr>
        <w:pStyle w:val="24"/>
        <w:snapToGrid w:val="0"/>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被投诉人2：</w:t>
      </w:r>
    </w:p>
    <w:p>
      <w:pPr>
        <w:pStyle w:val="24"/>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w:t>
      </w:r>
    </w:p>
    <w:p>
      <w:pPr>
        <w:pStyle w:val="24"/>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相关供应商：</w:t>
      </w:r>
    </w:p>
    <w:p>
      <w:pPr>
        <w:pStyle w:val="24"/>
        <w:snapToGrid w:val="0"/>
        <w:spacing w:line="360" w:lineRule="auto"/>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24"/>
        <w:snapToGrid w:val="0"/>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招标项目的名称：</w:t>
      </w: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招标项目的编号：</w:t>
      </w:r>
    </w:p>
    <w:p>
      <w:pPr>
        <w:pStyle w:val="2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pPr>
        <w:pStyle w:val="2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pPr>
        <w:pStyle w:val="2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招标</w:t>
      </w:r>
      <w:r>
        <w:rPr>
          <w:rFonts w:hint="eastAsia" w:hAnsi="宋体"/>
          <w:bCs/>
          <w:color w:val="auto"/>
          <w:sz w:val="24"/>
          <w:szCs w:val="24"/>
          <w:highlight w:val="none"/>
        </w:rPr>
        <w:t>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pPr>
        <w:pStyle w:val="24"/>
        <w:spacing w:line="360" w:lineRule="auto"/>
        <w:ind w:left="25" w:leftChars="12" w:firstLine="472" w:firstLineChars="197"/>
        <w:rPr>
          <w:rFonts w:hAnsi="宋体"/>
          <w:b/>
          <w:color w:val="auto"/>
          <w:sz w:val="24"/>
          <w:szCs w:val="24"/>
          <w:highlight w:val="none"/>
        </w:rPr>
      </w:pPr>
      <w:r>
        <w:rPr>
          <w:rFonts w:hint="eastAsia" w:hAnsi="宋体"/>
          <w:color w:val="auto"/>
          <w:sz w:val="24"/>
          <w:szCs w:val="24"/>
          <w:highlight w:val="none"/>
        </w:rPr>
        <w:t>招标</w:t>
      </w:r>
      <w:r>
        <w:rPr>
          <w:rFonts w:hint="eastAsia" w:hAnsi="宋体"/>
          <w:bCs/>
          <w:color w:val="auto"/>
          <w:sz w:val="24"/>
          <w:szCs w:val="24"/>
          <w:highlight w:val="none"/>
        </w:rPr>
        <w:t>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pPr>
        <w:pStyle w:val="2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pPr>
        <w:pStyle w:val="24"/>
        <w:spacing w:line="360" w:lineRule="auto"/>
        <w:ind w:left="25" w:leftChars="12" w:firstLine="480" w:firstLineChars="200"/>
        <w:rPr>
          <w:rFonts w:hAnsi="宋体"/>
          <w:color w:val="auto"/>
          <w:sz w:val="24"/>
          <w:szCs w:val="24"/>
          <w:highlight w:val="none"/>
        </w:rPr>
      </w:pPr>
      <w:r>
        <w:rPr>
          <w:rFonts w:hint="eastAsia" w:hAnsi="宋体"/>
          <w:color w:val="auto"/>
          <w:sz w:val="24"/>
          <w:szCs w:val="24"/>
          <w:highlight w:val="none"/>
        </w:rPr>
        <w:t>投诉人于年月日，向提出质疑，质疑事项为：</w:t>
      </w:r>
    </w:p>
    <w:p>
      <w:pPr>
        <w:pStyle w:val="24"/>
        <w:spacing w:line="360" w:lineRule="auto"/>
        <w:ind w:firstLine="241"/>
        <w:rPr>
          <w:rFonts w:hAnsi="宋体"/>
          <w:bCs/>
          <w:color w:val="auto"/>
          <w:sz w:val="24"/>
          <w:szCs w:val="24"/>
          <w:highlight w:val="none"/>
          <w:u w:val="single"/>
        </w:rPr>
      </w:pPr>
    </w:p>
    <w:p>
      <w:pPr>
        <w:pStyle w:val="24"/>
        <w:spacing w:line="360" w:lineRule="auto"/>
        <w:ind w:firstLine="241"/>
        <w:rPr>
          <w:rFonts w:hAnsi="宋体"/>
          <w:bCs/>
          <w:color w:val="auto"/>
          <w:sz w:val="24"/>
          <w:szCs w:val="24"/>
          <w:highlight w:val="none"/>
          <w:u w:val="single"/>
        </w:rPr>
      </w:pPr>
    </w:p>
    <w:p>
      <w:pPr>
        <w:pStyle w:val="24"/>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 xml:space="preserve">就质疑事项作出了答复/没有在法定期限内作出答复。                                                                                             </w:t>
      </w:r>
    </w:p>
    <w:p>
      <w:pPr>
        <w:pStyle w:val="2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pPr>
        <w:pStyle w:val="2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pPr>
        <w:pStyle w:val="24"/>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pPr>
        <w:pStyle w:val="24"/>
        <w:spacing w:line="360" w:lineRule="auto"/>
        <w:ind w:left="25" w:leftChars="12" w:firstLine="472" w:firstLineChars="197"/>
        <w:rPr>
          <w:rFonts w:hAnsi="宋体"/>
          <w:color w:val="auto"/>
          <w:sz w:val="24"/>
          <w:szCs w:val="24"/>
          <w:highlight w:val="none"/>
        </w:rPr>
      </w:pPr>
    </w:p>
    <w:p>
      <w:pPr>
        <w:pStyle w:val="24"/>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pPr>
        <w:pStyle w:val="24"/>
        <w:spacing w:line="360" w:lineRule="auto"/>
        <w:ind w:left="25" w:leftChars="12" w:firstLine="352" w:firstLineChars="147"/>
        <w:rPr>
          <w:rFonts w:hAnsi="宋体"/>
          <w:bCs/>
          <w:color w:val="auto"/>
          <w:sz w:val="24"/>
          <w:szCs w:val="24"/>
          <w:highlight w:val="none"/>
          <w:u w:val="single"/>
        </w:rPr>
      </w:pPr>
    </w:p>
    <w:p>
      <w:pPr>
        <w:pStyle w:val="24"/>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pPr>
        <w:pStyle w:val="24"/>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pPr>
        <w:pStyle w:val="2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pPr>
        <w:pStyle w:val="24"/>
        <w:spacing w:line="360" w:lineRule="auto"/>
        <w:ind w:left="25" w:leftChars="12" w:firstLine="352" w:firstLineChars="147"/>
        <w:rPr>
          <w:rFonts w:hAnsi="宋体"/>
          <w:color w:val="auto"/>
          <w:sz w:val="24"/>
          <w:szCs w:val="24"/>
          <w:highlight w:val="none"/>
        </w:rPr>
      </w:pP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pPr>
        <w:pStyle w:val="24"/>
        <w:spacing w:line="360" w:lineRule="auto"/>
        <w:ind w:left="25" w:leftChars="12" w:firstLine="352" w:firstLineChars="147"/>
        <w:rPr>
          <w:rFonts w:hAnsi="宋体"/>
          <w:color w:val="auto"/>
          <w:sz w:val="24"/>
          <w:szCs w:val="24"/>
          <w:highlight w:val="none"/>
        </w:rPr>
      </w:pP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pPr>
        <w:pStyle w:val="24"/>
        <w:spacing w:line="360" w:lineRule="auto"/>
        <w:ind w:left="25" w:leftChars="12" w:firstLine="472" w:firstLineChars="197"/>
        <w:rPr>
          <w:rFonts w:hAnsi="宋体"/>
          <w:color w:val="auto"/>
          <w:sz w:val="24"/>
          <w:szCs w:val="24"/>
          <w:highlight w:val="none"/>
        </w:rPr>
      </w:pPr>
    </w:p>
    <w:p>
      <w:pPr>
        <w:pStyle w:val="24"/>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pPr>
        <w:pStyle w:val="24"/>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pPr>
        <w:pStyle w:val="24"/>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B68E91D-0586-4BCD-A19B-274A600CA4BB}"/>
  </w:font>
  <w:font w:name="黑体">
    <w:panose1 w:val="02010609060101010101"/>
    <w:charset w:val="86"/>
    <w:family w:val="auto"/>
    <w:pitch w:val="default"/>
    <w:sig w:usb0="800002BF" w:usb1="38CF7CFA" w:usb2="00000016" w:usb3="00000000" w:csb0="00040001" w:csb1="00000000"/>
    <w:embedRegular r:id="rId2" w:fontKey="{39AACEA6-6030-414C-B493-88E41D9ED974}"/>
  </w:font>
  <w:font w:name="Courier New">
    <w:panose1 w:val="02070309020205020404"/>
    <w:charset w:val="01"/>
    <w:family w:val="modern"/>
    <w:pitch w:val="default"/>
    <w:sig w:usb0="E0002EFF" w:usb1="C0007843" w:usb2="00000009" w:usb3="00000000" w:csb0="400001FF" w:csb1="FFFF0000"/>
    <w:embedRegular r:id="rId3" w:fontKey="{A77CE8B4-82D1-46DC-95E2-3ED3A3A0195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709E17CD-D6DB-4124-B08D-FA01D9776924}"/>
  </w:font>
  <w:font w:name="仿宋_GB2312">
    <w:panose1 w:val="02010609030101010101"/>
    <w:charset w:val="86"/>
    <w:family w:val="modern"/>
    <w:pitch w:val="default"/>
    <w:sig w:usb0="00000001" w:usb1="080E0000" w:usb2="00000000" w:usb3="00000000" w:csb0="00040000" w:csb1="00000000"/>
    <w:embedRegular r:id="rId5" w:fontKey="{44E9DBE9-E8B9-4224-B079-B45734FA5394}"/>
  </w:font>
  <w:font w:name="Cambria">
    <w:panose1 w:val="02040503050406030204"/>
    <w:charset w:val="00"/>
    <w:family w:val="roman"/>
    <w:pitch w:val="default"/>
    <w:sig w:usb0="E00006FF" w:usb1="420024FF" w:usb2="02000000" w:usb3="00000000" w:csb0="2000019F" w:csb1="00000000"/>
    <w:embedRegular r:id="rId6" w:fontKey="{4703133D-C6D8-455C-8B8B-B86B97C37C4B}"/>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embedRegular r:id="rId7" w:fontKey="{B8E194F9-638F-4DD4-859D-2B1B78F35C0E}"/>
  </w:font>
  <w:font w:name="方正小标宋简体">
    <w:panose1 w:val="03000509000000000000"/>
    <w:charset w:val="86"/>
    <w:family w:val="script"/>
    <w:pitch w:val="default"/>
    <w:sig w:usb0="00000001" w:usb1="080E0000" w:usb2="00000000" w:usb3="00000000" w:csb0="00040000" w:csb1="00000000"/>
    <w:embedRegular r:id="rId8" w:fontKey="{2EC81263-6107-42EE-B4AA-EB9E2D563C6F}"/>
  </w:font>
  <w:font w:name="华文新魏">
    <w:panose1 w:val="02010800040101010101"/>
    <w:charset w:val="86"/>
    <w:family w:val="auto"/>
    <w:pitch w:val="default"/>
    <w:sig w:usb0="00000001" w:usb1="080F0000" w:usb2="00000000" w:usb3="00000000" w:csb0="00040000" w:csb1="00000000"/>
    <w:embedRegular r:id="rId9" w:fontKey="{EE82BA11-DED7-4D07-BCAC-4F0C096EAE06}"/>
  </w:font>
  <w:font w:name="Cambria Math">
    <w:panose1 w:val="02040503050406030204"/>
    <w:charset w:val="00"/>
    <w:family w:val="roman"/>
    <w:pitch w:val="default"/>
    <w:sig w:usb0="E00006FF" w:usb1="420024FF" w:usb2="02000000" w:usb3="00000000" w:csb0="2000019F" w:csb1="00000000"/>
    <w:embedRegular r:id="rId10" w:fontKey="{4DB451B9-C31B-4E63-808B-87B953C7685B}"/>
  </w:font>
  <w:font w:name="Yu Mincho Light">
    <w:altName w:val="Yu Gothic"/>
    <w:panose1 w:val="00000000000000000000"/>
    <w:charset w:val="80"/>
    <w:family w:val="roman"/>
    <w:pitch w:val="default"/>
    <w:sig w:usb0="00000000" w:usb1="00000000" w:usb2="00000012" w:usb3="00000000" w:csb0="0002009F" w:csb1="00000000"/>
    <w:embedRegular r:id="rId11" w:fontKey="{C8A1F624-CD79-4B20-9C2A-72559A0B79A6}"/>
  </w:font>
  <w:font w:name="微软雅黑">
    <w:panose1 w:val="020B0503020204020204"/>
    <w:charset w:val="86"/>
    <w:family w:val="swiss"/>
    <w:pitch w:val="default"/>
    <w:sig w:usb0="80000287" w:usb1="2ACF3C50" w:usb2="00000016" w:usb3="00000000" w:csb0="0004001F" w:csb1="00000000"/>
    <w:embedRegular r:id="rId12" w:fontKey="{DAC5D3CB-8590-43EE-B094-9FDF6779E10F}"/>
  </w:font>
  <w:font w:name="隶书">
    <w:panose1 w:val="02010509060101010101"/>
    <w:charset w:val="86"/>
    <w:family w:val="modern"/>
    <w:pitch w:val="default"/>
    <w:sig w:usb0="00000001" w:usb1="080E0000" w:usb2="00000000" w:usb3="00000000" w:csb0="00040000" w:csb1="00000000"/>
    <w:embedRegular r:id="rId13" w:fontKey="{3F215422-5E7B-45EA-86DB-505EF5BB5B15}"/>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35</w:t>
    </w:r>
    <w:r>
      <w:rPr>
        <w:lang w:val="zh-CN"/>
      </w:rP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1</w:t>
    </w:r>
    <w:r>
      <w:rPr>
        <w:lang w:val="zh-CN"/>
      </w:rPr>
      <w:fldChar w:fldCharType="end"/>
    </w:r>
  </w:p>
  <w:p>
    <w:pPr>
      <w:pStyle w:val="31"/>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115</w:t>
    </w:r>
    <w:r>
      <w:rPr>
        <w:lang w:val="zh-CN"/>
      </w:rPr>
      <w:fldChar w:fldCharType="end"/>
    </w:r>
  </w:p>
  <w:p>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end"/>
    </w:r>
  </w:p>
  <w:p>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17ADE"/>
    <w:multiLevelType w:val="singleLevel"/>
    <w:tmpl w:val="8A317ADE"/>
    <w:lvl w:ilvl="0" w:tentative="0">
      <w:start w:val="1"/>
      <w:numFmt w:val="decimal"/>
      <w:lvlText w:val="%1."/>
      <w:lvlJc w:val="left"/>
      <w:pPr>
        <w:tabs>
          <w:tab w:val="left" w:pos="312"/>
        </w:tabs>
      </w:pPr>
    </w:lvl>
  </w:abstractNum>
  <w:abstractNum w:abstractNumId="1">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4C601917"/>
    <w:multiLevelType w:val="singleLevel"/>
    <w:tmpl w:val="4C601917"/>
    <w:lvl w:ilvl="0" w:tentative="0">
      <w:start w:val="1"/>
      <w:numFmt w:val="decimal"/>
      <w:suff w:val="nothing"/>
      <w:lvlText w:val="（%1）"/>
      <w:lvlJc w:val="left"/>
      <w:pPr>
        <w:ind w:left="-2"/>
      </w:pPr>
    </w:lvl>
  </w:abstractNum>
  <w:abstractNum w:abstractNumId="4">
    <w:nsid w:val="5FABD14B"/>
    <w:multiLevelType w:val="singleLevel"/>
    <w:tmpl w:val="5FABD14B"/>
    <w:lvl w:ilvl="0" w:tentative="0">
      <w:start w:val="1"/>
      <w:numFmt w:val="decimal"/>
      <w:suff w:val="nothing"/>
      <w:lvlText w:val="（%1）"/>
      <w:lvlJc w:val="left"/>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hideSpellingErrors/>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NDhmOWU4ZDRkMzNmMmFkYWMwMmFjZTJmOGM4YjgifQ=="/>
    <w:docVar w:name="KSO_WPS_MARK_KEY" w:val="ada7c4d1-de21-45f9-92df-1f1118a94b3f"/>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6C5"/>
    <w:rsid w:val="000107AD"/>
    <w:rsid w:val="00010835"/>
    <w:rsid w:val="000117D5"/>
    <w:rsid w:val="00011842"/>
    <w:rsid w:val="00012137"/>
    <w:rsid w:val="000121FF"/>
    <w:rsid w:val="00012456"/>
    <w:rsid w:val="000125B8"/>
    <w:rsid w:val="00012692"/>
    <w:rsid w:val="00012CBA"/>
    <w:rsid w:val="00013446"/>
    <w:rsid w:val="00013509"/>
    <w:rsid w:val="000135BC"/>
    <w:rsid w:val="000135DC"/>
    <w:rsid w:val="000136D6"/>
    <w:rsid w:val="00013D4F"/>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0936"/>
    <w:rsid w:val="0002103A"/>
    <w:rsid w:val="000210E6"/>
    <w:rsid w:val="000217E4"/>
    <w:rsid w:val="00021852"/>
    <w:rsid w:val="00021A12"/>
    <w:rsid w:val="00022524"/>
    <w:rsid w:val="00022622"/>
    <w:rsid w:val="00022B0F"/>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A60"/>
    <w:rsid w:val="00031CDC"/>
    <w:rsid w:val="0003228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05C3"/>
    <w:rsid w:val="00040C8E"/>
    <w:rsid w:val="00041DFA"/>
    <w:rsid w:val="000425AC"/>
    <w:rsid w:val="00042F4A"/>
    <w:rsid w:val="00043302"/>
    <w:rsid w:val="00043AC8"/>
    <w:rsid w:val="00043BE5"/>
    <w:rsid w:val="00044003"/>
    <w:rsid w:val="00044527"/>
    <w:rsid w:val="00044897"/>
    <w:rsid w:val="00044ACF"/>
    <w:rsid w:val="00044FD5"/>
    <w:rsid w:val="00045394"/>
    <w:rsid w:val="000454F4"/>
    <w:rsid w:val="00045D1E"/>
    <w:rsid w:val="00045E69"/>
    <w:rsid w:val="00045EF4"/>
    <w:rsid w:val="00046547"/>
    <w:rsid w:val="000466D7"/>
    <w:rsid w:val="00046753"/>
    <w:rsid w:val="00046D61"/>
    <w:rsid w:val="000471BD"/>
    <w:rsid w:val="00047254"/>
    <w:rsid w:val="00047E41"/>
    <w:rsid w:val="0005022B"/>
    <w:rsid w:val="00050525"/>
    <w:rsid w:val="00050771"/>
    <w:rsid w:val="000509BA"/>
    <w:rsid w:val="000513F3"/>
    <w:rsid w:val="00052287"/>
    <w:rsid w:val="000522E0"/>
    <w:rsid w:val="000532F4"/>
    <w:rsid w:val="00053343"/>
    <w:rsid w:val="000535A9"/>
    <w:rsid w:val="000536AE"/>
    <w:rsid w:val="00053AB5"/>
    <w:rsid w:val="000545B2"/>
    <w:rsid w:val="00054623"/>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0D"/>
    <w:rsid w:val="00062E6F"/>
    <w:rsid w:val="000630C7"/>
    <w:rsid w:val="0006400F"/>
    <w:rsid w:val="000645DD"/>
    <w:rsid w:val="00064D7E"/>
    <w:rsid w:val="00064F65"/>
    <w:rsid w:val="00064FD0"/>
    <w:rsid w:val="0006534A"/>
    <w:rsid w:val="00065A5D"/>
    <w:rsid w:val="00065B8C"/>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35C1"/>
    <w:rsid w:val="0007483E"/>
    <w:rsid w:val="000751DB"/>
    <w:rsid w:val="0007542D"/>
    <w:rsid w:val="0007578F"/>
    <w:rsid w:val="00075E43"/>
    <w:rsid w:val="00077706"/>
    <w:rsid w:val="00077878"/>
    <w:rsid w:val="0007799F"/>
    <w:rsid w:val="0008026D"/>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B6E"/>
    <w:rsid w:val="00086C2F"/>
    <w:rsid w:val="00086C64"/>
    <w:rsid w:val="000874BB"/>
    <w:rsid w:val="0008781A"/>
    <w:rsid w:val="00090056"/>
    <w:rsid w:val="00090951"/>
    <w:rsid w:val="00090A61"/>
    <w:rsid w:val="000918F5"/>
    <w:rsid w:val="000919B5"/>
    <w:rsid w:val="00091C1D"/>
    <w:rsid w:val="00091E08"/>
    <w:rsid w:val="00092100"/>
    <w:rsid w:val="000922D8"/>
    <w:rsid w:val="000932E7"/>
    <w:rsid w:val="0009333A"/>
    <w:rsid w:val="000933C3"/>
    <w:rsid w:val="00093459"/>
    <w:rsid w:val="00093B8B"/>
    <w:rsid w:val="00093CD6"/>
    <w:rsid w:val="0009492E"/>
    <w:rsid w:val="000951E7"/>
    <w:rsid w:val="00095B82"/>
    <w:rsid w:val="00096098"/>
    <w:rsid w:val="000961B2"/>
    <w:rsid w:val="00096444"/>
    <w:rsid w:val="000969D9"/>
    <w:rsid w:val="000969ED"/>
    <w:rsid w:val="00096F37"/>
    <w:rsid w:val="00097FE5"/>
    <w:rsid w:val="000A0354"/>
    <w:rsid w:val="000A091F"/>
    <w:rsid w:val="000A0958"/>
    <w:rsid w:val="000A0FCC"/>
    <w:rsid w:val="000A1033"/>
    <w:rsid w:val="000A2451"/>
    <w:rsid w:val="000A2712"/>
    <w:rsid w:val="000A2877"/>
    <w:rsid w:val="000A28E5"/>
    <w:rsid w:val="000A3145"/>
    <w:rsid w:val="000A355D"/>
    <w:rsid w:val="000A35DA"/>
    <w:rsid w:val="000A371E"/>
    <w:rsid w:val="000A3DE5"/>
    <w:rsid w:val="000A4011"/>
    <w:rsid w:val="000A45D5"/>
    <w:rsid w:val="000A490E"/>
    <w:rsid w:val="000A529E"/>
    <w:rsid w:val="000A5B49"/>
    <w:rsid w:val="000A5FE5"/>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5C"/>
    <w:rsid w:val="000B27C0"/>
    <w:rsid w:val="000B395E"/>
    <w:rsid w:val="000B39C3"/>
    <w:rsid w:val="000B3A00"/>
    <w:rsid w:val="000B42E3"/>
    <w:rsid w:val="000B4840"/>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F01"/>
    <w:rsid w:val="000C410D"/>
    <w:rsid w:val="000C420D"/>
    <w:rsid w:val="000C4773"/>
    <w:rsid w:val="000C4944"/>
    <w:rsid w:val="000C4E24"/>
    <w:rsid w:val="000C5A4C"/>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0B59"/>
    <w:rsid w:val="000E1516"/>
    <w:rsid w:val="000E187C"/>
    <w:rsid w:val="000E1B28"/>
    <w:rsid w:val="000E1E8D"/>
    <w:rsid w:val="000E1EBC"/>
    <w:rsid w:val="000E2173"/>
    <w:rsid w:val="000E217A"/>
    <w:rsid w:val="000E220B"/>
    <w:rsid w:val="000E2266"/>
    <w:rsid w:val="000E2A50"/>
    <w:rsid w:val="000E30F2"/>
    <w:rsid w:val="000E316B"/>
    <w:rsid w:val="000E3D08"/>
    <w:rsid w:val="000E4728"/>
    <w:rsid w:val="000E4D1F"/>
    <w:rsid w:val="000E53AA"/>
    <w:rsid w:val="000E5658"/>
    <w:rsid w:val="000E5698"/>
    <w:rsid w:val="000E5723"/>
    <w:rsid w:val="000E581B"/>
    <w:rsid w:val="000E60DF"/>
    <w:rsid w:val="000E64B2"/>
    <w:rsid w:val="000E65D2"/>
    <w:rsid w:val="000E6919"/>
    <w:rsid w:val="000E6B1B"/>
    <w:rsid w:val="000E6F0C"/>
    <w:rsid w:val="000E6F29"/>
    <w:rsid w:val="000E732D"/>
    <w:rsid w:val="000F07ED"/>
    <w:rsid w:val="000F0C34"/>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11FC"/>
    <w:rsid w:val="001014BD"/>
    <w:rsid w:val="0010165F"/>
    <w:rsid w:val="00101E7C"/>
    <w:rsid w:val="00102384"/>
    <w:rsid w:val="001023DC"/>
    <w:rsid w:val="00102572"/>
    <w:rsid w:val="00102946"/>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76D"/>
    <w:rsid w:val="00113821"/>
    <w:rsid w:val="00114058"/>
    <w:rsid w:val="0011449E"/>
    <w:rsid w:val="001153EF"/>
    <w:rsid w:val="00115D55"/>
    <w:rsid w:val="00115E45"/>
    <w:rsid w:val="00115F85"/>
    <w:rsid w:val="0011688E"/>
    <w:rsid w:val="00116ACD"/>
    <w:rsid w:val="00116D94"/>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07"/>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7"/>
    <w:rsid w:val="001346AF"/>
    <w:rsid w:val="00134990"/>
    <w:rsid w:val="00134FB4"/>
    <w:rsid w:val="001354D1"/>
    <w:rsid w:val="00135840"/>
    <w:rsid w:val="00135A0A"/>
    <w:rsid w:val="00135BB9"/>
    <w:rsid w:val="0013621D"/>
    <w:rsid w:val="00136354"/>
    <w:rsid w:val="00136674"/>
    <w:rsid w:val="00136B0E"/>
    <w:rsid w:val="00136C3B"/>
    <w:rsid w:val="00136D16"/>
    <w:rsid w:val="001376AB"/>
    <w:rsid w:val="0013777C"/>
    <w:rsid w:val="00137D5F"/>
    <w:rsid w:val="00140082"/>
    <w:rsid w:val="00140175"/>
    <w:rsid w:val="00140757"/>
    <w:rsid w:val="00140D07"/>
    <w:rsid w:val="00141A3A"/>
    <w:rsid w:val="001423FA"/>
    <w:rsid w:val="001427B5"/>
    <w:rsid w:val="001428CF"/>
    <w:rsid w:val="00142B17"/>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3E8"/>
    <w:rsid w:val="00150664"/>
    <w:rsid w:val="00150827"/>
    <w:rsid w:val="00150B0D"/>
    <w:rsid w:val="00150E10"/>
    <w:rsid w:val="00150FBA"/>
    <w:rsid w:val="00151A32"/>
    <w:rsid w:val="00151BDE"/>
    <w:rsid w:val="00151E31"/>
    <w:rsid w:val="00151F9B"/>
    <w:rsid w:val="00152289"/>
    <w:rsid w:val="0015232D"/>
    <w:rsid w:val="00152425"/>
    <w:rsid w:val="00152BAD"/>
    <w:rsid w:val="00152CE3"/>
    <w:rsid w:val="00153652"/>
    <w:rsid w:val="00153697"/>
    <w:rsid w:val="00153956"/>
    <w:rsid w:val="00153B95"/>
    <w:rsid w:val="0015409C"/>
    <w:rsid w:val="00154146"/>
    <w:rsid w:val="00154190"/>
    <w:rsid w:val="001545EA"/>
    <w:rsid w:val="001549BA"/>
    <w:rsid w:val="00154BBF"/>
    <w:rsid w:val="00155099"/>
    <w:rsid w:val="00155C85"/>
    <w:rsid w:val="00156A6C"/>
    <w:rsid w:val="00156B10"/>
    <w:rsid w:val="00157173"/>
    <w:rsid w:val="00157673"/>
    <w:rsid w:val="001576FE"/>
    <w:rsid w:val="00157823"/>
    <w:rsid w:val="0015790D"/>
    <w:rsid w:val="00157C5E"/>
    <w:rsid w:val="00157DD3"/>
    <w:rsid w:val="0016015A"/>
    <w:rsid w:val="0016020E"/>
    <w:rsid w:val="00160503"/>
    <w:rsid w:val="00160D7C"/>
    <w:rsid w:val="00160E30"/>
    <w:rsid w:val="00161004"/>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6BD7"/>
    <w:rsid w:val="00167804"/>
    <w:rsid w:val="0016793E"/>
    <w:rsid w:val="00167D4D"/>
    <w:rsid w:val="0017054C"/>
    <w:rsid w:val="00170635"/>
    <w:rsid w:val="0017070D"/>
    <w:rsid w:val="00170837"/>
    <w:rsid w:val="00171035"/>
    <w:rsid w:val="001713B7"/>
    <w:rsid w:val="00171ADB"/>
    <w:rsid w:val="00171CDD"/>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C23"/>
    <w:rsid w:val="00176E3B"/>
    <w:rsid w:val="00176ECB"/>
    <w:rsid w:val="0017752D"/>
    <w:rsid w:val="0017759F"/>
    <w:rsid w:val="00177832"/>
    <w:rsid w:val="0018057A"/>
    <w:rsid w:val="00181178"/>
    <w:rsid w:val="0018119E"/>
    <w:rsid w:val="0018152C"/>
    <w:rsid w:val="00181A74"/>
    <w:rsid w:val="00181DBA"/>
    <w:rsid w:val="00181EEF"/>
    <w:rsid w:val="00181F37"/>
    <w:rsid w:val="00181F3E"/>
    <w:rsid w:val="00182FE0"/>
    <w:rsid w:val="00183249"/>
    <w:rsid w:val="00183352"/>
    <w:rsid w:val="00183911"/>
    <w:rsid w:val="001840C0"/>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122E"/>
    <w:rsid w:val="0019170B"/>
    <w:rsid w:val="00191DDF"/>
    <w:rsid w:val="00193ACC"/>
    <w:rsid w:val="00193BFE"/>
    <w:rsid w:val="001941B4"/>
    <w:rsid w:val="001952C0"/>
    <w:rsid w:val="00195322"/>
    <w:rsid w:val="0019560E"/>
    <w:rsid w:val="001958E3"/>
    <w:rsid w:val="0019601B"/>
    <w:rsid w:val="00196048"/>
    <w:rsid w:val="00196764"/>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54B"/>
    <w:rsid w:val="001A46FB"/>
    <w:rsid w:val="001A4B5B"/>
    <w:rsid w:val="001A4EA6"/>
    <w:rsid w:val="001A4EC9"/>
    <w:rsid w:val="001A5944"/>
    <w:rsid w:val="001A5FB1"/>
    <w:rsid w:val="001A698A"/>
    <w:rsid w:val="001A6CCC"/>
    <w:rsid w:val="001A6E3B"/>
    <w:rsid w:val="001A70C8"/>
    <w:rsid w:val="001A71C9"/>
    <w:rsid w:val="001A7429"/>
    <w:rsid w:val="001A760C"/>
    <w:rsid w:val="001A764A"/>
    <w:rsid w:val="001A770F"/>
    <w:rsid w:val="001A7977"/>
    <w:rsid w:val="001A799B"/>
    <w:rsid w:val="001A7AC7"/>
    <w:rsid w:val="001A7C38"/>
    <w:rsid w:val="001B00C5"/>
    <w:rsid w:val="001B02F8"/>
    <w:rsid w:val="001B2104"/>
    <w:rsid w:val="001B2279"/>
    <w:rsid w:val="001B2623"/>
    <w:rsid w:val="001B2729"/>
    <w:rsid w:val="001B2866"/>
    <w:rsid w:val="001B2881"/>
    <w:rsid w:val="001B2B73"/>
    <w:rsid w:val="001B3675"/>
    <w:rsid w:val="001B37C8"/>
    <w:rsid w:val="001B48BA"/>
    <w:rsid w:val="001B4B2C"/>
    <w:rsid w:val="001B4F10"/>
    <w:rsid w:val="001B5154"/>
    <w:rsid w:val="001B52E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1FBC"/>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6990"/>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B8D"/>
    <w:rsid w:val="001F274F"/>
    <w:rsid w:val="001F289C"/>
    <w:rsid w:val="001F2BF9"/>
    <w:rsid w:val="001F3AF2"/>
    <w:rsid w:val="001F448E"/>
    <w:rsid w:val="001F6008"/>
    <w:rsid w:val="001F604B"/>
    <w:rsid w:val="001F641B"/>
    <w:rsid w:val="001F6D4D"/>
    <w:rsid w:val="001F6D69"/>
    <w:rsid w:val="001F72BB"/>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9"/>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4C9"/>
    <w:rsid w:val="0022176C"/>
    <w:rsid w:val="002225D1"/>
    <w:rsid w:val="0022279E"/>
    <w:rsid w:val="002230FA"/>
    <w:rsid w:val="00223DF2"/>
    <w:rsid w:val="002243E6"/>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670"/>
    <w:rsid w:val="00231D05"/>
    <w:rsid w:val="0023241A"/>
    <w:rsid w:val="00232F54"/>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8E"/>
    <w:rsid w:val="002421FD"/>
    <w:rsid w:val="0024261D"/>
    <w:rsid w:val="00242712"/>
    <w:rsid w:val="00242DFB"/>
    <w:rsid w:val="00243807"/>
    <w:rsid w:val="002440AC"/>
    <w:rsid w:val="00244365"/>
    <w:rsid w:val="0024459A"/>
    <w:rsid w:val="002446A3"/>
    <w:rsid w:val="00244771"/>
    <w:rsid w:val="00244903"/>
    <w:rsid w:val="00244AFB"/>
    <w:rsid w:val="002452F4"/>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674"/>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38A"/>
    <w:rsid w:val="00263EC7"/>
    <w:rsid w:val="0026491B"/>
    <w:rsid w:val="00264A36"/>
    <w:rsid w:val="00264B06"/>
    <w:rsid w:val="00264C1B"/>
    <w:rsid w:val="00264E10"/>
    <w:rsid w:val="00265D10"/>
    <w:rsid w:val="00265E2E"/>
    <w:rsid w:val="002661AB"/>
    <w:rsid w:val="00266229"/>
    <w:rsid w:val="0026742B"/>
    <w:rsid w:val="002674FE"/>
    <w:rsid w:val="00267E59"/>
    <w:rsid w:val="002700D3"/>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CAB"/>
    <w:rsid w:val="00274E8A"/>
    <w:rsid w:val="00275A53"/>
    <w:rsid w:val="00275FCE"/>
    <w:rsid w:val="0027613E"/>
    <w:rsid w:val="002766B8"/>
    <w:rsid w:val="0027680F"/>
    <w:rsid w:val="002777C0"/>
    <w:rsid w:val="002806B8"/>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625F"/>
    <w:rsid w:val="002863CE"/>
    <w:rsid w:val="00286C3A"/>
    <w:rsid w:val="00287E20"/>
    <w:rsid w:val="0029110F"/>
    <w:rsid w:val="00291492"/>
    <w:rsid w:val="00291527"/>
    <w:rsid w:val="0029199A"/>
    <w:rsid w:val="00291BBE"/>
    <w:rsid w:val="00291FEB"/>
    <w:rsid w:val="00293146"/>
    <w:rsid w:val="0029361E"/>
    <w:rsid w:val="002939F4"/>
    <w:rsid w:val="00293D68"/>
    <w:rsid w:val="0029408A"/>
    <w:rsid w:val="00294352"/>
    <w:rsid w:val="002944A0"/>
    <w:rsid w:val="002946E4"/>
    <w:rsid w:val="0029495C"/>
    <w:rsid w:val="002957D9"/>
    <w:rsid w:val="00295B52"/>
    <w:rsid w:val="00295CD7"/>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445"/>
    <w:rsid w:val="002B5AFB"/>
    <w:rsid w:val="002B6320"/>
    <w:rsid w:val="002B6499"/>
    <w:rsid w:val="002B66AC"/>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1FB8"/>
    <w:rsid w:val="002D20CD"/>
    <w:rsid w:val="002D23C6"/>
    <w:rsid w:val="002D24F0"/>
    <w:rsid w:val="002D25EB"/>
    <w:rsid w:val="002D29E5"/>
    <w:rsid w:val="002D29F3"/>
    <w:rsid w:val="002D3126"/>
    <w:rsid w:val="002D3529"/>
    <w:rsid w:val="002D3D0A"/>
    <w:rsid w:val="002D3EF0"/>
    <w:rsid w:val="002D478E"/>
    <w:rsid w:val="002D47AE"/>
    <w:rsid w:val="002D4A94"/>
    <w:rsid w:val="002D5E7D"/>
    <w:rsid w:val="002D6216"/>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E7F1C"/>
    <w:rsid w:val="002F0863"/>
    <w:rsid w:val="002F0F36"/>
    <w:rsid w:val="002F1276"/>
    <w:rsid w:val="002F175B"/>
    <w:rsid w:val="002F1986"/>
    <w:rsid w:val="002F1E5F"/>
    <w:rsid w:val="002F2A49"/>
    <w:rsid w:val="002F307D"/>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106"/>
    <w:rsid w:val="00300267"/>
    <w:rsid w:val="003004D2"/>
    <w:rsid w:val="00300D6B"/>
    <w:rsid w:val="00301380"/>
    <w:rsid w:val="00301E89"/>
    <w:rsid w:val="00302052"/>
    <w:rsid w:val="00302142"/>
    <w:rsid w:val="00302169"/>
    <w:rsid w:val="00302612"/>
    <w:rsid w:val="00303254"/>
    <w:rsid w:val="003032D8"/>
    <w:rsid w:val="003033B6"/>
    <w:rsid w:val="003044D9"/>
    <w:rsid w:val="00304D8A"/>
    <w:rsid w:val="00305216"/>
    <w:rsid w:val="003053EA"/>
    <w:rsid w:val="0030555B"/>
    <w:rsid w:val="003061F5"/>
    <w:rsid w:val="003064A0"/>
    <w:rsid w:val="00306A49"/>
    <w:rsid w:val="00306D27"/>
    <w:rsid w:val="0030722F"/>
    <w:rsid w:val="0030739C"/>
    <w:rsid w:val="00307A2C"/>
    <w:rsid w:val="00307CD2"/>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61F"/>
    <w:rsid w:val="00322BE5"/>
    <w:rsid w:val="00322E87"/>
    <w:rsid w:val="0032312D"/>
    <w:rsid w:val="00323AA5"/>
    <w:rsid w:val="003242E4"/>
    <w:rsid w:val="0032468D"/>
    <w:rsid w:val="00324926"/>
    <w:rsid w:val="00324B25"/>
    <w:rsid w:val="0032522F"/>
    <w:rsid w:val="003253C4"/>
    <w:rsid w:val="0032550F"/>
    <w:rsid w:val="00325992"/>
    <w:rsid w:val="00325B74"/>
    <w:rsid w:val="003262C6"/>
    <w:rsid w:val="0032638F"/>
    <w:rsid w:val="00326B59"/>
    <w:rsid w:val="00326BD4"/>
    <w:rsid w:val="00326E49"/>
    <w:rsid w:val="003272C6"/>
    <w:rsid w:val="00327752"/>
    <w:rsid w:val="00327A23"/>
    <w:rsid w:val="00327C7C"/>
    <w:rsid w:val="00327E8E"/>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77A"/>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377"/>
    <w:rsid w:val="0035266A"/>
    <w:rsid w:val="0035279C"/>
    <w:rsid w:val="003535D2"/>
    <w:rsid w:val="0035384D"/>
    <w:rsid w:val="00353C0B"/>
    <w:rsid w:val="00354AE4"/>
    <w:rsid w:val="00354B0A"/>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07EE"/>
    <w:rsid w:val="00371C86"/>
    <w:rsid w:val="0037236C"/>
    <w:rsid w:val="003729DE"/>
    <w:rsid w:val="003735D3"/>
    <w:rsid w:val="0037386D"/>
    <w:rsid w:val="00373956"/>
    <w:rsid w:val="003739A4"/>
    <w:rsid w:val="00373CB5"/>
    <w:rsid w:val="00374153"/>
    <w:rsid w:val="00374671"/>
    <w:rsid w:val="0037484A"/>
    <w:rsid w:val="00374C30"/>
    <w:rsid w:val="003750E0"/>
    <w:rsid w:val="00375AF1"/>
    <w:rsid w:val="00375C2F"/>
    <w:rsid w:val="00375FC5"/>
    <w:rsid w:val="00376943"/>
    <w:rsid w:val="003769BA"/>
    <w:rsid w:val="00376DB7"/>
    <w:rsid w:val="00377871"/>
    <w:rsid w:val="003778B2"/>
    <w:rsid w:val="00377D0E"/>
    <w:rsid w:val="00377E58"/>
    <w:rsid w:val="003804EE"/>
    <w:rsid w:val="003805E3"/>
    <w:rsid w:val="00380618"/>
    <w:rsid w:val="0038062E"/>
    <w:rsid w:val="003806D7"/>
    <w:rsid w:val="003807F7"/>
    <w:rsid w:val="00381610"/>
    <w:rsid w:val="00381762"/>
    <w:rsid w:val="00381E4F"/>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21"/>
    <w:rsid w:val="00387D30"/>
    <w:rsid w:val="00390478"/>
    <w:rsid w:val="0039090B"/>
    <w:rsid w:val="00391753"/>
    <w:rsid w:val="00391AC0"/>
    <w:rsid w:val="00391C7F"/>
    <w:rsid w:val="003922F8"/>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779"/>
    <w:rsid w:val="003A0E82"/>
    <w:rsid w:val="003A0FAC"/>
    <w:rsid w:val="003A1584"/>
    <w:rsid w:val="003A16DC"/>
    <w:rsid w:val="003A184D"/>
    <w:rsid w:val="003A194C"/>
    <w:rsid w:val="003A1F68"/>
    <w:rsid w:val="003A1FB7"/>
    <w:rsid w:val="003A371E"/>
    <w:rsid w:val="003A3957"/>
    <w:rsid w:val="003A462A"/>
    <w:rsid w:val="003A4EA5"/>
    <w:rsid w:val="003A595F"/>
    <w:rsid w:val="003A5EEC"/>
    <w:rsid w:val="003A6583"/>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F6A"/>
    <w:rsid w:val="003B5F9E"/>
    <w:rsid w:val="003B6B7F"/>
    <w:rsid w:val="003B7820"/>
    <w:rsid w:val="003C01A4"/>
    <w:rsid w:val="003C0219"/>
    <w:rsid w:val="003C0C12"/>
    <w:rsid w:val="003C16EE"/>
    <w:rsid w:val="003C1C87"/>
    <w:rsid w:val="003C2973"/>
    <w:rsid w:val="003C2C85"/>
    <w:rsid w:val="003C2F61"/>
    <w:rsid w:val="003C345E"/>
    <w:rsid w:val="003C4409"/>
    <w:rsid w:val="003C4854"/>
    <w:rsid w:val="003C4997"/>
    <w:rsid w:val="003C4DA5"/>
    <w:rsid w:val="003C502A"/>
    <w:rsid w:val="003C5666"/>
    <w:rsid w:val="003C59AB"/>
    <w:rsid w:val="003C60CC"/>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3414"/>
    <w:rsid w:val="003D3426"/>
    <w:rsid w:val="003D3654"/>
    <w:rsid w:val="003D3721"/>
    <w:rsid w:val="003D413A"/>
    <w:rsid w:val="003D4157"/>
    <w:rsid w:val="003D46DE"/>
    <w:rsid w:val="003D4A9F"/>
    <w:rsid w:val="003D571A"/>
    <w:rsid w:val="003D6722"/>
    <w:rsid w:val="003D7428"/>
    <w:rsid w:val="003D77F2"/>
    <w:rsid w:val="003D78CC"/>
    <w:rsid w:val="003D7D01"/>
    <w:rsid w:val="003D7D25"/>
    <w:rsid w:val="003D7ED8"/>
    <w:rsid w:val="003E0003"/>
    <w:rsid w:val="003E0099"/>
    <w:rsid w:val="003E04BC"/>
    <w:rsid w:val="003E08C7"/>
    <w:rsid w:val="003E1427"/>
    <w:rsid w:val="003E1A72"/>
    <w:rsid w:val="003E1C35"/>
    <w:rsid w:val="003E2582"/>
    <w:rsid w:val="003E2880"/>
    <w:rsid w:val="003E28FB"/>
    <w:rsid w:val="003E2A00"/>
    <w:rsid w:val="003E382C"/>
    <w:rsid w:val="003E3D00"/>
    <w:rsid w:val="003E4531"/>
    <w:rsid w:val="003E4771"/>
    <w:rsid w:val="003E54A8"/>
    <w:rsid w:val="003E5833"/>
    <w:rsid w:val="003E5DA8"/>
    <w:rsid w:val="003E6E08"/>
    <w:rsid w:val="003E7109"/>
    <w:rsid w:val="003E77DC"/>
    <w:rsid w:val="003E7BC1"/>
    <w:rsid w:val="003F0453"/>
    <w:rsid w:val="003F0C9F"/>
    <w:rsid w:val="003F144A"/>
    <w:rsid w:val="003F18FB"/>
    <w:rsid w:val="003F1B02"/>
    <w:rsid w:val="003F1EFE"/>
    <w:rsid w:val="003F2240"/>
    <w:rsid w:val="003F2460"/>
    <w:rsid w:val="003F2E7B"/>
    <w:rsid w:val="003F3CD5"/>
    <w:rsid w:val="003F41C3"/>
    <w:rsid w:val="003F4473"/>
    <w:rsid w:val="003F4C78"/>
    <w:rsid w:val="003F4CF5"/>
    <w:rsid w:val="003F4E31"/>
    <w:rsid w:val="003F4EA9"/>
    <w:rsid w:val="003F51EE"/>
    <w:rsid w:val="003F53D5"/>
    <w:rsid w:val="003F574E"/>
    <w:rsid w:val="003F60D6"/>
    <w:rsid w:val="003F68E9"/>
    <w:rsid w:val="003F728C"/>
    <w:rsid w:val="003F7E15"/>
    <w:rsid w:val="003F7FDA"/>
    <w:rsid w:val="00400710"/>
    <w:rsid w:val="00400E65"/>
    <w:rsid w:val="00401296"/>
    <w:rsid w:val="004013AD"/>
    <w:rsid w:val="00401DF2"/>
    <w:rsid w:val="00401E20"/>
    <w:rsid w:val="004021C0"/>
    <w:rsid w:val="004024F9"/>
    <w:rsid w:val="004028CE"/>
    <w:rsid w:val="0040299B"/>
    <w:rsid w:val="0040313D"/>
    <w:rsid w:val="004043FA"/>
    <w:rsid w:val="00404970"/>
    <w:rsid w:val="00405181"/>
    <w:rsid w:val="004055AC"/>
    <w:rsid w:val="0040567F"/>
    <w:rsid w:val="00405873"/>
    <w:rsid w:val="00405F09"/>
    <w:rsid w:val="00405F3A"/>
    <w:rsid w:val="004066F4"/>
    <w:rsid w:val="00406A32"/>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2E61"/>
    <w:rsid w:val="004133A5"/>
    <w:rsid w:val="00413D45"/>
    <w:rsid w:val="00414197"/>
    <w:rsid w:val="004144D7"/>
    <w:rsid w:val="00414BB4"/>
    <w:rsid w:val="00414D68"/>
    <w:rsid w:val="00414FD9"/>
    <w:rsid w:val="00415773"/>
    <w:rsid w:val="00415CAE"/>
    <w:rsid w:val="00415EE7"/>
    <w:rsid w:val="004160FA"/>
    <w:rsid w:val="0041669E"/>
    <w:rsid w:val="0041672F"/>
    <w:rsid w:val="00416ACA"/>
    <w:rsid w:val="00416C56"/>
    <w:rsid w:val="00417294"/>
    <w:rsid w:val="004176B8"/>
    <w:rsid w:val="00417B99"/>
    <w:rsid w:val="00417CE0"/>
    <w:rsid w:val="004209D5"/>
    <w:rsid w:val="00420FAF"/>
    <w:rsid w:val="00420FC0"/>
    <w:rsid w:val="00421184"/>
    <w:rsid w:val="004212C1"/>
    <w:rsid w:val="004214B7"/>
    <w:rsid w:val="00421510"/>
    <w:rsid w:val="00421FB5"/>
    <w:rsid w:val="00422282"/>
    <w:rsid w:val="004226ED"/>
    <w:rsid w:val="00422AF4"/>
    <w:rsid w:val="00422DC5"/>
    <w:rsid w:val="004235F4"/>
    <w:rsid w:val="004236C9"/>
    <w:rsid w:val="00423CF3"/>
    <w:rsid w:val="00423E18"/>
    <w:rsid w:val="004245E4"/>
    <w:rsid w:val="00424AEF"/>
    <w:rsid w:val="00424B7C"/>
    <w:rsid w:val="0042500C"/>
    <w:rsid w:val="00425514"/>
    <w:rsid w:val="004256BD"/>
    <w:rsid w:val="00425863"/>
    <w:rsid w:val="00425D02"/>
    <w:rsid w:val="00425EDC"/>
    <w:rsid w:val="0042610C"/>
    <w:rsid w:val="00426B30"/>
    <w:rsid w:val="00426C3E"/>
    <w:rsid w:val="004275CD"/>
    <w:rsid w:val="00427E74"/>
    <w:rsid w:val="00427FEB"/>
    <w:rsid w:val="00427FF2"/>
    <w:rsid w:val="004305C0"/>
    <w:rsid w:val="00430B20"/>
    <w:rsid w:val="00430B6C"/>
    <w:rsid w:val="0043227C"/>
    <w:rsid w:val="004335C0"/>
    <w:rsid w:val="004345AA"/>
    <w:rsid w:val="004345E1"/>
    <w:rsid w:val="00435121"/>
    <w:rsid w:val="00435715"/>
    <w:rsid w:val="0043571B"/>
    <w:rsid w:val="00435EE0"/>
    <w:rsid w:val="00435F29"/>
    <w:rsid w:val="0043610C"/>
    <w:rsid w:val="004366FF"/>
    <w:rsid w:val="00437D83"/>
    <w:rsid w:val="004401DD"/>
    <w:rsid w:val="00440344"/>
    <w:rsid w:val="00440C0F"/>
    <w:rsid w:val="00441264"/>
    <w:rsid w:val="00441B0F"/>
    <w:rsid w:val="0044235D"/>
    <w:rsid w:val="004425C6"/>
    <w:rsid w:val="00443D5D"/>
    <w:rsid w:val="00445CBA"/>
    <w:rsid w:val="004463CB"/>
    <w:rsid w:val="004466F7"/>
    <w:rsid w:val="00446858"/>
    <w:rsid w:val="00446A0F"/>
    <w:rsid w:val="00446C99"/>
    <w:rsid w:val="0044724A"/>
    <w:rsid w:val="00447304"/>
    <w:rsid w:val="004476F6"/>
    <w:rsid w:val="00447CDD"/>
    <w:rsid w:val="00450127"/>
    <w:rsid w:val="0045075F"/>
    <w:rsid w:val="004514A5"/>
    <w:rsid w:val="004516AD"/>
    <w:rsid w:val="00451CD4"/>
    <w:rsid w:val="00451E84"/>
    <w:rsid w:val="00451EA3"/>
    <w:rsid w:val="00451F01"/>
    <w:rsid w:val="00452AF8"/>
    <w:rsid w:val="00453A2E"/>
    <w:rsid w:val="00454145"/>
    <w:rsid w:val="00454660"/>
    <w:rsid w:val="004546A7"/>
    <w:rsid w:val="00454831"/>
    <w:rsid w:val="004548DF"/>
    <w:rsid w:val="00456CC0"/>
    <w:rsid w:val="00457933"/>
    <w:rsid w:val="00457C78"/>
    <w:rsid w:val="00460735"/>
    <w:rsid w:val="00460AD5"/>
    <w:rsid w:val="00460EB8"/>
    <w:rsid w:val="00461090"/>
    <w:rsid w:val="0046138F"/>
    <w:rsid w:val="00461991"/>
    <w:rsid w:val="00461ACB"/>
    <w:rsid w:val="00461C43"/>
    <w:rsid w:val="00462125"/>
    <w:rsid w:val="004628E0"/>
    <w:rsid w:val="00463216"/>
    <w:rsid w:val="0046334D"/>
    <w:rsid w:val="00463911"/>
    <w:rsid w:val="00463C95"/>
    <w:rsid w:val="00463E1C"/>
    <w:rsid w:val="00464052"/>
    <w:rsid w:val="00464236"/>
    <w:rsid w:val="00464381"/>
    <w:rsid w:val="00464B8A"/>
    <w:rsid w:val="00465153"/>
    <w:rsid w:val="00465602"/>
    <w:rsid w:val="004656A4"/>
    <w:rsid w:val="004657FD"/>
    <w:rsid w:val="0046599C"/>
    <w:rsid w:val="00465F01"/>
    <w:rsid w:val="00466A4A"/>
    <w:rsid w:val="00466AFD"/>
    <w:rsid w:val="00470696"/>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E47"/>
    <w:rsid w:val="004813AE"/>
    <w:rsid w:val="00481666"/>
    <w:rsid w:val="0048181B"/>
    <w:rsid w:val="00481B2B"/>
    <w:rsid w:val="00481F2B"/>
    <w:rsid w:val="004820C5"/>
    <w:rsid w:val="00482198"/>
    <w:rsid w:val="004823D8"/>
    <w:rsid w:val="00482F20"/>
    <w:rsid w:val="00483196"/>
    <w:rsid w:val="0048340F"/>
    <w:rsid w:val="00483487"/>
    <w:rsid w:val="0048423C"/>
    <w:rsid w:val="00484449"/>
    <w:rsid w:val="004852CE"/>
    <w:rsid w:val="0048540C"/>
    <w:rsid w:val="00485B5F"/>
    <w:rsid w:val="00485F92"/>
    <w:rsid w:val="004860BD"/>
    <w:rsid w:val="004866E1"/>
    <w:rsid w:val="00486C72"/>
    <w:rsid w:val="00487294"/>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0EFC"/>
    <w:rsid w:val="004A1178"/>
    <w:rsid w:val="004A11E0"/>
    <w:rsid w:val="004A1953"/>
    <w:rsid w:val="004A1FC5"/>
    <w:rsid w:val="004A2158"/>
    <w:rsid w:val="004A29A5"/>
    <w:rsid w:val="004A3225"/>
    <w:rsid w:val="004A374A"/>
    <w:rsid w:val="004A395B"/>
    <w:rsid w:val="004A3B32"/>
    <w:rsid w:val="004A3C59"/>
    <w:rsid w:val="004A3FE2"/>
    <w:rsid w:val="004A4195"/>
    <w:rsid w:val="004A480D"/>
    <w:rsid w:val="004A4D76"/>
    <w:rsid w:val="004A4DB6"/>
    <w:rsid w:val="004A5851"/>
    <w:rsid w:val="004A5A91"/>
    <w:rsid w:val="004A5B0F"/>
    <w:rsid w:val="004A5CF1"/>
    <w:rsid w:val="004A6554"/>
    <w:rsid w:val="004A66E0"/>
    <w:rsid w:val="004A7AAE"/>
    <w:rsid w:val="004A7D49"/>
    <w:rsid w:val="004A7E52"/>
    <w:rsid w:val="004A7F21"/>
    <w:rsid w:val="004B07C6"/>
    <w:rsid w:val="004B08DB"/>
    <w:rsid w:val="004B09F1"/>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899"/>
    <w:rsid w:val="004B6C77"/>
    <w:rsid w:val="004B6D0A"/>
    <w:rsid w:val="004B6DA4"/>
    <w:rsid w:val="004B794C"/>
    <w:rsid w:val="004B7995"/>
    <w:rsid w:val="004C02B3"/>
    <w:rsid w:val="004C098E"/>
    <w:rsid w:val="004C0BBE"/>
    <w:rsid w:val="004C0E2F"/>
    <w:rsid w:val="004C1705"/>
    <w:rsid w:val="004C222E"/>
    <w:rsid w:val="004C2266"/>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C7EED"/>
    <w:rsid w:val="004D039E"/>
    <w:rsid w:val="004D04A3"/>
    <w:rsid w:val="004D0C9F"/>
    <w:rsid w:val="004D15FD"/>
    <w:rsid w:val="004D1A0A"/>
    <w:rsid w:val="004D2369"/>
    <w:rsid w:val="004D2485"/>
    <w:rsid w:val="004D2CFC"/>
    <w:rsid w:val="004D3A57"/>
    <w:rsid w:val="004D47FF"/>
    <w:rsid w:val="004D4D35"/>
    <w:rsid w:val="004D518F"/>
    <w:rsid w:val="004D5394"/>
    <w:rsid w:val="004D5456"/>
    <w:rsid w:val="004D54D7"/>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1BA"/>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56B"/>
    <w:rsid w:val="00503F83"/>
    <w:rsid w:val="0050421C"/>
    <w:rsid w:val="00504A9B"/>
    <w:rsid w:val="00504E9A"/>
    <w:rsid w:val="00504F83"/>
    <w:rsid w:val="005059B9"/>
    <w:rsid w:val="00505F64"/>
    <w:rsid w:val="00506DCD"/>
    <w:rsid w:val="00507325"/>
    <w:rsid w:val="00507583"/>
    <w:rsid w:val="00507C36"/>
    <w:rsid w:val="00507C56"/>
    <w:rsid w:val="00507F13"/>
    <w:rsid w:val="00510472"/>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66C6"/>
    <w:rsid w:val="005172EC"/>
    <w:rsid w:val="0051740D"/>
    <w:rsid w:val="005178CE"/>
    <w:rsid w:val="005205FF"/>
    <w:rsid w:val="00521047"/>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608"/>
    <w:rsid w:val="00527907"/>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3C8"/>
    <w:rsid w:val="00534409"/>
    <w:rsid w:val="0053464E"/>
    <w:rsid w:val="00534CBD"/>
    <w:rsid w:val="005352C8"/>
    <w:rsid w:val="005354C1"/>
    <w:rsid w:val="00535B5D"/>
    <w:rsid w:val="00535F99"/>
    <w:rsid w:val="00536356"/>
    <w:rsid w:val="0053691D"/>
    <w:rsid w:val="00536BBB"/>
    <w:rsid w:val="00536CBB"/>
    <w:rsid w:val="00536DDD"/>
    <w:rsid w:val="00537033"/>
    <w:rsid w:val="00540A37"/>
    <w:rsid w:val="00540AE7"/>
    <w:rsid w:val="00540B49"/>
    <w:rsid w:val="00541415"/>
    <w:rsid w:val="005418DB"/>
    <w:rsid w:val="00541B51"/>
    <w:rsid w:val="00542967"/>
    <w:rsid w:val="005434EA"/>
    <w:rsid w:val="005436B8"/>
    <w:rsid w:val="00545013"/>
    <w:rsid w:val="00545485"/>
    <w:rsid w:val="005455FB"/>
    <w:rsid w:val="00545D55"/>
    <w:rsid w:val="005461AB"/>
    <w:rsid w:val="00546293"/>
    <w:rsid w:val="00546C6A"/>
    <w:rsid w:val="00546FBA"/>
    <w:rsid w:val="00547F04"/>
    <w:rsid w:val="00550924"/>
    <w:rsid w:val="00550D63"/>
    <w:rsid w:val="00550EF1"/>
    <w:rsid w:val="00550FC4"/>
    <w:rsid w:val="00551075"/>
    <w:rsid w:val="005513C8"/>
    <w:rsid w:val="00552204"/>
    <w:rsid w:val="0055236E"/>
    <w:rsid w:val="00552A2A"/>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2F33"/>
    <w:rsid w:val="0056364B"/>
    <w:rsid w:val="00563D49"/>
    <w:rsid w:val="00564191"/>
    <w:rsid w:val="00564557"/>
    <w:rsid w:val="0056458C"/>
    <w:rsid w:val="00564628"/>
    <w:rsid w:val="005648B9"/>
    <w:rsid w:val="00564A3C"/>
    <w:rsid w:val="00564C5F"/>
    <w:rsid w:val="00564F82"/>
    <w:rsid w:val="005653AF"/>
    <w:rsid w:val="00565501"/>
    <w:rsid w:val="00565755"/>
    <w:rsid w:val="00565C04"/>
    <w:rsid w:val="00565DFA"/>
    <w:rsid w:val="0056601E"/>
    <w:rsid w:val="00566406"/>
    <w:rsid w:val="005664A6"/>
    <w:rsid w:val="00566538"/>
    <w:rsid w:val="0056663C"/>
    <w:rsid w:val="005667AF"/>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7C1"/>
    <w:rsid w:val="00580A76"/>
    <w:rsid w:val="00580AD2"/>
    <w:rsid w:val="00581042"/>
    <w:rsid w:val="00581703"/>
    <w:rsid w:val="00581B15"/>
    <w:rsid w:val="005821DD"/>
    <w:rsid w:val="005823E4"/>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450"/>
    <w:rsid w:val="00592853"/>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B03"/>
    <w:rsid w:val="005A1FBF"/>
    <w:rsid w:val="005A29B1"/>
    <w:rsid w:val="005A2EBF"/>
    <w:rsid w:val="005A380B"/>
    <w:rsid w:val="005A4890"/>
    <w:rsid w:val="005A49D4"/>
    <w:rsid w:val="005A4D7C"/>
    <w:rsid w:val="005A51C9"/>
    <w:rsid w:val="005A5A96"/>
    <w:rsid w:val="005A5D7F"/>
    <w:rsid w:val="005A5DC0"/>
    <w:rsid w:val="005A6B6D"/>
    <w:rsid w:val="005A6ED5"/>
    <w:rsid w:val="005A6F0E"/>
    <w:rsid w:val="005A6F57"/>
    <w:rsid w:val="005A7235"/>
    <w:rsid w:val="005A795B"/>
    <w:rsid w:val="005A7BAF"/>
    <w:rsid w:val="005B05FA"/>
    <w:rsid w:val="005B0652"/>
    <w:rsid w:val="005B0FF6"/>
    <w:rsid w:val="005B1213"/>
    <w:rsid w:val="005B1B55"/>
    <w:rsid w:val="005B1C52"/>
    <w:rsid w:val="005B1DBD"/>
    <w:rsid w:val="005B208F"/>
    <w:rsid w:val="005B26B0"/>
    <w:rsid w:val="005B3EBD"/>
    <w:rsid w:val="005B3F0C"/>
    <w:rsid w:val="005B48E8"/>
    <w:rsid w:val="005B4D5D"/>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324"/>
    <w:rsid w:val="005C3772"/>
    <w:rsid w:val="005C39C3"/>
    <w:rsid w:val="005C4229"/>
    <w:rsid w:val="005C4580"/>
    <w:rsid w:val="005C4D9B"/>
    <w:rsid w:val="005C5065"/>
    <w:rsid w:val="005C52F3"/>
    <w:rsid w:val="005C564C"/>
    <w:rsid w:val="005C56EA"/>
    <w:rsid w:val="005C5D0B"/>
    <w:rsid w:val="005C6234"/>
    <w:rsid w:val="005C64DC"/>
    <w:rsid w:val="005C6605"/>
    <w:rsid w:val="005C71A0"/>
    <w:rsid w:val="005C75B8"/>
    <w:rsid w:val="005C7802"/>
    <w:rsid w:val="005C7B50"/>
    <w:rsid w:val="005D029E"/>
    <w:rsid w:val="005D0427"/>
    <w:rsid w:val="005D0776"/>
    <w:rsid w:val="005D07AE"/>
    <w:rsid w:val="005D0A0B"/>
    <w:rsid w:val="005D0C83"/>
    <w:rsid w:val="005D1055"/>
    <w:rsid w:val="005D113B"/>
    <w:rsid w:val="005D1732"/>
    <w:rsid w:val="005D2D9A"/>
    <w:rsid w:val="005D3779"/>
    <w:rsid w:val="005D3A6E"/>
    <w:rsid w:val="005D3B21"/>
    <w:rsid w:val="005D4019"/>
    <w:rsid w:val="005D41DC"/>
    <w:rsid w:val="005D460F"/>
    <w:rsid w:val="005D4DC5"/>
    <w:rsid w:val="005D5442"/>
    <w:rsid w:val="005D5C22"/>
    <w:rsid w:val="005D5E6C"/>
    <w:rsid w:val="005D605C"/>
    <w:rsid w:val="005D63A9"/>
    <w:rsid w:val="005D65D5"/>
    <w:rsid w:val="005D6C56"/>
    <w:rsid w:val="005D6F49"/>
    <w:rsid w:val="005D7B83"/>
    <w:rsid w:val="005D7E8A"/>
    <w:rsid w:val="005E06FA"/>
    <w:rsid w:val="005E11A5"/>
    <w:rsid w:val="005E13D4"/>
    <w:rsid w:val="005E1435"/>
    <w:rsid w:val="005E17E9"/>
    <w:rsid w:val="005E21F3"/>
    <w:rsid w:val="005E235C"/>
    <w:rsid w:val="005E23A4"/>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C20"/>
    <w:rsid w:val="005F0FA8"/>
    <w:rsid w:val="005F1C5D"/>
    <w:rsid w:val="005F2317"/>
    <w:rsid w:val="005F2550"/>
    <w:rsid w:val="005F2B2D"/>
    <w:rsid w:val="005F2FD5"/>
    <w:rsid w:val="005F33B1"/>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702"/>
    <w:rsid w:val="00603B4B"/>
    <w:rsid w:val="00603F20"/>
    <w:rsid w:val="006042F7"/>
    <w:rsid w:val="00604F37"/>
    <w:rsid w:val="0060508A"/>
    <w:rsid w:val="006055AF"/>
    <w:rsid w:val="00605942"/>
    <w:rsid w:val="006059C6"/>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4F4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2DFD"/>
    <w:rsid w:val="006234B0"/>
    <w:rsid w:val="00623E46"/>
    <w:rsid w:val="0062431C"/>
    <w:rsid w:val="00624604"/>
    <w:rsid w:val="006246AD"/>
    <w:rsid w:val="00624D2C"/>
    <w:rsid w:val="00624F7F"/>
    <w:rsid w:val="00625145"/>
    <w:rsid w:val="00626768"/>
    <w:rsid w:val="00627402"/>
    <w:rsid w:val="00627474"/>
    <w:rsid w:val="00627CEA"/>
    <w:rsid w:val="00627E37"/>
    <w:rsid w:val="00630480"/>
    <w:rsid w:val="006304D2"/>
    <w:rsid w:val="0063058E"/>
    <w:rsid w:val="006305F8"/>
    <w:rsid w:val="0063105B"/>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1FCA"/>
    <w:rsid w:val="006425FC"/>
    <w:rsid w:val="00642631"/>
    <w:rsid w:val="0064289D"/>
    <w:rsid w:val="00642DF5"/>
    <w:rsid w:val="0064304A"/>
    <w:rsid w:val="0064380B"/>
    <w:rsid w:val="00643978"/>
    <w:rsid w:val="00643A4F"/>
    <w:rsid w:val="00643C68"/>
    <w:rsid w:val="00643FF5"/>
    <w:rsid w:val="006441FD"/>
    <w:rsid w:val="006444F0"/>
    <w:rsid w:val="00644E5A"/>
    <w:rsid w:val="00644F2C"/>
    <w:rsid w:val="00644F8F"/>
    <w:rsid w:val="006450DD"/>
    <w:rsid w:val="00645141"/>
    <w:rsid w:val="00645349"/>
    <w:rsid w:val="00645AEE"/>
    <w:rsid w:val="00646428"/>
    <w:rsid w:val="0064664C"/>
    <w:rsid w:val="00646AFD"/>
    <w:rsid w:val="0064707F"/>
    <w:rsid w:val="006471E8"/>
    <w:rsid w:val="00647E7D"/>
    <w:rsid w:val="00647E90"/>
    <w:rsid w:val="00647FA3"/>
    <w:rsid w:val="006500F7"/>
    <w:rsid w:val="00650769"/>
    <w:rsid w:val="00650826"/>
    <w:rsid w:val="006516B7"/>
    <w:rsid w:val="006518E4"/>
    <w:rsid w:val="00651FB8"/>
    <w:rsid w:val="006520D5"/>
    <w:rsid w:val="0065239B"/>
    <w:rsid w:val="00652BA0"/>
    <w:rsid w:val="00653045"/>
    <w:rsid w:val="00653A25"/>
    <w:rsid w:val="00653D93"/>
    <w:rsid w:val="00653FDA"/>
    <w:rsid w:val="006541A0"/>
    <w:rsid w:val="00654C66"/>
    <w:rsid w:val="00654E99"/>
    <w:rsid w:val="00655104"/>
    <w:rsid w:val="0065548F"/>
    <w:rsid w:val="00655633"/>
    <w:rsid w:val="006559BB"/>
    <w:rsid w:val="00655D93"/>
    <w:rsid w:val="00655E86"/>
    <w:rsid w:val="00656614"/>
    <w:rsid w:val="00656C4D"/>
    <w:rsid w:val="006577CD"/>
    <w:rsid w:val="00657B16"/>
    <w:rsid w:val="00657CCC"/>
    <w:rsid w:val="00660162"/>
    <w:rsid w:val="0066036D"/>
    <w:rsid w:val="00660484"/>
    <w:rsid w:val="006604FA"/>
    <w:rsid w:val="0066087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457"/>
    <w:rsid w:val="00671F3E"/>
    <w:rsid w:val="00672482"/>
    <w:rsid w:val="00672A18"/>
    <w:rsid w:val="0067322C"/>
    <w:rsid w:val="006735D0"/>
    <w:rsid w:val="006739E9"/>
    <w:rsid w:val="00674D52"/>
    <w:rsid w:val="00674E43"/>
    <w:rsid w:val="00674F08"/>
    <w:rsid w:val="00674F93"/>
    <w:rsid w:val="0067501C"/>
    <w:rsid w:val="0067546F"/>
    <w:rsid w:val="00676287"/>
    <w:rsid w:val="006763FB"/>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25DB"/>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6BC"/>
    <w:rsid w:val="00694B8D"/>
    <w:rsid w:val="0069561C"/>
    <w:rsid w:val="00695634"/>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9B0"/>
    <w:rsid w:val="006A2BB4"/>
    <w:rsid w:val="006A2F80"/>
    <w:rsid w:val="006A361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854"/>
    <w:rsid w:val="006B1DF6"/>
    <w:rsid w:val="006B233F"/>
    <w:rsid w:val="006B275E"/>
    <w:rsid w:val="006B28EA"/>
    <w:rsid w:val="006B2AAD"/>
    <w:rsid w:val="006B2DA3"/>
    <w:rsid w:val="006B2FBB"/>
    <w:rsid w:val="006B378A"/>
    <w:rsid w:val="006B3BD5"/>
    <w:rsid w:val="006B4185"/>
    <w:rsid w:val="006B4224"/>
    <w:rsid w:val="006B4493"/>
    <w:rsid w:val="006B453E"/>
    <w:rsid w:val="006B4B62"/>
    <w:rsid w:val="006B53DC"/>
    <w:rsid w:val="006B5423"/>
    <w:rsid w:val="006B558A"/>
    <w:rsid w:val="006B5855"/>
    <w:rsid w:val="006B5AB2"/>
    <w:rsid w:val="006B5BC7"/>
    <w:rsid w:val="006B5C67"/>
    <w:rsid w:val="006B6B5D"/>
    <w:rsid w:val="006B6BF6"/>
    <w:rsid w:val="006B6C0D"/>
    <w:rsid w:val="006B790C"/>
    <w:rsid w:val="006B7A88"/>
    <w:rsid w:val="006C166D"/>
    <w:rsid w:val="006C1818"/>
    <w:rsid w:val="006C1B98"/>
    <w:rsid w:val="006C1F8B"/>
    <w:rsid w:val="006C2721"/>
    <w:rsid w:val="006C2BE5"/>
    <w:rsid w:val="006C316A"/>
    <w:rsid w:val="006C3868"/>
    <w:rsid w:val="006C38FF"/>
    <w:rsid w:val="006C3B4B"/>
    <w:rsid w:val="006C3E6E"/>
    <w:rsid w:val="006C3EEA"/>
    <w:rsid w:val="006C3F92"/>
    <w:rsid w:val="006C42FA"/>
    <w:rsid w:val="006C43A6"/>
    <w:rsid w:val="006C4A4A"/>
    <w:rsid w:val="006C4C9C"/>
    <w:rsid w:val="006C4E89"/>
    <w:rsid w:val="006C5313"/>
    <w:rsid w:val="006C53EB"/>
    <w:rsid w:val="006C5434"/>
    <w:rsid w:val="006C5D29"/>
    <w:rsid w:val="006C650D"/>
    <w:rsid w:val="006C67FE"/>
    <w:rsid w:val="006C69A5"/>
    <w:rsid w:val="006C76A1"/>
    <w:rsid w:val="006C7740"/>
    <w:rsid w:val="006C7FC6"/>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659"/>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7D4"/>
    <w:rsid w:val="006F1E96"/>
    <w:rsid w:val="006F2706"/>
    <w:rsid w:val="006F2C77"/>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6F7811"/>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6DBF"/>
    <w:rsid w:val="00707E0F"/>
    <w:rsid w:val="00710017"/>
    <w:rsid w:val="0071068A"/>
    <w:rsid w:val="00710E19"/>
    <w:rsid w:val="00710E52"/>
    <w:rsid w:val="00711473"/>
    <w:rsid w:val="0071154B"/>
    <w:rsid w:val="0071174F"/>
    <w:rsid w:val="0071196A"/>
    <w:rsid w:val="007130CA"/>
    <w:rsid w:val="007131CF"/>
    <w:rsid w:val="007133C0"/>
    <w:rsid w:val="00713613"/>
    <w:rsid w:val="007137C6"/>
    <w:rsid w:val="007138FC"/>
    <w:rsid w:val="0071393D"/>
    <w:rsid w:val="00713E0C"/>
    <w:rsid w:val="00713E79"/>
    <w:rsid w:val="00714073"/>
    <w:rsid w:val="00714245"/>
    <w:rsid w:val="00715441"/>
    <w:rsid w:val="00715458"/>
    <w:rsid w:val="00715739"/>
    <w:rsid w:val="0071576C"/>
    <w:rsid w:val="00715C94"/>
    <w:rsid w:val="007165F0"/>
    <w:rsid w:val="00716A09"/>
    <w:rsid w:val="007170DB"/>
    <w:rsid w:val="00717880"/>
    <w:rsid w:val="00717CA8"/>
    <w:rsid w:val="007205E7"/>
    <w:rsid w:val="007209C4"/>
    <w:rsid w:val="00721E9E"/>
    <w:rsid w:val="007227FE"/>
    <w:rsid w:val="0072323F"/>
    <w:rsid w:val="007233C3"/>
    <w:rsid w:val="007236B4"/>
    <w:rsid w:val="007238D7"/>
    <w:rsid w:val="00723C95"/>
    <w:rsid w:val="00724456"/>
    <w:rsid w:val="007244E7"/>
    <w:rsid w:val="0072505F"/>
    <w:rsid w:val="00725B00"/>
    <w:rsid w:val="0072680C"/>
    <w:rsid w:val="00726B3D"/>
    <w:rsid w:val="00726C64"/>
    <w:rsid w:val="00726E52"/>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021"/>
    <w:rsid w:val="007351A5"/>
    <w:rsid w:val="00735293"/>
    <w:rsid w:val="00735376"/>
    <w:rsid w:val="007363EA"/>
    <w:rsid w:val="00736A02"/>
    <w:rsid w:val="00736BEE"/>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4F"/>
    <w:rsid w:val="00745DFD"/>
    <w:rsid w:val="00746197"/>
    <w:rsid w:val="0074689C"/>
    <w:rsid w:val="00746B3F"/>
    <w:rsid w:val="007470A5"/>
    <w:rsid w:val="00747117"/>
    <w:rsid w:val="007479C2"/>
    <w:rsid w:val="00747B0D"/>
    <w:rsid w:val="007503EA"/>
    <w:rsid w:val="00751452"/>
    <w:rsid w:val="007521A5"/>
    <w:rsid w:val="00752488"/>
    <w:rsid w:val="0075281D"/>
    <w:rsid w:val="00753959"/>
    <w:rsid w:val="00753DD6"/>
    <w:rsid w:val="00754A4A"/>
    <w:rsid w:val="007566FB"/>
    <w:rsid w:val="007567A8"/>
    <w:rsid w:val="00756D6A"/>
    <w:rsid w:val="0076043F"/>
    <w:rsid w:val="00760D17"/>
    <w:rsid w:val="00760F66"/>
    <w:rsid w:val="007611F8"/>
    <w:rsid w:val="00761200"/>
    <w:rsid w:val="00761931"/>
    <w:rsid w:val="00761BD1"/>
    <w:rsid w:val="0076221A"/>
    <w:rsid w:val="007627BA"/>
    <w:rsid w:val="0076291E"/>
    <w:rsid w:val="00762C76"/>
    <w:rsid w:val="00762D81"/>
    <w:rsid w:val="00762F78"/>
    <w:rsid w:val="0076317B"/>
    <w:rsid w:val="007643D5"/>
    <w:rsid w:val="00765366"/>
    <w:rsid w:val="00765914"/>
    <w:rsid w:val="0076614D"/>
    <w:rsid w:val="0076624C"/>
    <w:rsid w:val="0076627D"/>
    <w:rsid w:val="00766304"/>
    <w:rsid w:val="007665D3"/>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245"/>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194A"/>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281"/>
    <w:rsid w:val="00786355"/>
    <w:rsid w:val="00787370"/>
    <w:rsid w:val="007874AE"/>
    <w:rsid w:val="0078750B"/>
    <w:rsid w:val="00787F5E"/>
    <w:rsid w:val="0079024D"/>
    <w:rsid w:val="00790F87"/>
    <w:rsid w:val="00791069"/>
    <w:rsid w:val="007911B8"/>
    <w:rsid w:val="00791DAE"/>
    <w:rsid w:val="00792B91"/>
    <w:rsid w:val="007930E8"/>
    <w:rsid w:val="00793A57"/>
    <w:rsid w:val="00793A9C"/>
    <w:rsid w:val="00793F28"/>
    <w:rsid w:val="007944D2"/>
    <w:rsid w:val="00794908"/>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B7EE0"/>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975"/>
    <w:rsid w:val="007C7EF5"/>
    <w:rsid w:val="007D0227"/>
    <w:rsid w:val="007D06AC"/>
    <w:rsid w:val="007D0741"/>
    <w:rsid w:val="007D0A53"/>
    <w:rsid w:val="007D0FFC"/>
    <w:rsid w:val="007D1013"/>
    <w:rsid w:val="007D140E"/>
    <w:rsid w:val="007D19EC"/>
    <w:rsid w:val="007D1B28"/>
    <w:rsid w:val="007D2608"/>
    <w:rsid w:val="007D27B0"/>
    <w:rsid w:val="007D29B8"/>
    <w:rsid w:val="007D30C3"/>
    <w:rsid w:val="007D35AC"/>
    <w:rsid w:val="007D36B1"/>
    <w:rsid w:val="007D36D7"/>
    <w:rsid w:val="007D3BA1"/>
    <w:rsid w:val="007D3BD1"/>
    <w:rsid w:val="007D3EC8"/>
    <w:rsid w:val="007D40AC"/>
    <w:rsid w:val="007D4317"/>
    <w:rsid w:val="007D4C12"/>
    <w:rsid w:val="007D57E0"/>
    <w:rsid w:val="007D5962"/>
    <w:rsid w:val="007D5A2B"/>
    <w:rsid w:val="007D6213"/>
    <w:rsid w:val="007D63B2"/>
    <w:rsid w:val="007D64EE"/>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FB9"/>
    <w:rsid w:val="007E7139"/>
    <w:rsid w:val="007E7366"/>
    <w:rsid w:val="007E77E5"/>
    <w:rsid w:val="007E7EA1"/>
    <w:rsid w:val="007E7EA4"/>
    <w:rsid w:val="007F03CE"/>
    <w:rsid w:val="007F04D3"/>
    <w:rsid w:val="007F137D"/>
    <w:rsid w:val="007F17B5"/>
    <w:rsid w:val="007F2D8D"/>
    <w:rsid w:val="007F2EBF"/>
    <w:rsid w:val="007F3044"/>
    <w:rsid w:val="007F3249"/>
    <w:rsid w:val="007F3704"/>
    <w:rsid w:val="007F3C6F"/>
    <w:rsid w:val="007F3D3D"/>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7B0"/>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34D2"/>
    <w:rsid w:val="008243A8"/>
    <w:rsid w:val="00824925"/>
    <w:rsid w:val="00824C8B"/>
    <w:rsid w:val="0082529C"/>
    <w:rsid w:val="008252E8"/>
    <w:rsid w:val="00825411"/>
    <w:rsid w:val="00825BA8"/>
    <w:rsid w:val="00825C14"/>
    <w:rsid w:val="0082641D"/>
    <w:rsid w:val="008267CA"/>
    <w:rsid w:val="00826E45"/>
    <w:rsid w:val="00827023"/>
    <w:rsid w:val="008270EE"/>
    <w:rsid w:val="0082722B"/>
    <w:rsid w:val="0082745B"/>
    <w:rsid w:val="00827C1B"/>
    <w:rsid w:val="0083016B"/>
    <w:rsid w:val="008301F1"/>
    <w:rsid w:val="00830C0E"/>
    <w:rsid w:val="00830C64"/>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36A"/>
    <w:rsid w:val="00834820"/>
    <w:rsid w:val="00834B91"/>
    <w:rsid w:val="00834C82"/>
    <w:rsid w:val="00834DB6"/>
    <w:rsid w:val="00834F93"/>
    <w:rsid w:val="00835F72"/>
    <w:rsid w:val="00837B15"/>
    <w:rsid w:val="00840C4A"/>
    <w:rsid w:val="008411B9"/>
    <w:rsid w:val="0084122F"/>
    <w:rsid w:val="00841573"/>
    <w:rsid w:val="00841D08"/>
    <w:rsid w:val="00842B50"/>
    <w:rsid w:val="00842D43"/>
    <w:rsid w:val="0084323E"/>
    <w:rsid w:val="00843D50"/>
    <w:rsid w:val="008441D9"/>
    <w:rsid w:val="008443EC"/>
    <w:rsid w:val="0084464E"/>
    <w:rsid w:val="00844D85"/>
    <w:rsid w:val="008458BF"/>
    <w:rsid w:val="00845CE4"/>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69E0"/>
    <w:rsid w:val="008573D6"/>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60C"/>
    <w:rsid w:val="008658C0"/>
    <w:rsid w:val="00866388"/>
    <w:rsid w:val="00866FE3"/>
    <w:rsid w:val="0086722D"/>
    <w:rsid w:val="00867459"/>
    <w:rsid w:val="00867D56"/>
    <w:rsid w:val="00867D70"/>
    <w:rsid w:val="0087000C"/>
    <w:rsid w:val="00870114"/>
    <w:rsid w:val="0087018F"/>
    <w:rsid w:val="00870646"/>
    <w:rsid w:val="008706C3"/>
    <w:rsid w:val="00870BAA"/>
    <w:rsid w:val="00870D91"/>
    <w:rsid w:val="008714C1"/>
    <w:rsid w:val="008716D1"/>
    <w:rsid w:val="008716ED"/>
    <w:rsid w:val="008718AD"/>
    <w:rsid w:val="0087193F"/>
    <w:rsid w:val="00871BDB"/>
    <w:rsid w:val="008724E6"/>
    <w:rsid w:val="008728C8"/>
    <w:rsid w:val="00873205"/>
    <w:rsid w:val="008735E8"/>
    <w:rsid w:val="00873662"/>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6FF6"/>
    <w:rsid w:val="00877940"/>
    <w:rsid w:val="0087796A"/>
    <w:rsid w:val="00880017"/>
    <w:rsid w:val="00880305"/>
    <w:rsid w:val="0088088A"/>
    <w:rsid w:val="00880A3F"/>
    <w:rsid w:val="00880EE2"/>
    <w:rsid w:val="00881155"/>
    <w:rsid w:val="008813BC"/>
    <w:rsid w:val="00881732"/>
    <w:rsid w:val="008818A2"/>
    <w:rsid w:val="00881C93"/>
    <w:rsid w:val="00881FF9"/>
    <w:rsid w:val="0088213D"/>
    <w:rsid w:val="008821C6"/>
    <w:rsid w:val="0088243D"/>
    <w:rsid w:val="0088251A"/>
    <w:rsid w:val="00882530"/>
    <w:rsid w:val="0088288C"/>
    <w:rsid w:val="00882D28"/>
    <w:rsid w:val="00883A67"/>
    <w:rsid w:val="008848E9"/>
    <w:rsid w:val="00884CDF"/>
    <w:rsid w:val="00884FD8"/>
    <w:rsid w:val="00885244"/>
    <w:rsid w:val="008857C7"/>
    <w:rsid w:val="008858B3"/>
    <w:rsid w:val="00885BF6"/>
    <w:rsid w:val="008866CF"/>
    <w:rsid w:val="00886782"/>
    <w:rsid w:val="008869A1"/>
    <w:rsid w:val="00886B3F"/>
    <w:rsid w:val="00886FDA"/>
    <w:rsid w:val="008878B9"/>
    <w:rsid w:val="0089015D"/>
    <w:rsid w:val="0089021A"/>
    <w:rsid w:val="0089022E"/>
    <w:rsid w:val="00890475"/>
    <w:rsid w:val="00890A7C"/>
    <w:rsid w:val="00890D11"/>
    <w:rsid w:val="008910EE"/>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BCE"/>
    <w:rsid w:val="008A1AAC"/>
    <w:rsid w:val="008A20CA"/>
    <w:rsid w:val="008A239B"/>
    <w:rsid w:val="008A23AB"/>
    <w:rsid w:val="008A28B6"/>
    <w:rsid w:val="008A2942"/>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588"/>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1F2C"/>
    <w:rsid w:val="008C2460"/>
    <w:rsid w:val="008C2556"/>
    <w:rsid w:val="008C2AF0"/>
    <w:rsid w:val="008C2CFF"/>
    <w:rsid w:val="008C2E1E"/>
    <w:rsid w:val="008C2E22"/>
    <w:rsid w:val="008C2ED2"/>
    <w:rsid w:val="008C3C35"/>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5E2"/>
    <w:rsid w:val="008D7D37"/>
    <w:rsid w:val="008D7EBD"/>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09C"/>
    <w:rsid w:val="008E6465"/>
    <w:rsid w:val="008E6C57"/>
    <w:rsid w:val="008E7082"/>
    <w:rsid w:val="008E72AF"/>
    <w:rsid w:val="008F069E"/>
    <w:rsid w:val="008F0952"/>
    <w:rsid w:val="008F1154"/>
    <w:rsid w:val="008F1B84"/>
    <w:rsid w:val="008F1B9D"/>
    <w:rsid w:val="008F1DB6"/>
    <w:rsid w:val="008F32B6"/>
    <w:rsid w:val="008F337C"/>
    <w:rsid w:val="008F3563"/>
    <w:rsid w:val="008F39C0"/>
    <w:rsid w:val="008F39E4"/>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26A8"/>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A42"/>
    <w:rsid w:val="00907B44"/>
    <w:rsid w:val="00907C33"/>
    <w:rsid w:val="00907DB8"/>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023"/>
    <w:rsid w:val="009162DD"/>
    <w:rsid w:val="009163E7"/>
    <w:rsid w:val="0091671A"/>
    <w:rsid w:val="009169F6"/>
    <w:rsid w:val="0091719D"/>
    <w:rsid w:val="00917903"/>
    <w:rsid w:val="00917BEA"/>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3BC"/>
    <w:rsid w:val="009244D5"/>
    <w:rsid w:val="0092523A"/>
    <w:rsid w:val="009252F1"/>
    <w:rsid w:val="00925588"/>
    <w:rsid w:val="00925A0E"/>
    <w:rsid w:val="00925AF5"/>
    <w:rsid w:val="009261FC"/>
    <w:rsid w:val="00926268"/>
    <w:rsid w:val="00926416"/>
    <w:rsid w:val="009264A2"/>
    <w:rsid w:val="00926831"/>
    <w:rsid w:val="00926E82"/>
    <w:rsid w:val="0092715D"/>
    <w:rsid w:val="009271AA"/>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188"/>
    <w:rsid w:val="00935A1E"/>
    <w:rsid w:val="00935AA3"/>
    <w:rsid w:val="00935B4A"/>
    <w:rsid w:val="00935B7C"/>
    <w:rsid w:val="00935BC9"/>
    <w:rsid w:val="00935E3A"/>
    <w:rsid w:val="00936005"/>
    <w:rsid w:val="0093607C"/>
    <w:rsid w:val="00937F70"/>
    <w:rsid w:val="00940008"/>
    <w:rsid w:val="00940FFA"/>
    <w:rsid w:val="00941503"/>
    <w:rsid w:val="0094185F"/>
    <w:rsid w:val="0094187D"/>
    <w:rsid w:val="00941A4A"/>
    <w:rsid w:val="009423ED"/>
    <w:rsid w:val="00942C90"/>
    <w:rsid w:val="00942F1E"/>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32BF"/>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683"/>
    <w:rsid w:val="00962E23"/>
    <w:rsid w:val="009633ED"/>
    <w:rsid w:val="0096487C"/>
    <w:rsid w:val="00964B45"/>
    <w:rsid w:val="00964BC2"/>
    <w:rsid w:val="00964D4A"/>
    <w:rsid w:val="00964EAE"/>
    <w:rsid w:val="00965023"/>
    <w:rsid w:val="009650B7"/>
    <w:rsid w:val="0096515D"/>
    <w:rsid w:val="00965841"/>
    <w:rsid w:val="00965949"/>
    <w:rsid w:val="00966623"/>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57CA"/>
    <w:rsid w:val="0097617E"/>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5C6"/>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E75"/>
    <w:rsid w:val="00991FAA"/>
    <w:rsid w:val="009923F9"/>
    <w:rsid w:val="009927EE"/>
    <w:rsid w:val="0099367E"/>
    <w:rsid w:val="00993FE4"/>
    <w:rsid w:val="0099425E"/>
    <w:rsid w:val="00994942"/>
    <w:rsid w:val="00994CDC"/>
    <w:rsid w:val="00995AC3"/>
    <w:rsid w:val="00996762"/>
    <w:rsid w:val="009969CD"/>
    <w:rsid w:val="0099770A"/>
    <w:rsid w:val="00997769"/>
    <w:rsid w:val="00997A2E"/>
    <w:rsid w:val="00997AF1"/>
    <w:rsid w:val="009A048E"/>
    <w:rsid w:val="009A119F"/>
    <w:rsid w:val="009A1609"/>
    <w:rsid w:val="009A16A3"/>
    <w:rsid w:val="009A1702"/>
    <w:rsid w:val="009A1A7E"/>
    <w:rsid w:val="009A3480"/>
    <w:rsid w:val="009A3DB8"/>
    <w:rsid w:val="009A43B3"/>
    <w:rsid w:val="009A464D"/>
    <w:rsid w:val="009A496F"/>
    <w:rsid w:val="009A4B78"/>
    <w:rsid w:val="009A4C02"/>
    <w:rsid w:val="009A4D73"/>
    <w:rsid w:val="009A4E41"/>
    <w:rsid w:val="009A5297"/>
    <w:rsid w:val="009A5626"/>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2E94"/>
    <w:rsid w:val="009B31DE"/>
    <w:rsid w:val="009B3250"/>
    <w:rsid w:val="009B3D24"/>
    <w:rsid w:val="009B42D2"/>
    <w:rsid w:val="009B4A06"/>
    <w:rsid w:val="009B59D6"/>
    <w:rsid w:val="009B60EA"/>
    <w:rsid w:val="009B70C8"/>
    <w:rsid w:val="009B737C"/>
    <w:rsid w:val="009B742E"/>
    <w:rsid w:val="009C04EF"/>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1E6"/>
    <w:rsid w:val="009C55E2"/>
    <w:rsid w:val="009C5A4E"/>
    <w:rsid w:val="009C5EE5"/>
    <w:rsid w:val="009C61E3"/>
    <w:rsid w:val="009C6B56"/>
    <w:rsid w:val="009C7DB8"/>
    <w:rsid w:val="009C7FF0"/>
    <w:rsid w:val="009D0014"/>
    <w:rsid w:val="009D010D"/>
    <w:rsid w:val="009D0244"/>
    <w:rsid w:val="009D0AAD"/>
    <w:rsid w:val="009D0F71"/>
    <w:rsid w:val="009D10F0"/>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24C"/>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B9A"/>
    <w:rsid w:val="009E4D8E"/>
    <w:rsid w:val="009E4E90"/>
    <w:rsid w:val="009E4EB7"/>
    <w:rsid w:val="009E57C1"/>
    <w:rsid w:val="009E59FB"/>
    <w:rsid w:val="009E624A"/>
    <w:rsid w:val="009E6B32"/>
    <w:rsid w:val="009E7039"/>
    <w:rsid w:val="009E70F3"/>
    <w:rsid w:val="009E750E"/>
    <w:rsid w:val="009E7E98"/>
    <w:rsid w:val="009F00EE"/>
    <w:rsid w:val="009F0827"/>
    <w:rsid w:val="009F0BED"/>
    <w:rsid w:val="009F1537"/>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5F0E"/>
    <w:rsid w:val="009F6103"/>
    <w:rsid w:val="009F6654"/>
    <w:rsid w:val="009F6A91"/>
    <w:rsid w:val="009F6AA9"/>
    <w:rsid w:val="009F70FB"/>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1D4"/>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4D68"/>
    <w:rsid w:val="00A152D3"/>
    <w:rsid w:val="00A15E82"/>
    <w:rsid w:val="00A15F4F"/>
    <w:rsid w:val="00A160AB"/>
    <w:rsid w:val="00A16745"/>
    <w:rsid w:val="00A16747"/>
    <w:rsid w:val="00A17E93"/>
    <w:rsid w:val="00A20013"/>
    <w:rsid w:val="00A200E6"/>
    <w:rsid w:val="00A2056F"/>
    <w:rsid w:val="00A20582"/>
    <w:rsid w:val="00A20C65"/>
    <w:rsid w:val="00A21767"/>
    <w:rsid w:val="00A21BE6"/>
    <w:rsid w:val="00A21FD5"/>
    <w:rsid w:val="00A225D7"/>
    <w:rsid w:val="00A22751"/>
    <w:rsid w:val="00A22940"/>
    <w:rsid w:val="00A22C96"/>
    <w:rsid w:val="00A23102"/>
    <w:rsid w:val="00A233D8"/>
    <w:rsid w:val="00A2343F"/>
    <w:rsid w:val="00A23505"/>
    <w:rsid w:val="00A236AC"/>
    <w:rsid w:val="00A237D0"/>
    <w:rsid w:val="00A23A4D"/>
    <w:rsid w:val="00A23F8E"/>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278E6"/>
    <w:rsid w:val="00A27E6B"/>
    <w:rsid w:val="00A3068C"/>
    <w:rsid w:val="00A3127F"/>
    <w:rsid w:val="00A31922"/>
    <w:rsid w:val="00A31BC4"/>
    <w:rsid w:val="00A31BCC"/>
    <w:rsid w:val="00A31C70"/>
    <w:rsid w:val="00A31C87"/>
    <w:rsid w:val="00A325BB"/>
    <w:rsid w:val="00A3297A"/>
    <w:rsid w:val="00A32A58"/>
    <w:rsid w:val="00A32EEC"/>
    <w:rsid w:val="00A336C5"/>
    <w:rsid w:val="00A339D9"/>
    <w:rsid w:val="00A33BD6"/>
    <w:rsid w:val="00A34979"/>
    <w:rsid w:val="00A3510A"/>
    <w:rsid w:val="00A3515F"/>
    <w:rsid w:val="00A35751"/>
    <w:rsid w:val="00A3577F"/>
    <w:rsid w:val="00A35BBC"/>
    <w:rsid w:val="00A35DAB"/>
    <w:rsid w:val="00A36724"/>
    <w:rsid w:val="00A367AF"/>
    <w:rsid w:val="00A36C13"/>
    <w:rsid w:val="00A377C2"/>
    <w:rsid w:val="00A37A31"/>
    <w:rsid w:val="00A405F3"/>
    <w:rsid w:val="00A40B1F"/>
    <w:rsid w:val="00A40B4D"/>
    <w:rsid w:val="00A411E2"/>
    <w:rsid w:val="00A41373"/>
    <w:rsid w:val="00A41638"/>
    <w:rsid w:val="00A41757"/>
    <w:rsid w:val="00A41A3F"/>
    <w:rsid w:val="00A41B15"/>
    <w:rsid w:val="00A41DE9"/>
    <w:rsid w:val="00A41E51"/>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F7B"/>
    <w:rsid w:val="00A54090"/>
    <w:rsid w:val="00A54282"/>
    <w:rsid w:val="00A546F1"/>
    <w:rsid w:val="00A549D3"/>
    <w:rsid w:val="00A54C53"/>
    <w:rsid w:val="00A54DF0"/>
    <w:rsid w:val="00A5699F"/>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52"/>
    <w:rsid w:val="00A65BA5"/>
    <w:rsid w:val="00A66354"/>
    <w:rsid w:val="00A66DC5"/>
    <w:rsid w:val="00A66E37"/>
    <w:rsid w:val="00A66ECF"/>
    <w:rsid w:val="00A67E38"/>
    <w:rsid w:val="00A703E4"/>
    <w:rsid w:val="00A704C9"/>
    <w:rsid w:val="00A70DC6"/>
    <w:rsid w:val="00A71080"/>
    <w:rsid w:val="00A71986"/>
    <w:rsid w:val="00A71E05"/>
    <w:rsid w:val="00A71E3D"/>
    <w:rsid w:val="00A71E73"/>
    <w:rsid w:val="00A72740"/>
    <w:rsid w:val="00A73267"/>
    <w:rsid w:val="00A73A64"/>
    <w:rsid w:val="00A73DF5"/>
    <w:rsid w:val="00A742AD"/>
    <w:rsid w:val="00A746D7"/>
    <w:rsid w:val="00A74AB2"/>
    <w:rsid w:val="00A75A27"/>
    <w:rsid w:val="00A75A46"/>
    <w:rsid w:val="00A75B36"/>
    <w:rsid w:val="00A75D2E"/>
    <w:rsid w:val="00A76169"/>
    <w:rsid w:val="00A7663A"/>
    <w:rsid w:val="00A7669D"/>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A0"/>
    <w:rsid w:val="00A825C8"/>
    <w:rsid w:val="00A82742"/>
    <w:rsid w:val="00A82A29"/>
    <w:rsid w:val="00A83984"/>
    <w:rsid w:val="00A83A1E"/>
    <w:rsid w:val="00A84198"/>
    <w:rsid w:val="00A841AB"/>
    <w:rsid w:val="00A84A93"/>
    <w:rsid w:val="00A84FFD"/>
    <w:rsid w:val="00A86104"/>
    <w:rsid w:val="00A8623B"/>
    <w:rsid w:val="00A8655A"/>
    <w:rsid w:val="00A87203"/>
    <w:rsid w:val="00A87744"/>
    <w:rsid w:val="00A87AE6"/>
    <w:rsid w:val="00A87B09"/>
    <w:rsid w:val="00A87C22"/>
    <w:rsid w:val="00A90590"/>
    <w:rsid w:val="00A90A97"/>
    <w:rsid w:val="00A90CB4"/>
    <w:rsid w:val="00A910DA"/>
    <w:rsid w:val="00A914B9"/>
    <w:rsid w:val="00A915B7"/>
    <w:rsid w:val="00A920E1"/>
    <w:rsid w:val="00A92AFD"/>
    <w:rsid w:val="00A933AE"/>
    <w:rsid w:val="00A93863"/>
    <w:rsid w:val="00A93928"/>
    <w:rsid w:val="00A93D69"/>
    <w:rsid w:val="00A9415E"/>
    <w:rsid w:val="00A9423F"/>
    <w:rsid w:val="00A94EBD"/>
    <w:rsid w:val="00A9510D"/>
    <w:rsid w:val="00A95580"/>
    <w:rsid w:val="00A9568A"/>
    <w:rsid w:val="00A956AC"/>
    <w:rsid w:val="00A95D2A"/>
    <w:rsid w:val="00A9604A"/>
    <w:rsid w:val="00A96214"/>
    <w:rsid w:val="00A967E8"/>
    <w:rsid w:val="00A97F4B"/>
    <w:rsid w:val="00AA04C5"/>
    <w:rsid w:val="00AA0B81"/>
    <w:rsid w:val="00AA10B1"/>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2AF7"/>
    <w:rsid w:val="00AB37E6"/>
    <w:rsid w:val="00AB3DBA"/>
    <w:rsid w:val="00AB431C"/>
    <w:rsid w:val="00AB470E"/>
    <w:rsid w:val="00AB5467"/>
    <w:rsid w:val="00AB5A7E"/>
    <w:rsid w:val="00AB7538"/>
    <w:rsid w:val="00AB77F3"/>
    <w:rsid w:val="00AC0256"/>
    <w:rsid w:val="00AC0AAD"/>
    <w:rsid w:val="00AC1231"/>
    <w:rsid w:val="00AC1992"/>
    <w:rsid w:val="00AC1E14"/>
    <w:rsid w:val="00AC2C60"/>
    <w:rsid w:val="00AC2CFA"/>
    <w:rsid w:val="00AC3263"/>
    <w:rsid w:val="00AC337E"/>
    <w:rsid w:val="00AC3E12"/>
    <w:rsid w:val="00AC406E"/>
    <w:rsid w:val="00AC430C"/>
    <w:rsid w:val="00AC4951"/>
    <w:rsid w:val="00AC4A6B"/>
    <w:rsid w:val="00AC5C19"/>
    <w:rsid w:val="00AC60F0"/>
    <w:rsid w:val="00AC6657"/>
    <w:rsid w:val="00AC67B2"/>
    <w:rsid w:val="00AC6D7A"/>
    <w:rsid w:val="00AC7363"/>
    <w:rsid w:val="00AC7401"/>
    <w:rsid w:val="00AC7901"/>
    <w:rsid w:val="00AC79F3"/>
    <w:rsid w:val="00AC7FDD"/>
    <w:rsid w:val="00AD0949"/>
    <w:rsid w:val="00AD0DF8"/>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8FC"/>
    <w:rsid w:val="00AE2A36"/>
    <w:rsid w:val="00AE2BC6"/>
    <w:rsid w:val="00AE3251"/>
    <w:rsid w:val="00AE33DA"/>
    <w:rsid w:val="00AE3FE0"/>
    <w:rsid w:val="00AE4948"/>
    <w:rsid w:val="00AE5058"/>
    <w:rsid w:val="00AE51CD"/>
    <w:rsid w:val="00AE5471"/>
    <w:rsid w:val="00AE54AA"/>
    <w:rsid w:val="00AE60E4"/>
    <w:rsid w:val="00AE6761"/>
    <w:rsid w:val="00AE6872"/>
    <w:rsid w:val="00AE6C58"/>
    <w:rsid w:val="00AE72C4"/>
    <w:rsid w:val="00AE7F05"/>
    <w:rsid w:val="00AE7F38"/>
    <w:rsid w:val="00AF054D"/>
    <w:rsid w:val="00AF0939"/>
    <w:rsid w:val="00AF0981"/>
    <w:rsid w:val="00AF0F9C"/>
    <w:rsid w:val="00AF10F0"/>
    <w:rsid w:val="00AF24E7"/>
    <w:rsid w:val="00AF272B"/>
    <w:rsid w:val="00AF291B"/>
    <w:rsid w:val="00AF2BA7"/>
    <w:rsid w:val="00AF2DAA"/>
    <w:rsid w:val="00AF2EBD"/>
    <w:rsid w:val="00AF33AE"/>
    <w:rsid w:val="00AF34C9"/>
    <w:rsid w:val="00AF3CDC"/>
    <w:rsid w:val="00AF44B1"/>
    <w:rsid w:val="00AF5447"/>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BC4"/>
    <w:rsid w:val="00B14F3D"/>
    <w:rsid w:val="00B15329"/>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600"/>
    <w:rsid w:val="00B31B00"/>
    <w:rsid w:val="00B31B4B"/>
    <w:rsid w:val="00B31E36"/>
    <w:rsid w:val="00B32916"/>
    <w:rsid w:val="00B32E26"/>
    <w:rsid w:val="00B3374D"/>
    <w:rsid w:val="00B338B7"/>
    <w:rsid w:val="00B34061"/>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4C50"/>
    <w:rsid w:val="00B45062"/>
    <w:rsid w:val="00B450EB"/>
    <w:rsid w:val="00B45152"/>
    <w:rsid w:val="00B45416"/>
    <w:rsid w:val="00B45E54"/>
    <w:rsid w:val="00B464E4"/>
    <w:rsid w:val="00B4689A"/>
    <w:rsid w:val="00B46D5F"/>
    <w:rsid w:val="00B46E7B"/>
    <w:rsid w:val="00B47DC5"/>
    <w:rsid w:val="00B505B3"/>
    <w:rsid w:val="00B50882"/>
    <w:rsid w:val="00B50A74"/>
    <w:rsid w:val="00B51BE0"/>
    <w:rsid w:val="00B520A0"/>
    <w:rsid w:val="00B5257E"/>
    <w:rsid w:val="00B525CE"/>
    <w:rsid w:val="00B52CFD"/>
    <w:rsid w:val="00B52EED"/>
    <w:rsid w:val="00B53103"/>
    <w:rsid w:val="00B545A8"/>
    <w:rsid w:val="00B55F22"/>
    <w:rsid w:val="00B56527"/>
    <w:rsid w:val="00B57019"/>
    <w:rsid w:val="00B576DA"/>
    <w:rsid w:val="00B57710"/>
    <w:rsid w:val="00B601C9"/>
    <w:rsid w:val="00B604A4"/>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7E0"/>
    <w:rsid w:val="00B73E44"/>
    <w:rsid w:val="00B74290"/>
    <w:rsid w:val="00B74510"/>
    <w:rsid w:val="00B74BD4"/>
    <w:rsid w:val="00B74BF7"/>
    <w:rsid w:val="00B7606B"/>
    <w:rsid w:val="00B76185"/>
    <w:rsid w:val="00B76BCD"/>
    <w:rsid w:val="00B7786D"/>
    <w:rsid w:val="00B779E6"/>
    <w:rsid w:val="00B804E2"/>
    <w:rsid w:val="00B80F22"/>
    <w:rsid w:val="00B811B2"/>
    <w:rsid w:val="00B81BA3"/>
    <w:rsid w:val="00B82213"/>
    <w:rsid w:val="00B82708"/>
    <w:rsid w:val="00B8276E"/>
    <w:rsid w:val="00B82C92"/>
    <w:rsid w:val="00B83417"/>
    <w:rsid w:val="00B83A62"/>
    <w:rsid w:val="00B83B59"/>
    <w:rsid w:val="00B84252"/>
    <w:rsid w:val="00B8468F"/>
    <w:rsid w:val="00B849F1"/>
    <w:rsid w:val="00B84FC6"/>
    <w:rsid w:val="00B857F5"/>
    <w:rsid w:val="00B86C3C"/>
    <w:rsid w:val="00B86D6C"/>
    <w:rsid w:val="00B86EB5"/>
    <w:rsid w:val="00B86F47"/>
    <w:rsid w:val="00B8737F"/>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5F8"/>
    <w:rsid w:val="00B968A5"/>
    <w:rsid w:val="00B972CD"/>
    <w:rsid w:val="00B97B46"/>
    <w:rsid w:val="00B97D02"/>
    <w:rsid w:val="00BA0304"/>
    <w:rsid w:val="00BA0557"/>
    <w:rsid w:val="00BA060E"/>
    <w:rsid w:val="00BA0DE8"/>
    <w:rsid w:val="00BA19C4"/>
    <w:rsid w:val="00BA3038"/>
    <w:rsid w:val="00BA360A"/>
    <w:rsid w:val="00BA370A"/>
    <w:rsid w:val="00BA37AC"/>
    <w:rsid w:val="00BA48BC"/>
    <w:rsid w:val="00BA4A29"/>
    <w:rsid w:val="00BA4BE7"/>
    <w:rsid w:val="00BA550D"/>
    <w:rsid w:val="00BA5F20"/>
    <w:rsid w:val="00BA5F44"/>
    <w:rsid w:val="00BA68D9"/>
    <w:rsid w:val="00BA6FD8"/>
    <w:rsid w:val="00BA7172"/>
    <w:rsid w:val="00BA72CF"/>
    <w:rsid w:val="00BA7B01"/>
    <w:rsid w:val="00BB02D7"/>
    <w:rsid w:val="00BB0385"/>
    <w:rsid w:val="00BB0D9F"/>
    <w:rsid w:val="00BB0DEE"/>
    <w:rsid w:val="00BB0F93"/>
    <w:rsid w:val="00BB1031"/>
    <w:rsid w:val="00BB1B33"/>
    <w:rsid w:val="00BB2480"/>
    <w:rsid w:val="00BB27FD"/>
    <w:rsid w:val="00BB2C4E"/>
    <w:rsid w:val="00BB2E29"/>
    <w:rsid w:val="00BB2F74"/>
    <w:rsid w:val="00BB3206"/>
    <w:rsid w:val="00BB32C2"/>
    <w:rsid w:val="00BB3729"/>
    <w:rsid w:val="00BB3B0D"/>
    <w:rsid w:val="00BB4144"/>
    <w:rsid w:val="00BB4369"/>
    <w:rsid w:val="00BB524C"/>
    <w:rsid w:val="00BB5DAB"/>
    <w:rsid w:val="00BB6195"/>
    <w:rsid w:val="00BB61A3"/>
    <w:rsid w:val="00BB67EA"/>
    <w:rsid w:val="00BB707E"/>
    <w:rsid w:val="00BB7568"/>
    <w:rsid w:val="00BB7584"/>
    <w:rsid w:val="00BC007C"/>
    <w:rsid w:val="00BC0153"/>
    <w:rsid w:val="00BC0157"/>
    <w:rsid w:val="00BC0497"/>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D0072"/>
    <w:rsid w:val="00BD0570"/>
    <w:rsid w:val="00BD0853"/>
    <w:rsid w:val="00BD112D"/>
    <w:rsid w:val="00BD214E"/>
    <w:rsid w:val="00BD2395"/>
    <w:rsid w:val="00BD25B8"/>
    <w:rsid w:val="00BD2842"/>
    <w:rsid w:val="00BD3120"/>
    <w:rsid w:val="00BD3354"/>
    <w:rsid w:val="00BD37E7"/>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804"/>
    <w:rsid w:val="00BD7DA0"/>
    <w:rsid w:val="00BE096B"/>
    <w:rsid w:val="00BE09C3"/>
    <w:rsid w:val="00BE0C27"/>
    <w:rsid w:val="00BE15BB"/>
    <w:rsid w:val="00BE198F"/>
    <w:rsid w:val="00BE4CCF"/>
    <w:rsid w:val="00BE5964"/>
    <w:rsid w:val="00BE5D68"/>
    <w:rsid w:val="00BE660B"/>
    <w:rsid w:val="00BE6AFE"/>
    <w:rsid w:val="00BE6BBE"/>
    <w:rsid w:val="00BE7021"/>
    <w:rsid w:val="00BE7300"/>
    <w:rsid w:val="00BE76F7"/>
    <w:rsid w:val="00BE784F"/>
    <w:rsid w:val="00BE79C6"/>
    <w:rsid w:val="00BE7F3F"/>
    <w:rsid w:val="00BF0238"/>
    <w:rsid w:val="00BF0717"/>
    <w:rsid w:val="00BF0998"/>
    <w:rsid w:val="00BF156C"/>
    <w:rsid w:val="00BF1750"/>
    <w:rsid w:val="00BF178E"/>
    <w:rsid w:val="00BF189F"/>
    <w:rsid w:val="00BF18F2"/>
    <w:rsid w:val="00BF1B44"/>
    <w:rsid w:val="00BF1F01"/>
    <w:rsid w:val="00BF1FC2"/>
    <w:rsid w:val="00BF23CC"/>
    <w:rsid w:val="00BF243F"/>
    <w:rsid w:val="00BF2708"/>
    <w:rsid w:val="00BF2E1E"/>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6C2"/>
    <w:rsid w:val="00C03889"/>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B21"/>
    <w:rsid w:val="00C07EBA"/>
    <w:rsid w:val="00C07FBC"/>
    <w:rsid w:val="00C100E7"/>
    <w:rsid w:val="00C10F4A"/>
    <w:rsid w:val="00C11113"/>
    <w:rsid w:val="00C11687"/>
    <w:rsid w:val="00C11E28"/>
    <w:rsid w:val="00C11F66"/>
    <w:rsid w:val="00C1225B"/>
    <w:rsid w:val="00C122F9"/>
    <w:rsid w:val="00C1253A"/>
    <w:rsid w:val="00C128C9"/>
    <w:rsid w:val="00C12CF3"/>
    <w:rsid w:val="00C12F88"/>
    <w:rsid w:val="00C131A8"/>
    <w:rsid w:val="00C1322D"/>
    <w:rsid w:val="00C135A3"/>
    <w:rsid w:val="00C14469"/>
    <w:rsid w:val="00C1477A"/>
    <w:rsid w:val="00C14A62"/>
    <w:rsid w:val="00C14B2E"/>
    <w:rsid w:val="00C151F5"/>
    <w:rsid w:val="00C158EB"/>
    <w:rsid w:val="00C159B1"/>
    <w:rsid w:val="00C15D51"/>
    <w:rsid w:val="00C161F5"/>
    <w:rsid w:val="00C16BE6"/>
    <w:rsid w:val="00C16C92"/>
    <w:rsid w:val="00C1706B"/>
    <w:rsid w:val="00C17DB7"/>
    <w:rsid w:val="00C17E48"/>
    <w:rsid w:val="00C17F0B"/>
    <w:rsid w:val="00C201E7"/>
    <w:rsid w:val="00C201F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27BC9"/>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612"/>
    <w:rsid w:val="00C35D9C"/>
    <w:rsid w:val="00C36219"/>
    <w:rsid w:val="00C3698E"/>
    <w:rsid w:val="00C36C3E"/>
    <w:rsid w:val="00C36CCA"/>
    <w:rsid w:val="00C36E1C"/>
    <w:rsid w:val="00C36F42"/>
    <w:rsid w:val="00C3718A"/>
    <w:rsid w:val="00C3728D"/>
    <w:rsid w:val="00C379C5"/>
    <w:rsid w:val="00C37EEE"/>
    <w:rsid w:val="00C40453"/>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1EF"/>
    <w:rsid w:val="00C45780"/>
    <w:rsid w:val="00C458D6"/>
    <w:rsid w:val="00C45919"/>
    <w:rsid w:val="00C4602D"/>
    <w:rsid w:val="00C4655A"/>
    <w:rsid w:val="00C466BF"/>
    <w:rsid w:val="00C4716C"/>
    <w:rsid w:val="00C47385"/>
    <w:rsid w:val="00C47555"/>
    <w:rsid w:val="00C476AC"/>
    <w:rsid w:val="00C47E67"/>
    <w:rsid w:val="00C47FD9"/>
    <w:rsid w:val="00C50C1A"/>
    <w:rsid w:val="00C50E1E"/>
    <w:rsid w:val="00C51508"/>
    <w:rsid w:val="00C5179B"/>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7880"/>
    <w:rsid w:val="00C67B49"/>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50F"/>
    <w:rsid w:val="00C8466F"/>
    <w:rsid w:val="00C849E0"/>
    <w:rsid w:val="00C84B74"/>
    <w:rsid w:val="00C8512A"/>
    <w:rsid w:val="00C85378"/>
    <w:rsid w:val="00C85970"/>
    <w:rsid w:val="00C85BB9"/>
    <w:rsid w:val="00C85E9B"/>
    <w:rsid w:val="00C874C8"/>
    <w:rsid w:val="00C8768B"/>
    <w:rsid w:val="00C90165"/>
    <w:rsid w:val="00C902DA"/>
    <w:rsid w:val="00C90733"/>
    <w:rsid w:val="00C921C4"/>
    <w:rsid w:val="00C9235F"/>
    <w:rsid w:val="00C9257F"/>
    <w:rsid w:val="00C92BF4"/>
    <w:rsid w:val="00C9319C"/>
    <w:rsid w:val="00C934F6"/>
    <w:rsid w:val="00C93624"/>
    <w:rsid w:val="00C93874"/>
    <w:rsid w:val="00C93A4C"/>
    <w:rsid w:val="00C944EB"/>
    <w:rsid w:val="00C94856"/>
    <w:rsid w:val="00C94FD2"/>
    <w:rsid w:val="00C95341"/>
    <w:rsid w:val="00C95875"/>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5709"/>
    <w:rsid w:val="00CA66C3"/>
    <w:rsid w:val="00CA6CAD"/>
    <w:rsid w:val="00CA70A8"/>
    <w:rsid w:val="00CA70D0"/>
    <w:rsid w:val="00CA74A4"/>
    <w:rsid w:val="00CA7683"/>
    <w:rsid w:val="00CA7EA1"/>
    <w:rsid w:val="00CA7EEB"/>
    <w:rsid w:val="00CB009B"/>
    <w:rsid w:val="00CB0231"/>
    <w:rsid w:val="00CB0838"/>
    <w:rsid w:val="00CB092E"/>
    <w:rsid w:val="00CB0F72"/>
    <w:rsid w:val="00CB1AFD"/>
    <w:rsid w:val="00CB1EB3"/>
    <w:rsid w:val="00CB2126"/>
    <w:rsid w:val="00CB2308"/>
    <w:rsid w:val="00CB24AD"/>
    <w:rsid w:val="00CB2C59"/>
    <w:rsid w:val="00CB2D9C"/>
    <w:rsid w:val="00CB34AB"/>
    <w:rsid w:val="00CB3529"/>
    <w:rsid w:val="00CB38A9"/>
    <w:rsid w:val="00CB3A45"/>
    <w:rsid w:val="00CB4728"/>
    <w:rsid w:val="00CB49A6"/>
    <w:rsid w:val="00CB58E3"/>
    <w:rsid w:val="00CB59E0"/>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A3F"/>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480"/>
    <w:rsid w:val="00CC757D"/>
    <w:rsid w:val="00CC7C74"/>
    <w:rsid w:val="00CD00DB"/>
    <w:rsid w:val="00CD0119"/>
    <w:rsid w:val="00CD06CC"/>
    <w:rsid w:val="00CD07FD"/>
    <w:rsid w:val="00CD0866"/>
    <w:rsid w:val="00CD1169"/>
    <w:rsid w:val="00CD12F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72D"/>
    <w:rsid w:val="00CD589F"/>
    <w:rsid w:val="00CD5BE2"/>
    <w:rsid w:val="00CD60C9"/>
    <w:rsid w:val="00CD6345"/>
    <w:rsid w:val="00CD6BBB"/>
    <w:rsid w:val="00CD6DFA"/>
    <w:rsid w:val="00CD6EC2"/>
    <w:rsid w:val="00CD7319"/>
    <w:rsid w:val="00CD7482"/>
    <w:rsid w:val="00CE07C1"/>
    <w:rsid w:val="00CE1567"/>
    <w:rsid w:val="00CE1859"/>
    <w:rsid w:val="00CE186F"/>
    <w:rsid w:val="00CE20E3"/>
    <w:rsid w:val="00CE273A"/>
    <w:rsid w:val="00CE2A94"/>
    <w:rsid w:val="00CE321C"/>
    <w:rsid w:val="00CE32E8"/>
    <w:rsid w:val="00CE353C"/>
    <w:rsid w:val="00CE3700"/>
    <w:rsid w:val="00CE3B69"/>
    <w:rsid w:val="00CE4559"/>
    <w:rsid w:val="00CE5118"/>
    <w:rsid w:val="00CE5487"/>
    <w:rsid w:val="00CE58F5"/>
    <w:rsid w:val="00CE59B5"/>
    <w:rsid w:val="00CE59DB"/>
    <w:rsid w:val="00CE5B6A"/>
    <w:rsid w:val="00CE5D3A"/>
    <w:rsid w:val="00CE5DFC"/>
    <w:rsid w:val="00CE67D8"/>
    <w:rsid w:val="00CE68EA"/>
    <w:rsid w:val="00CE7381"/>
    <w:rsid w:val="00CE7447"/>
    <w:rsid w:val="00CE74CE"/>
    <w:rsid w:val="00CF0829"/>
    <w:rsid w:val="00CF0E74"/>
    <w:rsid w:val="00CF14E3"/>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64E"/>
    <w:rsid w:val="00CF796F"/>
    <w:rsid w:val="00CF7E56"/>
    <w:rsid w:val="00D01502"/>
    <w:rsid w:val="00D01744"/>
    <w:rsid w:val="00D01984"/>
    <w:rsid w:val="00D01C03"/>
    <w:rsid w:val="00D025CE"/>
    <w:rsid w:val="00D02A0F"/>
    <w:rsid w:val="00D02CA6"/>
    <w:rsid w:val="00D02DF3"/>
    <w:rsid w:val="00D03181"/>
    <w:rsid w:val="00D0331D"/>
    <w:rsid w:val="00D03517"/>
    <w:rsid w:val="00D037DC"/>
    <w:rsid w:val="00D0383B"/>
    <w:rsid w:val="00D03A8A"/>
    <w:rsid w:val="00D03DA5"/>
    <w:rsid w:val="00D03F27"/>
    <w:rsid w:val="00D043EE"/>
    <w:rsid w:val="00D0470D"/>
    <w:rsid w:val="00D04BFF"/>
    <w:rsid w:val="00D05249"/>
    <w:rsid w:val="00D055CA"/>
    <w:rsid w:val="00D059FC"/>
    <w:rsid w:val="00D05DEF"/>
    <w:rsid w:val="00D062A6"/>
    <w:rsid w:val="00D06861"/>
    <w:rsid w:val="00D0688A"/>
    <w:rsid w:val="00D06F22"/>
    <w:rsid w:val="00D073D9"/>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C3D"/>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793"/>
    <w:rsid w:val="00D23C7C"/>
    <w:rsid w:val="00D24A61"/>
    <w:rsid w:val="00D251AB"/>
    <w:rsid w:val="00D25240"/>
    <w:rsid w:val="00D25AC6"/>
    <w:rsid w:val="00D25F1F"/>
    <w:rsid w:val="00D261D3"/>
    <w:rsid w:val="00D26880"/>
    <w:rsid w:val="00D27F42"/>
    <w:rsid w:val="00D319DF"/>
    <w:rsid w:val="00D31C02"/>
    <w:rsid w:val="00D3225E"/>
    <w:rsid w:val="00D324BC"/>
    <w:rsid w:val="00D32B9F"/>
    <w:rsid w:val="00D33565"/>
    <w:rsid w:val="00D33761"/>
    <w:rsid w:val="00D33762"/>
    <w:rsid w:val="00D33A91"/>
    <w:rsid w:val="00D341C7"/>
    <w:rsid w:val="00D344B7"/>
    <w:rsid w:val="00D3486E"/>
    <w:rsid w:val="00D34BD1"/>
    <w:rsid w:val="00D34D55"/>
    <w:rsid w:val="00D35177"/>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465B"/>
    <w:rsid w:val="00D44916"/>
    <w:rsid w:val="00D45AAD"/>
    <w:rsid w:val="00D45AE4"/>
    <w:rsid w:val="00D45CA4"/>
    <w:rsid w:val="00D45EA7"/>
    <w:rsid w:val="00D45F22"/>
    <w:rsid w:val="00D4711D"/>
    <w:rsid w:val="00D47178"/>
    <w:rsid w:val="00D4752E"/>
    <w:rsid w:val="00D47842"/>
    <w:rsid w:val="00D47BC5"/>
    <w:rsid w:val="00D47BEF"/>
    <w:rsid w:val="00D50641"/>
    <w:rsid w:val="00D50826"/>
    <w:rsid w:val="00D50C9B"/>
    <w:rsid w:val="00D510CB"/>
    <w:rsid w:val="00D51523"/>
    <w:rsid w:val="00D51675"/>
    <w:rsid w:val="00D51A9C"/>
    <w:rsid w:val="00D51F73"/>
    <w:rsid w:val="00D51FB6"/>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355"/>
    <w:rsid w:val="00D6458D"/>
    <w:rsid w:val="00D64613"/>
    <w:rsid w:val="00D64702"/>
    <w:rsid w:val="00D659FA"/>
    <w:rsid w:val="00D66BFD"/>
    <w:rsid w:val="00D66C91"/>
    <w:rsid w:val="00D674EE"/>
    <w:rsid w:val="00D67535"/>
    <w:rsid w:val="00D67A4D"/>
    <w:rsid w:val="00D67BC9"/>
    <w:rsid w:val="00D67DBC"/>
    <w:rsid w:val="00D704D9"/>
    <w:rsid w:val="00D70934"/>
    <w:rsid w:val="00D70BD2"/>
    <w:rsid w:val="00D713F2"/>
    <w:rsid w:val="00D71ECD"/>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0D2"/>
    <w:rsid w:val="00D76309"/>
    <w:rsid w:val="00D763AF"/>
    <w:rsid w:val="00D76423"/>
    <w:rsid w:val="00D767BF"/>
    <w:rsid w:val="00D77278"/>
    <w:rsid w:val="00D7749B"/>
    <w:rsid w:val="00D775B5"/>
    <w:rsid w:val="00D77961"/>
    <w:rsid w:val="00D77A47"/>
    <w:rsid w:val="00D77B20"/>
    <w:rsid w:val="00D77B3B"/>
    <w:rsid w:val="00D8007C"/>
    <w:rsid w:val="00D800BF"/>
    <w:rsid w:val="00D80365"/>
    <w:rsid w:val="00D8079F"/>
    <w:rsid w:val="00D80D0D"/>
    <w:rsid w:val="00D8103B"/>
    <w:rsid w:val="00D8111B"/>
    <w:rsid w:val="00D81242"/>
    <w:rsid w:val="00D812D2"/>
    <w:rsid w:val="00D82C80"/>
    <w:rsid w:val="00D82D02"/>
    <w:rsid w:val="00D82D0F"/>
    <w:rsid w:val="00D82E2A"/>
    <w:rsid w:val="00D83A5A"/>
    <w:rsid w:val="00D84157"/>
    <w:rsid w:val="00D84BD7"/>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042"/>
    <w:rsid w:val="00D921DA"/>
    <w:rsid w:val="00D92C2F"/>
    <w:rsid w:val="00D92F7F"/>
    <w:rsid w:val="00D930AC"/>
    <w:rsid w:val="00D93251"/>
    <w:rsid w:val="00D9358F"/>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3BA"/>
    <w:rsid w:val="00D97C27"/>
    <w:rsid w:val="00DA032C"/>
    <w:rsid w:val="00DA0526"/>
    <w:rsid w:val="00DA0639"/>
    <w:rsid w:val="00DA0B8C"/>
    <w:rsid w:val="00DA0CF7"/>
    <w:rsid w:val="00DA0E96"/>
    <w:rsid w:val="00DA1203"/>
    <w:rsid w:val="00DA14A0"/>
    <w:rsid w:val="00DA18DA"/>
    <w:rsid w:val="00DA1C31"/>
    <w:rsid w:val="00DA1F0C"/>
    <w:rsid w:val="00DA2231"/>
    <w:rsid w:val="00DA3565"/>
    <w:rsid w:val="00DA3A5B"/>
    <w:rsid w:val="00DA3D0B"/>
    <w:rsid w:val="00DA3F51"/>
    <w:rsid w:val="00DA45DB"/>
    <w:rsid w:val="00DA48D9"/>
    <w:rsid w:val="00DA49F8"/>
    <w:rsid w:val="00DA4AAE"/>
    <w:rsid w:val="00DA4C53"/>
    <w:rsid w:val="00DA5572"/>
    <w:rsid w:val="00DA5A61"/>
    <w:rsid w:val="00DA5D5D"/>
    <w:rsid w:val="00DA6A15"/>
    <w:rsid w:val="00DA6CC2"/>
    <w:rsid w:val="00DA7029"/>
    <w:rsid w:val="00DA77A0"/>
    <w:rsid w:val="00DB09A2"/>
    <w:rsid w:val="00DB103D"/>
    <w:rsid w:val="00DB1182"/>
    <w:rsid w:val="00DB1448"/>
    <w:rsid w:val="00DB1907"/>
    <w:rsid w:val="00DB1998"/>
    <w:rsid w:val="00DB1FC4"/>
    <w:rsid w:val="00DB21F0"/>
    <w:rsid w:val="00DB2C5F"/>
    <w:rsid w:val="00DB3A58"/>
    <w:rsid w:val="00DB3BDF"/>
    <w:rsid w:val="00DB3C58"/>
    <w:rsid w:val="00DB3D46"/>
    <w:rsid w:val="00DB401C"/>
    <w:rsid w:val="00DB466A"/>
    <w:rsid w:val="00DB46C8"/>
    <w:rsid w:val="00DB540E"/>
    <w:rsid w:val="00DB5470"/>
    <w:rsid w:val="00DB5A63"/>
    <w:rsid w:val="00DB6166"/>
    <w:rsid w:val="00DB656B"/>
    <w:rsid w:val="00DB691E"/>
    <w:rsid w:val="00DB6C99"/>
    <w:rsid w:val="00DB75A3"/>
    <w:rsid w:val="00DC0574"/>
    <w:rsid w:val="00DC076F"/>
    <w:rsid w:val="00DC0C65"/>
    <w:rsid w:val="00DC16BF"/>
    <w:rsid w:val="00DC16E1"/>
    <w:rsid w:val="00DC16FC"/>
    <w:rsid w:val="00DC1881"/>
    <w:rsid w:val="00DC1ED7"/>
    <w:rsid w:val="00DC3A6F"/>
    <w:rsid w:val="00DC3D1C"/>
    <w:rsid w:val="00DC43E1"/>
    <w:rsid w:val="00DC5199"/>
    <w:rsid w:val="00DC57C2"/>
    <w:rsid w:val="00DC5A32"/>
    <w:rsid w:val="00DC5E4E"/>
    <w:rsid w:val="00DC6281"/>
    <w:rsid w:val="00DC651B"/>
    <w:rsid w:val="00DC662F"/>
    <w:rsid w:val="00DC69B9"/>
    <w:rsid w:val="00DC6AF7"/>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2F95"/>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6C2"/>
    <w:rsid w:val="00DE4897"/>
    <w:rsid w:val="00DE4AAD"/>
    <w:rsid w:val="00DE4C0C"/>
    <w:rsid w:val="00DE4FC8"/>
    <w:rsid w:val="00DE53B5"/>
    <w:rsid w:val="00DE5A50"/>
    <w:rsid w:val="00DE5F20"/>
    <w:rsid w:val="00DE60C5"/>
    <w:rsid w:val="00DE6D0C"/>
    <w:rsid w:val="00DE7323"/>
    <w:rsid w:val="00DE75F0"/>
    <w:rsid w:val="00DE77CB"/>
    <w:rsid w:val="00DE795A"/>
    <w:rsid w:val="00DE7EBA"/>
    <w:rsid w:val="00DF04BD"/>
    <w:rsid w:val="00DF068D"/>
    <w:rsid w:val="00DF0D3A"/>
    <w:rsid w:val="00DF140A"/>
    <w:rsid w:val="00DF1A9A"/>
    <w:rsid w:val="00DF1C2D"/>
    <w:rsid w:val="00DF1F8A"/>
    <w:rsid w:val="00DF2209"/>
    <w:rsid w:val="00DF248E"/>
    <w:rsid w:val="00DF3577"/>
    <w:rsid w:val="00DF4063"/>
    <w:rsid w:val="00DF5F13"/>
    <w:rsid w:val="00DF63DD"/>
    <w:rsid w:val="00DF6B62"/>
    <w:rsid w:val="00DF71EB"/>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809"/>
    <w:rsid w:val="00E06930"/>
    <w:rsid w:val="00E06971"/>
    <w:rsid w:val="00E07334"/>
    <w:rsid w:val="00E07514"/>
    <w:rsid w:val="00E105B3"/>
    <w:rsid w:val="00E10846"/>
    <w:rsid w:val="00E10883"/>
    <w:rsid w:val="00E108F4"/>
    <w:rsid w:val="00E10D4E"/>
    <w:rsid w:val="00E1100C"/>
    <w:rsid w:val="00E11489"/>
    <w:rsid w:val="00E11711"/>
    <w:rsid w:val="00E11E63"/>
    <w:rsid w:val="00E11F94"/>
    <w:rsid w:val="00E12696"/>
    <w:rsid w:val="00E12BA0"/>
    <w:rsid w:val="00E1310D"/>
    <w:rsid w:val="00E13359"/>
    <w:rsid w:val="00E138BF"/>
    <w:rsid w:val="00E13FC9"/>
    <w:rsid w:val="00E142FF"/>
    <w:rsid w:val="00E14EFA"/>
    <w:rsid w:val="00E151B9"/>
    <w:rsid w:val="00E158C4"/>
    <w:rsid w:val="00E161E6"/>
    <w:rsid w:val="00E167C9"/>
    <w:rsid w:val="00E1698C"/>
    <w:rsid w:val="00E16BDB"/>
    <w:rsid w:val="00E172A1"/>
    <w:rsid w:val="00E172BE"/>
    <w:rsid w:val="00E17991"/>
    <w:rsid w:val="00E17CF7"/>
    <w:rsid w:val="00E205D6"/>
    <w:rsid w:val="00E209AB"/>
    <w:rsid w:val="00E216EC"/>
    <w:rsid w:val="00E2189A"/>
    <w:rsid w:val="00E21A60"/>
    <w:rsid w:val="00E22B5A"/>
    <w:rsid w:val="00E22B68"/>
    <w:rsid w:val="00E23025"/>
    <w:rsid w:val="00E231C9"/>
    <w:rsid w:val="00E23EBF"/>
    <w:rsid w:val="00E23FD5"/>
    <w:rsid w:val="00E24669"/>
    <w:rsid w:val="00E24836"/>
    <w:rsid w:val="00E24C48"/>
    <w:rsid w:val="00E24EE4"/>
    <w:rsid w:val="00E25981"/>
    <w:rsid w:val="00E26141"/>
    <w:rsid w:val="00E266F5"/>
    <w:rsid w:val="00E26C97"/>
    <w:rsid w:val="00E26CCC"/>
    <w:rsid w:val="00E270D3"/>
    <w:rsid w:val="00E27FC7"/>
    <w:rsid w:val="00E3050B"/>
    <w:rsid w:val="00E30700"/>
    <w:rsid w:val="00E31360"/>
    <w:rsid w:val="00E31D28"/>
    <w:rsid w:val="00E32425"/>
    <w:rsid w:val="00E32506"/>
    <w:rsid w:val="00E3252C"/>
    <w:rsid w:val="00E325FF"/>
    <w:rsid w:val="00E32938"/>
    <w:rsid w:val="00E32CB8"/>
    <w:rsid w:val="00E32EB7"/>
    <w:rsid w:val="00E33571"/>
    <w:rsid w:val="00E3440F"/>
    <w:rsid w:val="00E34F3A"/>
    <w:rsid w:val="00E35F99"/>
    <w:rsid w:val="00E35F9A"/>
    <w:rsid w:val="00E35FC8"/>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16E"/>
    <w:rsid w:val="00E435AB"/>
    <w:rsid w:val="00E44275"/>
    <w:rsid w:val="00E44705"/>
    <w:rsid w:val="00E44777"/>
    <w:rsid w:val="00E44BE7"/>
    <w:rsid w:val="00E44F67"/>
    <w:rsid w:val="00E4535F"/>
    <w:rsid w:val="00E45575"/>
    <w:rsid w:val="00E455E3"/>
    <w:rsid w:val="00E466BC"/>
    <w:rsid w:val="00E4686A"/>
    <w:rsid w:val="00E469F2"/>
    <w:rsid w:val="00E46EE9"/>
    <w:rsid w:val="00E479FD"/>
    <w:rsid w:val="00E47F1A"/>
    <w:rsid w:val="00E504D6"/>
    <w:rsid w:val="00E50850"/>
    <w:rsid w:val="00E50B6F"/>
    <w:rsid w:val="00E50EBE"/>
    <w:rsid w:val="00E50F69"/>
    <w:rsid w:val="00E50FC6"/>
    <w:rsid w:val="00E5227B"/>
    <w:rsid w:val="00E52372"/>
    <w:rsid w:val="00E5265A"/>
    <w:rsid w:val="00E52786"/>
    <w:rsid w:val="00E52F05"/>
    <w:rsid w:val="00E53579"/>
    <w:rsid w:val="00E540CA"/>
    <w:rsid w:val="00E54D1C"/>
    <w:rsid w:val="00E54F3A"/>
    <w:rsid w:val="00E55560"/>
    <w:rsid w:val="00E55B28"/>
    <w:rsid w:val="00E55FCD"/>
    <w:rsid w:val="00E5642F"/>
    <w:rsid w:val="00E56D4A"/>
    <w:rsid w:val="00E57119"/>
    <w:rsid w:val="00E5719E"/>
    <w:rsid w:val="00E57D7B"/>
    <w:rsid w:val="00E57F4B"/>
    <w:rsid w:val="00E57FBE"/>
    <w:rsid w:val="00E602E5"/>
    <w:rsid w:val="00E602F8"/>
    <w:rsid w:val="00E6085B"/>
    <w:rsid w:val="00E60FBA"/>
    <w:rsid w:val="00E60FBF"/>
    <w:rsid w:val="00E611AE"/>
    <w:rsid w:val="00E616F9"/>
    <w:rsid w:val="00E61852"/>
    <w:rsid w:val="00E61A0C"/>
    <w:rsid w:val="00E61D22"/>
    <w:rsid w:val="00E61D96"/>
    <w:rsid w:val="00E61E4B"/>
    <w:rsid w:val="00E63312"/>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AEF"/>
    <w:rsid w:val="00E70D73"/>
    <w:rsid w:val="00E71063"/>
    <w:rsid w:val="00E712F6"/>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5E9"/>
    <w:rsid w:val="00E806D3"/>
    <w:rsid w:val="00E81C34"/>
    <w:rsid w:val="00E81D83"/>
    <w:rsid w:val="00E821BB"/>
    <w:rsid w:val="00E822E9"/>
    <w:rsid w:val="00E826FE"/>
    <w:rsid w:val="00E8275E"/>
    <w:rsid w:val="00E827AF"/>
    <w:rsid w:val="00E82843"/>
    <w:rsid w:val="00E82DE9"/>
    <w:rsid w:val="00E83253"/>
    <w:rsid w:val="00E83714"/>
    <w:rsid w:val="00E83831"/>
    <w:rsid w:val="00E838A1"/>
    <w:rsid w:val="00E844AB"/>
    <w:rsid w:val="00E84C97"/>
    <w:rsid w:val="00E85005"/>
    <w:rsid w:val="00E85296"/>
    <w:rsid w:val="00E8533B"/>
    <w:rsid w:val="00E85A24"/>
    <w:rsid w:val="00E85E4E"/>
    <w:rsid w:val="00E86327"/>
    <w:rsid w:val="00E86A7A"/>
    <w:rsid w:val="00E86D82"/>
    <w:rsid w:val="00E86DF0"/>
    <w:rsid w:val="00E8788A"/>
    <w:rsid w:val="00E87BD2"/>
    <w:rsid w:val="00E87CDC"/>
    <w:rsid w:val="00E90B33"/>
    <w:rsid w:val="00E911E0"/>
    <w:rsid w:val="00E93330"/>
    <w:rsid w:val="00E93407"/>
    <w:rsid w:val="00E940A8"/>
    <w:rsid w:val="00E947E8"/>
    <w:rsid w:val="00E94B0F"/>
    <w:rsid w:val="00E9503F"/>
    <w:rsid w:val="00E956F3"/>
    <w:rsid w:val="00E95CF2"/>
    <w:rsid w:val="00E96E68"/>
    <w:rsid w:val="00E97013"/>
    <w:rsid w:val="00E97EA1"/>
    <w:rsid w:val="00EA0BBE"/>
    <w:rsid w:val="00EA1650"/>
    <w:rsid w:val="00EA1FBC"/>
    <w:rsid w:val="00EA20A1"/>
    <w:rsid w:val="00EA212B"/>
    <w:rsid w:val="00EA24B5"/>
    <w:rsid w:val="00EA2D44"/>
    <w:rsid w:val="00EA321E"/>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B39"/>
    <w:rsid w:val="00EB0F0F"/>
    <w:rsid w:val="00EB1230"/>
    <w:rsid w:val="00EB12A5"/>
    <w:rsid w:val="00EB1DEF"/>
    <w:rsid w:val="00EB24D8"/>
    <w:rsid w:val="00EB277B"/>
    <w:rsid w:val="00EB2F20"/>
    <w:rsid w:val="00EB2F35"/>
    <w:rsid w:val="00EB31DB"/>
    <w:rsid w:val="00EB3422"/>
    <w:rsid w:val="00EB379B"/>
    <w:rsid w:val="00EB3A31"/>
    <w:rsid w:val="00EB438C"/>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69B2"/>
    <w:rsid w:val="00EC786C"/>
    <w:rsid w:val="00EC7ADD"/>
    <w:rsid w:val="00EC7C26"/>
    <w:rsid w:val="00ED04FE"/>
    <w:rsid w:val="00ED0DD0"/>
    <w:rsid w:val="00ED1122"/>
    <w:rsid w:val="00ED1989"/>
    <w:rsid w:val="00ED21A9"/>
    <w:rsid w:val="00ED21F5"/>
    <w:rsid w:val="00ED28F2"/>
    <w:rsid w:val="00ED3145"/>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A5"/>
    <w:rsid w:val="00EF49FB"/>
    <w:rsid w:val="00EF55D6"/>
    <w:rsid w:val="00EF644D"/>
    <w:rsid w:val="00EF6BAD"/>
    <w:rsid w:val="00EF6D29"/>
    <w:rsid w:val="00EF7138"/>
    <w:rsid w:val="00EF7E0B"/>
    <w:rsid w:val="00F00725"/>
    <w:rsid w:val="00F00881"/>
    <w:rsid w:val="00F00917"/>
    <w:rsid w:val="00F00B65"/>
    <w:rsid w:val="00F010BB"/>
    <w:rsid w:val="00F012C1"/>
    <w:rsid w:val="00F01429"/>
    <w:rsid w:val="00F0175F"/>
    <w:rsid w:val="00F01A41"/>
    <w:rsid w:val="00F01B39"/>
    <w:rsid w:val="00F01B5A"/>
    <w:rsid w:val="00F0276D"/>
    <w:rsid w:val="00F03280"/>
    <w:rsid w:val="00F0362A"/>
    <w:rsid w:val="00F0382A"/>
    <w:rsid w:val="00F0385C"/>
    <w:rsid w:val="00F03894"/>
    <w:rsid w:val="00F03ABE"/>
    <w:rsid w:val="00F03B69"/>
    <w:rsid w:val="00F04345"/>
    <w:rsid w:val="00F047A4"/>
    <w:rsid w:val="00F04D8F"/>
    <w:rsid w:val="00F04F52"/>
    <w:rsid w:val="00F0510F"/>
    <w:rsid w:val="00F0563F"/>
    <w:rsid w:val="00F064EF"/>
    <w:rsid w:val="00F06558"/>
    <w:rsid w:val="00F06B8F"/>
    <w:rsid w:val="00F06F42"/>
    <w:rsid w:val="00F07122"/>
    <w:rsid w:val="00F074C9"/>
    <w:rsid w:val="00F07C82"/>
    <w:rsid w:val="00F07F5E"/>
    <w:rsid w:val="00F1001E"/>
    <w:rsid w:val="00F1055F"/>
    <w:rsid w:val="00F106BB"/>
    <w:rsid w:val="00F11027"/>
    <w:rsid w:val="00F111BA"/>
    <w:rsid w:val="00F116DD"/>
    <w:rsid w:val="00F11AD3"/>
    <w:rsid w:val="00F11D9F"/>
    <w:rsid w:val="00F11E31"/>
    <w:rsid w:val="00F12C53"/>
    <w:rsid w:val="00F131C7"/>
    <w:rsid w:val="00F1350B"/>
    <w:rsid w:val="00F1360C"/>
    <w:rsid w:val="00F13AA1"/>
    <w:rsid w:val="00F13F2A"/>
    <w:rsid w:val="00F14D9E"/>
    <w:rsid w:val="00F15097"/>
    <w:rsid w:val="00F153F8"/>
    <w:rsid w:val="00F15671"/>
    <w:rsid w:val="00F1643E"/>
    <w:rsid w:val="00F16695"/>
    <w:rsid w:val="00F16811"/>
    <w:rsid w:val="00F16943"/>
    <w:rsid w:val="00F1733F"/>
    <w:rsid w:val="00F179C0"/>
    <w:rsid w:val="00F202E3"/>
    <w:rsid w:val="00F205B2"/>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B21"/>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A7F"/>
    <w:rsid w:val="00F41D91"/>
    <w:rsid w:val="00F41E2B"/>
    <w:rsid w:val="00F42020"/>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7ED"/>
    <w:rsid w:val="00F5195A"/>
    <w:rsid w:val="00F51A7A"/>
    <w:rsid w:val="00F51F3F"/>
    <w:rsid w:val="00F525F0"/>
    <w:rsid w:val="00F528B5"/>
    <w:rsid w:val="00F528E7"/>
    <w:rsid w:val="00F52C8A"/>
    <w:rsid w:val="00F5352D"/>
    <w:rsid w:val="00F53615"/>
    <w:rsid w:val="00F53A91"/>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9EE"/>
    <w:rsid w:val="00F61AF8"/>
    <w:rsid w:val="00F61CF5"/>
    <w:rsid w:val="00F61FF9"/>
    <w:rsid w:val="00F62069"/>
    <w:rsid w:val="00F62159"/>
    <w:rsid w:val="00F62A7C"/>
    <w:rsid w:val="00F62B93"/>
    <w:rsid w:val="00F633E5"/>
    <w:rsid w:val="00F63C89"/>
    <w:rsid w:val="00F647EC"/>
    <w:rsid w:val="00F64FAB"/>
    <w:rsid w:val="00F6589E"/>
    <w:rsid w:val="00F65AC8"/>
    <w:rsid w:val="00F65CEA"/>
    <w:rsid w:val="00F65EED"/>
    <w:rsid w:val="00F65F15"/>
    <w:rsid w:val="00F66443"/>
    <w:rsid w:val="00F675EA"/>
    <w:rsid w:val="00F67A54"/>
    <w:rsid w:val="00F7074A"/>
    <w:rsid w:val="00F70AD6"/>
    <w:rsid w:val="00F710A5"/>
    <w:rsid w:val="00F71687"/>
    <w:rsid w:val="00F71708"/>
    <w:rsid w:val="00F717C1"/>
    <w:rsid w:val="00F71AAE"/>
    <w:rsid w:val="00F71CDB"/>
    <w:rsid w:val="00F725D3"/>
    <w:rsid w:val="00F7281E"/>
    <w:rsid w:val="00F72C1A"/>
    <w:rsid w:val="00F72C3D"/>
    <w:rsid w:val="00F737AB"/>
    <w:rsid w:val="00F73992"/>
    <w:rsid w:val="00F7406A"/>
    <w:rsid w:val="00F74216"/>
    <w:rsid w:val="00F74299"/>
    <w:rsid w:val="00F74F0F"/>
    <w:rsid w:val="00F75731"/>
    <w:rsid w:val="00F75841"/>
    <w:rsid w:val="00F76333"/>
    <w:rsid w:val="00F77100"/>
    <w:rsid w:val="00F77718"/>
    <w:rsid w:val="00F8090F"/>
    <w:rsid w:val="00F80B4B"/>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6CC"/>
    <w:rsid w:val="00F909C7"/>
    <w:rsid w:val="00F91669"/>
    <w:rsid w:val="00F916DE"/>
    <w:rsid w:val="00F9184F"/>
    <w:rsid w:val="00F91943"/>
    <w:rsid w:val="00F9231D"/>
    <w:rsid w:val="00F92A66"/>
    <w:rsid w:val="00F931CF"/>
    <w:rsid w:val="00F93A31"/>
    <w:rsid w:val="00F93D6E"/>
    <w:rsid w:val="00F9423D"/>
    <w:rsid w:val="00F94609"/>
    <w:rsid w:val="00F95182"/>
    <w:rsid w:val="00F95625"/>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B75"/>
    <w:rsid w:val="00FA4DC2"/>
    <w:rsid w:val="00FA5578"/>
    <w:rsid w:val="00FA5629"/>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192B"/>
    <w:rsid w:val="00FB227E"/>
    <w:rsid w:val="00FB267D"/>
    <w:rsid w:val="00FB29E5"/>
    <w:rsid w:val="00FB2A18"/>
    <w:rsid w:val="00FB2BF4"/>
    <w:rsid w:val="00FB2C8D"/>
    <w:rsid w:val="00FB2DC6"/>
    <w:rsid w:val="00FB30A9"/>
    <w:rsid w:val="00FB42FD"/>
    <w:rsid w:val="00FB4926"/>
    <w:rsid w:val="00FB59D4"/>
    <w:rsid w:val="00FB5E81"/>
    <w:rsid w:val="00FB6E6C"/>
    <w:rsid w:val="00FB71B0"/>
    <w:rsid w:val="00FB7ABA"/>
    <w:rsid w:val="00FB7C21"/>
    <w:rsid w:val="00FB7C46"/>
    <w:rsid w:val="00FC03FC"/>
    <w:rsid w:val="00FC04E0"/>
    <w:rsid w:val="00FC0D98"/>
    <w:rsid w:val="00FC0E2F"/>
    <w:rsid w:val="00FC1042"/>
    <w:rsid w:val="00FC11C6"/>
    <w:rsid w:val="00FC1370"/>
    <w:rsid w:val="00FC17CD"/>
    <w:rsid w:val="00FC17D8"/>
    <w:rsid w:val="00FC20DE"/>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3557"/>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7F3"/>
    <w:rsid w:val="00FE08FB"/>
    <w:rsid w:val="00FE1116"/>
    <w:rsid w:val="00FE2075"/>
    <w:rsid w:val="00FE2080"/>
    <w:rsid w:val="00FE27B9"/>
    <w:rsid w:val="00FE2E37"/>
    <w:rsid w:val="00FE2FE6"/>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9C"/>
    <w:rsid w:val="00FF6DD4"/>
    <w:rsid w:val="00FF737C"/>
    <w:rsid w:val="00FF7634"/>
    <w:rsid w:val="017E3F71"/>
    <w:rsid w:val="01AA2C10"/>
    <w:rsid w:val="01CA3DED"/>
    <w:rsid w:val="01E600E8"/>
    <w:rsid w:val="02524C7C"/>
    <w:rsid w:val="03661DFA"/>
    <w:rsid w:val="037738D8"/>
    <w:rsid w:val="03CA2A2C"/>
    <w:rsid w:val="04095165"/>
    <w:rsid w:val="04635C6F"/>
    <w:rsid w:val="046E4522"/>
    <w:rsid w:val="04A113A5"/>
    <w:rsid w:val="05005C95"/>
    <w:rsid w:val="055A2489"/>
    <w:rsid w:val="05A056BD"/>
    <w:rsid w:val="05DB0575"/>
    <w:rsid w:val="068955F4"/>
    <w:rsid w:val="06F13389"/>
    <w:rsid w:val="075F0692"/>
    <w:rsid w:val="07DB054A"/>
    <w:rsid w:val="083D2AF4"/>
    <w:rsid w:val="08F53B23"/>
    <w:rsid w:val="09D43B87"/>
    <w:rsid w:val="0A053C89"/>
    <w:rsid w:val="0A070656"/>
    <w:rsid w:val="0A913ED8"/>
    <w:rsid w:val="0B24171E"/>
    <w:rsid w:val="0B5C3243"/>
    <w:rsid w:val="0BAD59A4"/>
    <w:rsid w:val="0BFC043E"/>
    <w:rsid w:val="0C466B45"/>
    <w:rsid w:val="0CDF0CFA"/>
    <w:rsid w:val="0D584403"/>
    <w:rsid w:val="0DEE7765"/>
    <w:rsid w:val="0E80499B"/>
    <w:rsid w:val="0F2B51F2"/>
    <w:rsid w:val="0F2B5D1F"/>
    <w:rsid w:val="101C0A97"/>
    <w:rsid w:val="10F67974"/>
    <w:rsid w:val="11396561"/>
    <w:rsid w:val="116A6B7F"/>
    <w:rsid w:val="11911FF2"/>
    <w:rsid w:val="12685FCD"/>
    <w:rsid w:val="12846D52"/>
    <w:rsid w:val="12A27333"/>
    <w:rsid w:val="12C659B2"/>
    <w:rsid w:val="12D60235"/>
    <w:rsid w:val="12E85969"/>
    <w:rsid w:val="13141D5A"/>
    <w:rsid w:val="13361783"/>
    <w:rsid w:val="145E0B90"/>
    <w:rsid w:val="146F2C7A"/>
    <w:rsid w:val="149E4992"/>
    <w:rsid w:val="14BB73C7"/>
    <w:rsid w:val="16F413C5"/>
    <w:rsid w:val="170E5D26"/>
    <w:rsid w:val="17233A58"/>
    <w:rsid w:val="17903FB5"/>
    <w:rsid w:val="17BE59A2"/>
    <w:rsid w:val="17EF1D1E"/>
    <w:rsid w:val="18077515"/>
    <w:rsid w:val="18185849"/>
    <w:rsid w:val="186F70B2"/>
    <w:rsid w:val="18CA5D94"/>
    <w:rsid w:val="1A442DE9"/>
    <w:rsid w:val="1B9956A4"/>
    <w:rsid w:val="1BC305D3"/>
    <w:rsid w:val="1BC9004E"/>
    <w:rsid w:val="1CD55680"/>
    <w:rsid w:val="1D237872"/>
    <w:rsid w:val="1D305121"/>
    <w:rsid w:val="1D321E13"/>
    <w:rsid w:val="1DBC044E"/>
    <w:rsid w:val="1E7F3055"/>
    <w:rsid w:val="1E9D1D46"/>
    <w:rsid w:val="1F4849CA"/>
    <w:rsid w:val="1F873477"/>
    <w:rsid w:val="1FF5765E"/>
    <w:rsid w:val="21455F84"/>
    <w:rsid w:val="219E097D"/>
    <w:rsid w:val="221E0366"/>
    <w:rsid w:val="229E1E58"/>
    <w:rsid w:val="235C1144"/>
    <w:rsid w:val="235D0082"/>
    <w:rsid w:val="23765646"/>
    <w:rsid w:val="238C0185"/>
    <w:rsid w:val="24107A3A"/>
    <w:rsid w:val="24977600"/>
    <w:rsid w:val="24B831E2"/>
    <w:rsid w:val="250B120F"/>
    <w:rsid w:val="252C7220"/>
    <w:rsid w:val="256241C7"/>
    <w:rsid w:val="26071ED5"/>
    <w:rsid w:val="26226B65"/>
    <w:rsid w:val="266B0E74"/>
    <w:rsid w:val="268E719E"/>
    <w:rsid w:val="26A50560"/>
    <w:rsid w:val="270F55EE"/>
    <w:rsid w:val="2713284B"/>
    <w:rsid w:val="272F1A96"/>
    <w:rsid w:val="277B4352"/>
    <w:rsid w:val="27F52753"/>
    <w:rsid w:val="297B0CF7"/>
    <w:rsid w:val="2AFF7944"/>
    <w:rsid w:val="2B822DA1"/>
    <w:rsid w:val="2B836D64"/>
    <w:rsid w:val="2C541884"/>
    <w:rsid w:val="2DA9094A"/>
    <w:rsid w:val="2E121283"/>
    <w:rsid w:val="2E9E5170"/>
    <w:rsid w:val="2EA133AF"/>
    <w:rsid w:val="2EDD2DD9"/>
    <w:rsid w:val="2F723467"/>
    <w:rsid w:val="2FAB51E2"/>
    <w:rsid w:val="2FDF48F3"/>
    <w:rsid w:val="306835D0"/>
    <w:rsid w:val="30946C95"/>
    <w:rsid w:val="30B91060"/>
    <w:rsid w:val="32522FA4"/>
    <w:rsid w:val="32877139"/>
    <w:rsid w:val="32A0292F"/>
    <w:rsid w:val="32A02B99"/>
    <w:rsid w:val="337D5F7B"/>
    <w:rsid w:val="33D414D0"/>
    <w:rsid w:val="341B2B8A"/>
    <w:rsid w:val="3439368F"/>
    <w:rsid w:val="34603E67"/>
    <w:rsid w:val="34725B9A"/>
    <w:rsid w:val="3502693D"/>
    <w:rsid w:val="35CD358A"/>
    <w:rsid w:val="36232DB0"/>
    <w:rsid w:val="3858332D"/>
    <w:rsid w:val="385F359C"/>
    <w:rsid w:val="38691129"/>
    <w:rsid w:val="39BA54FA"/>
    <w:rsid w:val="3A514476"/>
    <w:rsid w:val="3AA3340E"/>
    <w:rsid w:val="3AEC222F"/>
    <w:rsid w:val="3BA80B19"/>
    <w:rsid w:val="3C4240EC"/>
    <w:rsid w:val="3C5838B2"/>
    <w:rsid w:val="3C9B0CDC"/>
    <w:rsid w:val="3D711B40"/>
    <w:rsid w:val="3DA72875"/>
    <w:rsid w:val="3DFB77EC"/>
    <w:rsid w:val="3E037C98"/>
    <w:rsid w:val="3E6561B0"/>
    <w:rsid w:val="3E800AA6"/>
    <w:rsid w:val="3F3A1FEB"/>
    <w:rsid w:val="3F810161"/>
    <w:rsid w:val="404F1FB8"/>
    <w:rsid w:val="408A58B2"/>
    <w:rsid w:val="40A67243"/>
    <w:rsid w:val="413258C6"/>
    <w:rsid w:val="42253D73"/>
    <w:rsid w:val="42F9198D"/>
    <w:rsid w:val="444E121C"/>
    <w:rsid w:val="44592171"/>
    <w:rsid w:val="448D11B2"/>
    <w:rsid w:val="44E4602A"/>
    <w:rsid w:val="45B80788"/>
    <w:rsid w:val="45F048E5"/>
    <w:rsid w:val="460B4FDC"/>
    <w:rsid w:val="472E7CB3"/>
    <w:rsid w:val="47383B3F"/>
    <w:rsid w:val="47E75388"/>
    <w:rsid w:val="47E9061B"/>
    <w:rsid w:val="47F507E8"/>
    <w:rsid w:val="48274AEC"/>
    <w:rsid w:val="484245C7"/>
    <w:rsid w:val="488D7CFE"/>
    <w:rsid w:val="488F0E1B"/>
    <w:rsid w:val="4895138F"/>
    <w:rsid w:val="48CC3E16"/>
    <w:rsid w:val="48F84E81"/>
    <w:rsid w:val="49151232"/>
    <w:rsid w:val="492E44AC"/>
    <w:rsid w:val="49323FD7"/>
    <w:rsid w:val="49A95DC4"/>
    <w:rsid w:val="49D56585"/>
    <w:rsid w:val="4A226FE3"/>
    <w:rsid w:val="4A2352BE"/>
    <w:rsid w:val="4BE95365"/>
    <w:rsid w:val="4C12409B"/>
    <w:rsid w:val="4CE71E21"/>
    <w:rsid w:val="4D9B7742"/>
    <w:rsid w:val="4DDD0032"/>
    <w:rsid w:val="4E5B5CBA"/>
    <w:rsid w:val="4E834801"/>
    <w:rsid w:val="4E9B14FE"/>
    <w:rsid w:val="4EAC5711"/>
    <w:rsid w:val="4F343DAD"/>
    <w:rsid w:val="4FC573C4"/>
    <w:rsid w:val="516D645A"/>
    <w:rsid w:val="51B2004B"/>
    <w:rsid w:val="51F2148A"/>
    <w:rsid w:val="51F37EF0"/>
    <w:rsid w:val="52904232"/>
    <w:rsid w:val="53082679"/>
    <w:rsid w:val="536D19AF"/>
    <w:rsid w:val="54556AEA"/>
    <w:rsid w:val="55131A57"/>
    <w:rsid w:val="55622629"/>
    <w:rsid w:val="565664CD"/>
    <w:rsid w:val="56FC1F2E"/>
    <w:rsid w:val="577D71D5"/>
    <w:rsid w:val="589B369A"/>
    <w:rsid w:val="59D9433B"/>
    <w:rsid w:val="59FE5684"/>
    <w:rsid w:val="5A3A2DDD"/>
    <w:rsid w:val="5A637BA4"/>
    <w:rsid w:val="5A9F29C3"/>
    <w:rsid w:val="5AAA43F8"/>
    <w:rsid w:val="5B063704"/>
    <w:rsid w:val="5B7C36CB"/>
    <w:rsid w:val="5BEA0A56"/>
    <w:rsid w:val="5BF449CD"/>
    <w:rsid w:val="5BF918A2"/>
    <w:rsid w:val="5CB93124"/>
    <w:rsid w:val="5CFD007B"/>
    <w:rsid w:val="5D2419B4"/>
    <w:rsid w:val="5D40278C"/>
    <w:rsid w:val="5ECD1D9C"/>
    <w:rsid w:val="5F1B1EF4"/>
    <w:rsid w:val="5FF36E98"/>
    <w:rsid w:val="603905C6"/>
    <w:rsid w:val="60C555D4"/>
    <w:rsid w:val="60CE79CA"/>
    <w:rsid w:val="61484A40"/>
    <w:rsid w:val="6162474A"/>
    <w:rsid w:val="617E77D6"/>
    <w:rsid w:val="62093465"/>
    <w:rsid w:val="6256545B"/>
    <w:rsid w:val="62A61BBC"/>
    <w:rsid w:val="62B8336A"/>
    <w:rsid w:val="635F5CFB"/>
    <w:rsid w:val="63B75E7D"/>
    <w:rsid w:val="63DA241B"/>
    <w:rsid w:val="63E340FD"/>
    <w:rsid w:val="63EE6769"/>
    <w:rsid w:val="64212D1E"/>
    <w:rsid w:val="642A02A6"/>
    <w:rsid w:val="64337579"/>
    <w:rsid w:val="64441196"/>
    <w:rsid w:val="648B53C8"/>
    <w:rsid w:val="65091B75"/>
    <w:rsid w:val="6568774A"/>
    <w:rsid w:val="65BC6440"/>
    <w:rsid w:val="65C36E7F"/>
    <w:rsid w:val="65D21A26"/>
    <w:rsid w:val="6605639B"/>
    <w:rsid w:val="663B7430"/>
    <w:rsid w:val="671E1CA4"/>
    <w:rsid w:val="672A0BC3"/>
    <w:rsid w:val="68024591"/>
    <w:rsid w:val="687775B2"/>
    <w:rsid w:val="68905447"/>
    <w:rsid w:val="69D307F4"/>
    <w:rsid w:val="6A125484"/>
    <w:rsid w:val="6A18664D"/>
    <w:rsid w:val="6A1B14A7"/>
    <w:rsid w:val="6A236F78"/>
    <w:rsid w:val="6A247220"/>
    <w:rsid w:val="6B241A17"/>
    <w:rsid w:val="6CAD476E"/>
    <w:rsid w:val="6E1148C4"/>
    <w:rsid w:val="6E914282"/>
    <w:rsid w:val="6E9C0F6F"/>
    <w:rsid w:val="6F0E4EC3"/>
    <w:rsid w:val="6F252902"/>
    <w:rsid w:val="70557737"/>
    <w:rsid w:val="706D27E8"/>
    <w:rsid w:val="70E4093E"/>
    <w:rsid w:val="712B5847"/>
    <w:rsid w:val="71AD7318"/>
    <w:rsid w:val="726D70E7"/>
    <w:rsid w:val="72872D06"/>
    <w:rsid w:val="72A63D8F"/>
    <w:rsid w:val="72AD1195"/>
    <w:rsid w:val="730833A3"/>
    <w:rsid w:val="73F8607C"/>
    <w:rsid w:val="747D74F0"/>
    <w:rsid w:val="74850A24"/>
    <w:rsid w:val="74C31ECB"/>
    <w:rsid w:val="74E46957"/>
    <w:rsid w:val="75766B62"/>
    <w:rsid w:val="75942919"/>
    <w:rsid w:val="75DD515A"/>
    <w:rsid w:val="75F5461E"/>
    <w:rsid w:val="76482DA8"/>
    <w:rsid w:val="76565143"/>
    <w:rsid w:val="779C7650"/>
    <w:rsid w:val="77B207CD"/>
    <w:rsid w:val="7A241BFB"/>
    <w:rsid w:val="7A5374CB"/>
    <w:rsid w:val="7AAA36FF"/>
    <w:rsid w:val="7ACB189A"/>
    <w:rsid w:val="7AF41729"/>
    <w:rsid w:val="7B443BD4"/>
    <w:rsid w:val="7C72188D"/>
    <w:rsid w:val="7C924DFA"/>
    <w:rsid w:val="7C9C4E59"/>
    <w:rsid w:val="7DB807A8"/>
    <w:rsid w:val="7DCA2127"/>
    <w:rsid w:val="7DD91D07"/>
    <w:rsid w:val="7E092C14"/>
    <w:rsid w:val="7E2F1D63"/>
    <w:rsid w:val="7ED625A7"/>
    <w:rsid w:val="7F482401"/>
    <w:rsid w:val="7F95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119"/>
    <w:qFormat/>
    <w:uiPriority w:val="0"/>
    <w:pPr>
      <w:keepNext/>
      <w:keepLines/>
      <w:spacing w:before="260" w:after="260" w:line="416" w:lineRule="auto"/>
      <w:outlineLvl w:val="2"/>
    </w:pPr>
    <w:rPr>
      <w:b/>
      <w:bCs/>
      <w:kern w:val="0"/>
      <w:sz w:val="32"/>
      <w:szCs w:val="32"/>
    </w:rPr>
  </w:style>
  <w:style w:type="paragraph" w:styleId="6">
    <w:name w:val="heading 5"/>
    <w:basedOn w:val="1"/>
    <w:next w:val="7"/>
    <w:link w:val="5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58"/>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59"/>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1"/>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7">
    <w:name w:val="Normal Indent"/>
    <w:basedOn w:val="1"/>
    <w:qFormat/>
    <w:uiPriority w:val="99"/>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62"/>
    <w:unhideWhenUsed/>
    <w:qFormat/>
    <w:uiPriority w:val="0"/>
    <w:pPr>
      <w:shd w:val="clear" w:color="auto" w:fill="000080"/>
    </w:pPr>
    <w:rPr>
      <w:rFonts w:hint="eastAsia" w:ascii="宋体" w:hAnsi="宋体"/>
      <w:kern w:val="0"/>
      <w:sz w:val="20"/>
      <w:szCs w:val="20"/>
    </w:rPr>
  </w:style>
  <w:style w:type="paragraph" w:styleId="16">
    <w:name w:val="annotation text"/>
    <w:basedOn w:val="1"/>
    <w:link w:val="63"/>
    <w:unhideWhenUsed/>
    <w:qFormat/>
    <w:uiPriority w:val="0"/>
    <w:pPr>
      <w:jc w:val="left"/>
    </w:pPr>
  </w:style>
  <w:style w:type="paragraph" w:styleId="17">
    <w:name w:val="Body Text 3"/>
    <w:basedOn w:val="1"/>
    <w:link w:val="64"/>
    <w:qFormat/>
    <w:uiPriority w:val="0"/>
    <w:pPr>
      <w:spacing w:line="500" w:lineRule="exact"/>
    </w:pPr>
    <w:rPr>
      <w:b/>
      <w:bCs/>
      <w:kern w:val="0"/>
      <w:sz w:val="24"/>
    </w:rPr>
  </w:style>
  <w:style w:type="paragraph" w:styleId="18">
    <w:name w:val="Body Text"/>
    <w:basedOn w:val="1"/>
    <w:link w:val="65"/>
    <w:qFormat/>
    <w:uiPriority w:val="99"/>
    <w:pPr>
      <w:spacing w:line="380" w:lineRule="exact"/>
    </w:pPr>
    <w:rPr>
      <w:kern w:val="0"/>
      <w:sz w:val="24"/>
    </w:rPr>
  </w:style>
  <w:style w:type="paragraph" w:styleId="19">
    <w:name w:val="Body Text Indent"/>
    <w:basedOn w:val="1"/>
    <w:link w:val="66"/>
    <w:qFormat/>
    <w:uiPriority w:val="0"/>
    <w:pPr>
      <w:ind w:firstLine="830" w:firstLineChars="352"/>
    </w:pPr>
    <w:rPr>
      <w:rFonts w:ascii="仿宋_GB2312" w:eastAsia="仿宋_GB2312"/>
      <w:kern w:val="0"/>
      <w:sz w:val="32"/>
      <w:szCs w:val="20"/>
    </w:rPr>
  </w:style>
  <w:style w:type="paragraph" w:styleId="20">
    <w:name w:val="List Number 3"/>
    <w:basedOn w:val="1"/>
    <w:qFormat/>
    <w:uiPriority w:val="99"/>
    <w:pPr>
      <w:numPr>
        <w:ilvl w:val="0"/>
        <w:numId w:val="2"/>
      </w:numPr>
    </w:pPr>
  </w:style>
  <w:style w:type="paragraph" w:styleId="21">
    <w:name w:val="List 2"/>
    <w:basedOn w:val="1"/>
    <w:qFormat/>
    <w:uiPriority w:val="99"/>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next w:val="25"/>
    <w:link w:val="67"/>
    <w:qFormat/>
    <w:uiPriority w:val="0"/>
    <w:rPr>
      <w:rFonts w:ascii="宋体" w:hAnsi="Courier New"/>
      <w:kern w:val="0"/>
      <w:sz w:val="20"/>
      <w:szCs w:val="21"/>
    </w:rPr>
  </w:style>
  <w:style w:type="paragraph" w:customStyle="1" w:styleId="25">
    <w:name w:val="TOC 标题2"/>
    <w:next w:val="1"/>
    <w:qFormat/>
    <w:uiPriority w:val="0"/>
    <w:pPr>
      <w:wordWrap w:val="0"/>
    </w:pPr>
    <w:rPr>
      <w:rFonts w:ascii="Times New Roman" w:hAnsi="Times New Roman" w:eastAsia="宋体" w:cs="Times New Roman"/>
      <w:sz w:val="32"/>
      <w:lang w:val="en-US" w:eastAsia="zh-CN" w:bidi="ar-SA"/>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68"/>
    <w:qFormat/>
    <w:uiPriority w:val="0"/>
    <w:pPr>
      <w:ind w:left="100" w:leftChars="2500"/>
    </w:pPr>
    <w:rPr>
      <w:rFonts w:ascii="宋体" w:hAnsi="Courier New"/>
      <w:kern w:val="0"/>
      <w:sz w:val="20"/>
      <w:szCs w:val="21"/>
    </w:rPr>
  </w:style>
  <w:style w:type="paragraph" w:styleId="28">
    <w:name w:val="Body Text Indent 2"/>
    <w:basedOn w:val="1"/>
    <w:link w:val="69"/>
    <w:qFormat/>
    <w:uiPriority w:val="0"/>
    <w:pPr>
      <w:ind w:firstLine="630"/>
    </w:pPr>
    <w:rPr>
      <w:kern w:val="0"/>
      <w:sz w:val="32"/>
      <w:szCs w:val="20"/>
    </w:rPr>
  </w:style>
  <w:style w:type="paragraph" w:styleId="29">
    <w:name w:val="endnote text"/>
    <w:basedOn w:val="1"/>
    <w:link w:val="70"/>
    <w:unhideWhenUsed/>
    <w:qFormat/>
    <w:uiPriority w:val="99"/>
    <w:pPr>
      <w:snapToGrid w:val="0"/>
      <w:jc w:val="left"/>
    </w:pPr>
  </w:style>
  <w:style w:type="paragraph" w:styleId="30">
    <w:name w:val="Balloon Text"/>
    <w:basedOn w:val="1"/>
    <w:link w:val="71"/>
    <w:semiHidden/>
    <w:qFormat/>
    <w:uiPriority w:val="0"/>
    <w:rPr>
      <w:kern w:val="0"/>
      <w:sz w:val="18"/>
      <w:szCs w:val="18"/>
    </w:rPr>
  </w:style>
  <w:style w:type="paragraph" w:styleId="31">
    <w:name w:val="footer"/>
    <w:basedOn w:val="1"/>
    <w:link w:val="72"/>
    <w:unhideWhenUsed/>
    <w:qFormat/>
    <w:uiPriority w:val="99"/>
    <w:pPr>
      <w:tabs>
        <w:tab w:val="center" w:pos="4153"/>
        <w:tab w:val="right" w:pos="8306"/>
      </w:tabs>
      <w:snapToGrid w:val="0"/>
      <w:jc w:val="left"/>
    </w:pPr>
    <w:rPr>
      <w:kern w:val="0"/>
      <w:sz w:val="18"/>
      <w:szCs w:val="18"/>
    </w:rPr>
  </w:style>
  <w:style w:type="paragraph" w:styleId="32">
    <w:name w:val="header"/>
    <w:basedOn w:val="1"/>
    <w:link w:val="73"/>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List"/>
    <w:basedOn w:val="1"/>
    <w:qFormat/>
    <w:uiPriority w:val="99"/>
    <w:pPr>
      <w:ind w:left="200" w:hanging="200" w:hangingChars="200"/>
    </w:pPr>
    <w:rPr>
      <w:sz w:val="28"/>
    </w:rPr>
  </w:style>
  <w:style w:type="paragraph" w:styleId="35">
    <w:name w:val="footnote text"/>
    <w:basedOn w:val="1"/>
    <w:link w:val="74"/>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75"/>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link w:val="76"/>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99"/>
    <w:pPr>
      <w:spacing w:line="400" w:lineRule="exact"/>
      <w:ind w:firstLine="420" w:firstLineChars="200"/>
    </w:pPr>
    <w:rPr>
      <w:rFonts w:ascii="宋体" w:hAnsi="Courier New"/>
      <w:b/>
      <w:szCs w:val="20"/>
    </w:rPr>
  </w:style>
  <w:style w:type="paragraph" w:styleId="43">
    <w:name w:val="Title"/>
    <w:basedOn w:val="1"/>
    <w:next w:val="1"/>
    <w:link w:val="77"/>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78"/>
    <w:unhideWhenUsed/>
    <w:qFormat/>
    <w:uiPriority w:val="99"/>
    <w:rPr>
      <w:b/>
      <w:bCs/>
    </w:rPr>
  </w:style>
  <w:style w:type="table" w:styleId="46">
    <w:name w:val="Table Grid"/>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8">
    <w:name w:val="endnote reference"/>
    <w:unhideWhenUsed/>
    <w:qFormat/>
    <w:uiPriority w:val="99"/>
    <w:rPr>
      <w:vertAlign w:val="superscript"/>
    </w:rPr>
  </w:style>
  <w:style w:type="character" w:styleId="49">
    <w:name w:val="page number"/>
    <w:qFormat/>
    <w:uiPriority w:val="0"/>
  </w:style>
  <w:style w:type="character" w:styleId="50">
    <w:name w:val="FollowedHyperlink"/>
    <w:qFormat/>
    <w:uiPriority w:val="99"/>
    <w:rPr>
      <w:color w:val="800080"/>
      <w:u w:val="single"/>
    </w:rPr>
  </w:style>
  <w:style w:type="character" w:styleId="51">
    <w:name w:val="Hyperlink"/>
    <w:qFormat/>
    <w:uiPriority w:val="99"/>
    <w:rPr>
      <w:color w:val="0000FF"/>
      <w:u w:val="single"/>
    </w:rPr>
  </w:style>
  <w:style w:type="character" w:styleId="52">
    <w:name w:val="annotation reference"/>
    <w:unhideWhenUsed/>
    <w:qFormat/>
    <w:uiPriority w:val="0"/>
    <w:rPr>
      <w:sz w:val="21"/>
      <w:szCs w:val="21"/>
    </w:rPr>
  </w:style>
  <w:style w:type="character" w:styleId="53">
    <w:name w:val="footnote reference"/>
    <w:unhideWhenUsed/>
    <w:qFormat/>
    <w:uiPriority w:val="99"/>
    <w:rPr>
      <w:vertAlign w:val="superscript"/>
    </w:rPr>
  </w:style>
  <w:style w:type="character" w:customStyle="1" w:styleId="54">
    <w:name w:val="标题 1 字符2"/>
    <w:link w:val="3"/>
    <w:qFormat/>
    <w:uiPriority w:val="0"/>
    <w:rPr>
      <w:rFonts w:ascii="Times New Roman" w:hAnsi="Times New Roman" w:eastAsia="宋体" w:cs="Times New Roman"/>
      <w:b/>
      <w:bCs/>
      <w:kern w:val="44"/>
      <w:sz w:val="44"/>
      <w:szCs w:val="44"/>
    </w:rPr>
  </w:style>
  <w:style w:type="character" w:customStyle="1" w:styleId="55">
    <w:name w:val="标题 2 字符1"/>
    <w:link w:val="4"/>
    <w:qFormat/>
    <w:uiPriority w:val="0"/>
    <w:rPr>
      <w:rFonts w:ascii="Arial" w:hAnsi="Arial" w:eastAsia="黑体" w:cs="Times New Roman"/>
      <w:b/>
      <w:bCs/>
      <w:sz w:val="32"/>
      <w:szCs w:val="32"/>
    </w:rPr>
  </w:style>
  <w:style w:type="character" w:customStyle="1" w:styleId="56">
    <w:name w:val="标题 3 Char"/>
    <w:qFormat/>
    <w:uiPriority w:val="0"/>
    <w:rPr>
      <w:rFonts w:ascii="Times New Roman" w:hAnsi="Times New Roman" w:eastAsia="宋体" w:cs="Times New Roman"/>
      <w:b/>
      <w:bCs/>
      <w:sz w:val="32"/>
      <w:szCs w:val="32"/>
    </w:rPr>
  </w:style>
  <w:style w:type="character" w:customStyle="1" w:styleId="57">
    <w:name w:val="标题 5 字符1"/>
    <w:link w:val="6"/>
    <w:qFormat/>
    <w:uiPriority w:val="0"/>
    <w:rPr>
      <w:b/>
      <w:kern w:val="2"/>
      <w:sz w:val="28"/>
      <w:szCs w:val="24"/>
    </w:rPr>
  </w:style>
  <w:style w:type="character" w:customStyle="1" w:styleId="58">
    <w:name w:val="标题 6 字符1"/>
    <w:link w:val="8"/>
    <w:qFormat/>
    <w:uiPriority w:val="0"/>
    <w:rPr>
      <w:rFonts w:ascii="Arial" w:hAnsi="Arial" w:eastAsia="黑体"/>
      <w:b/>
      <w:kern w:val="2"/>
      <w:sz w:val="24"/>
      <w:szCs w:val="24"/>
    </w:rPr>
  </w:style>
  <w:style w:type="character" w:customStyle="1" w:styleId="59">
    <w:name w:val="标题 7 字符1"/>
    <w:link w:val="9"/>
    <w:qFormat/>
    <w:uiPriority w:val="0"/>
    <w:rPr>
      <w:rFonts w:ascii="Times New Roman" w:hAnsi="Times New Roman"/>
      <w:b/>
      <w:kern w:val="2"/>
      <w:sz w:val="24"/>
      <w:szCs w:val="24"/>
    </w:rPr>
  </w:style>
  <w:style w:type="character" w:customStyle="1" w:styleId="60">
    <w:name w:val="标题 8 字符1"/>
    <w:link w:val="10"/>
    <w:qFormat/>
    <w:uiPriority w:val="0"/>
    <w:rPr>
      <w:rFonts w:ascii="Arial" w:hAnsi="Arial" w:eastAsia="黑体"/>
      <w:kern w:val="2"/>
      <w:sz w:val="24"/>
      <w:szCs w:val="24"/>
    </w:rPr>
  </w:style>
  <w:style w:type="character" w:customStyle="1" w:styleId="61">
    <w:name w:val="标题 9 字符1"/>
    <w:link w:val="11"/>
    <w:qFormat/>
    <w:uiPriority w:val="0"/>
    <w:rPr>
      <w:rFonts w:ascii="Arial" w:hAnsi="Arial" w:eastAsia="黑体"/>
      <w:kern w:val="2"/>
      <w:sz w:val="21"/>
      <w:szCs w:val="24"/>
    </w:rPr>
  </w:style>
  <w:style w:type="character" w:customStyle="1" w:styleId="62">
    <w:name w:val="文档结构图 字符1"/>
    <w:link w:val="15"/>
    <w:qFormat/>
    <w:uiPriority w:val="0"/>
    <w:rPr>
      <w:rFonts w:hint="eastAsia" w:ascii="宋体" w:hAnsi="宋体" w:eastAsia="宋体" w:cs="宋体"/>
    </w:rPr>
  </w:style>
  <w:style w:type="character" w:customStyle="1" w:styleId="63">
    <w:name w:val="批注文字 字符3"/>
    <w:link w:val="16"/>
    <w:qFormat/>
    <w:uiPriority w:val="0"/>
    <w:rPr>
      <w:rFonts w:ascii="Times New Roman" w:hAnsi="Times New Roman"/>
      <w:kern w:val="2"/>
      <w:sz w:val="21"/>
      <w:szCs w:val="24"/>
    </w:rPr>
  </w:style>
  <w:style w:type="character" w:customStyle="1" w:styleId="64">
    <w:name w:val="正文文本 3 字符1"/>
    <w:link w:val="17"/>
    <w:qFormat/>
    <w:uiPriority w:val="0"/>
    <w:rPr>
      <w:rFonts w:ascii="Times New Roman" w:hAnsi="Times New Roman" w:eastAsia="宋体" w:cs="Times New Roman"/>
      <w:b/>
      <w:bCs/>
      <w:sz w:val="24"/>
      <w:szCs w:val="24"/>
    </w:rPr>
  </w:style>
  <w:style w:type="character" w:customStyle="1" w:styleId="65">
    <w:name w:val="正文文本 字符1"/>
    <w:link w:val="18"/>
    <w:qFormat/>
    <w:uiPriority w:val="99"/>
    <w:rPr>
      <w:rFonts w:ascii="Times New Roman" w:hAnsi="Times New Roman" w:eastAsia="宋体" w:cs="Times New Roman"/>
      <w:sz w:val="24"/>
      <w:szCs w:val="24"/>
    </w:rPr>
  </w:style>
  <w:style w:type="character" w:customStyle="1" w:styleId="66">
    <w:name w:val="正文文本缩进 字符2"/>
    <w:link w:val="19"/>
    <w:qFormat/>
    <w:uiPriority w:val="0"/>
    <w:rPr>
      <w:rFonts w:ascii="仿宋_GB2312" w:hAnsi="Times New Roman" w:eastAsia="仿宋_GB2312" w:cs="Times New Roman"/>
      <w:sz w:val="32"/>
      <w:szCs w:val="20"/>
    </w:rPr>
  </w:style>
  <w:style w:type="character" w:customStyle="1" w:styleId="67">
    <w:name w:val="纯文本 字符3"/>
    <w:link w:val="24"/>
    <w:qFormat/>
    <w:uiPriority w:val="0"/>
    <w:rPr>
      <w:rFonts w:ascii="宋体" w:hAnsi="Courier New" w:eastAsia="宋体" w:cs="Courier New"/>
      <w:szCs w:val="21"/>
    </w:rPr>
  </w:style>
  <w:style w:type="character" w:customStyle="1" w:styleId="68">
    <w:name w:val="日期 字符1"/>
    <w:link w:val="27"/>
    <w:qFormat/>
    <w:uiPriority w:val="0"/>
    <w:rPr>
      <w:rFonts w:ascii="宋体" w:hAnsi="Courier New" w:eastAsia="宋体" w:cs="Courier New"/>
      <w:szCs w:val="21"/>
    </w:rPr>
  </w:style>
  <w:style w:type="character" w:customStyle="1" w:styleId="69">
    <w:name w:val="正文文本缩进 2 字符1"/>
    <w:link w:val="28"/>
    <w:qFormat/>
    <w:uiPriority w:val="0"/>
    <w:rPr>
      <w:rFonts w:ascii="Times New Roman" w:hAnsi="Times New Roman" w:eastAsia="宋体" w:cs="Times New Roman"/>
      <w:sz w:val="32"/>
      <w:szCs w:val="20"/>
    </w:rPr>
  </w:style>
  <w:style w:type="character" w:customStyle="1" w:styleId="70">
    <w:name w:val="尾注文本 字符1"/>
    <w:link w:val="29"/>
    <w:semiHidden/>
    <w:qFormat/>
    <w:uiPriority w:val="99"/>
    <w:rPr>
      <w:rFonts w:ascii="Times New Roman" w:hAnsi="Times New Roman"/>
      <w:kern w:val="2"/>
      <w:sz w:val="21"/>
      <w:szCs w:val="24"/>
    </w:rPr>
  </w:style>
  <w:style w:type="character" w:customStyle="1" w:styleId="71">
    <w:name w:val="批注框文本 字符1"/>
    <w:link w:val="30"/>
    <w:semiHidden/>
    <w:qFormat/>
    <w:uiPriority w:val="0"/>
    <w:rPr>
      <w:rFonts w:ascii="Times New Roman" w:hAnsi="Times New Roman" w:eastAsia="宋体" w:cs="Times New Roman"/>
      <w:sz w:val="18"/>
      <w:szCs w:val="18"/>
    </w:rPr>
  </w:style>
  <w:style w:type="character" w:customStyle="1" w:styleId="72">
    <w:name w:val="页脚 字符2"/>
    <w:link w:val="31"/>
    <w:qFormat/>
    <w:uiPriority w:val="99"/>
    <w:rPr>
      <w:sz w:val="18"/>
      <w:szCs w:val="18"/>
    </w:rPr>
  </w:style>
  <w:style w:type="character" w:customStyle="1" w:styleId="73">
    <w:name w:val="页眉 字符1"/>
    <w:link w:val="32"/>
    <w:qFormat/>
    <w:uiPriority w:val="99"/>
    <w:rPr>
      <w:rFonts w:ascii="Times New Roman" w:hAnsi="Times New Roman"/>
      <w:kern w:val="2"/>
      <w:sz w:val="18"/>
      <w:szCs w:val="18"/>
    </w:rPr>
  </w:style>
  <w:style w:type="character" w:customStyle="1" w:styleId="74">
    <w:name w:val="脚注文本 字符1"/>
    <w:link w:val="35"/>
    <w:semiHidden/>
    <w:qFormat/>
    <w:uiPriority w:val="99"/>
    <w:rPr>
      <w:rFonts w:ascii="Times New Roman" w:hAnsi="Times New Roman"/>
      <w:kern w:val="2"/>
      <w:sz w:val="18"/>
      <w:szCs w:val="18"/>
    </w:rPr>
  </w:style>
  <w:style w:type="character" w:customStyle="1" w:styleId="75">
    <w:name w:val="正文文本缩进 3 字符1"/>
    <w:link w:val="37"/>
    <w:qFormat/>
    <w:uiPriority w:val="0"/>
    <w:rPr>
      <w:rFonts w:ascii="Times New Roman" w:hAnsi="Times New Roman" w:eastAsia="宋体" w:cs="Times New Roman"/>
      <w:sz w:val="16"/>
      <w:szCs w:val="16"/>
    </w:rPr>
  </w:style>
  <w:style w:type="character" w:customStyle="1" w:styleId="76">
    <w:name w:val="正文文本 2 字符1"/>
    <w:link w:val="40"/>
    <w:qFormat/>
    <w:uiPriority w:val="0"/>
    <w:rPr>
      <w:rFonts w:ascii="Times New Roman" w:hAnsi="Times New Roman" w:eastAsia="宋体" w:cs="Times New Roman"/>
      <w:szCs w:val="24"/>
    </w:rPr>
  </w:style>
  <w:style w:type="character" w:customStyle="1" w:styleId="77">
    <w:name w:val="标题 字符1"/>
    <w:link w:val="43"/>
    <w:qFormat/>
    <w:uiPriority w:val="10"/>
    <w:rPr>
      <w:rFonts w:ascii="Cambria" w:hAnsi="Cambria" w:cs="Times New Roman"/>
      <w:b/>
      <w:bCs/>
      <w:kern w:val="2"/>
      <w:sz w:val="32"/>
      <w:szCs w:val="32"/>
    </w:rPr>
  </w:style>
  <w:style w:type="character" w:customStyle="1" w:styleId="78">
    <w:name w:val="批注主题 字符1"/>
    <w:link w:val="44"/>
    <w:semiHidden/>
    <w:qFormat/>
    <w:uiPriority w:val="99"/>
    <w:rPr>
      <w:rFonts w:ascii="Times New Roman" w:hAnsi="Times New Roman"/>
      <w:b/>
      <w:bCs/>
      <w:kern w:val="2"/>
      <w:sz w:val="21"/>
      <w:szCs w:val="24"/>
    </w:rPr>
  </w:style>
  <w:style w:type="character" w:customStyle="1" w:styleId="79">
    <w:name w:val="批注文字 Char1"/>
    <w:semiHidden/>
    <w:qFormat/>
    <w:locked/>
    <w:uiPriority w:val="0"/>
    <w:rPr>
      <w:rFonts w:ascii="Times New Roman" w:hAnsi="Times New Roman"/>
      <w:kern w:val="2"/>
      <w:sz w:val="21"/>
      <w:szCs w:val="24"/>
    </w:rPr>
  </w:style>
  <w:style w:type="character" w:customStyle="1" w:styleId="80">
    <w:name w:val="case31"/>
    <w:qFormat/>
    <w:uiPriority w:val="0"/>
    <w:rPr>
      <w:rFonts w:hint="default" w:ascii="_x000B__x000C_" w:hAnsi="_x000B__x000C_"/>
      <w:sz w:val="21"/>
      <w:szCs w:val="21"/>
    </w:rPr>
  </w:style>
  <w:style w:type="character" w:customStyle="1" w:styleId="81">
    <w:name w:val="批注文字 Char"/>
    <w:qFormat/>
    <w:uiPriority w:val="99"/>
    <w:rPr>
      <w:rFonts w:ascii="Times New Roman" w:hAnsi="Times New Roman"/>
      <w:kern w:val="2"/>
      <w:sz w:val="21"/>
      <w:szCs w:val="24"/>
    </w:rPr>
  </w:style>
  <w:style w:type="character" w:customStyle="1" w:styleId="82">
    <w:name w:val="纯文本 Char"/>
    <w:qFormat/>
    <w:uiPriority w:val="0"/>
    <w:rPr>
      <w:rFonts w:ascii="宋体" w:hAnsi="Courier New" w:eastAsia="宋体"/>
      <w:kern w:val="2"/>
      <w:sz w:val="21"/>
      <w:lang w:val="en-US" w:eastAsia="zh-CN" w:bidi="ar-SA"/>
    </w:rPr>
  </w:style>
  <w:style w:type="character" w:customStyle="1" w:styleId="83">
    <w:name w:val="纯文本 字符1"/>
    <w:qFormat/>
    <w:uiPriority w:val="0"/>
    <w:rPr>
      <w:rFonts w:ascii="宋体" w:hAnsi="Courier New"/>
    </w:rPr>
  </w:style>
  <w:style w:type="character" w:customStyle="1" w:styleId="84">
    <w:name w:val="批注文字 字符1"/>
    <w:qFormat/>
    <w:uiPriority w:val="0"/>
    <w:rPr>
      <w:rFonts w:ascii="Times New Roman" w:hAnsi="Times New Roman"/>
      <w:kern w:val="2"/>
      <w:sz w:val="21"/>
      <w:szCs w:val="24"/>
    </w:rPr>
  </w:style>
  <w:style w:type="character" w:customStyle="1" w:styleId="85">
    <w:name w:val="正文文本 Char1"/>
    <w:semiHidden/>
    <w:qFormat/>
    <w:locked/>
    <w:uiPriority w:val="99"/>
    <w:rPr>
      <w:sz w:val="24"/>
      <w:szCs w:val="24"/>
    </w:rPr>
  </w:style>
  <w:style w:type="character" w:customStyle="1" w:styleId="86">
    <w:name w:val="apple-style-span"/>
    <w:qFormat/>
    <w:uiPriority w:val="0"/>
  </w:style>
  <w:style w:type="character" w:customStyle="1" w:styleId="87">
    <w:name w:val="textcontents"/>
    <w:qFormat/>
    <w:uiPriority w:val="0"/>
  </w:style>
  <w:style w:type="character" w:customStyle="1" w:styleId="88">
    <w:name w:val="普通文字 Char Char2"/>
    <w:qFormat/>
    <w:uiPriority w:val="0"/>
    <w:rPr>
      <w:rFonts w:ascii="宋体" w:hAnsi="Courier New" w:eastAsia="宋体"/>
      <w:kern w:val="2"/>
      <w:sz w:val="21"/>
      <w:lang w:val="en-US" w:eastAsia="zh-CN" w:bidi="ar-SA"/>
    </w:rPr>
  </w:style>
  <w:style w:type="character" w:customStyle="1" w:styleId="89">
    <w:name w:val="标题 5 Char"/>
    <w:qFormat/>
    <w:uiPriority w:val="0"/>
    <w:rPr>
      <w:b/>
      <w:kern w:val="2"/>
      <w:sz w:val="28"/>
      <w:szCs w:val="24"/>
    </w:rPr>
  </w:style>
  <w:style w:type="character" w:customStyle="1" w:styleId="90">
    <w:name w:val="批注文字 字符"/>
    <w:qFormat/>
    <w:uiPriority w:val="0"/>
    <w:rPr>
      <w:rFonts w:ascii="Times New Roman" w:hAnsi="Times New Roman"/>
      <w:kern w:val="2"/>
      <w:sz w:val="21"/>
      <w:szCs w:val="24"/>
    </w:rPr>
  </w:style>
  <w:style w:type="character" w:customStyle="1" w:styleId="91">
    <w:name w:val="标题 1 字符"/>
    <w:qFormat/>
    <w:uiPriority w:val="9"/>
    <w:rPr>
      <w:rFonts w:ascii="Times New Roman" w:hAnsi="Times New Roman" w:eastAsia="宋体" w:cs="Times New Roman"/>
      <w:b/>
      <w:bCs/>
      <w:kern w:val="44"/>
      <w:sz w:val="44"/>
      <w:szCs w:val="44"/>
    </w:rPr>
  </w:style>
  <w:style w:type="character" w:customStyle="1" w:styleId="92">
    <w:name w:val="纯文本 字符"/>
    <w:qFormat/>
    <w:uiPriority w:val="0"/>
    <w:rPr>
      <w:rFonts w:ascii="宋体" w:hAnsi="Courier New" w:eastAsia="宋体" w:cs="Courier New"/>
      <w:szCs w:val="21"/>
    </w:rPr>
  </w:style>
  <w:style w:type="character" w:customStyle="1" w:styleId="93">
    <w:name w:val="headline-content4"/>
    <w:qFormat/>
    <w:uiPriority w:val="0"/>
  </w:style>
  <w:style w:type="character" w:customStyle="1" w:styleId="9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5">
    <w:name w:val="正文文本缩进 字符"/>
    <w:qFormat/>
    <w:uiPriority w:val="0"/>
    <w:rPr>
      <w:rFonts w:ascii="仿宋_GB2312" w:hAnsi="Times New Roman" w:eastAsia="仿宋_GB2312" w:cs="Times New Roman"/>
      <w:sz w:val="32"/>
      <w:szCs w:val="20"/>
    </w:rPr>
  </w:style>
  <w:style w:type="paragraph" w:customStyle="1" w:styleId="96">
    <w:name w:val="Char1"/>
    <w:basedOn w:val="1"/>
    <w:qFormat/>
    <w:uiPriority w:val="99"/>
    <w:rPr>
      <w:szCs w:val="21"/>
    </w:rPr>
  </w:style>
  <w:style w:type="paragraph" w:styleId="97">
    <w:name w:val="List Paragraph"/>
    <w:basedOn w:val="1"/>
    <w:qFormat/>
    <w:uiPriority w:val="34"/>
    <w:pPr>
      <w:ind w:firstLine="420" w:firstLineChars="200"/>
    </w:pPr>
  </w:style>
  <w:style w:type="paragraph" w:customStyle="1" w:styleId="98">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bCs w:val="0"/>
      <w:sz w:val="28"/>
      <w:szCs w:val="20"/>
    </w:rPr>
  </w:style>
  <w:style w:type="paragraph" w:customStyle="1" w:styleId="99">
    <w:name w:val="默认段落字体 Para Char Char Char Char Char Char Char Char Char1 Char Char Char Char"/>
    <w:basedOn w:val="1"/>
    <w:qFormat/>
    <w:uiPriority w:val="99"/>
    <w:rPr>
      <w:rFonts w:ascii="Tahoma" w:hAnsi="Tahoma"/>
      <w:sz w:val="24"/>
      <w:szCs w:val="20"/>
    </w:rPr>
  </w:style>
  <w:style w:type="paragraph" w:customStyle="1" w:styleId="100">
    <w:name w:val="样式"/>
    <w:qFormat/>
    <w:uiPriority w:val="99"/>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1">
    <w:name w:val="纯文本1"/>
    <w:basedOn w:val="1"/>
    <w:qFormat/>
    <w:uiPriority w:val="99"/>
    <w:rPr>
      <w:rFonts w:ascii="宋体" w:hAnsi="Courier New" w:cs="Century"/>
      <w:szCs w:val="21"/>
    </w:rPr>
  </w:style>
  <w:style w:type="paragraph" w:customStyle="1" w:styleId="102">
    <w:name w:val="Table Paragraph"/>
    <w:basedOn w:val="1"/>
    <w:qFormat/>
    <w:uiPriority w:val="1"/>
    <w:pPr>
      <w:jc w:val="left"/>
    </w:pPr>
    <w:rPr>
      <w:rFonts w:ascii="Calibri" w:hAnsi="Calibri"/>
      <w:kern w:val="0"/>
      <w:sz w:val="22"/>
      <w:szCs w:val="22"/>
      <w:lang w:eastAsia="en-US"/>
    </w:rPr>
  </w:style>
  <w:style w:type="paragraph" w:customStyle="1" w:styleId="103">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104">
    <w:name w:val="表格"/>
    <w:basedOn w:val="1"/>
    <w:qFormat/>
    <w:uiPriority w:val="99"/>
    <w:pPr>
      <w:spacing w:line="400" w:lineRule="exact"/>
    </w:pPr>
    <w:rPr>
      <w:sz w:val="24"/>
    </w:rPr>
  </w:style>
  <w:style w:type="paragraph" w:customStyle="1" w:styleId="105">
    <w:name w:val="样式 首行缩进:  2 字符"/>
    <w:basedOn w:val="1"/>
    <w:qFormat/>
    <w:uiPriority w:val="99"/>
    <w:pPr>
      <w:spacing w:line="400" w:lineRule="exact"/>
      <w:ind w:firstLine="200" w:firstLineChars="200"/>
    </w:pPr>
    <w:rPr>
      <w:rFonts w:cs="宋体"/>
      <w:sz w:val="24"/>
    </w:rPr>
  </w:style>
  <w:style w:type="paragraph" w:customStyle="1" w:styleId="106">
    <w:name w:val="xl22"/>
    <w:basedOn w:val="1"/>
    <w:qFormat/>
    <w:uiPriority w:val="99"/>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7">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4"/>
      <w:szCs w:val="20"/>
    </w:rPr>
  </w:style>
  <w:style w:type="paragraph" w:customStyle="1" w:styleId="108">
    <w:name w:val="正文首行缩进两字符"/>
    <w:basedOn w:val="1"/>
    <w:qFormat/>
    <w:uiPriority w:val="99"/>
    <w:pPr>
      <w:spacing w:line="360" w:lineRule="auto"/>
      <w:ind w:firstLine="200" w:firstLineChars="200"/>
    </w:pPr>
  </w:style>
  <w:style w:type="paragraph" w:customStyle="1" w:styleId="109">
    <w:name w:val="正文段"/>
    <w:basedOn w:val="1"/>
    <w:qFormat/>
    <w:uiPriority w:val="99"/>
    <w:pPr>
      <w:widowControl/>
      <w:snapToGrid w:val="0"/>
      <w:spacing w:afterLines="50"/>
      <w:ind w:firstLine="200" w:firstLineChars="200"/>
    </w:pPr>
    <w:rPr>
      <w:kern w:val="0"/>
      <w:sz w:val="24"/>
      <w:szCs w:val="20"/>
    </w:rPr>
  </w:style>
  <w:style w:type="table" w:customStyle="1" w:styleId="110">
    <w:name w:val="Table Normal"/>
    <w:semiHidden/>
    <w:qFormat/>
    <w:uiPriority w:val="2"/>
    <w:pPr>
      <w:widowControl w:val="0"/>
    </w:pPr>
    <w:rPr>
      <w:rFonts w:ascii="Calibri" w:hAnsi="Calibri" w:eastAsia="Times New Roman"/>
      <w:sz w:val="22"/>
      <w:szCs w:val="22"/>
      <w:lang w:eastAsia="en-US"/>
    </w:rPr>
    <w:tblPr>
      <w:tblLayout w:type="fixed"/>
      <w:tblCellMar>
        <w:top w:w="0" w:type="dxa"/>
        <w:left w:w="0" w:type="dxa"/>
        <w:bottom w:w="0" w:type="dxa"/>
        <w:right w:w="0" w:type="dxa"/>
      </w:tblCellMar>
    </w:tblPr>
  </w:style>
  <w:style w:type="character" w:customStyle="1" w:styleId="111">
    <w:name w:val="页脚 字符"/>
    <w:qFormat/>
    <w:uiPriority w:val="0"/>
  </w:style>
  <w:style w:type="character" w:customStyle="1" w:styleId="112">
    <w:name w:val="正文2 Char Char"/>
    <w:link w:val="113"/>
    <w:qFormat/>
    <w:uiPriority w:val="0"/>
    <w:rPr>
      <w:kern w:val="2"/>
      <w:sz w:val="24"/>
    </w:rPr>
  </w:style>
  <w:style w:type="paragraph" w:customStyle="1" w:styleId="113">
    <w:name w:val="正文2"/>
    <w:basedOn w:val="1"/>
    <w:link w:val="112"/>
    <w:qFormat/>
    <w:uiPriority w:val="0"/>
    <w:pPr>
      <w:adjustRightInd w:val="0"/>
      <w:spacing w:before="156" w:line="360" w:lineRule="auto"/>
      <w:ind w:firstLine="510" w:firstLineChars="200"/>
    </w:pPr>
    <w:rPr>
      <w:sz w:val="24"/>
      <w:szCs w:val="20"/>
    </w:rPr>
  </w:style>
  <w:style w:type="paragraph" w:customStyle="1" w:styleId="114">
    <w:name w:val="_Style 113"/>
    <w:unhideWhenUsed/>
    <w:qFormat/>
    <w:uiPriority w:val="99"/>
    <w:rPr>
      <w:rFonts w:ascii="Times New Roman" w:hAnsi="Times New Roman" w:eastAsia="宋体" w:cs="Times New Roman"/>
      <w:kern w:val="2"/>
      <w:sz w:val="21"/>
      <w:szCs w:val="24"/>
      <w:lang w:val="en-US" w:eastAsia="zh-CN" w:bidi="ar-SA"/>
    </w:rPr>
  </w:style>
  <w:style w:type="character" w:customStyle="1" w:styleId="115">
    <w:name w:val="表格文字 Char1"/>
    <w:link w:val="116"/>
    <w:qFormat/>
    <w:locked/>
    <w:uiPriority w:val="0"/>
    <w:rPr>
      <w:bCs/>
      <w:spacing w:val="10"/>
      <w:sz w:val="24"/>
    </w:rPr>
  </w:style>
  <w:style w:type="paragraph" w:customStyle="1" w:styleId="116">
    <w:name w:val="表格文字"/>
    <w:basedOn w:val="1"/>
    <w:next w:val="18"/>
    <w:link w:val="115"/>
    <w:qFormat/>
    <w:uiPriority w:val="0"/>
    <w:pPr>
      <w:spacing w:before="25" w:after="25"/>
      <w:jc w:val="left"/>
    </w:pPr>
    <w:rPr>
      <w:bCs/>
      <w:spacing w:val="10"/>
      <w:kern w:val="0"/>
      <w:sz w:val="24"/>
      <w:szCs w:val="20"/>
    </w:rPr>
  </w:style>
  <w:style w:type="character" w:customStyle="1" w:styleId="117">
    <w:name w:val="正文文本 字符"/>
    <w:semiHidden/>
    <w:qFormat/>
    <w:uiPriority w:val="99"/>
    <w:rPr>
      <w:kern w:val="2"/>
      <w:sz w:val="21"/>
      <w:szCs w:val="24"/>
    </w:rPr>
  </w:style>
  <w:style w:type="character" w:customStyle="1" w:styleId="118">
    <w:name w:val="标题 2 字符"/>
    <w:semiHidden/>
    <w:qFormat/>
    <w:uiPriority w:val="0"/>
    <w:rPr>
      <w:rFonts w:ascii="Arial" w:hAnsi="Arial" w:eastAsia="黑体"/>
      <w:b/>
      <w:bCs/>
      <w:sz w:val="32"/>
      <w:szCs w:val="32"/>
    </w:rPr>
  </w:style>
  <w:style w:type="character" w:customStyle="1" w:styleId="119">
    <w:name w:val="标题 3 字符"/>
    <w:link w:val="5"/>
    <w:qFormat/>
    <w:uiPriority w:val="0"/>
    <w:rPr>
      <w:b/>
      <w:bCs/>
      <w:sz w:val="32"/>
      <w:szCs w:val="32"/>
    </w:rPr>
  </w:style>
  <w:style w:type="character" w:customStyle="1" w:styleId="120">
    <w:name w:val="标题 5 字符"/>
    <w:semiHidden/>
    <w:qFormat/>
    <w:uiPriority w:val="0"/>
    <w:rPr>
      <w:b/>
      <w:kern w:val="2"/>
      <w:sz w:val="28"/>
      <w:szCs w:val="24"/>
    </w:rPr>
  </w:style>
  <w:style w:type="character" w:customStyle="1" w:styleId="121">
    <w:name w:val="标题 6 字符"/>
    <w:semiHidden/>
    <w:qFormat/>
    <w:uiPriority w:val="0"/>
    <w:rPr>
      <w:rFonts w:ascii="Arial" w:hAnsi="Arial" w:eastAsia="黑体"/>
      <w:b/>
      <w:kern w:val="2"/>
      <w:sz w:val="24"/>
      <w:szCs w:val="24"/>
    </w:rPr>
  </w:style>
  <w:style w:type="character" w:customStyle="1" w:styleId="122">
    <w:name w:val="标题 7 字符"/>
    <w:semiHidden/>
    <w:qFormat/>
    <w:uiPriority w:val="99"/>
    <w:rPr>
      <w:b/>
      <w:kern w:val="2"/>
      <w:sz w:val="24"/>
      <w:szCs w:val="24"/>
    </w:rPr>
  </w:style>
  <w:style w:type="character" w:customStyle="1" w:styleId="123">
    <w:name w:val="标题 8 字符"/>
    <w:semiHidden/>
    <w:qFormat/>
    <w:uiPriority w:val="99"/>
    <w:rPr>
      <w:rFonts w:ascii="Arial" w:hAnsi="Arial" w:eastAsia="黑体"/>
      <w:kern w:val="2"/>
      <w:sz w:val="24"/>
      <w:szCs w:val="24"/>
    </w:rPr>
  </w:style>
  <w:style w:type="character" w:customStyle="1" w:styleId="124">
    <w:name w:val="标题 9 字符"/>
    <w:semiHidden/>
    <w:qFormat/>
    <w:uiPriority w:val="99"/>
    <w:rPr>
      <w:rFonts w:ascii="Arial" w:hAnsi="Arial" w:eastAsia="黑体"/>
      <w:kern w:val="2"/>
      <w:sz w:val="21"/>
      <w:szCs w:val="24"/>
    </w:rPr>
  </w:style>
  <w:style w:type="paragraph" w:customStyle="1" w:styleId="125">
    <w:name w:val="msonormal"/>
    <w:basedOn w:val="1"/>
    <w:qFormat/>
    <w:uiPriority w:val="0"/>
    <w:pPr>
      <w:widowControl/>
      <w:spacing w:before="100" w:beforeAutospacing="1" w:after="100" w:afterAutospacing="1"/>
      <w:jc w:val="left"/>
    </w:pPr>
    <w:rPr>
      <w:rFonts w:ascii="宋体" w:hAnsi="宋体"/>
      <w:kern w:val="0"/>
      <w:sz w:val="24"/>
    </w:rPr>
  </w:style>
  <w:style w:type="character" w:customStyle="1" w:styleId="126">
    <w:name w:val="脚注文本 字符"/>
    <w:semiHidden/>
    <w:qFormat/>
    <w:uiPriority w:val="99"/>
    <w:rPr>
      <w:kern w:val="2"/>
      <w:sz w:val="18"/>
      <w:szCs w:val="18"/>
    </w:rPr>
  </w:style>
  <w:style w:type="character" w:customStyle="1" w:styleId="127">
    <w:name w:val="页眉 字符"/>
    <w:semiHidden/>
    <w:qFormat/>
    <w:uiPriority w:val="0"/>
    <w:rPr>
      <w:kern w:val="2"/>
      <w:sz w:val="18"/>
      <w:szCs w:val="18"/>
    </w:rPr>
  </w:style>
  <w:style w:type="character" w:customStyle="1" w:styleId="128">
    <w:name w:val="尾注文本 字符"/>
    <w:semiHidden/>
    <w:qFormat/>
    <w:uiPriority w:val="99"/>
    <w:rPr>
      <w:kern w:val="2"/>
      <w:sz w:val="21"/>
      <w:szCs w:val="24"/>
    </w:rPr>
  </w:style>
  <w:style w:type="character" w:customStyle="1" w:styleId="129">
    <w:name w:val="标题 字符"/>
    <w:qFormat/>
    <w:uiPriority w:val="10"/>
    <w:rPr>
      <w:rFonts w:ascii="Cambria" w:hAnsi="Cambria"/>
      <w:b/>
      <w:bCs/>
      <w:kern w:val="2"/>
      <w:sz w:val="32"/>
      <w:szCs w:val="32"/>
    </w:rPr>
  </w:style>
  <w:style w:type="character" w:customStyle="1" w:styleId="130">
    <w:name w:val="日期 字符"/>
    <w:semiHidden/>
    <w:qFormat/>
    <w:uiPriority w:val="99"/>
    <w:rPr>
      <w:rFonts w:ascii="宋体" w:hAnsi="Courier New"/>
      <w:szCs w:val="21"/>
    </w:rPr>
  </w:style>
  <w:style w:type="character" w:customStyle="1" w:styleId="131">
    <w:name w:val="正文文本 2 字符"/>
    <w:semiHidden/>
    <w:qFormat/>
    <w:uiPriority w:val="99"/>
    <w:rPr>
      <w:szCs w:val="24"/>
    </w:rPr>
  </w:style>
  <w:style w:type="character" w:customStyle="1" w:styleId="132">
    <w:name w:val="正文文本 3 字符"/>
    <w:semiHidden/>
    <w:qFormat/>
    <w:uiPriority w:val="99"/>
    <w:rPr>
      <w:b/>
      <w:bCs/>
      <w:sz w:val="24"/>
      <w:szCs w:val="24"/>
    </w:rPr>
  </w:style>
  <w:style w:type="character" w:customStyle="1" w:styleId="133">
    <w:name w:val="正文文本缩进 2 字符"/>
    <w:semiHidden/>
    <w:qFormat/>
    <w:uiPriority w:val="99"/>
    <w:rPr>
      <w:sz w:val="32"/>
    </w:rPr>
  </w:style>
  <w:style w:type="character" w:customStyle="1" w:styleId="134">
    <w:name w:val="正文文本缩进 3 字符"/>
    <w:semiHidden/>
    <w:qFormat/>
    <w:uiPriority w:val="99"/>
    <w:rPr>
      <w:sz w:val="16"/>
      <w:szCs w:val="16"/>
    </w:rPr>
  </w:style>
  <w:style w:type="character" w:customStyle="1" w:styleId="135">
    <w:name w:val="文档结构图 字符"/>
    <w:semiHidden/>
    <w:qFormat/>
    <w:uiPriority w:val="99"/>
    <w:rPr>
      <w:rFonts w:ascii="宋体" w:hAnsi="宋体"/>
      <w:shd w:val="clear" w:color="auto" w:fill="000080"/>
    </w:rPr>
  </w:style>
  <w:style w:type="character" w:customStyle="1" w:styleId="136">
    <w:name w:val="批注主题 字符"/>
    <w:semiHidden/>
    <w:qFormat/>
    <w:uiPriority w:val="99"/>
    <w:rPr>
      <w:rFonts w:ascii="Times New Roman" w:hAnsi="Times New Roman"/>
      <w:b/>
      <w:bCs/>
      <w:kern w:val="2"/>
      <w:sz w:val="21"/>
      <w:szCs w:val="24"/>
    </w:rPr>
  </w:style>
  <w:style w:type="character" w:customStyle="1" w:styleId="137">
    <w:name w:val="批注框文本 字符"/>
    <w:semiHidden/>
    <w:qFormat/>
    <w:uiPriority w:val="99"/>
    <w:rPr>
      <w:sz w:val="18"/>
      <w:szCs w:val="18"/>
    </w:rPr>
  </w:style>
  <w:style w:type="character" w:customStyle="1" w:styleId="138">
    <w:name w:val="标题 1 字符1"/>
    <w:qFormat/>
    <w:locked/>
    <w:uiPriority w:val="0"/>
    <w:rPr>
      <w:b/>
      <w:bCs/>
      <w:kern w:val="44"/>
      <w:sz w:val="44"/>
      <w:szCs w:val="44"/>
    </w:rPr>
  </w:style>
  <w:style w:type="character" w:customStyle="1" w:styleId="139">
    <w:name w:val="批注文字 字符2"/>
    <w:semiHidden/>
    <w:qFormat/>
    <w:locked/>
    <w:uiPriority w:val="99"/>
    <w:rPr>
      <w:kern w:val="2"/>
      <w:sz w:val="21"/>
      <w:szCs w:val="24"/>
    </w:rPr>
  </w:style>
  <w:style w:type="character" w:customStyle="1" w:styleId="140">
    <w:name w:val="正文文本缩进 字符1"/>
    <w:semiHidden/>
    <w:qFormat/>
    <w:locked/>
    <w:uiPriority w:val="99"/>
    <w:rPr>
      <w:rFonts w:ascii="仿宋_GB2312" w:eastAsia="仿宋_GB2312"/>
      <w:sz w:val="32"/>
    </w:rPr>
  </w:style>
  <w:style w:type="character" w:customStyle="1" w:styleId="141">
    <w:name w:val="纯文本 字符2"/>
    <w:semiHidden/>
    <w:qFormat/>
    <w:locked/>
    <w:uiPriority w:val="99"/>
    <w:rPr>
      <w:rFonts w:ascii="宋体" w:hAnsi="Courier New"/>
      <w:szCs w:val="21"/>
    </w:rPr>
  </w:style>
  <w:style w:type="character" w:customStyle="1" w:styleId="142">
    <w:name w:val="页脚 字符1"/>
    <w:semiHidden/>
    <w:qFormat/>
    <w:locked/>
    <w:uiPriority w:val="99"/>
    <w:rPr>
      <w:sz w:val="18"/>
      <w:szCs w:val="18"/>
    </w:rPr>
  </w:style>
  <w:style w:type="character" w:customStyle="1" w:styleId="143">
    <w:name w:val="无间隔 字符"/>
    <w:link w:val="144"/>
    <w:qFormat/>
    <w:locked/>
    <w:uiPriority w:val="0"/>
    <w:rPr>
      <w:rFonts w:ascii="Calibri" w:hAnsi="Calibri" w:eastAsia="仿宋_GB2312" w:cs="Calibri"/>
      <w:kern w:val="2"/>
      <w:sz w:val="28"/>
      <w:szCs w:val="22"/>
      <w:lang w:val="en-US" w:eastAsia="zh-CN" w:bidi="ar-SA"/>
    </w:rPr>
  </w:style>
  <w:style w:type="paragraph" w:styleId="144">
    <w:name w:val="No Spacing"/>
    <w:link w:val="143"/>
    <w:qFormat/>
    <w:uiPriority w:val="0"/>
    <w:pPr>
      <w:widowControl w:val="0"/>
      <w:adjustRightInd w:val="0"/>
      <w:snapToGrid w:val="0"/>
    </w:pPr>
    <w:rPr>
      <w:rFonts w:ascii="Calibri" w:hAnsi="Calibri" w:eastAsia="仿宋_GB2312" w:cs="Calibri"/>
      <w:kern w:val="2"/>
      <w:sz w:val="28"/>
      <w:szCs w:val="22"/>
      <w:lang w:val="en-US" w:eastAsia="zh-CN" w:bidi="ar-SA"/>
    </w:rPr>
  </w:style>
  <w:style w:type="character" w:customStyle="1" w:styleId="145">
    <w:name w:val="font21"/>
    <w:basedOn w:val="47"/>
    <w:qFormat/>
    <w:uiPriority w:val="0"/>
    <w:rPr>
      <w:rFonts w:hint="eastAsia" w:ascii="宋体" w:hAnsi="宋体" w:eastAsia="宋体" w:cs="宋体"/>
      <w:color w:val="0000FF"/>
      <w:sz w:val="28"/>
      <w:szCs w:val="28"/>
      <w:u w:val="none"/>
    </w:rPr>
  </w:style>
  <w:style w:type="character" w:customStyle="1" w:styleId="146">
    <w:name w:val="font11"/>
    <w:basedOn w:val="47"/>
    <w:qFormat/>
    <w:uiPriority w:val="0"/>
    <w:rPr>
      <w:rFonts w:hint="eastAsia" w:ascii="宋体" w:hAnsi="宋体" w:eastAsia="宋体" w:cs="宋体"/>
      <w:color w:val="000000"/>
      <w:sz w:val="28"/>
      <w:szCs w:val="28"/>
      <w:u w:val="none"/>
    </w:rPr>
  </w:style>
  <w:style w:type="character" w:customStyle="1" w:styleId="147">
    <w:name w:val="font31"/>
    <w:basedOn w:val="47"/>
    <w:qFormat/>
    <w:uiPriority w:val="0"/>
    <w:rPr>
      <w:rFonts w:hint="eastAsia" w:ascii="宋体" w:hAnsi="宋体" w:eastAsia="宋体" w:cs="宋体"/>
      <w:strike/>
      <w:color w:val="0000FF"/>
      <w:sz w:val="28"/>
      <w:szCs w:val="28"/>
    </w:rPr>
  </w:style>
  <w:style w:type="character" w:customStyle="1" w:styleId="148">
    <w:name w:val="font41"/>
    <w:basedOn w:val="47"/>
    <w:qFormat/>
    <w:uiPriority w:val="0"/>
    <w:rPr>
      <w:rFonts w:hint="eastAsia" w:ascii="宋体" w:hAnsi="宋体" w:eastAsia="宋体" w:cs="宋体"/>
      <w:b/>
      <w:bCs/>
      <w:color w:val="000000"/>
      <w:sz w:val="28"/>
      <w:szCs w:val="28"/>
      <w:u w:val="none"/>
    </w:rPr>
  </w:style>
  <w:style w:type="character" w:customStyle="1" w:styleId="149">
    <w:name w:val="font51"/>
    <w:basedOn w:val="47"/>
    <w:qFormat/>
    <w:uiPriority w:val="0"/>
    <w:rPr>
      <w:rFonts w:hint="eastAsia" w:ascii="宋体" w:hAnsi="宋体" w:eastAsia="宋体" w:cs="宋体"/>
      <w:color w:val="000000"/>
      <w:sz w:val="28"/>
      <w:szCs w:val="28"/>
      <w:u w:val="single"/>
    </w:rPr>
  </w:style>
  <w:style w:type="character" w:customStyle="1" w:styleId="150">
    <w:name w:val="font61"/>
    <w:basedOn w:val="47"/>
    <w:qFormat/>
    <w:uiPriority w:val="0"/>
    <w:rPr>
      <w:rFonts w:hint="eastAsia" w:ascii="宋体" w:hAnsi="宋体" w:eastAsia="宋体" w:cs="宋体"/>
      <w:color w:val="0000FF"/>
      <w:sz w:val="28"/>
      <w:szCs w:val="28"/>
      <w:u w:val="single"/>
    </w:rPr>
  </w:style>
  <w:style w:type="character" w:customStyle="1" w:styleId="151">
    <w:name w:val="15"/>
    <w:basedOn w:val="47"/>
    <w:qFormat/>
    <w:uiPriority w:val="0"/>
    <w:rPr>
      <w:rFonts w:hint="default" w:ascii="Times New Roman" w:hAnsi="Times New Roman" w:cs="Times New Roman"/>
    </w:rPr>
  </w:style>
  <w:style w:type="paragraph" w:customStyle="1" w:styleId="152">
    <w:name w:val="PlainText"/>
    <w:basedOn w:val="1"/>
    <w:qFormat/>
    <w:uiPriority w:val="0"/>
    <w:pPr>
      <w:widowControl/>
      <w:textAlignment w:val="baseline"/>
    </w:pPr>
    <w:rPr>
      <w:rFonts w:ascii="宋体" w:hAnsi="Courier New"/>
      <w:kern w:val="0"/>
      <w:sz w:val="20"/>
      <w:szCs w:val="21"/>
    </w:rPr>
  </w:style>
  <w:style w:type="character" w:customStyle="1" w:styleId="153">
    <w:name w:val="NormalCharacter"/>
    <w:semiHidden/>
    <w:qFormat/>
    <w:uiPriority w:val="0"/>
  </w:style>
  <w:style w:type="paragraph" w:customStyle="1" w:styleId="154">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A25CC-46C6-4446-9DF1-DC5AEE09D5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11904</Words>
  <Characters>67858</Characters>
  <Lines>565</Lines>
  <Paragraphs>159</Paragraphs>
  <TotalTime>0</TotalTime>
  <ScaleCrop>false</ScaleCrop>
  <LinksUpToDate>false</LinksUpToDate>
  <CharactersWithSpaces>79603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2023-11-27T07:45:00Z</dcterms:created>
  <dc:creator>番茄花园</dc:creator>
  <cp:lastModifiedBy>Mike</cp:lastModifiedBy>
  <cp:lastPrinted>2019-09-27T01:36:00Z</cp:lastPrinted>
  <dcterms:modified xsi:type="dcterms:W3CDTF">2024-07-22T03:46:01Z</dcterms:modified>
  <dc:title>公开招标采购文件范本</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544A8F9BDB7E48E7957B7F50CD9272A5_13</vt:lpwstr>
  </property>
</Properties>
</file>