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pStyle w:val="26"/>
        <w:ind w:firstLine="5"/>
        <w:jc w:val="center"/>
        <w:rPr>
          <w:rFonts w:ascii="方正美黑简体" w:eastAsia="方正美黑简体"/>
          <w:sz w:val="44"/>
          <w:szCs w:val="44"/>
        </w:rPr>
      </w:pPr>
      <w:r>
        <w:rPr>
          <w:rFonts w:hint="eastAsia" w:hAnsi="宋体" w:eastAsia="方正美黑简体" w:cs="Times New Roman"/>
          <w:spacing w:val="30"/>
          <w:kern w:val="52"/>
          <w:sz w:val="44"/>
          <w:szCs w:val="44"/>
          <w:lang w:eastAsia="zh-CN"/>
        </w:rPr>
        <w:t>广西建设工程机电设备招标中心有限公司</w:t>
      </w:r>
      <w:r>
        <w:rPr>
          <w:rFonts w:hint="eastAsia" w:hAnsi="宋体" w:eastAsia="方正美黑简体" w:cs="Times New Roman"/>
          <w:spacing w:val="30"/>
          <w:kern w:val="52"/>
          <w:sz w:val="44"/>
          <w:szCs w:val="44"/>
        </w:rPr>
        <w:t xml:space="preserve">   </w:t>
      </w:r>
    </w:p>
    <w:p>
      <w:pPr>
        <w:jc w:val="center"/>
        <w:rPr>
          <w:rFonts w:ascii="汉仪魏碑简" w:eastAsia="汉仪魏碑简"/>
          <w:sz w:val="28"/>
          <w:szCs w:val="28"/>
        </w:rPr>
      </w:pPr>
      <w:r>
        <w:rPr>
          <w:rFonts w:hint="eastAsia" w:ascii="幼圆" w:eastAsia="幼圆"/>
          <w:b/>
          <w:spacing w:val="-16"/>
          <w:sz w:val="13"/>
          <w:szCs w:val="13"/>
          <w:u w:val="singl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5829300" cy="0"/>
                <wp:effectExtent l="0" t="28575" r="7620" b="32385"/>
                <wp:wrapNone/>
                <wp:docPr id="10" name="直接连接符 10"/>
                <wp:cNvGraphicFramePr/>
                <a:graphic xmlns:a="http://schemas.openxmlformats.org/drawingml/2006/main">
                  <a:graphicData uri="http://schemas.microsoft.com/office/word/2010/wordprocessingShape">
                    <wps:wsp>
                      <wps:cNvCnPr/>
                      <wps:spPr>
                        <a:xfrm flipV="1">
                          <a:off x="0" y="0"/>
                          <a:ext cx="5829300" cy="0"/>
                        </a:xfrm>
                        <a:prstGeom prst="line">
                          <a:avLst/>
                        </a:prstGeom>
                        <a:ln w="57150" cap="flat" cmpd="thinThick">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9pt;margin-top:7.8pt;height:0pt;width:459pt;z-index:251659264;mso-width-relative:page;mso-height-relative:page;" filled="f" stroked="t" coordsize="21600,21600" o:gfxdata="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GS0ctIAAAAIAQAADwAAAAAAAAABACAAAAAiAAAAZHJzL2Rvd25yZXYueG1sUEsBAhQA&#10;FAAAAAgAh07iQKUB5q34AQAA6wMAAA4AAAAAAAAAAQAgAAAAIQEAAGRycy9lMm9Eb2MueG1sUEsF&#10;BgAAAAAGAAYAWQEAAIsFAAAAAA==&#10;">
                <v:fill on="f" focussize="0,0"/>
                <v:stroke weight="4.5pt" color="#000000" linestyle="thinThick" joinstyle="round"/>
                <v:imagedata o:title=""/>
                <o:lock v:ext="edit" aspectratio="f"/>
              </v:line>
            </w:pict>
          </mc:Fallback>
        </mc:AlternateContent>
      </w:r>
    </w:p>
    <w:p>
      <w:pPr>
        <w:rPr>
          <w:rFonts w:ascii="汉仪魏碑简" w:eastAsia="汉仪魏碑简"/>
          <w:sz w:val="70"/>
          <w:szCs w:val="70"/>
        </w:rPr>
      </w:pPr>
    </w:p>
    <w:p>
      <w:pPr>
        <w:pStyle w:val="26"/>
        <w:jc w:val="center"/>
        <w:rPr>
          <w:rFonts w:asciiTheme="minorEastAsia" w:hAnsiTheme="minorEastAsia" w:eastAsiaTheme="minorEastAsia" w:cstheme="minorEastAsia"/>
          <w:b/>
          <w:bCs/>
          <w:spacing w:val="-18"/>
          <w:sz w:val="96"/>
          <w:szCs w:val="96"/>
        </w:rPr>
      </w:pPr>
      <w:r>
        <w:rPr>
          <w:rFonts w:hint="eastAsia" w:asciiTheme="minorEastAsia" w:hAnsiTheme="minorEastAsia" w:eastAsiaTheme="minorEastAsia" w:cstheme="minorEastAsia"/>
          <w:b/>
          <w:bCs/>
          <w:spacing w:val="-18"/>
          <w:sz w:val="96"/>
          <w:szCs w:val="96"/>
        </w:rPr>
        <w:t>竞争性磋商文件</w:t>
      </w:r>
    </w:p>
    <w:p>
      <w:pPr>
        <w:snapToGrid w:val="0"/>
        <w:spacing w:before="156" w:beforeLines="50" w:line="500" w:lineRule="exact"/>
        <w:rPr>
          <w:rFonts w:asciiTheme="minorEastAsia" w:hAnsiTheme="minorEastAsia" w:eastAsiaTheme="minorEastAsia" w:cstheme="minorEastAsia"/>
        </w:rPr>
      </w:pPr>
      <w:bookmarkStart w:id="347" w:name="_GoBack"/>
      <w:bookmarkEnd w:id="347"/>
    </w:p>
    <w:p>
      <w:pPr>
        <w:snapToGrid w:val="0"/>
        <w:spacing w:before="156" w:beforeLines="50" w:line="500" w:lineRule="exact"/>
        <w:jc w:val="center"/>
        <w:rPr>
          <w:rFonts w:asciiTheme="minorEastAsia" w:hAnsiTheme="minorEastAsia" w:eastAsiaTheme="minorEastAsia" w:cstheme="minorEastAsia"/>
          <w:b/>
          <w:bCs/>
          <w:sz w:val="30"/>
          <w:szCs w:val="30"/>
        </w:rPr>
      </w:pPr>
    </w:p>
    <w:p>
      <w:pPr>
        <w:snapToGrid w:val="0"/>
        <w:spacing w:before="156" w:beforeLines="50" w:line="500" w:lineRule="exact"/>
        <w:jc w:val="center"/>
        <w:rPr>
          <w:rFonts w:asciiTheme="minorEastAsia" w:hAnsiTheme="minorEastAsia" w:eastAsiaTheme="minorEastAsia" w:cstheme="minorEastAsia"/>
          <w:b/>
          <w:bCs/>
          <w:sz w:val="30"/>
          <w:szCs w:val="30"/>
        </w:rPr>
      </w:pPr>
    </w:p>
    <w:p>
      <w:pPr>
        <w:snapToGrid w:val="0"/>
        <w:spacing w:before="156" w:beforeLines="50" w:line="500" w:lineRule="exact"/>
        <w:jc w:val="center"/>
        <w:rPr>
          <w:rFonts w:asciiTheme="minorEastAsia" w:hAnsiTheme="minorEastAsia" w:eastAsiaTheme="minorEastAsia" w:cstheme="minorEastAsia"/>
          <w:b/>
          <w:bCs/>
          <w:sz w:val="30"/>
          <w:szCs w:val="30"/>
        </w:rPr>
      </w:pPr>
    </w:p>
    <w:p>
      <w:pPr>
        <w:snapToGrid w:val="0"/>
        <w:spacing w:before="156" w:beforeLines="50" w:line="500" w:lineRule="exact"/>
        <w:ind w:firstLine="964" w:firstLineChars="300"/>
        <w:jc w:val="left"/>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项目名称：桂林理工大学雁山校区图书馆环境改造工程</w:t>
      </w:r>
    </w:p>
    <w:p>
      <w:pPr>
        <w:snapToGrid w:val="0"/>
        <w:spacing w:before="156" w:beforeLines="50" w:line="500" w:lineRule="exact"/>
        <w:ind w:firstLine="964" w:firstLineChars="300"/>
        <w:jc w:val="left"/>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rPr>
        <w:t>项目编号：</w:t>
      </w:r>
      <w:r>
        <w:rPr>
          <w:rFonts w:hint="eastAsia" w:asciiTheme="minorEastAsia" w:hAnsiTheme="minorEastAsia" w:eastAsiaTheme="minorEastAsia" w:cstheme="minorEastAsia"/>
          <w:b/>
          <w:bCs/>
          <w:sz w:val="32"/>
          <w:szCs w:val="32"/>
          <w:lang w:eastAsia="zh-CN"/>
        </w:rPr>
        <w:t>GGZC2024-C2-004596-JGJD</w:t>
      </w:r>
    </w:p>
    <w:p>
      <w:pPr>
        <w:snapToGrid w:val="0"/>
        <w:spacing w:before="156" w:beforeLines="50" w:line="500" w:lineRule="exact"/>
        <w:rPr>
          <w:rFonts w:asciiTheme="minorEastAsia" w:hAnsiTheme="minorEastAsia" w:eastAsiaTheme="minorEastAsia" w:cstheme="minorEastAsia"/>
          <w:sz w:val="32"/>
          <w:szCs w:val="32"/>
        </w:rPr>
      </w:pPr>
    </w:p>
    <w:p>
      <w:pPr>
        <w:snapToGrid w:val="0"/>
        <w:spacing w:before="156" w:beforeLines="50" w:line="500" w:lineRule="exact"/>
        <w:rPr>
          <w:rFonts w:asciiTheme="minorEastAsia" w:hAnsiTheme="minorEastAsia" w:eastAsiaTheme="minorEastAsia" w:cstheme="minorEastAsia"/>
        </w:rPr>
      </w:pPr>
    </w:p>
    <w:p>
      <w:pPr>
        <w:pStyle w:val="6"/>
        <w:rPr>
          <w:rFonts w:asciiTheme="minorEastAsia" w:hAnsiTheme="minorEastAsia" w:eastAsiaTheme="minorEastAsia" w:cstheme="minorEastAsia"/>
        </w:rPr>
      </w:pPr>
    </w:p>
    <w:p/>
    <w:p>
      <w:pPr>
        <w:snapToGrid w:val="0"/>
        <w:spacing w:before="156" w:beforeLines="50" w:line="400" w:lineRule="atLeast"/>
        <w:ind w:firstLine="1506" w:firstLineChars="500"/>
        <w:rPr>
          <w:rFonts w:asciiTheme="minorEastAsia" w:hAnsiTheme="minorEastAsia" w:eastAsiaTheme="minorEastAsia" w:cstheme="minorEastAsia"/>
          <w:b/>
          <w:bCs/>
          <w:sz w:val="30"/>
          <w:szCs w:val="30"/>
        </w:rPr>
      </w:pPr>
    </w:p>
    <w:p>
      <w:pPr>
        <w:snapToGrid w:val="0"/>
        <w:spacing w:before="156" w:beforeLines="50" w:line="400" w:lineRule="atLeast"/>
        <w:ind w:firstLine="1506" w:firstLineChars="500"/>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mc:AlternateContent>
          <mc:Choice Requires="wps">
            <w:drawing>
              <wp:anchor distT="0" distB="0" distL="114300" distR="114300" simplePos="0" relativeHeight="251657216" behindDoc="0" locked="0" layoutInCell="1" allowOverlap="1">
                <wp:simplePos x="0" y="0"/>
                <wp:positionH relativeFrom="column">
                  <wp:posOffset>-110490</wp:posOffset>
                </wp:positionH>
                <wp:positionV relativeFrom="paragraph">
                  <wp:posOffset>78740</wp:posOffset>
                </wp:positionV>
                <wp:extent cx="6076950" cy="0"/>
                <wp:effectExtent l="0" t="0" r="0" b="0"/>
                <wp:wrapNone/>
                <wp:docPr id="2" name="自选图形 3"/>
                <wp:cNvGraphicFramePr/>
                <a:graphic xmlns:a="http://schemas.openxmlformats.org/drawingml/2006/main">
                  <a:graphicData uri="http://schemas.microsoft.com/office/word/2010/wordprocessingShape">
                    <wps:wsp>
                      <wps:cNvCnPr/>
                      <wps:spPr>
                        <a:xfrm>
                          <a:off x="0" y="0"/>
                          <a:ext cx="60769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8.7pt;margin-top:6.2pt;height:0pt;width:478.5pt;z-index:251657216;mso-width-relative:page;mso-height-relative:page;" filled="f" stroked="t" coordsize="21600,21600" o:gfxdata="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bMywj1wAAAAkBAAAPAAAAAAAAAAEAIAAAACIAAABkcnMvZG93bnJldi54bWxQSwEC&#10;FAAUAAAACACHTuJAlDlLd/UBAADjAwAADgAAAAAAAAABACAAAAAmAQAAZHJzL2Uyb0RvYy54bWxQ&#10;SwUGAAAAAAYABgBZAQAAjQUAAAAA&#10;">
                <v:fill on="f" focussize="0,0"/>
                <v:stroke color="#000000" joinstyle="round"/>
                <v:imagedata o:title=""/>
                <o:lock v:ext="edit" aspectratio="f"/>
              </v:shape>
            </w:pict>
          </mc:Fallback>
        </mc:AlternateContent>
      </w:r>
      <w:r>
        <w:rPr>
          <w:rFonts w:hint="eastAsia" w:asciiTheme="minorEastAsia" w:hAnsiTheme="minorEastAsia" w:eastAsiaTheme="minorEastAsia" w:cstheme="minorEastAsia"/>
          <w:b/>
          <w:bCs/>
          <w:sz w:val="30"/>
          <w:szCs w:val="30"/>
        </w:rPr>
        <w:t>采购单位：桂林理工大学</w:t>
      </w:r>
    </w:p>
    <w:p>
      <w:pPr>
        <w:snapToGrid w:val="0"/>
        <w:spacing w:before="156" w:beforeLines="50" w:line="400" w:lineRule="atLeast"/>
        <w:ind w:firstLine="1506" w:firstLineChars="500"/>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采购代理机构：</w:t>
      </w:r>
      <w:r>
        <w:rPr>
          <w:rFonts w:hint="eastAsia" w:asciiTheme="minorEastAsia" w:hAnsiTheme="minorEastAsia" w:eastAsiaTheme="minorEastAsia" w:cstheme="minorEastAsia"/>
          <w:b/>
          <w:bCs/>
          <w:sz w:val="30"/>
          <w:szCs w:val="30"/>
          <w:lang w:eastAsia="zh-CN"/>
        </w:rPr>
        <w:t>广西建设工程机电设备招标中心有限公司</w:t>
      </w:r>
      <w:r>
        <w:rPr>
          <w:rFonts w:hint="eastAsia" w:asciiTheme="minorEastAsia" w:hAnsiTheme="minorEastAsia" w:eastAsiaTheme="minorEastAsia" w:cstheme="minorEastAsia"/>
          <w:b/>
          <w:bCs/>
          <w:sz w:val="30"/>
          <w:szCs w:val="30"/>
        </w:rPr>
        <w:t xml:space="preserve">   </w:t>
      </w:r>
    </w:p>
    <w:p>
      <w:pPr>
        <w:snapToGrid w:val="0"/>
        <w:spacing w:before="156" w:beforeLines="50" w:line="400" w:lineRule="atLeast"/>
        <w:jc w:val="center"/>
        <w:rPr>
          <w:rFonts w:asciiTheme="minorEastAsia" w:hAnsiTheme="minorEastAsia" w:eastAsiaTheme="minorEastAsia" w:cstheme="minorEastAsia"/>
          <w:b/>
          <w:bCs/>
          <w:sz w:val="30"/>
          <w:szCs w:val="30"/>
        </w:rPr>
        <w:sectPr>
          <w:headerReference r:id="rId3" w:type="default"/>
          <w:footerReference r:id="rId4" w:type="default"/>
          <w:pgSz w:w="11906" w:h="16838"/>
          <w:pgMar w:top="1134" w:right="1134" w:bottom="1134" w:left="1134" w:header="851" w:footer="567" w:gutter="0"/>
          <w:pgNumType w:start="0"/>
          <w:cols w:space="720" w:num="1"/>
          <w:titlePg/>
          <w:docGrid w:type="lines" w:linePitch="312" w:charSpace="0"/>
        </w:sectPr>
      </w:pPr>
      <w:r>
        <w:rPr>
          <w:rFonts w:hint="eastAsia" w:asciiTheme="minorEastAsia" w:hAnsiTheme="minorEastAsia" w:eastAsiaTheme="minorEastAsia" w:cstheme="minorEastAsia"/>
          <w:b/>
          <w:bCs/>
          <w:sz w:val="30"/>
          <w:szCs w:val="30"/>
        </w:rPr>
        <w:t>2024年</w:t>
      </w:r>
      <w:r>
        <w:rPr>
          <w:rFonts w:hint="eastAsia" w:asciiTheme="minorEastAsia" w:hAnsiTheme="minorEastAsia" w:eastAsiaTheme="minorEastAsia" w:cstheme="minorEastAsia"/>
          <w:b/>
          <w:bCs/>
          <w:sz w:val="30"/>
          <w:szCs w:val="30"/>
          <w:lang w:val="en-US" w:eastAsia="zh-CN"/>
        </w:rPr>
        <w:t>7</w:t>
      </w:r>
      <w:r>
        <w:rPr>
          <w:rFonts w:hint="eastAsia" w:asciiTheme="minorEastAsia" w:hAnsiTheme="minorEastAsia" w:eastAsiaTheme="minorEastAsia" w:cstheme="minorEastAsia"/>
          <w:b/>
          <w:bCs/>
          <w:sz w:val="30"/>
          <w:szCs w:val="30"/>
        </w:rPr>
        <w:t>月</w:t>
      </w:r>
      <w:r>
        <w:rPr>
          <w:rFonts w:hint="eastAsia" w:asciiTheme="minorEastAsia" w:hAnsiTheme="minorEastAsia" w:eastAsiaTheme="minorEastAsia" w:cstheme="minorEastAsia"/>
          <w:b/>
          <w:bCs/>
          <w:sz w:val="30"/>
          <w:szCs w:val="30"/>
          <w:lang w:val="en-US" w:eastAsia="zh-CN"/>
        </w:rPr>
        <w:t>12</w:t>
      </w:r>
      <w:r>
        <w:rPr>
          <w:rFonts w:hint="eastAsia" w:asciiTheme="minorEastAsia" w:hAnsiTheme="minorEastAsia" w:eastAsiaTheme="minorEastAsia" w:cstheme="minorEastAsia"/>
          <w:b/>
          <w:bCs/>
          <w:sz w:val="30"/>
          <w:szCs w:val="30"/>
        </w:rPr>
        <w:t>日</w:t>
      </w:r>
    </w:p>
    <w:p>
      <w:pPr>
        <w:jc w:val="center"/>
        <w:rPr>
          <w:rFonts w:ascii="宋体" w:hAnsi="宋体"/>
          <w:sz w:val="44"/>
          <w:szCs w:val="44"/>
        </w:rPr>
      </w:pPr>
      <w:r>
        <w:rPr>
          <w:rFonts w:hint="eastAsia" w:ascii="宋体" w:hAnsi="宋体"/>
          <w:sz w:val="44"/>
          <w:szCs w:val="44"/>
        </w:rPr>
        <w:t xml:space="preserve"> </w:t>
      </w:r>
    </w:p>
    <w:sdt>
      <w:sdtPr>
        <w:rPr>
          <w:rFonts w:ascii="宋体" w:hAnsi="宋体"/>
          <w:b/>
          <w:bCs/>
          <w:sz w:val="44"/>
          <w:szCs w:val="44"/>
        </w:rPr>
        <w:id w:val="147460414"/>
        <w:docPartObj>
          <w:docPartGallery w:val="Table of Contents"/>
          <w:docPartUnique/>
        </w:docPartObj>
      </w:sdtPr>
      <w:sdtEndPr>
        <w:rPr>
          <w:rFonts w:ascii="宋体" w:hAnsi="宋体"/>
          <w:b/>
          <w:bCs/>
          <w:sz w:val="44"/>
          <w:szCs w:val="44"/>
        </w:rPr>
      </w:sdtEndPr>
      <w:sdtContent>
        <w:p>
          <w:pPr>
            <w:jc w:val="center"/>
            <w:rPr>
              <w:rFonts w:ascii="宋体" w:hAnsi="宋体"/>
              <w:b/>
              <w:bCs/>
              <w:sz w:val="44"/>
              <w:szCs w:val="44"/>
            </w:rPr>
          </w:pPr>
          <w:r>
            <w:rPr>
              <w:rFonts w:ascii="宋体" w:hAnsi="宋体"/>
              <w:b/>
              <w:bCs/>
              <w:sz w:val="44"/>
              <w:szCs w:val="44"/>
            </w:rPr>
            <w:t>目</w:t>
          </w:r>
          <w:r>
            <w:rPr>
              <w:rFonts w:hint="eastAsia" w:ascii="宋体" w:hAnsi="宋体"/>
              <w:b/>
              <w:bCs/>
              <w:sz w:val="44"/>
              <w:szCs w:val="44"/>
            </w:rPr>
            <w:t xml:space="preserve">    </w:t>
          </w:r>
          <w:r>
            <w:rPr>
              <w:rFonts w:ascii="宋体" w:hAnsi="宋体"/>
              <w:b/>
              <w:bCs/>
              <w:sz w:val="44"/>
              <w:szCs w:val="44"/>
            </w:rPr>
            <w:t>录</w:t>
          </w:r>
          <w:r>
            <w:rPr>
              <w:rFonts w:hint="eastAsia" w:ascii="宋体" w:hAnsi="宋体"/>
              <w:b/>
              <w:bCs/>
              <w:sz w:val="44"/>
              <w:szCs w:val="44"/>
            </w:rPr>
            <w:t xml:space="preserve">     </w:t>
          </w:r>
        </w:p>
        <w:p>
          <w:pPr>
            <w:pStyle w:val="29"/>
            <w:spacing w:line="360" w:lineRule="auto"/>
            <w:rPr>
              <w:rFonts w:ascii="宋体" w:hAnsi="宋体"/>
              <w:b/>
              <w:bCs/>
              <w:sz w:val="28"/>
              <w:szCs w:val="28"/>
            </w:rPr>
          </w:pPr>
        </w:p>
        <w:p>
          <w:pPr>
            <w:pStyle w:val="33"/>
            <w:tabs>
              <w:tab w:val="right" w:leader="dot" w:pos="8730"/>
            </w:tabs>
            <w:spacing w:line="360" w:lineRule="auto"/>
            <w:rPr>
              <w:b w:val="0"/>
              <w:bCs w:val="0"/>
              <w:sz w:val="28"/>
              <w:szCs w:val="28"/>
            </w:rPr>
          </w:pPr>
          <w:r>
            <w:rPr>
              <w:sz w:val="28"/>
              <w:szCs w:val="28"/>
            </w:rPr>
            <w:fldChar w:fldCharType="begin"/>
          </w:r>
          <w:r>
            <w:rPr>
              <w:sz w:val="28"/>
              <w:szCs w:val="28"/>
            </w:rPr>
            <w:instrText xml:space="preserve">TOC \o "1-1" \h \u </w:instrText>
          </w:r>
          <w:r>
            <w:rPr>
              <w:sz w:val="28"/>
              <w:szCs w:val="28"/>
            </w:rPr>
            <w:fldChar w:fldCharType="separate"/>
          </w:r>
          <w:r>
            <w:fldChar w:fldCharType="begin"/>
          </w:r>
          <w:r>
            <w:instrText xml:space="preserve"> HYPERLINK \l "_Toc20567" </w:instrText>
          </w:r>
          <w:r>
            <w:fldChar w:fldCharType="separate"/>
          </w:r>
          <w:r>
            <w:rPr>
              <w:rFonts w:hint="eastAsia" w:asciiTheme="minorEastAsia" w:hAnsiTheme="minorEastAsia" w:eastAsiaTheme="minorEastAsia" w:cstheme="minorEastAsia"/>
              <w:b w:val="0"/>
              <w:bCs w:val="0"/>
              <w:sz w:val="28"/>
              <w:szCs w:val="28"/>
            </w:rPr>
            <w:t>第一章  竞争性磋商公告</w:t>
          </w:r>
          <w:r>
            <w:rPr>
              <w:b w:val="0"/>
              <w:bCs w:val="0"/>
              <w:sz w:val="28"/>
              <w:szCs w:val="28"/>
            </w:rPr>
            <w:tab/>
          </w:r>
          <w:r>
            <w:rPr>
              <w:b w:val="0"/>
              <w:bCs w:val="0"/>
              <w:sz w:val="28"/>
              <w:szCs w:val="28"/>
            </w:rPr>
            <w:fldChar w:fldCharType="begin"/>
          </w:r>
          <w:r>
            <w:rPr>
              <w:b w:val="0"/>
              <w:bCs w:val="0"/>
              <w:sz w:val="28"/>
              <w:szCs w:val="28"/>
            </w:rPr>
            <w:instrText xml:space="preserve"> PAGEREF _Toc20567 \h </w:instrText>
          </w:r>
          <w:r>
            <w:rPr>
              <w:b w:val="0"/>
              <w:bCs w:val="0"/>
              <w:sz w:val="28"/>
              <w:szCs w:val="28"/>
            </w:rPr>
            <w:fldChar w:fldCharType="separate"/>
          </w:r>
          <w:r>
            <w:rPr>
              <w:b w:val="0"/>
              <w:bCs w:val="0"/>
              <w:sz w:val="28"/>
              <w:szCs w:val="28"/>
            </w:rPr>
            <w:t>2</w:t>
          </w:r>
          <w:r>
            <w:rPr>
              <w:b w:val="0"/>
              <w:bCs w:val="0"/>
              <w:sz w:val="28"/>
              <w:szCs w:val="28"/>
            </w:rPr>
            <w:fldChar w:fldCharType="end"/>
          </w:r>
          <w:r>
            <w:rPr>
              <w:b w:val="0"/>
              <w:bCs w:val="0"/>
              <w:sz w:val="28"/>
              <w:szCs w:val="28"/>
            </w:rPr>
            <w:fldChar w:fldCharType="end"/>
          </w:r>
        </w:p>
        <w:p>
          <w:pPr>
            <w:pStyle w:val="33"/>
            <w:tabs>
              <w:tab w:val="right" w:leader="dot" w:pos="8730"/>
            </w:tabs>
            <w:spacing w:line="360" w:lineRule="auto"/>
            <w:rPr>
              <w:b w:val="0"/>
              <w:bCs w:val="0"/>
              <w:sz w:val="28"/>
              <w:szCs w:val="28"/>
            </w:rPr>
          </w:pPr>
          <w:r>
            <w:fldChar w:fldCharType="begin"/>
          </w:r>
          <w:r>
            <w:instrText xml:space="preserve"> HYPERLINK \l "_Toc18176" </w:instrText>
          </w:r>
          <w:r>
            <w:fldChar w:fldCharType="separate"/>
          </w:r>
          <w:r>
            <w:rPr>
              <w:rFonts w:hint="eastAsia" w:asciiTheme="minorEastAsia" w:hAnsiTheme="minorEastAsia" w:eastAsiaTheme="minorEastAsia" w:cstheme="minorEastAsia"/>
              <w:b w:val="0"/>
              <w:bCs w:val="0"/>
              <w:sz w:val="28"/>
              <w:szCs w:val="28"/>
            </w:rPr>
            <w:t>第二章  磋商须知前附表及磋商须知</w:t>
          </w:r>
          <w:r>
            <w:rPr>
              <w:b w:val="0"/>
              <w:bCs w:val="0"/>
              <w:sz w:val="28"/>
              <w:szCs w:val="28"/>
            </w:rPr>
            <w:tab/>
          </w:r>
          <w:r>
            <w:rPr>
              <w:b w:val="0"/>
              <w:bCs w:val="0"/>
              <w:sz w:val="28"/>
              <w:szCs w:val="28"/>
            </w:rPr>
            <w:fldChar w:fldCharType="begin"/>
          </w:r>
          <w:r>
            <w:rPr>
              <w:b w:val="0"/>
              <w:bCs w:val="0"/>
              <w:sz w:val="28"/>
              <w:szCs w:val="28"/>
            </w:rPr>
            <w:instrText xml:space="preserve"> PAGEREF _Toc18176 \h </w:instrText>
          </w:r>
          <w:r>
            <w:rPr>
              <w:b w:val="0"/>
              <w:bCs w:val="0"/>
              <w:sz w:val="28"/>
              <w:szCs w:val="28"/>
            </w:rPr>
            <w:fldChar w:fldCharType="separate"/>
          </w:r>
          <w:r>
            <w:rPr>
              <w:b w:val="0"/>
              <w:bCs w:val="0"/>
              <w:sz w:val="28"/>
              <w:szCs w:val="28"/>
            </w:rPr>
            <w:t>8</w:t>
          </w:r>
          <w:r>
            <w:rPr>
              <w:b w:val="0"/>
              <w:bCs w:val="0"/>
              <w:sz w:val="28"/>
              <w:szCs w:val="28"/>
            </w:rPr>
            <w:fldChar w:fldCharType="end"/>
          </w:r>
          <w:r>
            <w:rPr>
              <w:b w:val="0"/>
              <w:bCs w:val="0"/>
              <w:sz w:val="28"/>
              <w:szCs w:val="28"/>
            </w:rPr>
            <w:fldChar w:fldCharType="end"/>
          </w:r>
        </w:p>
        <w:p>
          <w:pPr>
            <w:pStyle w:val="33"/>
            <w:tabs>
              <w:tab w:val="right" w:leader="dot" w:pos="8730"/>
            </w:tabs>
            <w:spacing w:line="360" w:lineRule="auto"/>
            <w:rPr>
              <w:b w:val="0"/>
              <w:bCs w:val="0"/>
              <w:sz w:val="28"/>
              <w:szCs w:val="28"/>
            </w:rPr>
          </w:pPr>
          <w:r>
            <w:fldChar w:fldCharType="begin"/>
          </w:r>
          <w:r>
            <w:instrText xml:space="preserve"> HYPERLINK \l "_Toc3177" </w:instrText>
          </w:r>
          <w:r>
            <w:fldChar w:fldCharType="separate"/>
          </w:r>
          <w:r>
            <w:rPr>
              <w:rFonts w:hint="eastAsia" w:asciiTheme="minorEastAsia" w:hAnsiTheme="minorEastAsia" w:eastAsiaTheme="minorEastAsia" w:cstheme="minorEastAsia"/>
              <w:b w:val="0"/>
              <w:bCs w:val="0"/>
              <w:sz w:val="28"/>
              <w:szCs w:val="28"/>
            </w:rPr>
            <w:t>第三章  技术规范</w:t>
          </w:r>
          <w:r>
            <w:rPr>
              <w:b w:val="0"/>
              <w:bCs w:val="0"/>
              <w:sz w:val="28"/>
              <w:szCs w:val="28"/>
            </w:rPr>
            <w:tab/>
          </w:r>
          <w:r>
            <w:rPr>
              <w:b w:val="0"/>
              <w:bCs w:val="0"/>
              <w:sz w:val="28"/>
              <w:szCs w:val="28"/>
            </w:rPr>
            <w:fldChar w:fldCharType="begin"/>
          </w:r>
          <w:r>
            <w:rPr>
              <w:b w:val="0"/>
              <w:bCs w:val="0"/>
              <w:sz w:val="28"/>
              <w:szCs w:val="28"/>
            </w:rPr>
            <w:instrText xml:space="preserve"> PAGEREF _Toc3177 \h </w:instrText>
          </w:r>
          <w:r>
            <w:rPr>
              <w:b w:val="0"/>
              <w:bCs w:val="0"/>
              <w:sz w:val="28"/>
              <w:szCs w:val="28"/>
            </w:rPr>
            <w:fldChar w:fldCharType="separate"/>
          </w:r>
          <w:r>
            <w:rPr>
              <w:b w:val="0"/>
              <w:bCs w:val="0"/>
              <w:sz w:val="28"/>
              <w:szCs w:val="28"/>
            </w:rPr>
            <w:t>27</w:t>
          </w:r>
          <w:r>
            <w:rPr>
              <w:b w:val="0"/>
              <w:bCs w:val="0"/>
              <w:sz w:val="28"/>
              <w:szCs w:val="28"/>
            </w:rPr>
            <w:fldChar w:fldCharType="end"/>
          </w:r>
          <w:r>
            <w:rPr>
              <w:b w:val="0"/>
              <w:bCs w:val="0"/>
              <w:sz w:val="28"/>
              <w:szCs w:val="28"/>
            </w:rPr>
            <w:fldChar w:fldCharType="end"/>
          </w:r>
        </w:p>
        <w:p>
          <w:pPr>
            <w:pStyle w:val="33"/>
            <w:tabs>
              <w:tab w:val="right" w:leader="dot" w:pos="8730"/>
            </w:tabs>
            <w:spacing w:line="360" w:lineRule="auto"/>
            <w:rPr>
              <w:b w:val="0"/>
              <w:bCs w:val="0"/>
              <w:sz w:val="28"/>
              <w:szCs w:val="28"/>
            </w:rPr>
          </w:pPr>
          <w:r>
            <w:fldChar w:fldCharType="begin"/>
          </w:r>
          <w:r>
            <w:instrText xml:space="preserve"> HYPERLINK \l "_Toc3710" </w:instrText>
          </w:r>
          <w:r>
            <w:fldChar w:fldCharType="separate"/>
          </w:r>
          <w:r>
            <w:rPr>
              <w:rFonts w:hint="eastAsia" w:asciiTheme="minorEastAsia" w:hAnsiTheme="minorEastAsia" w:eastAsiaTheme="minorEastAsia" w:cstheme="minorEastAsia"/>
              <w:b w:val="0"/>
              <w:bCs w:val="0"/>
              <w:sz w:val="28"/>
              <w:szCs w:val="28"/>
            </w:rPr>
            <w:t>第四章  评审程序、评审方法和评审标准</w:t>
          </w:r>
          <w:r>
            <w:rPr>
              <w:b w:val="0"/>
              <w:bCs w:val="0"/>
              <w:sz w:val="28"/>
              <w:szCs w:val="28"/>
            </w:rPr>
            <w:tab/>
          </w:r>
          <w:r>
            <w:rPr>
              <w:b w:val="0"/>
              <w:bCs w:val="0"/>
              <w:sz w:val="28"/>
              <w:szCs w:val="28"/>
            </w:rPr>
            <w:fldChar w:fldCharType="begin"/>
          </w:r>
          <w:r>
            <w:rPr>
              <w:b w:val="0"/>
              <w:bCs w:val="0"/>
              <w:sz w:val="28"/>
              <w:szCs w:val="28"/>
            </w:rPr>
            <w:instrText xml:space="preserve"> PAGEREF _Toc3710 \h </w:instrText>
          </w:r>
          <w:r>
            <w:rPr>
              <w:b w:val="0"/>
              <w:bCs w:val="0"/>
              <w:sz w:val="28"/>
              <w:szCs w:val="28"/>
            </w:rPr>
            <w:fldChar w:fldCharType="separate"/>
          </w:r>
          <w:r>
            <w:rPr>
              <w:b w:val="0"/>
              <w:bCs w:val="0"/>
              <w:sz w:val="28"/>
              <w:szCs w:val="28"/>
            </w:rPr>
            <w:t>28</w:t>
          </w:r>
          <w:r>
            <w:rPr>
              <w:b w:val="0"/>
              <w:bCs w:val="0"/>
              <w:sz w:val="28"/>
              <w:szCs w:val="28"/>
            </w:rPr>
            <w:fldChar w:fldCharType="end"/>
          </w:r>
          <w:r>
            <w:rPr>
              <w:b w:val="0"/>
              <w:bCs w:val="0"/>
              <w:sz w:val="28"/>
              <w:szCs w:val="28"/>
            </w:rPr>
            <w:fldChar w:fldCharType="end"/>
          </w:r>
        </w:p>
        <w:p>
          <w:pPr>
            <w:pStyle w:val="33"/>
            <w:tabs>
              <w:tab w:val="right" w:leader="dot" w:pos="8730"/>
            </w:tabs>
            <w:spacing w:line="360" w:lineRule="auto"/>
            <w:rPr>
              <w:b w:val="0"/>
              <w:bCs w:val="0"/>
              <w:sz w:val="28"/>
              <w:szCs w:val="28"/>
            </w:rPr>
          </w:pPr>
          <w:r>
            <w:fldChar w:fldCharType="begin"/>
          </w:r>
          <w:r>
            <w:instrText xml:space="preserve"> HYPERLINK \l "_Toc27061" </w:instrText>
          </w:r>
          <w:r>
            <w:fldChar w:fldCharType="separate"/>
          </w:r>
          <w:r>
            <w:rPr>
              <w:rFonts w:hint="eastAsia" w:asciiTheme="minorEastAsia" w:hAnsiTheme="minorEastAsia" w:eastAsiaTheme="minorEastAsia" w:cstheme="minorEastAsia"/>
              <w:b w:val="0"/>
              <w:bCs w:val="0"/>
              <w:sz w:val="28"/>
              <w:szCs w:val="28"/>
            </w:rPr>
            <w:t>第五章  响应文件格式</w:t>
          </w:r>
          <w:r>
            <w:rPr>
              <w:b w:val="0"/>
              <w:bCs w:val="0"/>
              <w:sz w:val="28"/>
              <w:szCs w:val="28"/>
            </w:rPr>
            <w:tab/>
          </w:r>
          <w:r>
            <w:rPr>
              <w:b w:val="0"/>
              <w:bCs w:val="0"/>
              <w:sz w:val="28"/>
              <w:szCs w:val="28"/>
            </w:rPr>
            <w:fldChar w:fldCharType="begin"/>
          </w:r>
          <w:r>
            <w:rPr>
              <w:b w:val="0"/>
              <w:bCs w:val="0"/>
              <w:sz w:val="28"/>
              <w:szCs w:val="28"/>
            </w:rPr>
            <w:instrText xml:space="preserve"> PAGEREF _Toc27061 \h </w:instrText>
          </w:r>
          <w:r>
            <w:rPr>
              <w:b w:val="0"/>
              <w:bCs w:val="0"/>
              <w:sz w:val="28"/>
              <w:szCs w:val="28"/>
            </w:rPr>
            <w:fldChar w:fldCharType="separate"/>
          </w:r>
          <w:r>
            <w:rPr>
              <w:b w:val="0"/>
              <w:bCs w:val="0"/>
              <w:sz w:val="28"/>
              <w:szCs w:val="28"/>
            </w:rPr>
            <w:t>38</w:t>
          </w:r>
          <w:r>
            <w:rPr>
              <w:b w:val="0"/>
              <w:bCs w:val="0"/>
              <w:sz w:val="28"/>
              <w:szCs w:val="28"/>
            </w:rPr>
            <w:fldChar w:fldCharType="end"/>
          </w:r>
          <w:r>
            <w:rPr>
              <w:b w:val="0"/>
              <w:bCs w:val="0"/>
              <w:sz w:val="28"/>
              <w:szCs w:val="28"/>
            </w:rPr>
            <w:fldChar w:fldCharType="end"/>
          </w:r>
        </w:p>
        <w:p>
          <w:pPr>
            <w:pStyle w:val="33"/>
            <w:tabs>
              <w:tab w:val="right" w:leader="dot" w:pos="8730"/>
            </w:tabs>
            <w:spacing w:line="360" w:lineRule="auto"/>
            <w:rPr>
              <w:b w:val="0"/>
              <w:bCs w:val="0"/>
              <w:sz w:val="28"/>
              <w:szCs w:val="28"/>
            </w:rPr>
          </w:pPr>
          <w:r>
            <w:fldChar w:fldCharType="begin"/>
          </w:r>
          <w:r>
            <w:instrText xml:space="preserve"> HYPERLINK \l "_Toc6306" </w:instrText>
          </w:r>
          <w:r>
            <w:fldChar w:fldCharType="separate"/>
          </w:r>
          <w:r>
            <w:rPr>
              <w:rFonts w:hint="eastAsia" w:asciiTheme="minorEastAsia" w:hAnsiTheme="minorEastAsia" w:eastAsiaTheme="minorEastAsia" w:cstheme="minorEastAsia"/>
              <w:b w:val="0"/>
              <w:bCs w:val="0"/>
              <w:sz w:val="28"/>
              <w:szCs w:val="28"/>
            </w:rPr>
            <w:t>第六章  二次报价格式</w:t>
          </w:r>
          <w:r>
            <w:rPr>
              <w:b w:val="0"/>
              <w:bCs w:val="0"/>
              <w:sz w:val="28"/>
              <w:szCs w:val="28"/>
            </w:rPr>
            <w:tab/>
          </w:r>
          <w:r>
            <w:rPr>
              <w:b w:val="0"/>
              <w:bCs w:val="0"/>
              <w:sz w:val="28"/>
              <w:szCs w:val="28"/>
            </w:rPr>
            <w:fldChar w:fldCharType="begin"/>
          </w:r>
          <w:r>
            <w:rPr>
              <w:b w:val="0"/>
              <w:bCs w:val="0"/>
              <w:sz w:val="28"/>
              <w:szCs w:val="28"/>
            </w:rPr>
            <w:instrText xml:space="preserve"> PAGEREF _Toc6306 \h </w:instrText>
          </w:r>
          <w:r>
            <w:rPr>
              <w:b w:val="0"/>
              <w:bCs w:val="0"/>
              <w:sz w:val="28"/>
              <w:szCs w:val="28"/>
            </w:rPr>
            <w:fldChar w:fldCharType="separate"/>
          </w:r>
          <w:r>
            <w:rPr>
              <w:b w:val="0"/>
              <w:bCs w:val="0"/>
              <w:sz w:val="28"/>
              <w:szCs w:val="28"/>
            </w:rPr>
            <w:t>68</w:t>
          </w:r>
          <w:r>
            <w:rPr>
              <w:b w:val="0"/>
              <w:bCs w:val="0"/>
              <w:sz w:val="28"/>
              <w:szCs w:val="28"/>
            </w:rPr>
            <w:fldChar w:fldCharType="end"/>
          </w:r>
          <w:r>
            <w:rPr>
              <w:b w:val="0"/>
              <w:bCs w:val="0"/>
              <w:sz w:val="28"/>
              <w:szCs w:val="28"/>
            </w:rPr>
            <w:fldChar w:fldCharType="end"/>
          </w:r>
        </w:p>
        <w:p>
          <w:pPr>
            <w:pStyle w:val="33"/>
            <w:tabs>
              <w:tab w:val="right" w:leader="dot" w:pos="8730"/>
            </w:tabs>
            <w:spacing w:line="360" w:lineRule="auto"/>
            <w:rPr>
              <w:b w:val="0"/>
              <w:bCs w:val="0"/>
              <w:sz w:val="28"/>
              <w:szCs w:val="28"/>
            </w:rPr>
          </w:pPr>
          <w:r>
            <w:fldChar w:fldCharType="begin"/>
          </w:r>
          <w:r>
            <w:instrText xml:space="preserve"> HYPERLINK \l "_Toc23378" </w:instrText>
          </w:r>
          <w:r>
            <w:fldChar w:fldCharType="separate"/>
          </w:r>
          <w:r>
            <w:rPr>
              <w:rFonts w:hint="eastAsia" w:asciiTheme="minorEastAsia" w:hAnsiTheme="minorEastAsia" w:eastAsiaTheme="minorEastAsia" w:cstheme="minorEastAsia"/>
              <w:b w:val="0"/>
              <w:bCs w:val="0"/>
              <w:sz w:val="28"/>
              <w:szCs w:val="28"/>
            </w:rPr>
            <w:t>第七章  合同书格式</w:t>
          </w:r>
          <w:r>
            <w:rPr>
              <w:b w:val="0"/>
              <w:bCs w:val="0"/>
              <w:sz w:val="28"/>
              <w:szCs w:val="28"/>
            </w:rPr>
            <w:tab/>
          </w:r>
          <w:r>
            <w:rPr>
              <w:b w:val="0"/>
              <w:bCs w:val="0"/>
              <w:sz w:val="28"/>
              <w:szCs w:val="28"/>
            </w:rPr>
            <w:fldChar w:fldCharType="begin"/>
          </w:r>
          <w:r>
            <w:rPr>
              <w:b w:val="0"/>
              <w:bCs w:val="0"/>
              <w:sz w:val="28"/>
              <w:szCs w:val="28"/>
            </w:rPr>
            <w:instrText xml:space="preserve"> PAGEREF _Toc23378 \h </w:instrText>
          </w:r>
          <w:r>
            <w:rPr>
              <w:b w:val="0"/>
              <w:bCs w:val="0"/>
              <w:sz w:val="28"/>
              <w:szCs w:val="28"/>
            </w:rPr>
            <w:fldChar w:fldCharType="separate"/>
          </w:r>
          <w:r>
            <w:rPr>
              <w:b w:val="0"/>
              <w:bCs w:val="0"/>
              <w:sz w:val="28"/>
              <w:szCs w:val="28"/>
            </w:rPr>
            <w:t>71</w:t>
          </w:r>
          <w:r>
            <w:rPr>
              <w:b w:val="0"/>
              <w:bCs w:val="0"/>
              <w:sz w:val="28"/>
              <w:szCs w:val="28"/>
            </w:rPr>
            <w:fldChar w:fldCharType="end"/>
          </w:r>
          <w:r>
            <w:rPr>
              <w:b w:val="0"/>
              <w:bCs w:val="0"/>
              <w:sz w:val="28"/>
              <w:szCs w:val="28"/>
            </w:rPr>
            <w:fldChar w:fldCharType="end"/>
          </w:r>
        </w:p>
        <w:p>
          <w:pPr>
            <w:pStyle w:val="33"/>
            <w:tabs>
              <w:tab w:val="right" w:leader="dot" w:pos="8730"/>
            </w:tabs>
            <w:spacing w:line="360" w:lineRule="auto"/>
            <w:rPr>
              <w:sz w:val="28"/>
              <w:szCs w:val="28"/>
            </w:rPr>
          </w:pPr>
          <w:r>
            <w:fldChar w:fldCharType="begin"/>
          </w:r>
          <w:r>
            <w:instrText xml:space="preserve"> HYPERLINK \l "_Toc3161" </w:instrText>
          </w:r>
          <w:r>
            <w:fldChar w:fldCharType="separate"/>
          </w:r>
          <w:r>
            <w:rPr>
              <w:rFonts w:hint="eastAsia" w:asciiTheme="minorEastAsia" w:hAnsiTheme="minorEastAsia" w:eastAsiaTheme="minorEastAsia" w:cstheme="minorEastAsia"/>
              <w:b w:val="0"/>
              <w:bCs w:val="0"/>
              <w:sz w:val="28"/>
              <w:szCs w:val="28"/>
            </w:rPr>
            <w:t>第八章  质疑、投诉材料格式</w:t>
          </w:r>
          <w:r>
            <w:rPr>
              <w:b w:val="0"/>
              <w:bCs w:val="0"/>
              <w:sz w:val="28"/>
              <w:szCs w:val="28"/>
            </w:rPr>
            <w:tab/>
          </w:r>
          <w:r>
            <w:rPr>
              <w:b w:val="0"/>
              <w:bCs w:val="0"/>
              <w:sz w:val="28"/>
              <w:szCs w:val="28"/>
            </w:rPr>
            <w:fldChar w:fldCharType="begin"/>
          </w:r>
          <w:r>
            <w:rPr>
              <w:b w:val="0"/>
              <w:bCs w:val="0"/>
              <w:sz w:val="28"/>
              <w:szCs w:val="28"/>
            </w:rPr>
            <w:instrText xml:space="preserve"> PAGEREF _Toc3161 \h </w:instrText>
          </w:r>
          <w:r>
            <w:rPr>
              <w:b w:val="0"/>
              <w:bCs w:val="0"/>
              <w:sz w:val="28"/>
              <w:szCs w:val="28"/>
            </w:rPr>
            <w:fldChar w:fldCharType="separate"/>
          </w:r>
          <w:r>
            <w:rPr>
              <w:b w:val="0"/>
              <w:bCs w:val="0"/>
              <w:sz w:val="28"/>
              <w:szCs w:val="28"/>
            </w:rPr>
            <w:t>137</w:t>
          </w:r>
          <w:r>
            <w:rPr>
              <w:b w:val="0"/>
              <w:bCs w:val="0"/>
              <w:sz w:val="28"/>
              <w:szCs w:val="28"/>
            </w:rPr>
            <w:fldChar w:fldCharType="end"/>
          </w:r>
          <w:r>
            <w:rPr>
              <w:b w:val="0"/>
              <w:bCs w:val="0"/>
              <w:sz w:val="28"/>
              <w:szCs w:val="28"/>
            </w:rPr>
            <w:fldChar w:fldCharType="end"/>
          </w:r>
        </w:p>
        <w:p>
          <w:pPr>
            <w:spacing w:line="360" w:lineRule="auto"/>
          </w:pPr>
          <w:r>
            <w:rPr>
              <w:sz w:val="28"/>
              <w:szCs w:val="28"/>
            </w:rPr>
            <w:fldChar w:fldCharType="end"/>
          </w:r>
        </w:p>
      </w:sdtContent>
    </w:sdt>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rPr>
          <w:rFonts w:asciiTheme="minorEastAsia" w:hAnsiTheme="minorEastAsia" w:eastAsiaTheme="minorEastAsia" w:cstheme="minorEastAsia"/>
        </w:rPr>
      </w:pP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rPr>
          <w:rFonts w:asciiTheme="minorEastAsia" w:hAnsiTheme="minorEastAsia" w:eastAsiaTheme="minorEastAsia" w:cstheme="minorEastAsia"/>
        </w:rPr>
      </w:pP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42"/>
        <w:rPr>
          <w:rFonts w:asciiTheme="minorEastAsia" w:hAnsiTheme="minorEastAsia" w:eastAsiaTheme="minorEastAsia" w:cstheme="minorEastAsia"/>
        </w:rPr>
      </w:pPr>
      <w:bookmarkStart w:id="0" w:name="_Toc20567"/>
      <w:bookmarkStart w:id="1" w:name="_Toc22939"/>
      <w:r>
        <w:rPr>
          <w:rFonts w:hint="eastAsia" w:asciiTheme="minorEastAsia" w:hAnsiTheme="minorEastAsia" w:eastAsiaTheme="minorEastAsia" w:cstheme="minorEastAsia"/>
        </w:rPr>
        <w:t>第一章  竞争性磋商公告</w:t>
      </w:r>
      <w:bookmarkEnd w:id="0"/>
    </w:p>
    <w:p>
      <w:pPr>
        <w:spacing w:line="54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eastAsia="zh-CN"/>
        </w:rPr>
        <w:t>广西建设工程机电设备招标中心有限公司</w:t>
      </w:r>
      <w:r>
        <w:rPr>
          <w:rFonts w:hint="eastAsia" w:asciiTheme="minorEastAsia" w:hAnsiTheme="minorEastAsia" w:eastAsiaTheme="minorEastAsia" w:cstheme="minorEastAsia"/>
          <w:b/>
          <w:sz w:val="28"/>
          <w:szCs w:val="28"/>
        </w:rPr>
        <w:t xml:space="preserve">   </w:t>
      </w:r>
    </w:p>
    <w:p>
      <w:pPr>
        <w:spacing w:line="54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桂林理工大学雁山校区图书馆环境改造工程</w:t>
      </w:r>
    </w:p>
    <w:p>
      <w:pPr>
        <w:spacing w:line="54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（项目编号：</w:t>
      </w:r>
      <w:r>
        <w:rPr>
          <w:rFonts w:hint="eastAsia" w:asciiTheme="minorEastAsia" w:hAnsiTheme="minorEastAsia" w:eastAsiaTheme="minorEastAsia" w:cstheme="minorEastAsia"/>
          <w:b/>
          <w:sz w:val="28"/>
          <w:szCs w:val="28"/>
          <w:lang w:eastAsia="zh-CN"/>
        </w:rPr>
        <w:t>GGZC2024-C2-004596-JGJD</w:t>
      </w:r>
      <w:r>
        <w:rPr>
          <w:rFonts w:hint="eastAsia" w:asciiTheme="minorEastAsia" w:hAnsiTheme="minorEastAsia" w:eastAsiaTheme="minorEastAsia" w:cstheme="minorEastAsia"/>
          <w:b/>
          <w:sz w:val="28"/>
          <w:szCs w:val="28"/>
        </w:rPr>
        <w:t>）</w:t>
      </w:r>
    </w:p>
    <w:p>
      <w:pPr>
        <w:spacing w:line="54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竞争性磋商公告</w:t>
      </w:r>
    </w:p>
    <w:p>
      <w:pPr>
        <w:rPr>
          <w:rFonts w:asciiTheme="minorEastAsia" w:hAnsiTheme="minorEastAsia" w:eastAsiaTheme="minorEastAsia" w:cstheme="minorEastAsia"/>
        </w:rPr>
      </w:pPr>
    </w:p>
    <w:p>
      <w:pPr>
        <w:pBdr>
          <w:top w:val="single" w:color="auto" w:sz="4" w:space="1"/>
          <w:left w:val="single" w:color="auto" w:sz="4" w:space="4"/>
          <w:bottom w:val="single" w:color="auto" w:sz="4" w:space="1"/>
          <w:right w:val="single" w:color="auto" w:sz="4" w:space="4"/>
        </w:pBd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项目概况</w:t>
      </w:r>
    </w:p>
    <w:p>
      <w:pPr>
        <w:pBdr>
          <w:top w:val="single" w:color="auto" w:sz="4" w:space="1"/>
          <w:left w:val="single" w:color="auto" w:sz="4" w:space="4"/>
          <w:bottom w:val="single" w:color="auto" w:sz="4" w:space="1"/>
          <w:right w:val="single" w:color="auto" w:sz="4" w:space="4"/>
        </w:pBdr>
        <w:ind w:firstLine="480" w:firstLineChars="20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u w:val="single"/>
        </w:rPr>
        <w:t>桂林理工大学雁山校区图书馆环境改造工程</w:t>
      </w:r>
      <w:r>
        <w:rPr>
          <w:rFonts w:hint="eastAsia" w:asciiTheme="minorEastAsia" w:hAnsiTheme="minorEastAsia" w:eastAsiaTheme="minorEastAsia" w:cstheme="minorEastAsia"/>
          <w:sz w:val="24"/>
          <w:szCs w:val="28"/>
        </w:rPr>
        <w:t>（</w:t>
      </w:r>
      <w:r>
        <w:rPr>
          <w:rFonts w:hint="eastAsia" w:asciiTheme="minorEastAsia" w:hAnsiTheme="minorEastAsia" w:eastAsiaTheme="minorEastAsia" w:cstheme="minorEastAsia"/>
          <w:sz w:val="24"/>
          <w:szCs w:val="28"/>
          <w:lang w:eastAsia="zh-CN"/>
        </w:rPr>
        <w:t>GGZC2024-C2-004596-JGJD</w:t>
      </w:r>
      <w:r>
        <w:rPr>
          <w:rFonts w:hint="eastAsia" w:asciiTheme="minorEastAsia" w:hAnsiTheme="minorEastAsia" w:eastAsiaTheme="minorEastAsia" w:cstheme="minorEastAsia"/>
          <w:sz w:val="24"/>
          <w:szCs w:val="28"/>
        </w:rPr>
        <w:t>）采 购 项 目 的 潜 在 供 应 商 应 在广西政府采购云平台（https://www.gcy.zfcg.gxzf.gov.cn/）获取(下载) 获取竞争性磋商文件，并于2024年</w:t>
      </w:r>
      <w:r>
        <w:rPr>
          <w:rFonts w:hint="eastAsia" w:asciiTheme="minorEastAsia" w:hAnsiTheme="minorEastAsia" w:eastAsiaTheme="minorEastAsia" w:cstheme="minorEastAsia"/>
          <w:sz w:val="24"/>
          <w:szCs w:val="28"/>
          <w:lang w:val="en-US" w:eastAsia="zh-CN"/>
        </w:rPr>
        <w:t>7</w:t>
      </w:r>
      <w:r>
        <w:rPr>
          <w:rFonts w:hint="eastAsia" w:asciiTheme="minorEastAsia" w:hAnsiTheme="minorEastAsia" w:eastAsiaTheme="minorEastAsia" w:cstheme="minorEastAsia"/>
          <w:sz w:val="24"/>
          <w:szCs w:val="28"/>
        </w:rPr>
        <w:t>月</w:t>
      </w:r>
      <w:r>
        <w:rPr>
          <w:rFonts w:hint="eastAsia" w:asciiTheme="minorEastAsia" w:hAnsiTheme="minorEastAsia" w:eastAsiaTheme="minorEastAsia" w:cstheme="minorEastAsia"/>
          <w:sz w:val="24"/>
          <w:szCs w:val="28"/>
          <w:lang w:val="en-US" w:eastAsia="zh-CN"/>
        </w:rPr>
        <w:t>23</w:t>
      </w:r>
      <w:r>
        <w:rPr>
          <w:rFonts w:hint="eastAsia" w:asciiTheme="minorEastAsia" w:hAnsiTheme="minorEastAsia" w:eastAsiaTheme="minorEastAsia" w:cstheme="minorEastAsia"/>
          <w:sz w:val="24"/>
          <w:szCs w:val="28"/>
        </w:rPr>
        <w:t>日09点30分  (北京时间) 前提交响应文件。</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一、项目基本情况</w:t>
      </w:r>
    </w:p>
    <w:p>
      <w:pPr>
        <w:spacing w:line="360" w:lineRule="auto"/>
        <w:ind w:firstLine="480" w:firstLineChars="200"/>
        <w:rPr>
          <w:rFonts w:ascii="微软雅黑" w:hAnsi="微软雅黑" w:eastAsia="微软雅黑" w:cs="微软雅黑"/>
          <w:shd w:val="clear" w:color="auto" w:fill="FFFFFF"/>
        </w:rPr>
      </w:pPr>
      <w:r>
        <w:rPr>
          <w:rFonts w:hint="eastAsia" w:asciiTheme="minorEastAsia" w:hAnsiTheme="minorEastAsia" w:eastAsiaTheme="minorEastAsia" w:cstheme="minorEastAsia"/>
          <w:sz w:val="24"/>
        </w:rPr>
        <w:t>项目名称：</w:t>
      </w:r>
      <w:r>
        <w:rPr>
          <w:rFonts w:hint="eastAsia" w:asciiTheme="minorEastAsia" w:hAnsiTheme="minorEastAsia" w:eastAsiaTheme="minorEastAsia" w:cstheme="minorEastAsia"/>
          <w:sz w:val="24"/>
          <w:szCs w:val="28"/>
          <w:u w:val="single"/>
        </w:rPr>
        <w:t>桂林理工大学雁山校区图书馆环境改造工程</w:t>
      </w:r>
    </w:p>
    <w:p>
      <w:pPr>
        <w:spacing w:line="360" w:lineRule="auto"/>
        <w:ind w:firstLine="480" w:firstLineChars="200"/>
        <w:rPr>
          <w:rFonts w:hint="eastAsia" w:asciiTheme="minorEastAsia" w:hAnsiTheme="minorEastAsia" w:eastAsiaTheme="minorEastAsia" w:cstheme="minorEastAsia"/>
          <w:sz w:val="24"/>
          <w:u w:val="single"/>
          <w:lang w:eastAsia="zh-CN"/>
        </w:rPr>
      </w:pPr>
      <w:r>
        <w:rPr>
          <w:rFonts w:hint="eastAsia" w:asciiTheme="minorEastAsia" w:hAnsiTheme="minorEastAsia" w:eastAsiaTheme="minorEastAsia" w:cstheme="minorEastAsia"/>
          <w:sz w:val="24"/>
        </w:rPr>
        <w:t>项目编号：</w:t>
      </w:r>
      <w:r>
        <w:rPr>
          <w:rFonts w:hint="eastAsia" w:asciiTheme="minorEastAsia" w:hAnsiTheme="minorEastAsia" w:eastAsiaTheme="minorEastAsia" w:cstheme="minorEastAsia"/>
          <w:sz w:val="24"/>
          <w:u w:val="single"/>
          <w:lang w:eastAsia="zh-CN"/>
        </w:rPr>
        <w:t>GGZC2024-C2-004596-JGJD</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采购计划备案文号：</w:t>
      </w:r>
      <w:r>
        <w:rPr>
          <w:rFonts w:hint="eastAsia" w:asciiTheme="minorEastAsia" w:hAnsiTheme="minorEastAsia" w:eastAsiaTheme="minorEastAsia" w:cstheme="minorEastAsia"/>
          <w:sz w:val="24"/>
          <w:u w:val="single"/>
        </w:rPr>
        <w:t>广西政采[2024]12170号</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采购方式：</w:t>
      </w:r>
      <w:r>
        <w:rPr>
          <w:rFonts w:hint="eastAsia" w:asciiTheme="minorEastAsia" w:hAnsiTheme="minorEastAsia" w:eastAsiaTheme="minorEastAsia" w:cstheme="minorEastAsia"/>
          <w:sz w:val="24"/>
          <w:u w:val="single"/>
        </w:rPr>
        <w:t>竞争性磋商</w:t>
      </w:r>
    </w:p>
    <w:p>
      <w:pPr>
        <w:spacing w:line="360" w:lineRule="auto"/>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采购预算价：</w:t>
      </w:r>
      <w:r>
        <w:rPr>
          <w:rFonts w:hint="eastAsia" w:asciiTheme="minorEastAsia" w:hAnsiTheme="minorEastAsia" w:eastAsiaTheme="minorEastAsia" w:cstheme="minorEastAsia"/>
          <w:sz w:val="24"/>
          <w:u w:val="single"/>
        </w:rPr>
        <w:t>人民币贰佰捌拾捌万零伍拾陆元壹角叁分（¥2880056.13元）</w:t>
      </w:r>
    </w:p>
    <w:p>
      <w:pPr>
        <w:spacing w:line="360" w:lineRule="auto"/>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最高限价：</w:t>
      </w:r>
      <w:r>
        <w:rPr>
          <w:rFonts w:hint="eastAsia" w:asciiTheme="minorEastAsia" w:hAnsiTheme="minorEastAsia" w:eastAsiaTheme="minorEastAsia" w:cstheme="minorEastAsia"/>
          <w:sz w:val="24"/>
          <w:u w:val="single"/>
        </w:rPr>
        <w:t>人民币贰佰捌拾捌万零伍拾陆元壹角叁分（¥2880056.13元）</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采购需求：</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标的的名称、数量：桂林理工大学雁山校区图书馆环境改造工程1项；简要技术需求或者服务要求：桂林理工大学雁山校区图书馆环境改造工程项目，总建筑面积约3.26万平方米，本项目工程预算包含拆除工程、装修工程及安装工程，具体详见工程量清单及图纸。</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工期：</w:t>
      </w:r>
      <w:r>
        <w:rPr>
          <w:rFonts w:hint="eastAsia" w:asciiTheme="minorEastAsia" w:hAnsiTheme="minorEastAsia" w:eastAsiaTheme="minorEastAsia" w:cstheme="minorEastAsia"/>
          <w:sz w:val="24"/>
          <w:u w:val="single"/>
        </w:rPr>
        <w:t>自合同签订之日起45日历天内竣工并移交整个工程。</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本项目是否接受联合体响应：□是，☑</w:t>
      </w:r>
      <w:r>
        <w:rPr>
          <w:rFonts w:hint="eastAsia" w:ascii="宋体" w:hAnsi="宋体" w:cs="宋体"/>
          <w:b/>
          <w:sz w:val="24"/>
          <w:szCs w:val="24"/>
        </w:rPr>
        <w:t>否</w:t>
      </w:r>
      <w:r>
        <w:rPr>
          <w:rFonts w:hint="eastAsia" w:ascii="宋体" w:hAnsi="宋体" w:cs="宋体"/>
          <w:sz w:val="24"/>
          <w:szCs w:val="24"/>
        </w:rPr>
        <w:t>。</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二、申请人的资格要求：</w:t>
      </w:r>
    </w:p>
    <w:p>
      <w:pPr>
        <w:spacing w:line="360" w:lineRule="auto"/>
        <w:ind w:firstLine="480" w:firstLineChars="200"/>
        <w:rPr>
          <w:rFonts w:ascii="宋体" w:hAnsi="宋体"/>
          <w:sz w:val="24"/>
          <w:szCs w:val="24"/>
        </w:rPr>
      </w:pPr>
      <w:r>
        <w:rPr>
          <w:rFonts w:ascii="宋体" w:hAnsi="宋体" w:cs="仿宋"/>
          <w:sz w:val="24"/>
          <w:szCs w:val="24"/>
        </w:rPr>
        <w:t>1.</w:t>
      </w:r>
      <w:r>
        <w:rPr>
          <w:rFonts w:hint="eastAsia" w:ascii="宋体" w:hAnsi="宋体" w:cs="仿宋"/>
          <w:sz w:val="24"/>
          <w:szCs w:val="24"/>
        </w:rPr>
        <w:t>满足《中华人民共和国政府采购法》第二十二条规定；</w:t>
      </w:r>
    </w:p>
    <w:p>
      <w:pPr>
        <w:spacing w:line="360" w:lineRule="auto"/>
        <w:ind w:firstLine="480" w:firstLineChars="200"/>
        <w:rPr>
          <w:rFonts w:ascii="宋体" w:hAnsi="宋体" w:cs="仿宋"/>
          <w:sz w:val="24"/>
          <w:szCs w:val="24"/>
        </w:rPr>
      </w:pPr>
      <w:r>
        <w:rPr>
          <w:rFonts w:hint="eastAsia" w:ascii="宋体" w:hAnsi="宋体" w:cs="仿宋"/>
          <w:sz w:val="24"/>
          <w:szCs w:val="24"/>
        </w:rPr>
        <w:t>2.落实政府采购政策需满足的资格要求</w:t>
      </w:r>
    </w:p>
    <w:p>
      <w:pPr>
        <w:spacing w:line="360" w:lineRule="auto"/>
        <w:ind w:firstLine="480" w:firstLineChars="200"/>
        <w:rPr>
          <w:rFonts w:ascii="宋体" w:hAnsi="宋体" w:cs="仿宋"/>
          <w:sz w:val="24"/>
          <w:szCs w:val="24"/>
        </w:rPr>
      </w:pPr>
      <w:r>
        <w:rPr>
          <w:rFonts w:hint="eastAsia" w:ascii="宋体" w:hAnsi="宋体" w:cs="仿宋"/>
          <w:sz w:val="24"/>
          <w:szCs w:val="24"/>
        </w:rPr>
        <w:t>☑专门面向中小企业采购的项目，</w:t>
      </w:r>
      <w:r>
        <w:rPr>
          <w:rFonts w:hint="eastAsia" w:ascii="宋体" w:hAnsi="宋体" w:cs="宋体"/>
          <w:kern w:val="0"/>
        </w:rPr>
        <w:t>根据《财政部、司法部关于政府采购支持监狱企业发展有关问题的通知》（财库[2014]68号）及《关于促进残疾人就业政府采购政策的通知》（财库〔2017〕141号）规定，监狱企业、残疾人福利性单位视同小型、微型企业。</w:t>
      </w:r>
      <w:r>
        <w:rPr>
          <w:rFonts w:hint="eastAsia" w:ascii="宋体" w:hAnsi="宋体" w:cs="仿宋"/>
          <w:sz w:val="24"/>
          <w:szCs w:val="24"/>
        </w:rPr>
        <w:t>（供应商应为中小微企业或监狱企业或残疾人福利性单位，大型企业不得参加。)</w:t>
      </w:r>
    </w:p>
    <w:p>
      <w:pPr>
        <w:spacing w:line="360" w:lineRule="auto"/>
        <w:ind w:firstLine="480" w:firstLineChars="200"/>
        <w:rPr>
          <w:rFonts w:ascii="宋体" w:hAnsi="宋体" w:cs="仿宋"/>
          <w:sz w:val="24"/>
          <w:szCs w:val="24"/>
        </w:rPr>
      </w:pPr>
      <w:r>
        <w:rPr>
          <w:rFonts w:hint="eastAsia" w:ascii="宋体" w:hAnsi="宋体" w:cs="仿宋"/>
          <w:sz w:val="24"/>
          <w:szCs w:val="24"/>
        </w:rPr>
        <w:t>□非专门面向中小企业采购的项目</w:t>
      </w:r>
    </w:p>
    <w:p>
      <w:pPr>
        <w:spacing w:line="360" w:lineRule="auto"/>
        <w:ind w:firstLine="480" w:firstLineChars="200"/>
        <w:rPr>
          <w:rFonts w:ascii="宋体" w:hAnsi="宋体" w:cs="仿宋"/>
          <w:sz w:val="24"/>
          <w:szCs w:val="24"/>
        </w:rPr>
      </w:pPr>
      <w:r>
        <w:rPr>
          <w:rFonts w:hint="eastAsia" w:ascii="宋体" w:hAnsi="宋体" w:cs="仿宋"/>
          <w:sz w:val="24"/>
          <w:szCs w:val="24"/>
        </w:rPr>
        <w:t>其他要求：</w:t>
      </w:r>
      <w:r>
        <w:rPr>
          <w:rFonts w:hint="eastAsia" w:ascii="宋体" w:hAnsi="宋体" w:cs="仿宋"/>
          <w:sz w:val="24"/>
          <w:szCs w:val="24"/>
          <w:u w:val="single"/>
        </w:rPr>
        <w:t>无</w:t>
      </w:r>
    </w:p>
    <w:p>
      <w:pPr>
        <w:spacing w:line="360" w:lineRule="auto"/>
        <w:ind w:firstLine="480" w:firstLineChars="200"/>
        <w:rPr>
          <w:rFonts w:ascii="宋体" w:hAnsi="宋体" w:cs="仿宋"/>
          <w:sz w:val="24"/>
          <w:szCs w:val="24"/>
        </w:rPr>
      </w:pPr>
      <w:r>
        <w:rPr>
          <w:rFonts w:ascii="宋体" w:hAnsi="宋体" w:cs="仿宋"/>
          <w:sz w:val="24"/>
          <w:szCs w:val="24"/>
        </w:rPr>
        <w:t>3.</w:t>
      </w:r>
      <w:r>
        <w:rPr>
          <w:rFonts w:hint="eastAsia" w:ascii="宋体" w:hAnsi="宋体" w:cs="仿宋"/>
          <w:sz w:val="24"/>
          <w:szCs w:val="24"/>
        </w:rPr>
        <w:t>本项目的特定资格要求：</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zh-CN"/>
        </w:rPr>
        <w:t>）本次</w:t>
      </w:r>
      <w:r>
        <w:rPr>
          <w:rFonts w:hint="eastAsia" w:asciiTheme="minorEastAsia" w:hAnsiTheme="minorEastAsia" w:eastAsiaTheme="minorEastAsia" w:cstheme="minorEastAsia"/>
          <w:sz w:val="24"/>
          <w:szCs w:val="24"/>
        </w:rPr>
        <w:t>采购</w:t>
      </w:r>
      <w:r>
        <w:rPr>
          <w:rFonts w:hint="eastAsia" w:asciiTheme="minorEastAsia" w:hAnsiTheme="minorEastAsia" w:eastAsiaTheme="minorEastAsia" w:cstheme="minorEastAsia"/>
          <w:sz w:val="24"/>
          <w:szCs w:val="24"/>
          <w:lang w:val="zh-CN"/>
        </w:rPr>
        <w:t>要求供应商</w:t>
      </w:r>
      <w:r>
        <w:rPr>
          <w:rFonts w:hint="eastAsia" w:asciiTheme="minorEastAsia" w:hAnsiTheme="minorEastAsia" w:eastAsiaTheme="minorEastAsia" w:cstheme="minorEastAsia"/>
          <w:sz w:val="24"/>
          <w:szCs w:val="24"/>
        </w:rPr>
        <w:t>须具备</w:t>
      </w:r>
      <w:r>
        <w:rPr>
          <w:rFonts w:hint="eastAsia" w:asciiTheme="minorEastAsia" w:hAnsiTheme="minorEastAsia" w:eastAsiaTheme="minorEastAsia" w:cstheme="minorEastAsia"/>
          <w:b/>
          <w:bCs/>
          <w:sz w:val="24"/>
          <w:szCs w:val="24"/>
          <w:u w:val="single"/>
        </w:rPr>
        <w:t>建筑工程施工总承包叁级以上（含本级）</w:t>
      </w:r>
      <w:r>
        <w:rPr>
          <w:rFonts w:hint="eastAsia" w:asciiTheme="minorEastAsia" w:hAnsiTheme="minorEastAsia" w:eastAsiaTheme="minorEastAsia" w:cstheme="minorEastAsia"/>
          <w:sz w:val="24"/>
          <w:szCs w:val="24"/>
        </w:rPr>
        <w:t>资质，且同时具有《安全生产许可证》，并在人员、设备、资金等方面具备相应的施工能力。</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（2）项目经理（1人）：供应商拟派项目经理须具备</w:t>
      </w:r>
      <w:r>
        <w:rPr>
          <w:rFonts w:hint="eastAsia" w:asciiTheme="minorEastAsia" w:hAnsiTheme="minorEastAsia" w:eastAsiaTheme="minorEastAsia" w:cstheme="minorEastAsia"/>
          <w:b/>
          <w:bCs/>
          <w:sz w:val="24"/>
          <w:szCs w:val="24"/>
          <w:u w:val="single"/>
          <w:lang w:val="zh-CN"/>
        </w:rPr>
        <w:t>建筑工程专业贰级以上(含本级)</w:t>
      </w:r>
      <w:r>
        <w:rPr>
          <w:rFonts w:hint="eastAsia" w:asciiTheme="minorEastAsia" w:hAnsiTheme="minorEastAsia" w:eastAsiaTheme="minorEastAsia" w:cstheme="minorEastAsia"/>
          <w:sz w:val="24"/>
          <w:szCs w:val="24"/>
        </w:rPr>
        <w:t>注册建造师执业资格，具备有效的安全生产考核合格证书（B类）。本项目不接受有在建、已中标未开工或已列为其他项目中标候选人第一名的建造师作为项目经理</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符合《广西壮族自治区建筑市场诚信卡管理暂行办法》第十六条第一款及桂建管﹝</w:t>
      </w:r>
      <w:r>
        <w:rPr>
          <w:rFonts w:hint="eastAsia" w:asciiTheme="minorEastAsia" w:hAnsiTheme="minorEastAsia" w:eastAsiaTheme="minorEastAsia" w:cstheme="minorEastAsia"/>
          <w:kern w:val="0"/>
          <w:sz w:val="24"/>
          <w:szCs w:val="24"/>
        </w:rPr>
        <w:t>2016</w:t>
      </w:r>
      <w:r>
        <w:rPr>
          <w:rFonts w:hint="eastAsia" w:asciiTheme="minorEastAsia" w:hAnsiTheme="minorEastAsia" w:eastAsiaTheme="minorEastAsia" w:cstheme="minorEastAsia"/>
          <w:sz w:val="24"/>
          <w:szCs w:val="24"/>
        </w:rPr>
        <w:t>﹞70号</w:t>
      </w:r>
      <w:r>
        <w:rPr>
          <w:rFonts w:hint="eastAsia" w:asciiTheme="minorEastAsia" w:hAnsiTheme="minorEastAsia" w:eastAsiaTheme="minorEastAsia" w:cstheme="minorEastAsia"/>
          <w:kern w:val="0"/>
          <w:sz w:val="24"/>
          <w:szCs w:val="24"/>
        </w:rPr>
        <w:t>、桂建管〔2020〕11号文除</w:t>
      </w:r>
      <w:r>
        <w:rPr>
          <w:rFonts w:hint="eastAsia" w:asciiTheme="minorEastAsia" w:hAnsiTheme="minorEastAsia" w:eastAsiaTheme="minorEastAsia" w:cstheme="minorEastAsia"/>
          <w:sz w:val="24"/>
          <w:szCs w:val="24"/>
        </w:rPr>
        <w:t>外）。</w:t>
      </w:r>
    </w:p>
    <w:p>
      <w:pPr>
        <w:spacing w:line="360" w:lineRule="auto"/>
        <w:ind w:firstLine="480" w:firstLineChars="200"/>
        <w:rPr>
          <w:rFonts w:ascii="宋体" w:hAnsi="宋体" w:cs="仿宋"/>
          <w:sz w:val="24"/>
          <w:szCs w:val="24"/>
        </w:rPr>
      </w:pPr>
      <w:r>
        <w:rPr>
          <w:rFonts w:hint="eastAsia" w:ascii="宋体" w:hAnsi="宋体" w:cs="仿宋"/>
          <w:sz w:val="24"/>
          <w:szCs w:val="24"/>
        </w:rPr>
        <w:t>（3）技术负责人</w:t>
      </w:r>
      <w:r>
        <w:rPr>
          <w:rFonts w:hint="eastAsia" w:asciiTheme="minorEastAsia" w:hAnsiTheme="minorEastAsia" w:eastAsiaTheme="minorEastAsia" w:cstheme="minorEastAsia"/>
          <w:sz w:val="24"/>
          <w:szCs w:val="24"/>
        </w:rPr>
        <w:t>（1人）</w:t>
      </w:r>
      <w:r>
        <w:rPr>
          <w:rFonts w:hint="eastAsia" w:ascii="宋体" w:hAnsi="宋体" w:cs="仿宋"/>
          <w:sz w:val="24"/>
          <w:szCs w:val="24"/>
        </w:rPr>
        <w:t>：技术负责人具有与本项目相关专业的工程师及以上职称。</w:t>
      </w:r>
    </w:p>
    <w:p>
      <w:pPr>
        <w:spacing w:line="360" w:lineRule="auto"/>
        <w:ind w:firstLine="480" w:firstLineChars="200"/>
        <w:rPr>
          <w:rFonts w:ascii="宋体" w:hAnsi="宋体" w:cs="仿宋"/>
          <w:sz w:val="24"/>
          <w:szCs w:val="24"/>
        </w:rPr>
      </w:pPr>
      <w:r>
        <w:rPr>
          <w:rFonts w:hint="eastAsia" w:ascii="宋体" w:hAnsi="宋体" w:cs="仿宋"/>
          <w:sz w:val="24"/>
          <w:szCs w:val="24"/>
        </w:rPr>
        <w:t>（4）专职安全生产管理人员</w:t>
      </w:r>
      <w:r>
        <w:rPr>
          <w:rFonts w:hint="eastAsia" w:asciiTheme="minorEastAsia" w:hAnsiTheme="minorEastAsia" w:eastAsiaTheme="minorEastAsia" w:cstheme="minorEastAsia"/>
          <w:sz w:val="24"/>
          <w:szCs w:val="24"/>
        </w:rPr>
        <w:t>（1人）</w:t>
      </w:r>
      <w:r>
        <w:rPr>
          <w:rFonts w:hint="eastAsia" w:ascii="宋体" w:hAnsi="宋体" w:cs="仿宋"/>
          <w:sz w:val="24"/>
          <w:szCs w:val="24"/>
        </w:rPr>
        <w:t>：专职安全生产管理人员须具备有效的安全生产考核合格证书（C类）。</w:t>
      </w:r>
    </w:p>
    <w:p>
      <w:pPr>
        <w:spacing w:line="360" w:lineRule="auto"/>
        <w:ind w:firstLine="480" w:firstLineChars="200"/>
        <w:rPr>
          <w:rFonts w:ascii="宋体" w:hAnsi="宋体" w:cs="仿宋"/>
          <w:sz w:val="24"/>
          <w:szCs w:val="24"/>
        </w:rPr>
      </w:pPr>
      <w:r>
        <w:rPr>
          <w:rFonts w:hint="eastAsia" w:ascii="宋体" w:hAnsi="宋体" w:cs="仿宋"/>
          <w:sz w:val="24"/>
          <w:szCs w:val="24"/>
        </w:rPr>
        <w:t>（5）施工员、质量员、材料员</w:t>
      </w:r>
      <w:r>
        <w:rPr>
          <w:rFonts w:hint="eastAsia" w:asciiTheme="minorEastAsia" w:hAnsiTheme="minorEastAsia" w:eastAsiaTheme="minorEastAsia" w:cstheme="minorEastAsia"/>
          <w:sz w:val="24"/>
          <w:szCs w:val="24"/>
        </w:rPr>
        <w:t>（各配备1人）：施工员、质量员、材料员须具有施工现场专业人员职业培训合格证书。</w:t>
      </w:r>
    </w:p>
    <w:p>
      <w:pPr>
        <w:spacing w:line="360" w:lineRule="auto"/>
        <w:ind w:firstLine="480" w:firstLineChars="200"/>
        <w:rPr>
          <w:rFonts w:ascii="宋体" w:hAnsi="宋体" w:cs="仿宋"/>
          <w:sz w:val="24"/>
          <w:szCs w:val="24"/>
        </w:rPr>
      </w:pPr>
      <w:r>
        <w:rPr>
          <w:rFonts w:hint="eastAsia" w:ascii="宋体" w:hAnsi="宋体" w:cs="仿宋"/>
          <w:sz w:val="24"/>
          <w:szCs w:val="24"/>
        </w:rPr>
        <w:t>4. 本项目的特定条件：无</w:t>
      </w:r>
    </w:p>
    <w:p>
      <w:pPr>
        <w:spacing w:line="360" w:lineRule="auto"/>
        <w:ind w:firstLine="480" w:firstLineChars="200"/>
        <w:rPr>
          <w:rFonts w:ascii="宋体" w:hAnsi="宋体" w:cs="仿宋"/>
          <w:sz w:val="24"/>
          <w:szCs w:val="24"/>
        </w:rPr>
      </w:pPr>
      <w:r>
        <w:rPr>
          <w:rFonts w:hint="eastAsia" w:ascii="宋体" w:hAnsi="宋体" w:cs="仿宋"/>
          <w:sz w:val="24"/>
          <w:szCs w:val="24"/>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80" w:firstLineChars="200"/>
        <w:rPr>
          <w:rFonts w:ascii="宋体" w:hAnsi="宋体" w:cs="仿宋"/>
          <w:sz w:val="24"/>
          <w:szCs w:val="24"/>
        </w:rPr>
      </w:pPr>
      <w:r>
        <w:rPr>
          <w:rFonts w:hint="eastAsia" w:ascii="宋体" w:hAnsi="宋体" w:cs="仿宋"/>
          <w:sz w:val="24"/>
          <w:szCs w:val="24"/>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三、获取采购文件</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时间：2024年</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日</w:t>
      </w:r>
      <w:r>
        <w:rPr>
          <w:rFonts w:hint="eastAsia" w:ascii="宋体" w:hAnsi="宋体" w:cs="宋体"/>
          <w:sz w:val="24"/>
          <w:szCs w:val="24"/>
        </w:rPr>
        <w:t>至</w:t>
      </w:r>
      <w:r>
        <w:rPr>
          <w:rFonts w:hint="eastAsia" w:asciiTheme="minorEastAsia" w:hAnsiTheme="minorEastAsia" w:eastAsiaTheme="minorEastAsia" w:cstheme="minorEastAsia"/>
          <w:sz w:val="24"/>
          <w:szCs w:val="24"/>
        </w:rPr>
        <w:t>2024年</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日（磋商文件的发售期限自开始之日起不得少于5个工作日），每天上午00:00至11:59，下午12:00至23:59（北京时间，法定节假日除外）</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地点：</w:t>
      </w:r>
      <w:r>
        <w:rPr>
          <w:rFonts w:hint="eastAsia" w:asciiTheme="minorEastAsia" w:hAnsiTheme="minorEastAsia" w:eastAsiaTheme="minorEastAsia" w:cstheme="minorEastAsia"/>
          <w:sz w:val="24"/>
          <w:szCs w:val="24"/>
        </w:rPr>
        <w:t>广西政府采购云平台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方式：</w:t>
      </w:r>
      <w:r>
        <w:rPr>
          <w:rFonts w:hint="eastAsia" w:asciiTheme="minorEastAsia" w:hAnsiTheme="minorEastAsia" w:eastAsiaTheme="minorEastAsia" w:cstheme="minorEastAsia"/>
          <w:sz w:val="24"/>
          <w:szCs w:val="24"/>
        </w:rPr>
        <w:t>网上下载。本项目不发放纸质采购文件，供应商可自行在“广西政府采购云平台”平台（https://www.gcy.zfcg.gxzf.gov.cn/）下载采购文件(操作路径：登录 “广西政府采购云平台”平台-项目采购-获取采购文件-找到本项目-点击“申请获取采购文件”) ，电子响应文件制作需要基于“广西政府采购云平台”平台（https://www.gcy.zfcg.gxzf.gov.cn/）获取的采购文件编制。</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售价：0元 </w:t>
      </w:r>
    </w:p>
    <w:p>
      <w:pPr>
        <w:spacing w:line="360" w:lineRule="auto"/>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四、响应文件提交</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1、首次响应文件提交截止时间</w:t>
      </w:r>
      <w:r>
        <w:rPr>
          <w:rFonts w:hint="eastAsia" w:ascii="宋体" w:hAnsi="宋体" w:cs="宋体"/>
          <w:bCs/>
          <w:sz w:val="24"/>
          <w:szCs w:val="24"/>
        </w:rPr>
        <w:t>（北京时间）：2024年</w:t>
      </w:r>
      <w:r>
        <w:rPr>
          <w:rFonts w:hint="eastAsia" w:ascii="宋体" w:hAnsi="宋体" w:cs="宋体"/>
          <w:bCs/>
          <w:sz w:val="24"/>
          <w:szCs w:val="24"/>
          <w:lang w:val="en-US" w:eastAsia="zh-CN"/>
        </w:rPr>
        <w:t>7</w:t>
      </w:r>
      <w:r>
        <w:rPr>
          <w:rFonts w:hint="eastAsia" w:ascii="宋体" w:hAnsi="宋体" w:cs="宋体"/>
          <w:bCs/>
          <w:sz w:val="24"/>
          <w:szCs w:val="24"/>
        </w:rPr>
        <w:t>月</w:t>
      </w:r>
      <w:r>
        <w:rPr>
          <w:rFonts w:hint="eastAsia" w:ascii="宋体" w:hAnsi="宋体" w:cs="宋体"/>
          <w:bCs/>
          <w:sz w:val="24"/>
          <w:szCs w:val="24"/>
          <w:lang w:val="en-US" w:eastAsia="zh-CN"/>
        </w:rPr>
        <w:t>23</w:t>
      </w:r>
      <w:r>
        <w:rPr>
          <w:rFonts w:hint="eastAsia" w:ascii="宋体" w:hAnsi="宋体" w:cs="宋体"/>
          <w:bCs/>
          <w:sz w:val="24"/>
          <w:szCs w:val="24"/>
        </w:rPr>
        <w:t>日0</w:t>
      </w:r>
      <w:r>
        <w:rPr>
          <w:rFonts w:hint="eastAsia" w:asciiTheme="minorEastAsia" w:hAnsiTheme="minorEastAsia" w:eastAsiaTheme="minorEastAsia" w:cstheme="minorEastAsia"/>
          <w:sz w:val="24"/>
          <w:szCs w:val="24"/>
        </w:rPr>
        <w:t>9</w:t>
      </w:r>
      <w:r>
        <w:rPr>
          <w:rFonts w:hint="eastAsia" w:ascii="宋体" w:hAnsi="宋体" w:cs="宋体"/>
          <w:sz w:val="24"/>
          <w:szCs w:val="24"/>
        </w:rPr>
        <w:t>时30分</w:t>
      </w:r>
      <w:r>
        <w:rPr>
          <w:rFonts w:hint="eastAsia" w:asciiTheme="minorEastAsia" w:hAnsiTheme="minorEastAsia" w:eastAsiaTheme="minorEastAsia" w:cstheme="minorEastAsia"/>
          <w:sz w:val="24"/>
        </w:rPr>
        <w:t>（北京时间）</w:t>
      </w:r>
      <w:r>
        <w:rPr>
          <w:rFonts w:hint="eastAsia" w:ascii="宋体" w:hAnsi="宋体" w:cs="宋体"/>
          <w:sz w:val="24"/>
          <w:szCs w:val="24"/>
          <w:u w:val="single"/>
        </w:rPr>
        <w:t>（从磋商文件开始发出之日起至供应商提交首次响应文件截止之日止不得少于10日）。</w:t>
      </w:r>
    </w:p>
    <w:p>
      <w:pPr>
        <w:spacing w:line="360" w:lineRule="auto"/>
        <w:ind w:firstLine="480" w:firstLineChars="200"/>
        <w:rPr>
          <w:rFonts w:ascii="宋体" w:hAnsi="宋体" w:cs="宋体"/>
          <w:sz w:val="24"/>
          <w:szCs w:val="24"/>
        </w:rPr>
      </w:pPr>
      <w:r>
        <w:rPr>
          <w:rFonts w:hint="eastAsia" w:ascii="宋体" w:hAnsi="宋体" w:cs="宋体"/>
          <w:sz w:val="24"/>
          <w:szCs w:val="24"/>
        </w:rPr>
        <w:t>2、首次响应文件提交地点：</w:t>
      </w:r>
      <w:r>
        <w:rPr>
          <w:rFonts w:hint="eastAsia" w:ascii="宋体" w:hAnsi="宋体" w:cs="宋体"/>
          <w:sz w:val="24"/>
          <w:szCs w:val="24"/>
          <w:u w:val="single"/>
        </w:rPr>
        <w:t>通过广西政府采购云平台实行在线投标响应。</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（1）</w:t>
      </w:r>
      <w:r>
        <w:rPr>
          <w:rFonts w:hint="eastAsia" w:asciiTheme="minorEastAsia" w:hAnsiTheme="minorEastAsia" w:eastAsiaTheme="minorEastAsia" w:cstheme="minorEastAsia"/>
          <w:sz w:val="24"/>
          <w:szCs w:val="24"/>
        </w:rPr>
        <w:t>响应文件提交方式：本项目为全流程电子化项目，通过“广西政采云”平台（https://www.gcy.zfcg.gxzf.gov.cn/）实行在线电子响应，供应商应先安装“政采云电子交易客户端”（请自行前往“广西政采云”平台进行下载），并按照本项目采购文件和“广西政采云”平台的要求编制、加密后在投标截止时间前通过网络上传至“广西政采云”平台，</w:t>
      </w:r>
      <w:r>
        <w:rPr>
          <w:rFonts w:hint="eastAsia" w:ascii="宋体" w:hAnsi="宋体" w:cs="宋体"/>
          <w:b/>
          <w:sz w:val="24"/>
          <w:szCs w:val="24"/>
        </w:rPr>
        <w:t>供应商在“广西政采云”平台提交电子版响应文件时，请填写参加远程采购活动经办人联系方式</w:t>
      </w:r>
      <w:r>
        <w:rPr>
          <w:rFonts w:hint="eastAsia" w:ascii="宋体" w:hAnsi="宋体" w:cs="宋体"/>
          <w:sz w:val="24"/>
          <w:szCs w:val="24"/>
        </w:rPr>
        <w:t>。</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2）未进行网上注册并办理数字证书（CA认证）的供应商将无法参与本项目政府采购活动，潜在供应商应当在投标截止时间前，完成电子交易平台上的CA数字证书办理及响应文件的提交。完成CA数字证书办理预计需要7日左右，供应商只需办理其中一家CA数字证书及签章即可。</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（3）为确保网上操作合法、有效和安全，请供应商确保在电子响应过程中能够对相关数据电文进行加密和使用电子签章，妥善保管CA数字证书并使用有效的CA数字证书参与整个采购活动。</w:t>
      </w:r>
    </w:p>
    <w:p>
      <w:pPr>
        <w:spacing w:line="360" w:lineRule="auto"/>
        <w:ind w:firstLine="480" w:firstLineChars="200"/>
        <w:rPr>
          <w:rFonts w:ascii="宋体" w:hAnsi="宋体" w:cs="宋体"/>
          <w:bCs/>
          <w:sz w:val="24"/>
          <w:szCs w:val="24"/>
          <w:u w:val="single"/>
        </w:rPr>
      </w:pPr>
      <w:r>
        <w:rPr>
          <w:rFonts w:hint="eastAsia" w:ascii="宋体" w:hAnsi="宋体" w:cs="宋体"/>
          <w:bCs/>
          <w:sz w:val="24"/>
          <w:szCs w:val="24"/>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采云”平台将予以拒收。</w:t>
      </w:r>
    </w:p>
    <w:p>
      <w:pPr>
        <w:snapToGrid w:val="0"/>
        <w:spacing w:line="360" w:lineRule="auto"/>
        <w:ind w:firstLine="456" w:firstLineChars="200"/>
        <w:rPr>
          <w:rFonts w:ascii="宋体" w:hAnsi="宋体" w:cs="宋体"/>
          <w:spacing w:val="-6"/>
          <w:kern w:val="0"/>
          <w:sz w:val="24"/>
          <w:szCs w:val="24"/>
        </w:rPr>
      </w:pPr>
      <w:r>
        <w:rPr>
          <w:rFonts w:hint="eastAsia" w:ascii="宋体" w:hAnsi="宋体" w:cs="宋体"/>
          <w:spacing w:val="-6"/>
          <w:kern w:val="0"/>
          <w:sz w:val="24"/>
          <w:szCs w:val="24"/>
        </w:rPr>
        <w:t>3、CA证书在线解密：首次响应文件开启时，须要供应商携带制作响应文件时用来加密的有效数字证书（CA认证）登录“广西政采云”平台电子开标大厅现场按规定时间对加密的响应文件进行解密，否则后果自负。</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4、供应商需要在具备有摄像头及语音功能且互联网网络状况良好的电脑登录“广西政采云”平台远程开标大厅参与本次磋商，否则后果自负。</w:t>
      </w:r>
    </w:p>
    <w:p>
      <w:pPr>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五、开启</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时间：</w:t>
      </w:r>
      <w:r>
        <w:rPr>
          <w:rFonts w:hint="eastAsia" w:ascii="宋体" w:hAnsi="宋体" w:cs="宋体"/>
          <w:bCs/>
          <w:sz w:val="24"/>
          <w:szCs w:val="24"/>
        </w:rPr>
        <w:t>2024年</w:t>
      </w:r>
      <w:r>
        <w:rPr>
          <w:rFonts w:hint="eastAsia" w:ascii="宋体" w:hAnsi="宋体" w:cs="宋体"/>
          <w:bCs/>
          <w:sz w:val="24"/>
          <w:szCs w:val="24"/>
          <w:lang w:val="en-US" w:eastAsia="zh-CN"/>
        </w:rPr>
        <w:t>7</w:t>
      </w:r>
      <w:r>
        <w:rPr>
          <w:rFonts w:hint="eastAsia" w:ascii="宋体" w:hAnsi="宋体" w:cs="宋体"/>
          <w:bCs/>
          <w:sz w:val="24"/>
          <w:szCs w:val="24"/>
        </w:rPr>
        <w:t>月</w:t>
      </w:r>
      <w:r>
        <w:rPr>
          <w:rFonts w:hint="eastAsia" w:ascii="宋体" w:hAnsi="宋体" w:cs="宋体"/>
          <w:bCs/>
          <w:sz w:val="24"/>
          <w:szCs w:val="24"/>
          <w:lang w:val="en-US" w:eastAsia="zh-CN"/>
        </w:rPr>
        <w:t>23</w:t>
      </w:r>
      <w:r>
        <w:rPr>
          <w:rFonts w:hint="eastAsia" w:ascii="宋体" w:hAnsi="宋体" w:cs="宋体"/>
          <w:bCs/>
          <w:sz w:val="24"/>
          <w:szCs w:val="24"/>
        </w:rPr>
        <w:t>日</w:t>
      </w:r>
      <w:r>
        <w:rPr>
          <w:rFonts w:hint="eastAsia" w:asciiTheme="minorEastAsia" w:hAnsiTheme="minorEastAsia" w:eastAsiaTheme="minorEastAsia" w:cstheme="minorEastAsia"/>
          <w:sz w:val="24"/>
          <w:szCs w:val="24"/>
        </w:rPr>
        <w:t>09</w:t>
      </w:r>
      <w:r>
        <w:rPr>
          <w:rFonts w:hint="eastAsia" w:ascii="宋体" w:hAnsi="宋体" w:cs="宋体"/>
          <w:sz w:val="24"/>
          <w:szCs w:val="24"/>
        </w:rPr>
        <w:t>时30分</w:t>
      </w:r>
      <w:r>
        <w:rPr>
          <w:rFonts w:hint="eastAsia" w:asciiTheme="minorEastAsia" w:hAnsiTheme="minorEastAsia" w:eastAsiaTheme="minorEastAsia" w:cstheme="minorEastAsia"/>
          <w:sz w:val="24"/>
        </w:rPr>
        <w:t>（北京时间）</w:t>
      </w:r>
    </w:p>
    <w:p>
      <w:pPr>
        <w:spacing w:line="360" w:lineRule="auto"/>
        <w:ind w:firstLine="480" w:firstLineChars="200"/>
        <w:rPr>
          <w:rFonts w:ascii="宋体" w:hAnsi="宋体"/>
          <w:bCs/>
        </w:rPr>
      </w:pPr>
      <w:r>
        <w:rPr>
          <w:rFonts w:hint="eastAsia" w:asciiTheme="minorEastAsia" w:hAnsiTheme="minorEastAsia" w:eastAsiaTheme="minorEastAsia" w:cstheme="minorEastAsia"/>
          <w:sz w:val="24"/>
        </w:rPr>
        <w:t>地点：通过广西政府采购云平台实行在线解密开启。（本项目不要求供应商到达开标现场，但供应商应派法定代表人（负责人）或委托代理人准时在线出席电子开评标会议，随时关注开评标进度，如在开评标过程中有电子询标，应在规定的时间内对电子询标函进行澄清回复）</w:t>
      </w:r>
    </w:p>
    <w:p>
      <w:pPr>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六、公告期限</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自本公告发布之日起5个工作日。</w:t>
      </w:r>
    </w:p>
    <w:p>
      <w:pPr>
        <w:numPr>
          <w:ilvl w:val="0"/>
          <w:numId w:val="7"/>
        </w:numPr>
        <w:spacing w:line="360" w:lineRule="auto"/>
        <w:ind w:firstLine="482" w:firstLineChars="200"/>
        <w:rPr>
          <w:rFonts w:asciiTheme="minorEastAsia" w:hAnsiTheme="minorEastAsia" w:eastAsiaTheme="minorEastAsia" w:cstheme="minorEastAsia"/>
          <w:b/>
          <w:bCs/>
          <w:sz w:val="24"/>
        </w:rPr>
      </w:pPr>
      <w:bookmarkStart w:id="2" w:name="_Toc35393626"/>
      <w:bookmarkStart w:id="3" w:name="_Toc35393795"/>
      <w:r>
        <w:rPr>
          <w:rFonts w:hint="eastAsia" w:asciiTheme="minorEastAsia" w:hAnsiTheme="minorEastAsia" w:eastAsiaTheme="minorEastAsia" w:cstheme="minorEastAsia"/>
          <w:b/>
          <w:bCs/>
          <w:sz w:val="24"/>
        </w:rPr>
        <w:t>其他补充事宜</w:t>
      </w:r>
      <w:bookmarkEnd w:id="2"/>
      <w:bookmarkEnd w:id="3"/>
    </w:p>
    <w:p>
      <w:pPr>
        <w:spacing w:line="440" w:lineRule="exact"/>
        <w:ind w:firstLine="480" w:firstLineChars="200"/>
        <w:jc w:val="left"/>
        <w:rPr>
          <w:rFonts w:ascii="宋体"/>
          <w:sz w:val="24"/>
          <w:szCs w:val="24"/>
        </w:rPr>
      </w:pPr>
      <w:r>
        <w:rPr>
          <w:rFonts w:hint="eastAsia" w:ascii="宋体" w:hAnsi="宋体" w:cs="宋体"/>
          <w:kern w:val="0"/>
          <w:sz w:val="24"/>
          <w:szCs w:val="24"/>
        </w:rPr>
        <w:t>1.磋商保证金：</w:t>
      </w:r>
      <w:r>
        <w:rPr>
          <w:rFonts w:hint="eastAsia" w:ascii="宋体" w:hAnsi="宋体"/>
          <w:kern w:val="0"/>
          <w:sz w:val="24"/>
          <w:szCs w:val="24"/>
          <w:u w:val="single"/>
        </w:rPr>
        <w:t>20000.00</w:t>
      </w:r>
      <w:r>
        <w:rPr>
          <w:rFonts w:hint="eastAsia" w:ascii="宋体" w:hAnsi="宋体"/>
          <w:kern w:val="0"/>
          <w:sz w:val="24"/>
          <w:szCs w:val="24"/>
        </w:rPr>
        <w:t>元；</w:t>
      </w:r>
    </w:p>
    <w:p>
      <w:pPr>
        <w:spacing w:line="440" w:lineRule="exact"/>
        <w:ind w:firstLine="480" w:firstLineChars="200"/>
        <w:jc w:val="left"/>
        <w:rPr>
          <w:rFonts w:ascii="宋体" w:hAnsi="宋体" w:cs="宋体"/>
          <w:sz w:val="24"/>
          <w:szCs w:val="24"/>
        </w:rPr>
      </w:pPr>
      <w:r>
        <w:rPr>
          <w:rFonts w:hint="eastAsia" w:ascii="宋体" w:hAnsi="宋体" w:cs="宋体"/>
          <w:kern w:val="0"/>
          <w:sz w:val="24"/>
          <w:szCs w:val="24"/>
        </w:rPr>
        <w:t>磋商</w:t>
      </w:r>
      <w:r>
        <w:rPr>
          <w:rFonts w:hint="eastAsia" w:ascii="宋体" w:hAnsi="宋体"/>
          <w:sz w:val="24"/>
          <w:szCs w:val="24"/>
        </w:rPr>
        <w:t>保证金的交纳方式：银行转账、支票、汇票、本票或者银行出具的保函等，禁止采用现钞方式。采用银行转账方式的，在首次响应文件提交截止时间前交至以下账户并且到账</w:t>
      </w:r>
      <w:r>
        <w:rPr>
          <w:rFonts w:hint="eastAsia" w:ascii="宋体" w:hAnsi="宋体"/>
          <w:sz w:val="24"/>
          <w:szCs w:val="24"/>
          <w:u w:val="single"/>
        </w:rPr>
        <w:t>（开户银行：招商银行南宁分行营业部，开户名称：广西建设工程机电设备招标中心有限公司，银行账号：7719 0142 3310 201）</w:t>
      </w:r>
      <w:r>
        <w:rPr>
          <w:rFonts w:hint="eastAsia" w:ascii="宋体" w:hAnsi="宋体"/>
          <w:sz w:val="24"/>
          <w:szCs w:val="24"/>
        </w:rPr>
        <w:t>；采用支票、汇票、本票或者保函等方式的，在首次响应文件提交截止时间前，供应商必须提交单独密封的支票、汇票、本票或者保函原件。否则视为无效</w:t>
      </w:r>
      <w:r>
        <w:rPr>
          <w:rFonts w:hint="eastAsia" w:ascii="宋体" w:hAnsi="宋体" w:cs="宋体"/>
          <w:sz w:val="24"/>
          <w:szCs w:val="24"/>
        </w:rPr>
        <w:t>磋商</w:t>
      </w:r>
      <w:r>
        <w:rPr>
          <w:rFonts w:hint="eastAsia" w:ascii="宋体" w:hAnsi="宋体"/>
          <w:sz w:val="24"/>
          <w:szCs w:val="24"/>
        </w:rPr>
        <w:t>保证金</w:t>
      </w:r>
      <w:r>
        <w:rPr>
          <w:rFonts w:hint="eastAsia" w:ascii="宋体" w:hAnsi="宋体" w:cs="宋体"/>
          <w:sz w:val="24"/>
          <w:szCs w:val="24"/>
        </w:rPr>
        <w:t>。</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2.采购意向公开链接：http://www.ccgp-guangxi.gov.cn/site/detail?categoryCode=reformColumn&amp;parentId=66601&amp;articleId=PUinJVSVc3BhT/b1w9JbdQ==</w:t>
      </w:r>
    </w:p>
    <w:p>
      <w:pPr>
        <w:spacing w:line="360" w:lineRule="auto"/>
        <w:ind w:firstLine="480" w:firstLineChars="200"/>
        <w:rPr>
          <w:rFonts w:ascii="宋体" w:hAnsi="宋体" w:cs="宋体"/>
          <w:kern w:val="0"/>
          <w:sz w:val="24"/>
          <w:szCs w:val="24"/>
        </w:rPr>
      </w:pPr>
      <w:bookmarkStart w:id="4" w:name="_Hlk37429585"/>
      <w:r>
        <w:rPr>
          <w:rFonts w:hint="eastAsia" w:ascii="宋体" w:hAnsi="宋体" w:cs="宋体"/>
          <w:kern w:val="0"/>
          <w:sz w:val="24"/>
          <w:szCs w:val="24"/>
        </w:rPr>
        <w:t>3.</w:t>
      </w:r>
      <w:bookmarkStart w:id="5" w:name="_Hlk37429595"/>
      <w:r>
        <w:rPr>
          <w:rFonts w:hint="eastAsia" w:ascii="宋体" w:hAnsi="宋体" w:cs="宋体"/>
          <w:kern w:val="0"/>
          <w:sz w:val="24"/>
          <w:szCs w:val="24"/>
        </w:rPr>
        <w:t>网上查询地址</w:t>
      </w:r>
    </w:p>
    <w:bookmarkEnd w:id="4"/>
    <w:bookmarkEnd w:id="5"/>
    <w:p>
      <w:pPr>
        <w:spacing w:line="360" w:lineRule="auto"/>
        <w:ind w:firstLine="480" w:firstLineChars="200"/>
        <w:rPr>
          <w:rFonts w:ascii="宋体" w:hAnsi="宋体" w:cs="宋体"/>
          <w:kern w:val="0"/>
          <w:sz w:val="24"/>
          <w:szCs w:val="24"/>
        </w:rPr>
      </w:pPr>
      <w:bookmarkStart w:id="6" w:name="_Hlk37429674"/>
      <w:r>
        <w:rPr>
          <w:rFonts w:hint="eastAsia" w:ascii="宋体" w:hAnsi="宋体" w:cs="宋体"/>
          <w:kern w:val="0"/>
          <w:sz w:val="24"/>
          <w:szCs w:val="24"/>
        </w:rPr>
        <w:t>中国政府采购网（http://www.ccgp.gov.cn）、广西壮族自治区政府采购网（http://www.gxzfcg.gov.cn）、广西招标网（http://www.guangxibid.com.cn/）、广西阳光采购服务平台（https://gxygcg.ejy365.com/）。</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w:t>
      </w:r>
      <w:r>
        <w:rPr>
          <w:rFonts w:hint="eastAsia" w:ascii="宋体" w:hAnsi="宋体" w:cs="宋体"/>
          <w:sz w:val="24"/>
          <w:szCs w:val="24"/>
        </w:rPr>
        <w:t xml:space="preserve">. </w:t>
      </w:r>
      <w:r>
        <w:rPr>
          <w:rFonts w:hint="eastAsia" w:ascii="宋体" w:hAnsi="宋体" w:cs="宋体"/>
          <w:kern w:val="0"/>
          <w:sz w:val="24"/>
          <w:szCs w:val="24"/>
        </w:rPr>
        <w:t>本项目需要落实的政府采购政策</w:t>
      </w:r>
    </w:p>
    <w:bookmarkEnd w:id="6"/>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（1）政府采购促进中小企业发展【大型企业不能参与竞标，企业划分标准详见《关于印发中小企业划型标准规定的通知》（工信部联企业[2011]300号）文件，监狱企业及残疾人福利性企业视同小型、微型企业。</w:t>
      </w:r>
      <w:r>
        <w:rPr>
          <w:rFonts w:hint="eastAsia" w:ascii="宋体" w:hAnsi="宋体" w:cs="宋体"/>
          <w:b/>
          <w:bCs/>
          <w:kern w:val="0"/>
          <w:sz w:val="24"/>
          <w:szCs w:val="24"/>
        </w:rPr>
        <w:t>本项目所属行业：建筑业</w:t>
      </w:r>
      <w:r>
        <w:rPr>
          <w:rFonts w:hint="eastAsia" w:ascii="宋体" w:hAnsi="宋体" w:cs="宋体"/>
          <w:kern w:val="0"/>
          <w:sz w:val="24"/>
          <w:szCs w:val="24"/>
        </w:rPr>
        <w:t>】；</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（2）政府采购促进残疾人就业政策；</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（3）政府采购支持监狱企业发展；</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（4）政府采购竞争性磋商采购方式管理暂行办法。</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供应商认为采购文件使自己的权益受到损害的，可以自获取采购文件之日或者采购文件公告期限届满之日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6. 若对项目采购电子交易系统操作有疑问，可登录“</w:t>
      </w:r>
      <w:r>
        <w:rPr>
          <w:rFonts w:hint="eastAsia" w:asciiTheme="minorEastAsia" w:hAnsiTheme="minorEastAsia" w:eastAsiaTheme="minorEastAsia" w:cstheme="minorEastAsia"/>
          <w:sz w:val="24"/>
        </w:rPr>
        <w:t>广西政府采购云</w:t>
      </w:r>
      <w:r>
        <w:rPr>
          <w:rFonts w:hint="eastAsia" w:ascii="宋体" w:hAnsi="宋体" w:cs="宋体"/>
          <w:kern w:val="0"/>
          <w:sz w:val="24"/>
          <w:szCs w:val="24"/>
        </w:rPr>
        <w:t>”平台</w:t>
      </w:r>
      <w:r>
        <w:rPr>
          <w:rFonts w:hint="eastAsia" w:asciiTheme="minorEastAsia" w:hAnsiTheme="minorEastAsia" w:eastAsiaTheme="minorEastAsia" w:cstheme="minorEastAsia"/>
          <w:sz w:val="24"/>
          <w:szCs w:val="24"/>
        </w:rPr>
        <w:t>（https://www.gcy.zfcg.gxzf.gov.cn/）</w:t>
      </w:r>
      <w:r>
        <w:rPr>
          <w:rFonts w:hint="eastAsia" w:ascii="宋体" w:hAnsi="宋体" w:cs="宋体"/>
          <w:kern w:val="0"/>
          <w:sz w:val="24"/>
          <w:szCs w:val="24"/>
        </w:rPr>
        <w:t>，点击右侧咨询小采，获取采小蜜智能服务管家帮助，或拨打</w:t>
      </w:r>
      <w:r>
        <w:rPr>
          <w:rFonts w:hint="eastAsia" w:asciiTheme="minorEastAsia" w:hAnsiTheme="minorEastAsia" w:eastAsiaTheme="minorEastAsia" w:cstheme="minorEastAsia"/>
          <w:sz w:val="24"/>
        </w:rPr>
        <w:t>广西政府采购云</w:t>
      </w:r>
      <w:r>
        <w:rPr>
          <w:rFonts w:hint="eastAsia" w:ascii="宋体" w:hAnsi="宋体" w:cs="宋体"/>
          <w:kern w:val="0"/>
          <w:sz w:val="24"/>
          <w:szCs w:val="24"/>
        </w:rPr>
        <w:t>服务热线95763获取热线服务帮助。</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7、在线投标响应（电子投标）说明</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（1）本项目通过</w:t>
      </w:r>
      <w:r>
        <w:rPr>
          <w:rFonts w:hint="eastAsia" w:asciiTheme="minorEastAsia" w:hAnsiTheme="minorEastAsia" w:eastAsiaTheme="minorEastAsia" w:cstheme="minorEastAsia"/>
          <w:sz w:val="24"/>
        </w:rPr>
        <w:t>广西政府采购云</w:t>
      </w:r>
      <w:r>
        <w:rPr>
          <w:rFonts w:hint="eastAsia" w:ascii="宋体" w:hAnsi="宋体" w:cs="宋体"/>
          <w:kern w:val="0"/>
          <w:sz w:val="24"/>
          <w:szCs w:val="24"/>
        </w:rPr>
        <w:t>平台实行在线投标响应（电子投标），供应商需要先安装“</w:t>
      </w:r>
      <w:r>
        <w:rPr>
          <w:rFonts w:hint="eastAsia" w:asciiTheme="minorEastAsia" w:hAnsiTheme="minorEastAsia" w:eastAsiaTheme="minorEastAsia" w:cstheme="minorEastAsia"/>
          <w:sz w:val="24"/>
        </w:rPr>
        <w:t>广西政府采购云</w:t>
      </w:r>
      <w:r>
        <w:rPr>
          <w:rFonts w:hint="eastAsia" w:ascii="宋体" w:hAnsi="宋体" w:cs="宋体"/>
          <w:kern w:val="0"/>
          <w:sz w:val="24"/>
          <w:szCs w:val="24"/>
        </w:rPr>
        <w:t>电子交易客户端”，并按照本竞争性磋商采购文件和政采云平台的要求，通过“</w:t>
      </w:r>
      <w:r>
        <w:rPr>
          <w:rFonts w:hint="eastAsia" w:asciiTheme="minorEastAsia" w:hAnsiTheme="minorEastAsia" w:eastAsiaTheme="minorEastAsia" w:cstheme="minorEastAsia"/>
          <w:sz w:val="24"/>
        </w:rPr>
        <w:t>广西政府采购云</w:t>
      </w:r>
      <w:r>
        <w:rPr>
          <w:rFonts w:hint="eastAsia" w:ascii="宋体" w:hAnsi="宋体" w:cs="宋体"/>
          <w:kern w:val="0"/>
          <w:sz w:val="24"/>
          <w:szCs w:val="24"/>
        </w:rPr>
        <w:t>电子交易客户端”编制并加密响应文件。供应商未按规定编制并加密的响应文件，政采云平台将予以拒收。</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w:t>
      </w:r>
      <w:r>
        <w:rPr>
          <w:rFonts w:hint="eastAsia" w:asciiTheme="minorEastAsia" w:hAnsiTheme="minorEastAsia" w:eastAsiaTheme="minorEastAsia" w:cstheme="minorEastAsia"/>
          <w:sz w:val="24"/>
        </w:rPr>
        <w:t>广西政府采购云</w:t>
      </w:r>
      <w:r>
        <w:rPr>
          <w:rFonts w:hint="eastAsia" w:ascii="宋体" w:hAnsi="宋体" w:cs="宋体"/>
          <w:kern w:val="0"/>
          <w:sz w:val="24"/>
          <w:szCs w:val="24"/>
        </w:rPr>
        <w:t>电子交易客户端”请自行前往广西政府采购网下载并安装；电子投标具体操作流程参考《政府采购项目电子交易管理操作指南-供应商》；在使用</w:t>
      </w:r>
      <w:r>
        <w:rPr>
          <w:rFonts w:hint="eastAsia" w:asciiTheme="minorEastAsia" w:hAnsiTheme="minorEastAsia" w:eastAsiaTheme="minorEastAsia" w:cstheme="minorEastAsia"/>
          <w:sz w:val="24"/>
        </w:rPr>
        <w:t>广西政府采购云</w:t>
      </w:r>
      <w:r>
        <w:rPr>
          <w:rFonts w:hint="eastAsia" w:ascii="宋体" w:hAnsi="宋体" w:cs="宋体"/>
          <w:kern w:val="0"/>
          <w:sz w:val="24"/>
          <w:szCs w:val="24"/>
        </w:rPr>
        <w:t>投标客户端时，建议使用WIN7及以上操作系统，通过</w:t>
      </w:r>
      <w:r>
        <w:rPr>
          <w:rFonts w:hint="eastAsia" w:asciiTheme="minorEastAsia" w:hAnsiTheme="minorEastAsia" w:eastAsiaTheme="minorEastAsia" w:cstheme="minorEastAsia"/>
          <w:sz w:val="24"/>
        </w:rPr>
        <w:t>广西政府采购云</w:t>
      </w:r>
      <w:r>
        <w:rPr>
          <w:rFonts w:hint="eastAsia" w:ascii="宋体" w:hAnsi="宋体" w:cs="宋体"/>
          <w:kern w:val="0"/>
          <w:sz w:val="24"/>
          <w:szCs w:val="24"/>
        </w:rPr>
        <w:t>平台参与在线投标时如遇平台技术问题详询95763。</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（3）为确保网上操作合法、有效和安全，磋商供应商应当在响应文件提交截止时间前完成在“</w:t>
      </w:r>
      <w:r>
        <w:rPr>
          <w:rFonts w:hint="eastAsia" w:asciiTheme="minorEastAsia" w:hAnsiTheme="minorEastAsia" w:eastAsiaTheme="minorEastAsia" w:cstheme="minorEastAsia"/>
          <w:sz w:val="24"/>
        </w:rPr>
        <w:t>广西政府采购云</w:t>
      </w:r>
      <w:r>
        <w:rPr>
          <w:rFonts w:hint="eastAsia" w:ascii="宋体" w:hAnsi="宋体" w:cs="宋体"/>
          <w:kern w:val="0"/>
          <w:sz w:val="24"/>
          <w:szCs w:val="24"/>
        </w:rPr>
        <w:t>平台”的身份认证，确保在电子投标过程中能够对相关数据电文进行加密和使用电子签章。使用“</w:t>
      </w:r>
      <w:r>
        <w:rPr>
          <w:rFonts w:hint="eastAsia" w:asciiTheme="minorEastAsia" w:hAnsiTheme="minorEastAsia" w:eastAsiaTheme="minorEastAsia" w:cstheme="minorEastAsia"/>
          <w:sz w:val="24"/>
        </w:rPr>
        <w:t>广西政府采购云</w:t>
      </w:r>
      <w:r>
        <w:rPr>
          <w:rFonts w:hint="eastAsia" w:ascii="宋体" w:hAnsi="宋体" w:cs="宋体"/>
          <w:kern w:val="0"/>
          <w:sz w:val="24"/>
          <w:szCs w:val="24"/>
        </w:rPr>
        <w:t>电子交易客户端”需要提前申领CA数字证书，申领流程请自行前往相关网站进行查阅（完成CA数字证书办理预计一周左右，建议供应商获取竞争性磋商采购文件后立即办理）。</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磋商供应商应当在响应文件提交截止时间前，将生成的“电子加密响应文件”上传提交至政采云平台。响应文件提交截止时间前可以补充、修改或者撤回电子磋商响应文件。补充或者修改电子磋商响应文件的，应当先行撤回原文件，补充、修改后重新传输递交，响应文件提交截止时间前未完成传输的，视为撤回响应文件。</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（5）响应文件提交截止时间后，</w:t>
      </w:r>
      <w:r>
        <w:rPr>
          <w:rFonts w:hint="eastAsia" w:asciiTheme="minorEastAsia" w:hAnsiTheme="minorEastAsia" w:eastAsiaTheme="minorEastAsia" w:cstheme="minorEastAsia"/>
          <w:sz w:val="24"/>
        </w:rPr>
        <w:t>广西政府采购云</w:t>
      </w:r>
      <w:r>
        <w:rPr>
          <w:rFonts w:hint="eastAsia" w:ascii="宋体" w:hAnsi="宋体" w:cs="宋体"/>
          <w:kern w:val="0"/>
          <w:sz w:val="24"/>
          <w:szCs w:val="24"/>
        </w:rPr>
        <w:t>（电子交易平台）自动提取所有响应文件，各供应商须在提交响应文件截止后30分钟内对上传政采云的响应文件进行解密，所有供应商在规定的解密时限内解密完成或解密时限到后，采购代理机构开启响应文件；供应商超过解密时限的，系统默认自动放弃。</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2、相关业务联系单位及联系电话</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CA咨询(汇信公司)客服热线：400-888-4636；“政采云”平台客服电话：95763</w:t>
      </w:r>
    </w:p>
    <w:p>
      <w:pPr>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八、凡对本次采购提出询问，请按以下方式联系：</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1.采购人信息</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名  称：桂林理工大学</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  址：桂林市七星区建干路12号</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联系方式：谢仁标  0773-5895090</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2.采购代理机构信息</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名   称：</w:t>
      </w:r>
      <w:r>
        <w:rPr>
          <w:rFonts w:hint="eastAsia" w:asciiTheme="minorEastAsia" w:hAnsiTheme="minorEastAsia" w:eastAsiaTheme="minorEastAsia" w:cstheme="minorEastAsia"/>
          <w:sz w:val="24"/>
          <w:lang w:eastAsia="zh-CN"/>
        </w:rPr>
        <w:t>广西建设工程机电设备招标中心有限公司</w:t>
      </w:r>
      <w:r>
        <w:rPr>
          <w:rFonts w:hint="eastAsia" w:asciiTheme="minorEastAsia" w:hAnsiTheme="minorEastAsia" w:eastAsiaTheme="minorEastAsia" w:cstheme="minorEastAsia"/>
          <w:sz w:val="24"/>
        </w:rPr>
        <w:t xml:space="preserve">   </w:t>
      </w:r>
    </w:p>
    <w:p>
      <w:pPr>
        <w:keepNext w:val="0"/>
        <w:keepLines w:val="0"/>
        <w:pageBreakBefore w:val="0"/>
        <w:widowControl w:val="0"/>
        <w:shd w:val="clear"/>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址：桂林市临桂区世纪大道长岛十六区110栋三楼</w:t>
      </w:r>
    </w:p>
    <w:p>
      <w:pPr>
        <w:keepNext w:val="0"/>
        <w:keepLines w:val="0"/>
        <w:pageBreakBefore w:val="0"/>
        <w:widowControl w:val="0"/>
        <w:shd w:val="clear"/>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联系方式：0771-2821389/0773-5587517</w:t>
      </w:r>
    </w:p>
    <w:p>
      <w:pPr>
        <w:keepNext w:val="0"/>
        <w:keepLines w:val="0"/>
        <w:pageBreakBefore w:val="0"/>
        <w:widowControl w:val="0"/>
        <w:shd w:val="clear"/>
        <w:kinsoku/>
        <w:wordWrap/>
        <w:overflowPunct/>
        <w:topLinePunct w:val="0"/>
        <w:autoSpaceDE/>
        <w:autoSpaceDN/>
        <w:bidi w:val="0"/>
        <w:snapToGrid/>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3.项目联系方式</w:t>
      </w:r>
    </w:p>
    <w:p>
      <w:pPr>
        <w:keepNext w:val="0"/>
        <w:keepLines w:val="0"/>
        <w:pageBreakBefore w:val="0"/>
        <w:widowControl w:val="0"/>
        <w:shd w:val="clear"/>
        <w:kinsoku/>
        <w:wordWrap/>
        <w:overflowPunct/>
        <w:topLinePunct w:val="0"/>
        <w:autoSpaceDE/>
        <w:autoSpaceDN/>
        <w:bidi w:val="0"/>
        <w:snapToGrid/>
        <w:spacing w:line="360" w:lineRule="auto"/>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项目联系人：</w:t>
      </w:r>
      <w:r>
        <w:rPr>
          <w:rFonts w:hint="eastAsia" w:asciiTheme="minorEastAsia" w:hAnsiTheme="minorEastAsia" w:eastAsiaTheme="minorEastAsia" w:cstheme="minorEastAsia"/>
          <w:color w:val="auto"/>
          <w:sz w:val="24"/>
          <w:szCs w:val="24"/>
          <w:highlight w:val="none"/>
          <w:lang w:eastAsia="zh-CN"/>
        </w:rPr>
        <w:t>陆宏宾、</w:t>
      </w:r>
      <w:r>
        <w:rPr>
          <w:rFonts w:hint="eastAsia" w:asciiTheme="minorEastAsia" w:hAnsiTheme="minorEastAsia" w:eastAsiaTheme="minorEastAsia" w:cstheme="minorEastAsia"/>
          <w:color w:val="auto"/>
          <w:sz w:val="24"/>
          <w:szCs w:val="24"/>
          <w:highlight w:val="none"/>
          <w:lang w:val="en-US" w:eastAsia="zh-CN"/>
        </w:rPr>
        <w:t>谭琦辉、张宇</w:t>
      </w:r>
    </w:p>
    <w:p>
      <w:pPr>
        <w:keepNext w:val="0"/>
        <w:keepLines w:val="0"/>
        <w:pageBreakBefore w:val="0"/>
        <w:widowControl w:val="0"/>
        <w:shd w:val="clear"/>
        <w:kinsoku/>
        <w:wordWrap/>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话：</w:t>
      </w:r>
      <w:r>
        <w:rPr>
          <w:rFonts w:hint="eastAsia" w:asciiTheme="minorEastAsia" w:hAnsiTheme="minorEastAsia" w:eastAsiaTheme="minorEastAsia" w:cstheme="minorEastAsia"/>
          <w:color w:val="auto"/>
          <w:sz w:val="24"/>
          <w:highlight w:val="none"/>
        </w:rPr>
        <w:t>0771-2821389/0773-5587517</w:t>
      </w:r>
    </w:p>
    <w:p>
      <w:pPr>
        <w:spacing w:line="360" w:lineRule="auto"/>
        <w:ind w:firstLine="480" w:firstLineChars="200"/>
        <w:rPr>
          <w:rFonts w:hint="eastAsia" w:asciiTheme="minorEastAsia" w:hAnsiTheme="minorEastAsia" w:eastAsiaTheme="minorEastAsia" w:cstheme="minorEastAsia"/>
          <w:sz w:val="24"/>
          <w:szCs w:val="24"/>
          <w:lang w:eastAsia="zh-CN"/>
        </w:rPr>
      </w:pPr>
    </w:p>
    <w:p>
      <w:pPr>
        <w:spacing w:line="360" w:lineRule="auto"/>
        <w:ind w:firstLine="720" w:firstLineChars="3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spacing w:line="360" w:lineRule="auto"/>
        <w:ind w:firstLine="720" w:firstLineChars="300"/>
        <w:jc w:val="right"/>
        <w:rPr>
          <w:rFonts w:asciiTheme="minorEastAsia" w:hAnsiTheme="minorEastAsia" w:eastAsiaTheme="minorEastAsia" w:cstheme="minorEastAsia"/>
          <w:sz w:val="24"/>
        </w:rPr>
      </w:pPr>
    </w:p>
    <w:p>
      <w:pPr>
        <w:spacing w:line="360" w:lineRule="auto"/>
        <w:ind w:firstLine="720" w:firstLineChars="3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采购代理单位：</w:t>
      </w:r>
      <w:r>
        <w:rPr>
          <w:rFonts w:hint="eastAsia" w:asciiTheme="minorEastAsia" w:hAnsiTheme="minorEastAsia" w:eastAsiaTheme="minorEastAsia" w:cstheme="minorEastAsia"/>
          <w:sz w:val="24"/>
          <w:szCs w:val="24"/>
          <w:lang w:eastAsia="zh-CN"/>
        </w:rPr>
        <w:t>广西建设工程机电设备招标中心有限公司</w:t>
      </w:r>
      <w:r>
        <w:rPr>
          <w:rFonts w:hint="eastAsia" w:asciiTheme="minorEastAsia" w:hAnsiTheme="minorEastAsia" w:eastAsiaTheme="minorEastAsia" w:cstheme="minorEastAsia"/>
          <w:sz w:val="24"/>
          <w:szCs w:val="24"/>
        </w:rPr>
        <w:t xml:space="preserve">   </w:t>
      </w:r>
    </w:p>
    <w:p>
      <w:pPr>
        <w:spacing w:line="360" w:lineRule="auto"/>
        <w:ind w:firstLine="480" w:firstLineChars="200"/>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szCs w:val="24"/>
        </w:rPr>
        <w:t>2024年</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日</w:t>
      </w:r>
      <w:bookmarkStart w:id="7" w:name="_Toc18176"/>
    </w:p>
    <w:p>
      <w:pPr>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42"/>
        <w:rPr>
          <w:rFonts w:asciiTheme="minorEastAsia" w:hAnsiTheme="minorEastAsia" w:eastAsiaTheme="minorEastAsia" w:cstheme="minorEastAsia"/>
        </w:rPr>
      </w:pPr>
      <w:r>
        <w:rPr>
          <w:rFonts w:hint="eastAsia" w:asciiTheme="minorEastAsia" w:hAnsiTheme="minorEastAsia" w:eastAsiaTheme="minorEastAsia" w:cstheme="minorEastAsia"/>
        </w:rPr>
        <w:t>第二章  磋商须知前附表及</w:t>
      </w:r>
      <w:bookmarkEnd w:id="1"/>
      <w:r>
        <w:rPr>
          <w:rFonts w:hint="eastAsia" w:asciiTheme="minorEastAsia" w:hAnsiTheme="minorEastAsia" w:eastAsiaTheme="minorEastAsia" w:cstheme="minorEastAsia"/>
        </w:rPr>
        <w:t>磋商须知</w:t>
      </w:r>
      <w:bookmarkEnd w:id="7"/>
    </w:p>
    <w:p>
      <w:pPr>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磋商须知前附表</w:t>
      </w:r>
    </w:p>
    <w:tbl>
      <w:tblPr>
        <w:tblStyle w:val="45"/>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8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Pr>
          <w:p>
            <w:pPr>
              <w:spacing w:line="360" w:lineRule="exact"/>
              <w:jc w:val="center"/>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项号</w:t>
            </w:r>
          </w:p>
        </w:tc>
        <w:tc>
          <w:tcPr>
            <w:tcW w:w="8813" w:type="dxa"/>
          </w:tcPr>
          <w:p>
            <w:pPr>
              <w:spacing w:line="360" w:lineRule="exact"/>
              <w:jc w:val="center"/>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6" w:hRule="atLeast"/>
          <w:jc w:val="center"/>
        </w:trPr>
        <w:tc>
          <w:tcPr>
            <w:tcW w:w="1093" w:type="dxa"/>
            <w:vAlign w:val="center"/>
          </w:tcPr>
          <w:p>
            <w:pPr>
              <w:spacing w:line="360" w:lineRule="exact"/>
              <w:jc w:val="center"/>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1</w:t>
            </w:r>
          </w:p>
        </w:tc>
        <w:tc>
          <w:tcPr>
            <w:tcW w:w="8813" w:type="dxa"/>
          </w:tcPr>
          <w:p>
            <w:pPr>
              <w:spacing w:line="400" w:lineRule="exact"/>
              <w:rPr>
                <w:rFonts w:asciiTheme="minorEastAsia" w:hAnsiTheme="minorEastAsia" w:eastAsiaTheme="minorEastAsia" w:cstheme="minorEastAsia"/>
                <w:bCs/>
                <w:spacing w:val="2"/>
              </w:rPr>
            </w:pPr>
            <w:r>
              <w:rPr>
                <w:rFonts w:hint="eastAsia" w:asciiTheme="minorEastAsia" w:hAnsiTheme="minorEastAsia" w:eastAsiaTheme="minorEastAsia" w:cstheme="minorEastAsia"/>
                <w:b/>
                <w:spacing w:val="2"/>
              </w:rPr>
              <w:t>项目名称：</w:t>
            </w:r>
            <w:r>
              <w:rPr>
                <w:rFonts w:hint="eastAsia" w:asciiTheme="minorEastAsia" w:hAnsiTheme="minorEastAsia" w:eastAsiaTheme="minorEastAsia" w:cstheme="minorEastAsia"/>
                <w:spacing w:val="2"/>
              </w:rPr>
              <w:t>桂林理工大学雁山校区图书馆环境改造工程</w:t>
            </w:r>
          </w:p>
          <w:p>
            <w:pPr>
              <w:spacing w:line="400" w:lineRule="exact"/>
              <w:rPr>
                <w:rFonts w:hint="eastAsia"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spacing w:val="2"/>
              </w:rPr>
              <w:t>项目编号：</w:t>
            </w:r>
            <w:r>
              <w:rPr>
                <w:rFonts w:hint="eastAsia" w:asciiTheme="minorEastAsia" w:hAnsiTheme="minorEastAsia" w:eastAsiaTheme="minorEastAsia" w:cstheme="minorEastAsia"/>
                <w:spacing w:val="2"/>
                <w:lang w:eastAsia="zh-CN"/>
              </w:rPr>
              <w:t>GGZC2024-C2-004596-JGJD</w:t>
            </w:r>
          </w:p>
          <w:p>
            <w:pPr>
              <w:spacing w:line="400" w:lineRule="exact"/>
              <w:rPr>
                <w:rFonts w:asciiTheme="minorEastAsia" w:hAnsiTheme="minorEastAsia" w:eastAsiaTheme="minorEastAsia" w:cstheme="minorEastAsia"/>
                <w:b/>
                <w:spacing w:val="2"/>
              </w:rPr>
            </w:pPr>
            <w:r>
              <w:rPr>
                <w:rFonts w:hint="eastAsia" w:asciiTheme="minorEastAsia" w:hAnsiTheme="minorEastAsia" w:eastAsiaTheme="minorEastAsia" w:cstheme="minorEastAsia"/>
                <w:b/>
                <w:spacing w:val="2"/>
              </w:rPr>
              <w:t>采购计划备案文号：</w:t>
            </w:r>
            <w:r>
              <w:rPr>
                <w:rFonts w:hint="eastAsia" w:asciiTheme="minorEastAsia" w:hAnsiTheme="minorEastAsia" w:eastAsiaTheme="minorEastAsia" w:cstheme="minorEastAsia"/>
                <w:spacing w:val="2"/>
                <w:lang w:val="en-US" w:eastAsia="zh-CN"/>
              </w:rPr>
              <w:t>广西政采[2024]12170号</w:t>
            </w:r>
          </w:p>
          <w:p>
            <w:pPr>
              <w:spacing w:line="400" w:lineRule="exact"/>
              <w:rPr>
                <w:rFonts w:asciiTheme="minorEastAsia" w:hAnsiTheme="minorEastAsia" w:eastAsiaTheme="minorEastAsia" w:cstheme="minorEastAsia"/>
                <w:spacing w:val="2"/>
              </w:rPr>
            </w:pPr>
            <w:r>
              <w:rPr>
                <w:rFonts w:hint="eastAsia" w:asciiTheme="minorEastAsia" w:hAnsiTheme="minorEastAsia" w:eastAsiaTheme="minorEastAsia" w:cstheme="minorEastAsia"/>
                <w:b/>
                <w:spacing w:val="2"/>
              </w:rPr>
              <w:t>标段划分：</w:t>
            </w:r>
            <w:r>
              <w:rPr>
                <w:rFonts w:hint="eastAsia" w:asciiTheme="minorEastAsia" w:hAnsiTheme="minorEastAsia" w:eastAsiaTheme="minorEastAsia" w:cstheme="minorEastAsia"/>
                <w:bCs/>
                <w:spacing w:val="2"/>
              </w:rPr>
              <w:t>本项目划</w:t>
            </w:r>
            <w:r>
              <w:rPr>
                <w:rFonts w:hint="eastAsia" w:asciiTheme="minorEastAsia" w:hAnsiTheme="minorEastAsia" w:eastAsiaTheme="minorEastAsia" w:cstheme="minorEastAsia"/>
                <w:spacing w:val="2"/>
              </w:rPr>
              <w:t>分为一个标段，桂林理工大学雁山校区图书馆环境改造工程</w:t>
            </w:r>
          </w:p>
          <w:p>
            <w:pPr>
              <w:spacing w:line="400" w:lineRule="exact"/>
              <w:rPr>
                <w:rFonts w:asciiTheme="minorEastAsia" w:hAnsiTheme="minorEastAsia" w:eastAsiaTheme="minorEastAsia" w:cstheme="minorEastAsia"/>
                <w:spacing w:val="2"/>
              </w:rPr>
            </w:pPr>
            <w:r>
              <w:rPr>
                <w:rFonts w:hint="eastAsia" w:asciiTheme="minorEastAsia" w:hAnsiTheme="minorEastAsia" w:eastAsiaTheme="minorEastAsia" w:cstheme="minorEastAsia"/>
                <w:b/>
              </w:rPr>
              <w:t>建设单位：</w:t>
            </w:r>
            <w:r>
              <w:rPr>
                <w:rFonts w:hint="eastAsia" w:asciiTheme="minorEastAsia" w:hAnsiTheme="minorEastAsia" w:eastAsiaTheme="minorEastAsia" w:cstheme="minorEastAsia"/>
                <w:spacing w:val="2"/>
              </w:rPr>
              <w:t>桂林理工大学</w:t>
            </w:r>
          </w:p>
          <w:p>
            <w:pPr>
              <w:spacing w:line="400" w:lineRule="exact"/>
              <w:rPr>
                <w:rFonts w:ascii="宋体" w:hAnsi="宋体"/>
              </w:rPr>
            </w:pPr>
            <w:r>
              <w:rPr>
                <w:rFonts w:hint="eastAsia" w:ascii="宋体" w:hAnsi="宋体"/>
                <w:b/>
                <w:bCs/>
              </w:rPr>
              <w:t>资金来源：</w:t>
            </w:r>
            <w:r>
              <w:rPr>
                <w:rFonts w:hint="eastAsia" w:ascii="宋体" w:hAnsi="宋体"/>
              </w:rPr>
              <w:t>财政资金</w:t>
            </w:r>
          </w:p>
          <w:p>
            <w:pPr>
              <w:spacing w:line="40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工程预算控制价：</w:t>
            </w:r>
            <w:r>
              <w:rPr>
                <w:rFonts w:hint="eastAsia" w:asciiTheme="minorEastAsia" w:hAnsiTheme="minorEastAsia" w:eastAsiaTheme="minorEastAsia" w:cstheme="minorEastAsia"/>
                <w:bCs/>
              </w:rPr>
              <w:t>人民币贰佰捌拾捌万零伍拾陆元壹角叁分（¥2880056.13元）</w:t>
            </w:r>
          </w:p>
          <w:p>
            <w:pPr>
              <w:spacing w:line="400" w:lineRule="exact"/>
              <w:rPr>
                <w:rFonts w:ascii="宋体" w:hAnsi="宋体"/>
              </w:rPr>
            </w:pPr>
            <w:r>
              <w:rPr>
                <w:rFonts w:hint="eastAsia" w:ascii="宋体" w:hAnsi="宋体"/>
                <w:b/>
                <w:bCs/>
              </w:rPr>
              <w:t>建设地点：</w:t>
            </w:r>
            <w:r>
              <w:rPr>
                <w:rFonts w:hint="eastAsia" w:ascii="宋体" w:hAnsi="宋体"/>
              </w:rPr>
              <w:t>桂林理工大学雁山校区校园内</w:t>
            </w:r>
          </w:p>
          <w:p>
            <w:pPr>
              <w:spacing w:line="400" w:lineRule="exact"/>
              <w:rPr>
                <w:rFonts w:ascii="宋体" w:hAnsi="宋体"/>
                <w:bCs/>
              </w:rPr>
            </w:pPr>
            <w:r>
              <w:rPr>
                <w:rFonts w:hint="eastAsia" w:ascii="宋体" w:hAnsi="宋体"/>
                <w:b/>
              </w:rPr>
              <w:t>工程建设规模与内容：</w:t>
            </w:r>
            <w:r>
              <w:rPr>
                <w:rFonts w:hint="eastAsia" w:ascii="宋体" w:hAnsi="宋体"/>
                <w:bCs/>
              </w:rPr>
              <w:t>桂林理工大学雁山校区图书馆环境改造工程项目，总建筑面积约3.26万平方米，本项目工程预算包含拆除工程、装修工程及安装工程，具体详见工程量清单及图纸。</w:t>
            </w:r>
          </w:p>
          <w:p>
            <w:pPr>
              <w:spacing w:line="400" w:lineRule="exact"/>
              <w:rPr>
                <w:rFonts w:ascii="宋体" w:hAnsi="宋体"/>
              </w:rPr>
            </w:pPr>
            <w:r>
              <w:rPr>
                <w:rFonts w:hint="eastAsia" w:asciiTheme="minorEastAsia" w:hAnsiTheme="minorEastAsia" w:eastAsiaTheme="minorEastAsia" w:cstheme="minorEastAsia"/>
                <w:b/>
                <w:bCs/>
              </w:rPr>
              <w:t>工期</w:t>
            </w:r>
            <w:r>
              <w:rPr>
                <w:rFonts w:hint="eastAsia" w:ascii="宋体" w:hAnsi="宋体"/>
                <w:b/>
                <w:bCs/>
              </w:rPr>
              <w:t>：</w:t>
            </w:r>
            <w:r>
              <w:rPr>
                <w:rFonts w:hint="eastAsia" w:asciiTheme="minorEastAsia" w:hAnsiTheme="minorEastAsia" w:eastAsiaTheme="minorEastAsia" w:cstheme="minorEastAsia"/>
              </w:rPr>
              <w:t>自合同签订之日起45日历天内竣工并移交整个工程。</w:t>
            </w:r>
          </w:p>
          <w:p>
            <w:pPr>
              <w:spacing w:line="400" w:lineRule="exact"/>
              <w:rPr>
                <w:rFonts w:asciiTheme="minorEastAsia" w:hAnsiTheme="minorEastAsia" w:cstheme="minorEastAsia"/>
                <w:spacing w:val="2"/>
              </w:rPr>
            </w:pPr>
            <w:r>
              <w:rPr>
                <w:rFonts w:hint="eastAsia" w:ascii="宋体" w:hAnsi="宋体"/>
                <w:b/>
                <w:bCs/>
              </w:rPr>
              <w:t>质量要求：</w:t>
            </w:r>
            <w:r>
              <w:rPr>
                <w:rFonts w:hint="eastAsia" w:ascii="宋体" w:hAnsi="宋体"/>
              </w:rPr>
              <w:t>达到国家工程施工验收规范合格标准。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93" w:type="dxa"/>
            <w:vAlign w:val="center"/>
          </w:tcPr>
          <w:p>
            <w:pPr>
              <w:spacing w:line="3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8813" w:type="dxa"/>
            <w:vAlign w:val="center"/>
          </w:tcPr>
          <w:p>
            <w:pPr>
              <w:spacing w:line="360" w:lineRule="auto"/>
              <w:rPr>
                <w:rFonts w:asciiTheme="minorEastAsia" w:hAnsiTheme="minorEastAsia" w:eastAsiaTheme="minorEastAsia" w:cstheme="minorEastAsia"/>
                <w:b/>
                <w:bCs/>
              </w:rPr>
            </w:pPr>
            <w:r>
              <w:rPr>
                <w:rFonts w:hint="eastAsia" w:asciiTheme="minorEastAsia" w:hAnsiTheme="minorEastAsia" w:eastAsiaTheme="minorEastAsia" w:cstheme="minorEastAsia"/>
                <w:b/>
                <w:bCs/>
              </w:rPr>
              <w:t>供应商资格要求：</w:t>
            </w:r>
          </w:p>
          <w:p>
            <w:pPr>
              <w:spacing w:line="360" w:lineRule="auto"/>
              <w:ind w:firstLine="420" w:firstLineChars="200"/>
              <w:rPr>
                <w:rFonts w:ascii="宋体" w:hAnsi="宋体" w:cs="仿宋"/>
              </w:rPr>
            </w:pPr>
            <w:r>
              <w:rPr>
                <w:rFonts w:hint="eastAsia" w:ascii="宋体" w:hAnsi="宋体" w:cs="仿宋"/>
              </w:rPr>
              <w:t>1.满足《中华人民共和国政府采购法》第二十二条规定；</w:t>
            </w:r>
          </w:p>
          <w:p>
            <w:pPr>
              <w:spacing w:line="360" w:lineRule="auto"/>
              <w:ind w:firstLine="420" w:firstLineChars="200"/>
              <w:rPr>
                <w:rFonts w:ascii="宋体" w:hAnsi="宋体" w:cs="仿宋"/>
              </w:rPr>
            </w:pPr>
            <w:r>
              <w:rPr>
                <w:rFonts w:hint="eastAsia" w:ascii="宋体" w:hAnsi="宋体" w:cs="仿宋"/>
              </w:rPr>
              <w:t>2.落实政府采购政策需满足的资格要求</w:t>
            </w:r>
          </w:p>
          <w:p>
            <w:pPr>
              <w:spacing w:line="360" w:lineRule="auto"/>
              <w:ind w:firstLine="420" w:firstLineChars="200"/>
              <w:rPr>
                <w:rFonts w:ascii="宋体" w:hAnsi="宋体" w:cs="仿宋"/>
              </w:rPr>
            </w:pPr>
            <w:r>
              <w:rPr>
                <w:rFonts w:hint="eastAsia" w:ascii="宋体" w:hAnsi="宋体" w:cs="仿宋"/>
              </w:rPr>
              <w:t>☑专门面向中小企业采购的项目（供应商应为中小微企业或监狱企业或残疾人福利性单位，大型企业不得参加。)</w:t>
            </w:r>
          </w:p>
          <w:p>
            <w:pPr>
              <w:spacing w:line="360" w:lineRule="auto"/>
              <w:ind w:firstLine="420" w:firstLineChars="200"/>
              <w:rPr>
                <w:rFonts w:ascii="宋体" w:hAnsi="宋体" w:cs="仿宋"/>
              </w:rPr>
            </w:pPr>
            <w:r>
              <w:rPr>
                <w:rFonts w:hint="eastAsia" w:ascii="宋体" w:hAnsi="宋体" w:cs="仿宋"/>
              </w:rPr>
              <w:t>□非专门面向中小企业采购的项目</w:t>
            </w:r>
          </w:p>
          <w:p>
            <w:pPr>
              <w:spacing w:line="360" w:lineRule="auto"/>
              <w:ind w:firstLine="420" w:firstLineChars="200"/>
              <w:rPr>
                <w:rFonts w:ascii="宋体" w:hAnsi="宋体" w:cs="仿宋"/>
              </w:rPr>
            </w:pPr>
            <w:r>
              <w:rPr>
                <w:rFonts w:hint="eastAsia" w:ascii="宋体" w:hAnsi="宋体" w:cs="仿宋"/>
              </w:rPr>
              <w:t>其他要求：无</w:t>
            </w:r>
          </w:p>
          <w:p>
            <w:pPr>
              <w:spacing w:line="360" w:lineRule="auto"/>
              <w:ind w:firstLine="420" w:firstLineChars="200"/>
              <w:rPr>
                <w:rFonts w:ascii="宋体" w:hAnsi="宋体" w:cs="仿宋"/>
              </w:rPr>
            </w:pPr>
            <w:r>
              <w:rPr>
                <w:rFonts w:hint="eastAsia" w:ascii="宋体" w:hAnsi="宋体" w:cs="仿宋"/>
              </w:rPr>
              <w:t>3.本项目的特定资格要求：</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lang w:val="zh-CN"/>
              </w:rPr>
              <w:t>（</w:t>
            </w: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zh-CN"/>
              </w:rPr>
              <w:t>）本次</w:t>
            </w:r>
            <w:r>
              <w:rPr>
                <w:rFonts w:hint="eastAsia" w:asciiTheme="minorEastAsia" w:hAnsiTheme="minorEastAsia" w:eastAsiaTheme="minorEastAsia" w:cstheme="minorEastAsia"/>
              </w:rPr>
              <w:t>采购</w:t>
            </w:r>
            <w:r>
              <w:rPr>
                <w:rFonts w:hint="eastAsia" w:asciiTheme="minorEastAsia" w:hAnsiTheme="minorEastAsia" w:eastAsiaTheme="minorEastAsia" w:cstheme="minorEastAsia"/>
                <w:lang w:val="zh-CN"/>
              </w:rPr>
              <w:t>要求供应商</w:t>
            </w:r>
            <w:r>
              <w:rPr>
                <w:rFonts w:hint="eastAsia" w:asciiTheme="minorEastAsia" w:hAnsiTheme="minorEastAsia" w:eastAsiaTheme="minorEastAsia" w:cstheme="minorEastAsia"/>
              </w:rPr>
              <w:t>须具备</w:t>
            </w:r>
            <w:r>
              <w:rPr>
                <w:rFonts w:hint="eastAsia" w:asciiTheme="minorEastAsia" w:hAnsiTheme="minorEastAsia" w:eastAsiaTheme="minorEastAsia" w:cstheme="minorEastAsia"/>
                <w:b/>
                <w:bCs/>
                <w:u w:val="single"/>
              </w:rPr>
              <w:t>建筑工程施工总承包叁级以上（含本级）</w:t>
            </w:r>
            <w:r>
              <w:rPr>
                <w:rFonts w:hint="eastAsia" w:asciiTheme="minorEastAsia" w:hAnsiTheme="minorEastAsia" w:eastAsiaTheme="minorEastAsia" w:cstheme="minorEastAsia"/>
              </w:rPr>
              <w:t>资质，且同时具有《安全生产许可证》，并在人员、设备、资金等方面具备相应的施工能力。</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（2）项目经理（1人）：供应商拟派项目经理须具备</w:t>
            </w:r>
            <w:r>
              <w:rPr>
                <w:rFonts w:hint="eastAsia" w:asciiTheme="minorEastAsia" w:hAnsiTheme="minorEastAsia" w:eastAsiaTheme="minorEastAsia" w:cstheme="minorEastAsia"/>
                <w:b/>
                <w:bCs/>
                <w:u w:val="single"/>
                <w:lang w:val="zh-CN"/>
              </w:rPr>
              <w:t>建筑工程专业贰级以上(含本级)</w:t>
            </w:r>
            <w:r>
              <w:rPr>
                <w:rFonts w:hint="eastAsia" w:asciiTheme="minorEastAsia" w:hAnsiTheme="minorEastAsia" w:eastAsiaTheme="minorEastAsia" w:cstheme="minorEastAsia"/>
              </w:rPr>
              <w:t>注册建造师执业资格，具备有效的安全生产考核合格证书（B类）。本项目不接受有在建、已中标未开工或已列为其他项目中标候选人第一名的建造师作为项目经理</w:t>
            </w:r>
            <w:r>
              <w:rPr>
                <w:rFonts w:hint="eastAsia" w:asciiTheme="minorEastAsia" w:hAnsiTheme="minorEastAsia" w:eastAsiaTheme="minorEastAsia" w:cstheme="minorEastAsia"/>
                <w:kern w:val="0"/>
              </w:rPr>
              <w:t>（</w:t>
            </w:r>
            <w:r>
              <w:rPr>
                <w:rFonts w:hint="eastAsia" w:asciiTheme="minorEastAsia" w:hAnsiTheme="minorEastAsia" w:eastAsiaTheme="minorEastAsia" w:cstheme="minorEastAsia"/>
              </w:rPr>
              <w:t>符合《广西壮族自治区建筑市场诚信卡管理暂行办法》第十六条第一款及桂建管﹝</w:t>
            </w:r>
            <w:r>
              <w:rPr>
                <w:rFonts w:hint="eastAsia" w:asciiTheme="minorEastAsia" w:hAnsiTheme="minorEastAsia" w:eastAsiaTheme="minorEastAsia" w:cstheme="minorEastAsia"/>
                <w:kern w:val="0"/>
              </w:rPr>
              <w:t>2016</w:t>
            </w:r>
            <w:r>
              <w:rPr>
                <w:rFonts w:hint="eastAsia" w:asciiTheme="minorEastAsia" w:hAnsiTheme="minorEastAsia" w:eastAsiaTheme="minorEastAsia" w:cstheme="minorEastAsia"/>
              </w:rPr>
              <w:t>﹞70号</w:t>
            </w:r>
            <w:r>
              <w:rPr>
                <w:rFonts w:hint="eastAsia" w:asciiTheme="minorEastAsia" w:hAnsiTheme="minorEastAsia" w:eastAsiaTheme="minorEastAsia" w:cstheme="minorEastAsia"/>
                <w:kern w:val="0"/>
              </w:rPr>
              <w:t>、桂建管〔2020〕11号文除</w:t>
            </w:r>
            <w:r>
              <w:rPr>
                <w:rFonts w:hint="eastAsia" w:asciiTheme="minorEastAsia" w:hAnsiTheme="minorEastAsia" w:eastAsiaTheme="minorEastAsia" w:cstheme="minorEastAsia"/>
              </w:rPr>
              <w:t>外）。</w:t>
            </w:r>
          </w:p>
          <w:p>
            <w:pPr>
              <w:spacing w:line="360" w:lineRule="auto"/>
              <w:ind w:firstLine="420" w:firstLineChars="200"/>
              <w:rPr>
                <w:rFonts w:ascii="宋体" w:hAnsi="宋体" w:cs="仿宋"/>
              </w:rPr>
            </w:pPr>
            <w:r>
              <w:rPr>
                <w:rFonts w:hint="eastAsia" w:ascii="宋体" w:hAnsi="宋体" w:cs="仿宋"/>
              </w:rPr>
              <w:t>（3）技术负责人</w:t>
            </w:r>
            <w:r>
              <w:rPr>
                <w:rFonts w:hint="eastAsia" w:asciiTheme="minorEastAsia" w:hAnsiTheme="minorEastAsia" w:eastAsiaTheme="minorEastAsia" w:cstheme="minorEastAsia"/>
              </w:rPr>
              <w:t>（1人）</w:t>
            </w:r>
            <w:r>
              <w:rPr>
                <w:rFonts w:hint="eastAsia" w:ascii="宋体" w:hAnsi="宋体" w:cs="仿宋"/>
              </w:rPr>
              <w:t>：技术负责人具有与本项目相关专业的工程师及以上职称。</w:t>
            </w:r>
          </w:p>
          <w:p>
            <w:pPr>
              <w:spacing w:line="360" w:lineRule="auto"/>
              <w:ind w:firstLine="420" w:firstLineChars="200"/>
              <w:rPr>
                <w:rFonts w:ascii="宋体" w:hAnsi="宋体" w:cs="仿宋"/>
              </w:rPr>
            </w:pPr>
            <w:r>
              <w:rPr>
                <w:rFonts w:hint="eastAsia" w:ascii="宋体" w:hAnsi="宋体" w:cs="仿宋"/>
              </w:rPr>
              <w:t>（4）专职安全生产管理人员</w:t>
            </w:r>
            <w:r>
              <w:rPr>
                <w:rFonts w:hint="eastAsia" w:asciiTheme="minorEastAsia" w:hAnsiTheme="minorEastAsia" w:eastAsiaTheme="minorEastAsia" w:cstheme="minorEastAsia"/>
              </w:rPr>
              <w:t>（1人）</w:t>
            </w:r>
            <w:r>
              <w:rPr>
                <w:rFonts w:hint="eastAsia" w:ascii="宋体" w:hAnsi="宋体" w:cs="仿宋"/>
              </w:rPr>
              <w:t>：专职安全生产管理人员须具备有效的安全生产考核合格证书（C类）。</w:t>
            </w:r>
          </w:p>
          <w:p>
            <w:pPr>
              <w:spacing w:line="360" w:lineRule="auto"/>
              <w:ind w:firstLine="420" w:firstLineChars="200"/>
              <w:rPr>
                <w:rFonts w:ascii="宋体" w:hAnsi="宋体" w:cs="仿宋"/>
              </w:rPr>
            </w:pPr>
            <w:r>
              <w:rPr>
                <w:rFonts w:hint="eastAsia" w:ascii="宋体" w:hAnsi="宋体" w:cs="仿宋"/>
              </w:rPr>
              <w:t>（5）施工员、质量员、材料员</w:t>
            </w:r>
            <w:r>
              <w:rPr>
                <w:rFonts w:hint="eastAsia" w:asciiTheme="minorEastAsia" w:hAnsiTheme="minorEastAsia" w:eastAsiaTheme="minorEastAsia" w:cstheme="minorEastAsia"/>
              </w:rPr>
              <w:t>（各配备1人）：施工员、质量员、材料员须具有施工现场专业人员职业培训合格证书。</w:t>
            </w:r>
          </w:p>
          <w:p>
            <w:pPr>
              <w:spacing w:line="360" w:lineRule="exact"/>
              <w:ind w:firstLine="420" w:firstLineChars="200"/>
              <w:rPr>
                <w:rFonts w:ascii="宋体" w:hAnsi="宋体" w:cs="仿宋"/>
              </w:rPr>
            </w:pPr>
            <w:r>
              <w:rPr>
                <w:rFonts w:hint="eastAsia" w:ascii="宋体" w:hAnsi="宋体" w:cs="仿宋"/>
              </w:rPr>
              <w:t>4. 本项目的特定条件：无</w:t>
            </w:r>
          </w:p>
          <w:p>
            <w:pPr>
              <w:spacing w:line="360" w:lineRule="exact"/>
              <w:ind w:firstLine="420" w:firstLineChars="200"/>
              <w:rPr>
                <w:rFonts w:ascii="宋体" w:hAnsi="宋体" w:cs="仿宋"/>
              </w:rPr>
            </w:pPr>
            <w:r>
              <w:rPr>
                <w:rFonts w:hint="eastAsia" w:ascii="宋体" w:hAnsi="宋体" w:cs="仿宋"/>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exact"/>
              <w:ind w:firstLine="420" w:firstLineChars="200"/>
              <w:rPr>
                <w:rFonts w:ascii="宋体" w:hAnsi="宋体" w:cs="仿宋"/>
              </w:rPr>
            </w:pPr>
            <w:r>
              <w:rPr>
                <w:rFonts w:hint="eastAsia" w:ascii="宋体" w:hAnsi="宋体" w:cs="仿宋"/>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exact"/>
              <w:ind w:firstLine="420" w:firstLineChars="200"/>
              <w:rPr>
                <w:rFonts w:asciiTheme="minorEastAsia" w:hAnsiTheme="minorEastAsia" w:eastAsiaTheme="minorEastAsia" w:cstheme="minorEastAsia"/>
              </w:rPr>
            </w:pPr>
            <w:r>
              <w:rPr>
                <w:rFonts w:hint="eastAsia" w:ascii="宋体" w:hAnsi="宋体" w:cs="仿宋"/>
              </w:rPr>
              <w:t>7.联合体：本项目不接受联合体竞标。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93" w:type="dxa"/>
            <w:vAlign w:val="center"/>
          </w:tcPr>
          <w:p>
            <w:pPr>
              <w:spacing w:line="3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8813" w:type="dxa"/>
            <w:vAlign w:val="center"/>
          </w:tcPr>
          <w:p>
            <w:pPr>
              <w:spacing w:line="360" w:lineRule="exact"/>
              <w:rPr>
                <w:rFonts w:ascii="宋体" w:hAnsi="宋体" w:cs="仿宋"/>
              </w:rPr>
            </w:pPr>
            <w:r>
              <w:rPr>
                <w:rFonts w:hint="eastAsia" w:ascii="宋体" w:hAnsi="宋体" w:cs="宋体"/>
              </w:rPr>
              <w:t>是否允许分包：不允许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jc w:val="center"/>
        </w:trPr>
        <w:tc>
          <w:tcPr>
            <w:tcW w:w="1093" w:type="dxa"/>
            <w:vAlign w:val="center"/>
          </w:tcPr>
          <w:p>
            <w:pPr>
              <w:spacing w:line="3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4</w:t>
            </w:r>
          </w:p>
        </w:tc>
        <w:tc>
          <w:tcPr>
            <w:tcW w:w="8813" w:type="dxa"/>
            <w:vAlign w:val="center"/>
          </w:tcPr>
          <w:p>
            <w:pPr>
              <w:snapToGrid w:val="0"/>
              <w:spacing w:line="360" w:lineRule="auto"/>
              <w:jc w:val="left"/>
              <w:rPr>
                <w:rFonts w:asciiTheme="minorEastAsia" w:hAnsiTheme="minorEastAsia" w:eastAsiaTheme="minorEastAsia" w:cstheme="minorEastAsia"/>
                <w:b/>
              </w:rPr>
            </w:pPr>
            <w:r>
              <w:rPr>
                <w:rFonts w:hint="eastAsia" w:asciiTheme="minorEastAsia" w:hAnsiTheme="minorEastAsia" w:eastAsiaTheme="minorEastAsia" w:cstheme="minorEastAsia"/>
                <w:b/>
              </w:rPr>
              <w:t>资格证明文件</w:t>
            </w:r>
          </w:p>
          <w:p>
            <w:pPr>
              <w:pStyle w:val="18"/>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（1）供应商为法人或者其他组织的提供其营业执照等证明文件（如营业执照或者事业单位法人证书或者执业许可证等），供应商为自然人的提供其身份证复印件；（必须提供，否则响应文件按无效响应处理）</w:t>
            </w:r>
          </w:p>
          <w:p>
            <w:pPr>
              <w:pStyle w:val="18"/>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（2）供应商有效的资质证书、安全生产许可证复印件；（必须提供，否则响应文件按无效响应处理）</w:t>
            </w:r>
          </w:p>
          <w:p>
            <w:pPr>
              <w:pStyle w:val="18"/>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（3）项目经理:有效的注册建造师资质证书、安全生产考核合格证书（B类）复印件；（必须提供，否则响应文件按无效响应处理）</w:t>
            </w:r>
          </w:p>
          <w:p>
            <w:pPr>
              <w:pStyle w:val="18"/>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（4）技术负责人：提供与本项目相关专业的工程师及以上职称证书复印件；（必须提供，否则响应文件按无效响应处理）</w:t>
            </w:r>
          </w:p>
          <w:p>
            <w:pPr>
              <w:pStyle w:val="18"/>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（5）专职安全生产管理人员：有效的安全员证书及安全生产考核合格证书(C类)复印件；（必须提供，否则响应文件按无效响应处理）</w:t>
            </w:r>
          </w:p>
          <w:p>
            <w:pPr>
              <w:pStyle w:val="18"/>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（6）施工员、质量员、材料员：提供施工现场专业人员职业培训合格证书复印件；（必须提供，否则响应文件按无效响应处理）</w:t>
            </w:r>
          </w:p>
          <w:p>
            <w:pPr>
              <w:pStyle w:val="18"/>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7）投标人依法缴纳税收的相关材料（开标截止之日起半年内任意连续1个月的依法缴纳税收的凭据复印件；依法免税的供应商，必须提供相应文件证明其依法免税。从成立之日起到投标文件提交截止时间止不足要求月数的，只需提供从成立之日起的依法缴纳税收相应证明文件）；（必须提供，否则按无效投标处理）</w:t>
            </w:r>
          </w:p>
          <w:p>
            <w:pPr>
              <w:pStyle w:val="18"/>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8）投标人依法缴纳社会保障资金的相关材料[开标截止之日起半年内任意连续1个月的依法缴纳社会保障资金的缴费凭证（专用收据或者社会保险缴纳清单）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必须提供，否则按无效投标处理）</w:t>
            </w:r>
          </w:p>
          <w:p>
            <w:pPr>
              <w:pStyle w:val="18"/>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（9）投标人财务状况报告（2022或2023 年度财务报表复印件或者银行出具的资信证明；投标人属于成立时间在规定年度之后的法人或其他组织，需提供成立之日起至投标截止时间前的月报表或银行出具的资信证明；资信证明应在有效期内，未注明有效期的，银行出具时间至投标截止时间不超过一年）；（必须提供，否则按无效投标处理）</w:t>
            </w:r>
          </w:p>
          <w:p>
            <w:pPr>
              <w:pStyle w:val="18"/>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（10）供应商应为中小微企业或监狱企业或残疾人福利性单位：</w:t>
            </w:r>
          </w:p>
          <w:p>
            <w:pPr>
              <w:pStyle w:val="18"/>
              <w:spacing w:line="360" w:lineRule="auto"/>
              <w:ind w:firstLine="420" w:firstLineChars="200"/>
              <w:rPr>
                <w:rFonts w:asciiTheme="minorEastAsia" w:hAnsiTheme="minorEastAsia" w:eastAsiaTheme="minorEastAsia" w:cstheme="minorEastAsia"/>
              </w:rPr>
            </w:pPr>
            <w:r>
              <w:rPr>
                <w:rFonts w:eastAsiaTheme="minorEastAsia"/>
              </w:rPr>
              <w:t>①</w:t>
            </w:r>
            <w:r>
              <w:rPr>
                <w:rFonts w:hint="eastAsia" w:asciiTheme="minorEastAsia" w:hAnsiTheme="minorEastAsia" w:eastAsiaTheme="minorEastAsia" w:cstheme="minorEastAsia"/>
              </w:rPr>
              <w:t>《中小企业声明函》；</w:t>
            </w:r>
            <w:r>
              <w:rPr>
                <w:rFonts w:hint="eastAsia" w:asciiTheme="minorEastAsia" w:hAnsiTheme="minorEastAsia" w:eastAsiaTheme="minorEastAsia" w:cstheme="minorEastAsia"/>
                <w:b/>
                <w:bCs/>
              </w:rPr>
              <w:t>（格式后附，除供应商为监狱企业及残疾人福利性单位外，必须提供，否则响应文件按无效响应处理）</w:t>
            </w:r>
          </w:p>
          <w:p>
            <w:pPr>
              <w:pStyle w:val="18"/>
              <w:spacing w:line="360" w:lineRule="auto"/>
              <w:ind w:firstLine="420" w:firstLineChars="200"/>
              <w:rPr>
                <w:rFonts w:asciiTheme="minorEastAsia" w:hAnsiTheme="minorEastAsia" w:eastAsiaTheme="minorEastAsia" w:cstheme="minorEastAsia"/>
              </w:rPr>
            </w:pPr>
            <w:r>
              <w:rPr>
                <w:rFonts w:eastAsiaTheme="minorEastAsia"/>
              </w:rPr>
              <w:t>②</w:t>
            </w:r>
            <w:r>
              <w:rPr>
                <w:rFonts w:hint="eastAsia" w:asciiTheme="minorEastAsia" w:hAnsiTheme="minorEastAsia" w:eastAsiaTheme="minorEastAsia" w:cstheme="minorEastAsia"/>
              </w:rPr>
              <w:t>供应商属于监狱企业的，应当提供由省级以上监狱管理局、戒毒管理局等（含新疆生产建设兵团）出具的属于监狱企业的证明文件；</w:t>
            </w:r>
            <w:r>
              <w:rPr>
                <w:rFonts w:hint="eastAsia" w:asciiTheme="minorEastAsia" w:hAnsiTheme="minorEastAsia" w:eastAsiaTheme="minorEastAsia" w:cstheme="minorEastAsia"/>
                <w:b/>
                <w:bCs/>
              </w:rPr>
              <w:t>（如供应商属于监狱企业的，则必须提供，否则响应文件按无效响应处理）</w:t>
            </w:r>
          </w:p>
          <w:p>
            <w:pPr>
              <w:pStyle w:val="18"/>
              <w:spacing w:line="360" w:lineRule="auto"/>
              <w:ind w:firstLine="420" w:firstLineChars="200"/>
              <w:rPr>
                <w:rFonts w:asciiTheme="minorEastAsia" w:hAnsiTheme="minorEastAsia" w:eastAsiaTheme="minorEastAsia" w:cstheme="minorEastAsia"/>
              </w:rPr>
            </w:pPr>
            <w:r>
              <w:rPr>
                <w:rFonts w:eastAsiaTheme="minorEastAsia"/>
              </w:rPr>
              <w:t>③</w:t>
            </w:r>
            <w:r>
              <w:rPr>
                <w:rFonts w:hint="eastAsia" w:asciiTheme="minorEastAsia" w:hAnsiTheme="minorEastAsia" w:eastAsiaTheme="minorEastAsia" w:cstheme="minorEastAsia"/>
              </w:rPr>
              <w:t>符合条件的残疾人福利性单位在参加政府采购活动时，应当提供《残疾人福利性单位声明函》。</w:t>
            </w:r>
            <w:r>
              <w:rPr>
                <w:rFonts w:hint="eastAsia" w:asciiTheme="minorEastAsia" w:hAnsiTheme="minorEastAsia" w:eastAsiaTheme="minorEastAsia" w:cstheme="minorEastAsia"/>
                <w:b/>
                <w:bCs/>
              </w:rPr>
              <w:t>（格式后附，如供应商属于残疾人福利性单位的，则必须提供，否则响应文件按无效响应处理）</w:t>
            </w:r>
          </w:p>
          <w:p>
            <w:pPr>
              <w:pStyle w:val="126"/>
              <w:spacing w:line="360" w:lineRule="auto"/>
              <w:ind w:left="108" w:firstLine="422" w:firstLineChars="200"/>
              <w:rPr>
                <w:rFonts w:ascii="宋体" w:hAnsi="宋体" w:cs="宋体"/>
                <w:szCs w:val="21"/>
              </w:rPr>
            </w:pPr>
            <w:r>
              <w:rPr>
                <w:rFonts w:hint="eastAsia" w:asciiTheme="minorEastAsia" w:hAnsiTheme="minorEastAsia" w:eastAsiaTheme="minorEastAsia" w:cstheme="minorEastAsia"/>
                <w:b/>
                <w:sz w:val="21"/>
                <w:szCs w:val="21"/>
              </w:rPr>
              <w:t>注：以上标明“必须提供”的材料属于复印件的扫描件的，必须加盖供应商电子公章，否则响应文件按无效响应处理。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93" w:type="dxa"/>
            <w:vAlign w:val="center"/>
          </w:tcPr>
          <w:p>
            <w:pPr>
              <w:spacing w:line="3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5</w:t>
            </w:r>
          </w:p>
        </w:tc>
        <w:tc>
          <w:tcPr>
            <w:tcW w:w="8813" w:type="dxa"/>
            <w:vAlign w:val="center"/>
          </w:tcPr>
          <w:p>
            <w:pPr>
              <w:pStyle w:val="126"/>
              <w:tabs>
                <w:tab w:val="left" w:pos="733"/>
              </w:tabs>
              <w:spacing w:before="45" w:line="360" w:lineRule="exact"/>
              <w:ind w:right="240"/>
              <w:rPr>
                <w:rFonts w:ascii="Times New Roman" w:eastAsia="宋体" w:cs="Times New Roman"/>
                <w:b/>
                <w:bCs/>
                <w:kern w:val="2"/>
                <w:sz w:val="21"/>
                <w:szCs w:val="21"/>
              </w:rPr>
            </w:pPr>
            <w:r>
              <w:rPr>
                <w:rFonts w:hint="eastAsia" w:ascii="Times New Roman" w:eastAsia="宋体" w:cs="Times New Roman"/>
                <w:b/>
                <w:bCs/>
                <w:kern w:val="2"/>
                <w:sz w:val="21"/>
                <w:szCs w:val="21"/>
              </w:rPr>
              <w:t>商务文件</w:t>
            </w:r>
          </w:p>
          <w:p>
            <w:pPr>
              <w:numPr>
                <w:ilvl w:val="0"/>
                <w:numId w:val="8"/>
              </w:num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法定代表人身份证明书；（格式后附，必须提供，否则响应文件按无效响应处理）</w:t>
            </w:r>
          </w:p>
          <w:p>
            <w:pPr>
              <w:numPr>
                <w:ilvl w:val="0"/>
                <w:numId w:val="8"/>
              </w:num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响应文件签署授权委托书原件及委托代理人身份证正反面复印件；（格式后附，必须提供，否则响应文件按无效响应处理）</w:t>
            </w:r>
          </w:p>
          <w:p>
            <w:pPr>
              <w:numPr>
                <w:ilvl w:val="0"/>
                <w:numId w:val="8"/>
              </w:num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谈判保证金提交凭证；（如要求提交谈判保证金的则必须提供，否则响应文件按无效响应处理）</w:t>
            </w:r>
          </w:p>
          <w:p>
            <w:pPr>
              <w:numPr>
                <w:ilvl w:val="0"/>
                <w:numId w:val="8"/>
              </w:num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农民工工资保障金的交纳与使用承诺书；（格式后附，必须提供，否则响应文件按无效响应处理）</w:t>
            </w:r>
          </w:p>
          <w:p>
            <w:pPr>
              <w:numPr>
                <w:ilvl w:val="0"/>
                <w:numId w:val="8"/>
              </w:num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建设工程项目管理承诺书；（格式后附，必须提供，否则响应文件按无效响应处理）</w:t>
            </w:r>
          </w:p>
          <w:p>
            <w:pPr>
              <w:numPr>
                <w:ilvl w:val="0"/>
                <w:numId w:val="8"/>
              </w:numPr>
              <w:spacing w:line="360" w:lineRule="exact"/>
              <w:rPr>
                <w:rFonts w:ascii="宋体" w:hAnsi="宋体" w:cs="宋体"/>
                <w:bCs/>
              </w:rPr>
            </w:pPr>
            <w:r>
              <w:rPr>
                <w:rFonts w:hint="eastAsia" w:asciiTheme="minorEastAsia" w:hAnsiTheme="minorEastAsia" w:eastAsiaTheme="minorEastAsia" w:cstheme="minorEastAsia"/>
              </w:rPr>
              <w:t>供应商认为需要提供的其他有关资料。（如有请提供）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1093" w:type="dxa"/>
            <w:vAlign w:val="center"/>
          </w:tcPr>
          <w:p>
            <w:pPr>
              <w:spacing w:line="3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6</w:t>
            </w:r>
          </w:p>
        </w:tc>
        <w:tc>
          <w:tcPr>
            <w:tcW w:w="8813" w:type="dxa"/>
            <w:vAlign w:val="center"/>
          </w:tcPr>
          <w:p>
            <w:pPr>
              <w:spacing w:line="360" w:lineRule="exact"/>
              <w:rPr>
                <w:b/>
                <w:bCs/>
              </w:rPr>
            </w:pPr>
            <w:r>
              <w:rPr>
                <w:rFonts w:hint="eastAsia"/>
                <w:b/>
                <w:bCs/>
              </w:rPr>
              <w:t>技术文件</w:t>
            </w:r>
          </w:p>
          <w:p>
            <w:pPr>
              <w:spacing w:line="360" w:lineRule="exact"/>
            </w:pPr>
            <w:r>
              <w:rPr>
                <w:rFonts w:hint="eastAsia"/>
              </w:rPr>
              <w:t>（1）施工组织设计；</w:t>
            </w:r>
            <w:r>
              <w:rPr>
                <w:rFonts w:hint="eastAsia" w:asciiTheme="minorEastAsia" w:hAnsiTheme="minorEastAsia" w:eastAsiaTheme="minorEastAsia" w:cstheme="minorEastAsia"/>
                <w:spacing w:val="2"/>
              </w:rPr>
              <w:t>(</w:t>
            </w:r>
            <w:r>
              <w:rPr>
                <w:rFonts w:hint="eastAsia" w:asciiTheme="minorEastAsia" w:hAnsiTheme="minorEastAsia" w:eastAsiaTheme="minorEastAsia" w:cstheme="minorEastAsia"/>
              </w:rPr>
              <w:t>格式自拟，</w:t>
            </w:r>
            <w:r>
              <w:rPr>
                <w:rFonts w:hint="eastAsia" w:asciiTheme="minorEastAsia" w:hAnsiTheme="minorEastAsia" w:eastAsiaTheme="minorEastAsia" w:cstheme="minorEastAsia"/>
                <w:spacing w:val="2"/>
              </w:rPr>
              <w:t>如有请提供)</w:t>
            </w:r>
          </w:p>
          <w:p>
            <w:pPr>
              <w:spacing w:line="360" w:lineRule="exact"/>
            </w:pPr>
            <w:r>
              <w:rPr>
                <w:rFonts w:hint="eastAsia"/>
              </w:rPr>
              <w:t>（2）项目管理机构；</w:t>
            </w:r>
          </w:p>
          <w:p>
            <w:pPr>
              <w:spacing w:line="360" w:lineRule="exact"/>
              <w:ind w:firstLine="210" w:firstLineChars="100"/>
            </w:pPr>
            <w:r>
              <w:rPr>
                <w:rFonts w:hint="eastAsia"/>
              </w:rPr>
              <w:fldChar w:fldCharType="begin"/>
            </w:r>
            <w:r>
              <w:rPr>
                <w:rFonts w:hint="eastAsia"/>
              </w:rPr>
              <w:instrText xml:space="preserve"> = 1 \* GB3 </w:instrText>
            </w:r>
            <w:r>
              <w:rPr>
                <w:rFonts w:hint="eastAsia"/>
              </w:rPr>
              <w:fldChar w:fldCharType="separate"/>
            </w:r>
            <w:r>
              <w:rPr>
                <w:rFonts w:hint="eastAsia"/>
              </w:rPr>
              <w:t>①</w:t>
            </w:r>
            <w:r>
              <w:rPr>
                <w:rFonts w:hint="eastAsia"/>
              </w:rPr>
              <w:fldChar w:fldCharType="end"/>
            </w:r>
            <w:r>
              <w:rPr>
                <w:rFonts w:hint="eastAsia"/>
              </w:rPr>
              <w:t>项目管理机构配备情况表；</w:t>
            </w:r>
            <w:r>
              <w:rPr>
                <w:rFonts w:hint="eastAsia" w:asciiTheme="minorEastAsia" w:hAnsiTheme="minorEastAsia" w:eastAsiaTheme="minorEastAsia" w:cstheme="minorEastAsia"/>
                <w:spacing w:val="2"/>
              </w:rPr>
              <w:t>(</w:t>
            </w:r>
            <w:r>
              <w:rPr>
                <w:rFonts w:hint="eastAsia" w:asciiTheme="minorEastAsia" w:hAnsiTheme="minorEastAsia" w:eastAsiaTheme="minorEastAsia" w:cstheme="minorEastAsia"/>
              </w:rPr>
              <w:t>格式后附，</w:t>
            </w:r>
            <w:r>
              <w:rPr>
                <w:rFonts w:hint="eastAsia" w:asciiTheme="minorEastAsia" w:hAnsiTheme="minorEastAsia" w:eastAsiaTheme="minorEastAsia" w:cstheme="minorEastAsia"/>
                <w:spacing w:val="2"/>
              </w:rPr>
              <w:t>如有请提供)</w:t>
            </w:r>
          </w:p>
          <w:p>
            <w:pPr>
              <w:spacing w:line="360" w:lineRule="exact"/>
              <w:ind w:firstLine="210" w:firstLineChars="100"/>
            </w:pPr>
            <w:r>
              <w:rPr>
                <w:rFonts w:hint="eastAsia"/>
              </w:rPr>
              <w:fldChar w:fldCharType="begin"/>
            </w:r>
            <w:r>
              <w:rPr>
                <w:rFonts w:hint="eastAsia"/>
              </w:rPr>
              <w:instrText xml:space="preserve"> = 2 \* GB3 </w:instrText>
            </w:r>
            <w:r>
              <w:rPr>
                <w:rFonts w:hint="eastAsia"/>
              </w:rPr>
              <w:fldChar w:fldCharType="separate"/>
            </w:r>
            <w:r>
              <w:rPr>
                <w:rFonts w:hint="eastAsia"/>
              </w:rPr>
              <w:t>②</w:t>
            </w:r>
            <w:r>
              <w:rPr>
                <w:rFonts w:hint="eastAsia"/>
              </w:rPr>
              <w:fldChar w:fldCharType="end"/>
            </w:r>
            <w:r>
              <w:rPr>
                <w:rFonts w:hint="eastAsia"/>
              </w:rPr>
              <w:t>项目经理（注册建造师）简历表；</w:t>
            </w:r>
            <w:r>
              <w:rPr>
                <w:rFonts w:hint="eastAsia" w:asciiTheme="minorEastAsia" w:hAnsiTheme="minorEastAsia" w:eastAsiaTheme="minorEastAsia" w:cstheme="minorEastAsia"/>
                <w:spacing w:val="2"/>
              </w:rPr>
              <w:t>(</w:t>
            </w:r>
            <w:r>
              <w:rPr>
                <w:rFonts w:hint="eastAsia" w:asciiTheme="minorEastAsia" w:hAnsiTheme="minorEastAsia" w:eastAsiaTheme="minorEastAsia" w:cstheme="minorEastAsia"/>
              </w:rPr>
              <w:t>格式后附，</w:t>
            </w:r>
            <w:r>
              <w:rPr>
                <w:rFonts w:hint="eastAsia" w:asciiTheme="minorEastAsia" w:hAnsiTheme="minorEastAsia" w:eastAsiaTheme="minorEastAsia" w:cstheme="minorEastAsia"/>
                <w:spacing w:val="2"/>
              </w:rPr>
              <w:t>如有请提供)</w:t>
            </w:r>
          </w:p>
          <w:p>
            <w:pPr>
              <w:spacing w:line="360" w:lineRule="exact"/>
              <w:ind w:firstLine="210" w:firstLineChars="100"/>
              <w:rPr>
                <w:rFonts w:asciiTheme="minorEastAsia" w:hAnsiTheme="minorEastAsia" w:eastAsiaTheme="minorEastAsia" w:cstheme="minorEastAsia"/>
                <w:spacing w:val="2"/>
              </w:rPr>
            </w:pPr>
            <w:r>
              <w:rPr>
                <w:rFonts w:hint="eastAsia"/>
              </w:rPr>
              <w:fldChar w:fldCharType="begin"/>
            </w:r>
            <w:r>
              <w:rPr>
                <w:rFonts w:hint="eastAsia"/>
              </w:rPr>
              <w:instrText xml:space="preserve"> = 3 \* GB3 </w:instrText>
            </w:r>
            <w:r>
              <w:rPr>
                <w:rFonts w:hint="eastAsia"/>
              </w:rPr>
              <w:fldChar w:fldCharType="separate"/>
            </w:r>
            <w:r>
              <w:rPr>
                <w:rFonts w:hint="eastAsia"/>
              </w:rPr>
              <w:t>③</w:t>
            </w:r>
            <w:r>
              <w:rPr>
                <w:rFonts w:hint="eastAsia"/>
              </w:rPr>
              <w:fldChar w:fldCharType="end"/>
            </w:r>
            <w:r>
              <w:rPr>
                <w:rFonts w:hint="eastAsia"/>
              </w:rPr>
              <w:t>项目技术负责人简历表；</w:t>
            </w:r>
            <w:r>
              <w:rPr>
                <w:rFonts w:hint="eastAsia" w:asciiTheme="minorEastAsia" w:hAnsiTheme="minorEastAsia" w:eastAsiaTheme="minorEastAsia" w:cstheme="minorEastAsia"/>
                <w:spacing w:val="2"/>
              </w:rPr>
              <w:t>(</w:t>
            </w:r>
            <w:r>
              <w:rPr>
                <w:rFonts w:hint="eastAsia" w:asciiTheme="minorEastAsia" w:hAnsiTheme="minorEastAsia" w:eastAsiaTheme="minorEastAsia" w:cstheme="minorEastAsia"/>
              </w:rPr>
              <w:t>格式后附，</w:t>
            </w:r>
            <w:r>
              <w:rPr>
                <w:rFonts w:hint="eastAsia" w:asciiTheme="minorEastAsia" w:hAnsiTheme="minorEastAsia" w:eastAsiaTheme="minorEastAsia" w:cstheme="minorEastAsia"/>
                <w:spacing w:val="2"/>
              </w:rPr>
              <w:t>如有请提供)</w:t>
            </w:r>
          </w:p>
          <w:p>
            <w:pPr>
              <w:spacing w:line="360" w:lineRule="exact"/>
            </w:pPr>
            <w:r>
              <w:rPr>
                <w:rFonts w:hint="eastAsia"/>
              </w:rPr>
              <w:t>（3）企业业绩。</w:t>
            </w:r>
            <w:r>
              <w:rPr>
                <w:rFonts w:hint="eastAsia" w:asciiTheme="minorEastAsia" w:hAnsiTheme="minorEastAsia" w:eastAsiaTheme="minorEastAsia" w:cstheme="minorEastAsia"/>
                <w:spacing w:val="2"/>
              </w:rPr>
              <w:t>(</w:t>
            </w:r>
            <w:r>
              <w:rPr>
                <w:rFonts w:hint="eastAsia" w:asciiTheme="minorEastAsia" w:hAnsiTheme="minorEastAsia" w:eastAsiaTheme="minorEastAsia" w:cstheme="minorEastAsia"/>
              </w:rPr>
              <w:t>格式后附，</w:t>
            </w:r>
            <w:r>
              <w:rPr>
                <w:rFonts w:hint="eastAsia" w:asciiTheme="minorEastAsia" w:hAnsiTheme="minorEastAsia" w:eastAsiaTheme="minorEastAsia" w:cstheme="minorEastAsia"/>
                <w:spacing w:val="2"/>
              </w:rPr>
              <w:t>如有请提供)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jc w:val="center"/>
        </w:trPr>
        <w:tc>
          <w:tcPr>
            <w:tcW w:w="1093" w:type="dxa"/>
            <w:vAlign w:val="center"/>
          </w:tcPr>
          <w:p>
            <w:pPr>
              <w:spacing w:line="3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7</w:t>
            </w:r>
          </w:p>
        </w:tc>
        <w:tc>
          <w:tcPr>
            <w:tcW w:w="8813" w:type="dxa"/>
            <w:vAlign w:val="center"/>
          </w:tcPr>
          <w:p>
            <w:pPr>
              <w:spacing w:line="360" w:lineRule="exact"/>
              <w:rPr>
                <w:b/>
                <w:bCs/>
              </w:rPr>
            </w:pPr>
            <w:r>
              <w:rPr>
                <w:rFonts w:hint="eastAsia"/>
                <w:b/>
                <w:bCs/>
              </w:rPr>
              <w:t>报价文件</w:t>
            </w:r>
          </w:p>
          <w:p>
            <w:pPr>
              <w:spacing w:line="360" w:lineRule="exact"/>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（1）磋商函；（格式后附，必须提供，否则响应文件按无效响应处理）</w:t>
            </w:r>
          </w:p>
          <w:p>
            <w:pPr>
              <w:spacing w:line="360" w:lineRule="exact"/>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（2）磋商函附表；（格式后附，必须提供，否则响应文件按无效响应处理）</w:t>
            </w:r>
          </w:p>
          <w:p>
            <w:pPr>
              <w:spacing w:line="360" w:lineRule="exact"/>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（3）磋商报价表；（格式后附，必须提供，否则响应文件按无效响应处理）</w:t>
            </w:r>
          </w:p>
          <w:p>
            <w:pPr>
              <w:spacing w:line="360" w:lineRule="exact"/>
            </w:pPr>
            <w:r>
              <w:rPr>
                <w:rFonts w:hint="eastAsia" w:asciiTheme="minorEastAsia" w:hAnsiTheme="minorEastAsia" w:eastAsiaTheme="minorEastAsia" w:cstheme="minorEastAsia"/>
                <w:spacing w:val="2"/>
              </w:rPr>
              <w:t>（4）已标价的工程量清单报价有关材料。(</w:t>
            </w:r>
            <w:r>
              <w:rPr>
                <w:rFonts w:hint="eastAsia" w:asciiTheme="minorEastAsia" w:hAnsiTheme="minorEastAsia" w:eastAsiaTheme="minorEastAsia" w:cstheme="minorEastAsia"/>
              </w:rPr>
              <w:t>格式自拟，</w:t>
            </w:r>
            <w:r>
              <w:rPr>
                <w:rFonts w:hint="eastAsia" w:asciiTheme="minorEastAsia" w:hAnsiTheme="minorEastAsia" w:eastAsiaTheme="minorEastAsia" w:cstheme="minorEastAsia"/>
                <w:spacing w:val="2"/>
              </w:rPr>
              <w:t>必须提供，否则响应文件按无效响应处理)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1093" w:type="dxa"/>
            <w:vAlign w:val="center"/>
          </w:tcPr>
          <w:p>
            <w:pPr>
              <w:spacing w:line="3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8</w:t>
            </w:r>
          </w:p>
        </w:tc>
        <w:tc>
          <w:tcPr>
            <w:tcW w:w="8813" w:type="dxa"/>
            <w:vAlign w:val="center"/>
          </w:tcPr>
          <w:p>
            <w:pPr>
              <w:snapToGrid w:val="0"/>
              <w:spacing w:line="400" w:lineRule="exact"/>
              <w:jc w:val="left"/>
              <w:rPr>
                <w:rFonts w:ascii="宋体" w:hAnsi="宋体" w:cs="宋体"/>
                <w:b/>
              </w:rPr>
            </w:pPr>
            <w:r>
              <w:rPr>
                <w:rFonts w:hint="eastAsia" w:ascii="宋体" w:hAnsi="宋体" w:cs="宋体"/>
                <w:b/>
              </w:rPr>
              <w:t>▲特别说明：</w:t>
            </w:r>
          </w:p>
          <w:p>
            <w:pPr>
              <w:snapToGrid w:val="0"/>
              <w:spacing w:line="400" w:lineRule="exact"/>
              <w:jc w:val="left"/>
              <w:rPr>
                <w:rFonts w:ascii="宋体" w:hAnsi="宋体" w:cs="宋体"/>
              </w:rPr>
            </w:pPr>
            <w:r>
              <w:rPr>
                <w:rFonts w:hint="eastAsia" w:ascii="宋体" w:hAnsi="宋体" w:cs="宋体"/>
                <w:b/>
              </w:rPr>
              <w:t>（1）响应文件中所须加盖公章部分均采用CA签章。若竞争性磋商采购文件中有专门标注的某关联点，并要求供应商在电子投标系统中作出磋商响应的，如供应商未对关联点进行响应或者在响应文件其它内容进行描述，造成电子评审不能查询的责任由供应商自行承担。</w:t>
            </w:r>
          </w:p>
          <w:p>
            <w:pPr>
              <w:spacing w:line="400" w:lineRule="exact"/>
              <w:rPr>
                <w:rFonts w:ascii="宋体" w:hAnsi="宋体" w:cs="宋体"/>
                <w:b/>
              </w:rPr>
            </w:pPr>
            <w:r>
              <w:rPr>
                <w:rFonts w:hint="eastAsia" w:ascii="宋体" w:hAnsi="宋体" w:cs="宋体"/>
                <w:b/>
              </w:rPr>
              <w:t>（2）竞争性磋商采购文件要求提供的的各种复印件，须加盖磋商供应商CA签章，否则其磋商无效。</w:t>
            </w:r>
          </w:p>
          <w:p>
            <w:pPr>
              <w:spacing w:line="400" w:lineRule="exact"/>
              <w:rPr>
                <w:rFonts w:ascii="宋体" w:hAnsi="宋体" w:cs="宋体"/>
                <w:b/>
              </w:rPr>
            </w:pPr>
            <w:r>
              <w:rPr>
                <w:rFonts w:hint="eastAsia" w:ascii="宋体" w:hAnsi="宋体" w:cs="宋体"/>
                <w:b/>
              </w:rPr>
              <w:t>（3）竞争性磋商采购文件要求“必须提供”的证明等材料，磋商供应商必须全部提供，缺一不可，否则磋商无效。</w:t>
            </w:r>
          </w:p>
          <w:p>
            <w:pPr>
              <w:spacing w:line="400" w:lineRule="exact"/>
              <w:rPr>
                <w:rFonts w:ascii="宋体" w:hAnsi="宋体" w:cs="宋体"/>
                <w:b/>
              </w:rPr>
            </w:pPr>
            <w:r>
              <w:rPr>
                <w:rFonts w:hint="eastAsia" w:ascii="宋体" w:hAnsi="宋体" w:cs="宋体"/>
                <w:b/>
              </w:rPr>
              <w:t>（4）竞争性磋商采购文件要求法定代表人（负责人）或委托代理人签字的部分必须签字或电子签章，否则视为磋商无效。</w:t>
            </w:r>
          </w:p>
          <w:p>
            <w:pPr>
              <w:spacing w:line="460" w:lineRule="exact"/>
              <w:rPr>
                <w:rFonts w:asciiTheme="minorEastAsia" w:hAnsiTheme="minorEastAsia" w:eastAsiaTheme="minorEastAsia" w:cstheme="minorEastAsia"/>
                <w:spacing w:val="2"/>
              </w:rPr>
            </w:pPr>
            <w:r>
              <w:rPr>
                <w:rFonts w:hint="eastAsia"/>
                <w:b/>
              </w:rPr>
              <w:t>（5）以上材料未附格式的，由供应商自行拟定。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93" w:type="dxa"/>
            <w:vAlign w:val="center"/>
          </w:tcPr>
          <w:p>
            <w:pPr>
              <w:spacing w:line="360" w:lineRule="exact"/>
              <w:jc w:val="center"/>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9</w:t>
            </w:r>
          </w:p>
        </w:tc>
        <w:tc>
          <w:tcPr>
            <w:tcW w:w="8813" w:type="dxa"/>
            <w:vAlign w:val="center"/>
          </w:tcPr>
          <w:p>
            <w:pPr>
              <w:spacing w:line="360" w:lineRule="exact"/>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竞标有效期为：</w:t>
            </w:r>
            <w:r>
              <w:rPr>
                <w:rFonts w:hint="eastAsia" w:asciiTheme="minorEastAsia" w:hAnsiTheme="minorEastAsia" w:eastAsiaTheme="minorEastAsia" w:cstheme="minorEastAsia"/>
                <w:b/>
                <w:bCs/>
                <w:spacing w:val="2"/>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93" w:type="dxa"/>
            <w:vAlign w:val="center"/>
          </w:tcPr>
          <w:p>
            <w:pPr>
              <w:spacing w:line="360" w:lineRule="exact"/>
              <w:jc w:val="center"/>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10</w:t>
            </w:r>
          </w:p>
        </w:tc>
        <w:tc>
          <w:tcPr>
            <w:tcW w:w="8813" w:type="dxa"/>
            <w:vAlign w:val="center"/>
          </w:tcPr>
          <w:p>
            <w:pPr>
              <w:snapToGrid w:val="0"/>
              <w:spacing w:line="400" w:lineRule="exact"/>
              <w:rPr>
                <w:rFonts w:ascii="宋体" w:hAnsi="宋体" w:cs="宋体"/>
                <w:kern w:val="0"/>
              </w:rPr>
            </w:pPr>
            <w:r>
              <w:rPr>
                <w:rFonts w:hint="eastAsia" w:ascii="宋体" w:hAnsi="宋体" w:cs="宋体"/>
                <w:kern w:val="0"/>
              </w:rPr>
              <w:t>1.磋商保证金：20000.00元</w:t>
            </w:r>
          </w:p>
          <w:p>
            <w:pPr>
              <w:snapToGrid w:val="0"/>
              <w:spacing w:line="400" w:lineRule="exact"/>
              <w:rPr>
                <w:rFonts w:ascii="宋体" w:hAnsi="宋体" w:cs="宋体"/>
                <w:kern w:val="0"/>
              </w:rPr>
            </w:pPr>
            <w:r>
              <w:rPr>
                <w:rFonts w:hint="eastAsia" w:ascii="宋体" w:hAnsi="宋体" w:cs="宋体"/>
                <w:kern w:val="0"/>
              </w:rPr>
              <w:t>2.保证金专用银行账号：</w:t>
            </w:r>
          </w:p>
          <w:p>
            <w:pPr>
              <w:spacing w:line="400" w:lineRule="exact"/>
              <w:jc w:val="left"/>
              <w:rPr>
                <w:rFonts w:ascii="宋体" w:hAnsi="宋体" w:cs="宋体"/>
              </w:rPr>
            </w:pPr>
            <w:r>
              <w:rPr>
                <w:rFonts w:hint="eastAsia" w:ascii="宋体" w:hAnsi="宋体" w:cs="宋体"/>
              </w:rPr>
              <w:t>开户名称：</w:t>
            </w:r>
            <w:r>
              <w:rPr>
                <w:rFonts w:hint="eastAsia" w:ascii="宋体" w:hAnsi="宋体" w:cs="宋体"/>
                <w:lang w:eastAsia="zh-CN"/>
              </w:rPr>
              <w:t>广西建设工程机电设备招标中心有限公司</w:t>
            </w:r>
            <w:r>
              <w:rPr>
                <w:rFonts w:hint="eastAsia" w:ascii="宋体" w:hAnsi="宋体" w:cs="宋体"/>
              </w:rPr>
              <w:t xml:space="preserve"> </w:t>
            </w:r>
          </w:p>
          <w:p>
            <w:pPr>
              <w:snapToGrid w:val="0"/>
              <w:spacing w:line="400" w:lineRule="exact"/>
              <w:rPr>
                <w:rFonts w:hint="eastAsia" w:ascii="宋体" w:hAnsi="宋体" w:cs="宋体"/>
              </w:rPr>
            </w:pPr>
            <w:r>
              <w:rPr>
                <w:rFonts w:hint="eastAsia" w:ascii="宋体" w:hAnsi="宋体" w:cs="宋体"/>
              </w:rPr>
              <w:t>开户银行：招商银行南宁分行营业部</w:t>
            </w:r>
          </w:p>
          <w:p>
            <w:pPr>
              <w:snapToGrid w:val="0"/>
              <w:spacing w:line="400" w:lineRule="exact"/>
              <w:rPr>
                <w:rFonts w:hint="eastAsia" w:ascii="宋体" w:hAnsi="宋体" w:cs="宋体"/>
              </w:rPr>
            </w:pPr>
            <w:r>
              <w:rPr>
                <w:rFonts w:hint="eastAsia" w:ascii="宋体" w:hAnsi="宋体" w:cs="宋体"/>
              </w:rPr>
              <w:t>银行账号：7719 0142 3310 201</w:t>
            </w:r>
          </w:p>
          <w:p>
            <w:pPr>
              <w:snapToGrid w:val="0"/>
              <w:spacing w:line="400" w:lineRule="exact"/>
              <w:rPr>
                <w:rFonts w:ascii="宋体" w:hAnsi="宋体" w:cs="宋体"/>
                <w:kern w:val="0"/>
              </w:rPr>
            </w:pPr>
            <w:r>
              <w:rPr>
                <w:rFonts w:hint="eastAsia" w:ascii="宋体" w:hAnsi="宋体" w:cs="宋体"/>
                <w:kern w:val="0"/>
              </w:rPr>
              <w:t>磋商保证金的交纳方式：银行转账、支票、汇票、本票或者银行出具的保函等，禁止采用现钞方式。采用银行转账方式的，在响应文件提交截止时间前交至指定账户并且到账；采用保函方式的，在响应文件提交截止时间前，供应商必须提交保函原件。否则视为无效磋商保证金。</w:t>
            </w:r>
          </w:p>
          <w:p>
            <w:pPr>
              <w:snapToGrid w:val="0"/>
              <w:spacing w:line="400" w:lineRule="exact"/>
              <w:rPr>
                <w:rFonts w:ascii="宋体" w:hAnsi="宋体" w:cs="宋体"/>
              </w:rPr>
            </w:pPr>
            <w:r>
              <w:rPr>
                <w:rFonts w:hint="eastAsia" w:ascii="宋体" w:hAnsi="宋体" w:cs="宋体"/>
              </w:rPr>
              <w:t>相关要求：</w:t>
            </w:r>
          </w:p>
          <w:p>
            <w:pPr>
              <w:snapToGrid w:val="0"/>
              <w:spacing w:line="400" w:lineRule="exact"/>
            </w:pPr>
            <w:r>
              <w:rPr>
                <w:rFonts w:hint="eastAsia" w:ascii="宋体" w:hAnsi="宋体" w:cs="宋体"/>
              </w:rPr>
              <w:t>1.</w:t>
            </w:r>
            <w:r>
              <w:rPr>
                <w:rFonts w:hint="eastAsia" w:ascii="宋体" w:hAnsi="宋体" w:cs="宋体"/>
                <w:kern w:val="0"/>
              </w:rPr>
              <w:t>磋商</w:t>
            </w:r>
            <w:r>
              <w:rPr>
                <w:rFonts w:hint="eastAsia" w:ascii="宋体" w:hAnsi="宋体" w:cs="宋体"/>
              </w:rPr>
              <w:t>保证金采用银行转账交纳方式的，在响应文件提交截止时间前交至指定账户并且到账，供应商应将银行转账底单的复印件作为谈判保证金提交凭证，放置于报价商务技术文件中，</w:t>
            </w:r>
            <w:r>
              <w:rPr>
                <w:rFonts w:hint="eastAsia" w:ascii="宋体" w:hAnsi="宋体" w:cs="宋体"/>
                <w:b/>
              </w:rPr>
              <w:t>否则响应文件按无效响应处理</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93" w:type="dxa"/>
            <w:vAlign w:val="center"/>
          </w:tcPr>
          <w:p>
            <w:pPr>
              <w:spacing w:line="360" w:lineRule="exact"/>
              <w:jc w:val="center"/>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11</w:t>
            </w:r>
          </w:p>
        </w:tc>
        <w:tc>
          <w:tcPr>
            <w:tcW w:w="8813" w:type="dxa"/>
            <w:vAlign w:val="center"/>
          </w:tcPr>
          <w:p>
            <w:pPr>
              <w:spacing w:line="360" w:lineRule="exact"/>
              <w:rPr>
                <w:rFonts w:asciiTheme="minorEastAsia" w:hAnsiTheme="minorEastAsia" w:eastAsiaTheme="minorEastAsia" w:cstheme="minorEastAsia"/>
                <w:spacing w:val="2"/>
              </w:rPr>
            </w:pPr>
            <w:r>
              <w:rPr>
                <w:rFonts w:hint="eastAsia" w:ascii="宋体" w:hAnsi="宋体"/>
              </w:rPr>
              <w:t>竞争性磋商响应文件的份数：电子响应文件一份。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093" w:type="dxa"/>
            <w:vAlign w:val="center"/>
          </w:tcPr>
          <w:p>
            <w:pPr>
              <w:spacing w:line="360" w:lineRule="exact"/>
              <w:jc w:val="center"/>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12</w:t>
            </w:r>
          </w:p>
        </w:tc>
        <w:tc>
          <w:tcPr>
            <w:tcW w:w="8813" w:type="dxa"/>
            <w:vAlign w:val="center"/>
          </w:tcPr>
          <w:p>
            <w:pPr>
              <w:spacing w:line="360" w:lineRule="exact"/>
              <w:ind w:hanging="6"/>
              <w:rPr>
                <w:rFonts w:asciiTheme="minorEastAsia" w:hAnsiTheme="minorEastAsia" w:eastAsiaTheme="minorEastAsia" w:cstheme="minorEastAsia"/>
                <w:spacing w:val="2"/>
              </w:rPr>
            </w:pPr>
            <w:r>
              <w:rPr>
                <w:rFonts w:hint="eastAsia" w:asciiTheme="minorEastAsia" w:hAnsiTheme="minorEastAsia" w:eastAsiaTheme="minorEastAsia" w:cstheme="minorEastAsia"/>
                <w:b/>
                <w:bCs/>
                <w:spacing w:val="2"/>
              </w:rPr>
              <w:t>磋商时间：</w:t>
            </w:r>
            <w:r>
              <w:rPr>
                <w:rFonts w:hint="eastAsia" w:asciiTheme="minorEastAsia" w:hAnsiTheme="minorEastAsia" w:eastAsiaTheme="minorEastAsia" w:cstheme="minorEastAsia"/>
                <w:spacing w:val="2"/>
              </w:rPr>
              <w:t>2024年</w:t>
            </w:r>
            <w:r>
              <w:rPr>
                <w:rFonts w:hint="eastAsia" w:asciiTheme="minorEastAsia" w:hAnsiTheme="minorEastAsia" w:eastAsiaTheme="minorEastAsia" w:cstheme="minorEastAsia"/>
                <w:spacing w:val="2"/>
                <w:lang w:val="en-US" w:eastAsia="zh-CN"/>
              </w:rPr>
              <w:t>7</w:t>
            </w:r>
            <w:r>
              <w:rPr>
                <w:rFonts w:hint="eastAsia" w:asciiTheme="minorEastAsia" w:hAnsiTheme="minorEastAsia" w:eastAsiaTheme="minorEastAsia" w:cstheme="minorEastAsia"/>
                <w:spacing w:val="2"/>
              </w:rPr>
              <w:t>月</w:t>
            </w:r>
            <w:r>
              <w:rPr>
                <w:rFonts w:hint="eastAsia" w:asciiTheme="minorEastAsia" w:hAnsiTheme="minorEastAsia" w:eastAsiaTheme="minorEastAsia" w:cstheme="minorEastAsia"/>
                <w:spacing w:val="2"/>
                <w:lang w:val="en-US" w:eastAsia="zh-CN"/>
              </w:rPr>
              <w:t>23</w:t>
            </w:r>
            <w:r>
              <w:rPr>
                <w:rFonts w:hint="eastAsia" w:asciiTheme="minorEastAsia" w:hAnsiTheme="minorEastAsia" w:eastAsiaTheme="minorEastAsia" w:cstheme="minorEastAsia"/>
                <w:spacing w:val="2"/>
              </w:rPr>
              <w:t>日</w:t>
            </w:r>
            <w:r>
              <w:rPr>
                <w:rFonts w:hint="eastAsia" w:asciiTheme="minorEastAsia" w:hAnsiTheme="minorEastAsia" w:eastAsiaTheme="minorEastAsia" w:cstheme="minorEastAsia"/>
              </w:rPr>
              <w:t>09点30分</w:t>
            </w:r>
            <w:r>
              <w:rPr>
                <w:rFonts w:hint="eastAsia" w:asciiTheme="minorEastAsia" w:hAnsiTheme="minorEastAsia" w:eastAsiaTheme="minorEastAsia" w:cstheme="minorEastAsia"/>
                <w:spacing w:val="2"/>
              </w:rPr>
              <w:t>截标后</w:t>
            </w:r>
          </w:p>
          <w:p>
            <w:pPr>
              <w:spacing w:line="360" w:lineRule="exact"/>
              <w:ind w:hanging="6"/>
              <w:rPr>
                <w:rFonts w:asciiTheme="minorEastAsia" w:hAnsiTheme="minorEastAsia" w:eastAsiaTheme="minorEastAsia" w:cstheme="minorEastAsia"/>
                <w:b/>
                <w:bCs/>
                <w:spacing w:val="2"/>
              </w:rPr>
            </w:pPr>
            <w:r>
              <w:rPr>
                <w:rFonts w:hint="eastAsia" w:asciiTheme="minorEastAsia" w:hAnsiTheme="minorEastAsia" w:eastAsiaTheme="minorEastAsia" w:cstheme="minorEastAsia"/>
                <w:b/>
                <w:bCs/>
                <w:spacing w:val="2"/>
              </w:rPr>
              <w:t>磋商地点：</w:t>
            </w:r>
            <w:r>
              <w:rPr>
                <w:rFonts w:hint="eastAsia" w:asciiTheme="minorEastAsia" w:hAnsiTheme="minorEastAsia" w:eastAsiaTheme="minorEastAsia" w:cstheme="minorEastAsia"/>
                <w:spacing w:val="2"/>
              </w:rPr>
              <w:t>通过广西政府采购云平台实行在线投标响应。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7" w:hRule="atLeast"/>
          <w:jc w:val="center"/>
        </w:trPr>
        <w:tc>
          <w:tcPr>
            <w:tcW w:w="1093" w:type="dxa"/>
            <w:vAlign w:val="center"/>
          </w:tcPr>
          <w:p>
            <w:pPr>
              <w:spacing w:line="3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13</w:t>
            </w:r>
          </w:p>
        </w:tc>
        <w:tc>
          <w:tcPr>
            <w:tcW w:w="8813" w:type="dxa"/>
            <w:vAlign w:val="center"/>
          </w:tcPr>
          <w:p>
            <w:pPr>
              <w:spacing w:line="360" w:lineRule="exact"/>
              <w:ind w:hanging="6"/>
              <w:rPr>
                <w:rFonts w:asciiTheme="minorEastAsia" w:hAnsiTheme="minorEastAsia" w:eastAsiaTheme="minorEastAsia" w:cstheme="minorEastAsia"/>
                <w:b/>
                <w:bCs/>
                <w:spacing w:val="2"/>
              </w:rPr>
            </w:pPr>
            <w:r>
              <w:rPr>
                <w:rFonts w:hint="eastAsia" w:asciiTheme="minorEastAsia" w:hAnsiTheme="minorEastAsia" w:eastAsiaTheme="minorEastAsia" w:cstheme="minorEastAsia"/>
                <w:b/>
                <w:bCs/>
                <w:spacing w:val="2"/>
              </w:rPr>
              <w:t>磋商前准备：</w:t>
            </w:r>
          </w:p>
          <w:p>
            <w:pPr>
              <w:spacing w:line="360" w:lineRule="exact"/>
              <w:ind w:hanging="6"/>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1、本项目实行网上磋商，采用电子磋商响应文件。若供应商参与磋商，自行承担磋商一切费用。</w:t>
            </w:r>
          </w:p>
          <w:p>
            <w:pPr>
              <w:spacing w:line="360" w:lineRule="exact"/>
              <w:ind w:hanging="6"/>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2、各供应商应在截标前应确保成为广西政府采购云平台正式注册入库供应商，并完成CA数字证书申领。因未注册入库、未办理CA数字证书等原因造成无法磋商或磋商失败等后果由供应商自行承担。</w:t>
            </w:r>
          </w:p>
          <w:p>
            <w:pPr>
              <w:spacing w:line="360" w:lineRule="exact"/>
              <w:ind w:hanging="6"/>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3、供应商将广西政采云电子交易客户端下载、安装完成后，可通过账号密码或CA登录客户端进行响应文件制作。客户端请至网站下载专区查看，如有问题可拨打广西政采云客户服务热线95763进行咨询。</w:t>
            </w:r>
          </w:p>
          <w:p>
            <w:pPr>
              <w:spacing w:line="360" w:lineRule="exact"/>
              <w:ind w:hanging="6"/>
              <w:rPr>
                <w:rFonts w:asciiTheme="minorEastAsia" w:hAnsiTheme="minorEastAsia" w:eastAsiaTheme="minorEastAsia" w:cstheme="minorEastAsia"/>
                <w:b/>
                <w:bCs/>
                <w:spacing w:val="2"/>
              </w:rPr>
            </w:pPr>
            <w:r>
              <w:rPr>
                <w:rFonts w:hint="eastAsia" w:asciiTheme="minorEastAsia" w:hAnsiTheme="minorEastAsia" w:eastAsiaTheme="minorEastAsia" w:cstheme="minorEastAsia"/>
                <w:b/>
                <w:bCs/>
                <w:spacing w:val="2"/>
              </w:rPr>
              <w:t>磋商响应文件解密时间：</w:t>
            </w:r>
          </w:p>
          <w:p>
            <w:pPr>
              <w:pStyle w:val="26"/>
              <w:spacing w:line="360" w:lineRule="exact"/>
              <w:ind w:firstLine="428" w:firstLineChars="200"/>
              <w:rPr>
                <w:rFonts w:asciiTheme="minorEastAsia" w:hAnsiTheme="minorEastAsia" w:eastAsiaTheme="minorEastAsia" w:cstheme="minorEastAsia"/>
              </w:rPr>
            </w:pPr>
            <w:r>
              <w:rPr>
                <w:rFonts w:hint="eastAsia" w:asciiTheme="minorEastAsia" w:hAnsiTheme="minorEastAsia" w:eastAsiaTheme="minorEastAsia" w:cstheme="minorEastAsia"/>
                <w:spacing w:val="2"/>
                <w:kern w:val="2"/>
                <w:sz w:val="21"/>
                <w:szCs w:val="21"/>
              </w:rPr>
              <w:t>截标时间后30分钟内磋商供应商可以登录广西政府采购云平台，用“项目采购-开标评标”功能进行解密磋商响应文件。若磋商供应商在规定时间内无法解密或解密失败，可以以电子备份磋商响应文件作为依据，若电子备份磋商响应文件件与广西政府采购云平台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93" w:type="dxa"/>
            <w:vAlign w:val="center"/>
          </w:tcPr>
          <w:p>
            <w:pPr>
              <w:spacing w:line="36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14</w:t>
            </w:r>
          </w:p>
        </w:tc>
        <w:tc>
          <w:tcPr>
            <w:tcW w:w="8813" w:type="dxa"/>
            <w:vAlign w:val="center"/>
          </w:tcPr>
          <w:p>
            <w:pPr>
              <w:tabs>
                <w:tab w:val="left" w:pos="210"/>
              </w:tabs>
              <w:spacing w:line="380" w:lineRule="exact"/>
              <w:ind w:left="4870" w:hanging="4869" w:hangingChars="2319"/>
              <w:jc w:val="left"/>
              <w:rPr>
                <w:rFonts w:asciiTheme="minorEastAsia" w:hAnsiTheme="minorEastAsia" w:eastAsiaTheme="minorEastAsia" w:cstheme="minorEastAsia"/>
                <w:spacing w:val="2"/>
              </w:rPr>
            </w:pPr>
            <w:r>
              <w:rPr>
                <w:rFonts w:hint="eastAsia" w:asciiTheme="minorEastAsia" w:hAnsiTheme="minorEastAsia" w:eastAsiaTheme="minorEastAsia" w:cstheme="minorEastAsia"/>
              </w:rPr>
              <w:t>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1093"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15</w:t>
            </w:r>
          </w:p>
        </w:tc>
        <w:tc>
          <w:tcPr>
            <w:tcW w:w="8813" w:type="dxa"/>
            <w:vAlign w:val="center"/>
          </w:tcPr>
          <w:p>
            <w:pPr>
              <w:spacing w:line="360" w:lineRule="auto"/>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需要补充的其他内容：</w:t>
            </w:r>
          </w:p>
          <w:p>
            <w:pPr>
              <w:spacing w:line="360" w:lineRule="auto"/>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（1）采购代理机构自评审结束之日起2个工作日内将评审报告送交采购人；</w:t>
            </w:r>
          </w:p>
          <w:p>
            <w:pPr>
              <w:spacing w:line="360" w:lineRule="auto"/>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（2）采购人收到采购代理机构提交的评审报告后，2个工作日内确定成交供应商；</w:t>
            </w:r>
          </w:p>
          <w:p>
            <w:pPr>
              <w:spacing w:line="360" w:lineRule="auto"/>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（3）合同签订期：自成交通知书发出之日起25个日历天内；</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spacing w:val="2"/>
              </w:rPr>
              <w:t>（4）采购人和成交供应商签订合同之日起2个工作日内将政府采购合同在</w:t>
            </w:r>
            <w:r>
              <w:rPr>
                <w:rFonts w:hint="eastAsia" w:ascii="宋体" w:hAnsi="宋体" w:cs="宋体"/>
                <w:kern w:val="0"/>
              </w:rPr>
              <w:t>广西壮族自治区政府采购网</w:t>
            </w:r>
            <w:r>
              <w:rPr>
                <w:rFonts w:hint="eastAsia" w:asciiTheme="minorEastAsia" w:hAnsiTheme="minorEastAsia" w:eastAsiaTheme="minorEastAsia" w:cstheme="minorEastAsia"/>
                <w:spacing w:val="2"/>
              </w:rPr>
              <w:t>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Align w:val="center"/>
          </w:tcPr>
          <w:p>
            <w:pPr>
              <w:autoSpaceDE w:val="0"/>
              <w:autoSpaceDN w:val="0"/>
              <w:spacing w:line="360" w:lineRule="exact"/>
              <w:ind w:right="69" w:rightChars="33"/>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16</w:t>
            </w:r>
          </w:p>
        </w:tc>
        <w:tc>
          <w:tcPr>
            <w:tcW w:w="8813" w:type="dxa"/>
            <w:vAlign w:val="center"/>
          </w:tcPr>
          <w:p>
            <w:pPr>
              <w:autoSpaceDE w:val="0"/>
              <w:autoSpaceDN w:val="0"/>
              <w:snapToGrid w:val="0"/>
              <w:spacing w:line="380" w:lineRule="exact"/>
              <w:textAlignment w:val="bottom"/>
            </w:pPr>
            <w:r>
              <w:rPr>
                <w:rFonts w:hint="eastAsia" w:hAnsi="宋体"/>
              </w:rPr>
              <w:t>履约保证金金额：</w:t>
            </w:r>
            <w:r>
              <w:rPr>
                <w:rFonts w:hint="eastAsia" w:hAnsi="宋体" w:cs="宋体"/>
              </w:rPr>
              <w:t>在合同签订之前，成交供应商按成交金额的5%（如成交供应商为中小微企业的，按成交金额的2%）向采购人交纳履约保证金</w:t>
            </w:r>
            <w:r>
              <w:rPr>
                <w:rFonts w:hAnsi="宋体" w:cs="宋体"/>
              </w:rPr>
              <w:t>。</w:t>
            </w:r>
            <w:r>
              <w:rPr>
                <w:rFonts w:hint="eastAsia" w:hAnsi="宋体" w:cs="宋体"/>
              </w:rPr>
              <w:t>履约担保的有效期应当自本合同生效之日起至采购人签认并由监理人向成交人出具建设</w:t>
            </w:r>
            <w:r>
              <w:rPr>
                <w:rFonts w:hint="eastAsia" w:ascii="宋体" w:hAnsi="宋体" w:cs="宋体"/>
              </w:rPr>
              <w:t>工程竣工验收意见书</w:t>
            </w:r>
            <w:r>
              <w:rPr>
                <w:rFonts w:hint="eastAsia" w:hAnsi="宋体" w:cs="宋体"/>
              </w:rPr>
              <w:t>之日止。如果成交人无法获得一份不带具体截止日期的担保，履约担保中应当有</w:t>
            </w:r>
            <w:r>
              <w:t>“</w:t>
            </w:r>
            <w:r>
              <w:rPr>
                <w:rFonts w:hint="eastAsia" w:hAnsi="宋体" w:cs="宋体"/>
              </w:rPr>
              <w:t>变更工程竣工日期的，保证期间按照变更后的竣工日期做相应调整</w:t>
            </w:r>
            <w:r>
              <w:t>”</w:t>
            </w:r>
            <w:r>
              <w:rPr>
                <w:rFonts w:hint="eastAsia" w:hAnsi="宋体" w:cs="宋体"/>
              </w:rPr>
              <w:t>或类似约定的条款。</w:t>
            </w:r>
            <w:r>
              <w:rPr>
                <w:rFonts w:hint="eastAsia" w:ascii="宋体" w:hAnsi="宋体" w:cs="宋体"/>
              </w:rPr>
              <w:t>若成交人未及时提供履约担保，采购人暂停支付工程款。</w:t>
            </w:r>
          </w:p>
          <w:p>
            <w:pPr>
              <w:autoSpaceDE w:val="0"/>
              <w:autoSpaceDN w:val="0"/>
              <w:snapToGrid w:val="0"/>
              <w:spacing w:line="380" w:lineRule="exact"/>
              <w:textAlignment w:val="bottom"/>
            </w:pPr>
            <w:r>
              <w:rPr>
                <w:rFonts w:hint="eastAsia" w:hAnsi="宋体"/>
              </w:rPr>
              <w:t>履约保证金递交方式：</w:t>
            </w:r>
            <w:r>
              <w:rPr>
                <w:rFonts w:hint="eastAsia"/>
              </w:rPr>
              <w:t>可以是</w:t>
            </w:r>
            <w:r>
              <w:rPr>
                <w:rFonts w:hint="eastAsia" w:hAnsi="宋体" w:cs="宋体"/>
              </w:rPr>
              <w:t>银行转账、电汇或网上支付、保函【银行保函</w:t>
            </w:r>
            <w:r>
              <w:rPr>
                <w:rFonts w:hint="eastAsia" w:ascii="宋体" w:hAnsi="宋体" w:cs="宋体"/>
              </w:rPr>
              <w:t>（详见《建设工程施工合同》附件10）、</w:t>
            </w:r>
            <w:r>
              <w:rPr>
                <w:rFonts w:hint="eastAsia" w:hAnsi="宋体" w:cs="宋体"/>
              </w:rPr>
              <w:t>电子</w:t>
            </w:r>
            <w:r>
              <w:rPr>
                <w:rFonts w:hAnsi="宋体" w:cs="宋体"/>
              </w:rPr>
              <w:t>保函</w:t>
            </w:r>
            <w:r>
              <w:rPr>
                <w:rFonts w:hint="eastAsia" w:hAnsi="宋体" w:cs="宋体"/>
              </w:rPr>
              <w:t>、保证保险保函、工程担保保函</w:t>
            </w:r>
            <w:r>
              <w:rPr>
                <w:rFonts w:hint="eastAsia" w:ascii="宋体" w:hAnsi="宋体" w:cs="宋体"/>
              </w:rPr>
              <w:t>（详见《建设工程施工合同》附件9）</w:t>
            </w:r>
            <w:r>
              <w:rPr>
                <w:rFonts w:hint="eastAsia" w:hAnsi="宋体" w:cs="宋体"/>
              </w:rPr>
              <w:t>】</w:t>
            </w:r>
            <w:r>
              <w:rPr>
                <w:rFonts w:hint="eastAsia" w:hAnsi="宋体"/>
              </w:rPr>
              <w:t>等</w:t>
            </w:r>
            <w:r>
              <w:rPr>
                <w:rFonts w:hint="eastAsia" w:hAnsi="宋体" w:cs="宋体"/>
              </w:rPr>
              <w:t>形</w:t>
            </w:r>
            <w:r>
              <w:rPr>
                <w:rFonts w:hint="eastAsia" w:hAnsi="宋体"/>
              </w:rPr>
              <w:t>式</w:t>
            </w:r>
            <w:r>
              <w:rPr>
                <w:rFonts w:hint="eastAsia" w:hAnsi="宋体" w:cs="宋体"/>
              </w:rPr>
              <w:t>。</w:t>
            </w:r>
          </w:p>
          <w:p>
            <w:pPr>
              <w:autoSpaceDE w:val="0"/>
              <w:autoSpaceDN w:val="0"/>
              <w:snapToGrid w:val="0"/>
              <w:spacing w:line="380" w:lineRule="exact"/>
              <w:textAlignment w:val="bottom"/>
              <w:rPr>
                <w:rFonts w:hAnsi="宋体"/>
              </w:rPr>
            </w:pPr>
            <w:r>
              <w:rPr>
                <w:rFonts w:hint="eastAsia" w:hAnsi="宋体"/>
              </w:rPr>
              <w:t>履约保证金退付方式、时间及条件：</w:t>
            </w:r>
          </w:p>
          <w:p>
            <w:pPr>
              <w:autoSpaceDE w:val="0"/>
              <w:autoSpaceDN w:val="0"/>
              <w:snapToGrid w:val="0"/>
              <w:spacing w:line="380" w:lineRule="exact"/>
              <w:textAlignment w:val="bottom"/>
              <w:rPr>
                <w:rFonts w:hAnsi="宋体"/>
              </w:rPr>
            </w:pPr>
            <w:r>
              <w:rPr>
                <w:rFonts w:hint="eastAsia" w:hAnsi="宋体" w:cs="宋体"/>
              </w:rPr>
              <w:t>（1）履约保证金不计利息，工程竣工验收合格并对验收发现的问题完成整改合格后，成交人可向采购人申请退还履约保证金，采购人应在收到申请之日起</w:t>
            </w:r>
            <w:r>
              <w:rPr>
                <w:rFonts w:hint="eastAsia"/>
              </w:rPr>
              <w:t>5个工作日</w:t>
            </w:r>
            <w:r>
              <w:rPr>
                <w:rFonts w:hint="eastAsia" w:hAnsi="宋体" w:cs="宋体"/>
              </w:rPr>
              <w:t>内扣减成交人赔偿金和其他应从成交人扣回的款项后，将履约保证金的余额退还给成交人。</w:t>
            </w:r>
            <w:r>
              <w:rPr>
                <w:rFonts w:hint="eastAsia" w:ascii="宋体" w:hAnsi="宋体" w:cs="宋体"/>
              </w:rPr>
              <w:t>（成交人若有违约，按《建设工程施工合同》专用条款7.5.2条执行，采购人可从应向成交人支付的任何金额中扣除违约款或以其他方式收回此款）</w:t>
            </w:r>
          </w:p>
          <w:p>
            <w:pPr>
              <w:autoSpaceDE w:val="0"/>
              <w:autoSpaceDN w:val="0"/>
              <w:snapToGrid w:val="0"/>
              <w:spacing w:line="380" w:lineRule="exact"/>
              <w:textAlignment w:val="bottom"/>
            </w:pPr>
            <w:r>
              <w:rPr>
                <w:rFonts w:hint="eastAsia" w:hAnsi="宋体"/>
              </w:rPr>
              <w:t>（</w:t>
            </w:r>
            <w:r>
              <w:t>2</w:t>
            </w:r>
            <w:r>
              <w:rPr>
                <w:rFonts w:hint="eastAsia" w:hAnsi="宋体"/>
              </w:rPr>
              <w:t>）在履约保证金退还日期前，若成交供应商的开户名称、开户银行、账号有变动的，请以书面形式通知履约保证金收取单位，否则由此产生的后果由成交供应商自负。</w:t>
            </w:r>
          </w:p>
          <w:p>
            <w:pPr>
              <w:autoSpaceDE w:val="0"/>
              <w:autoSpaceDN w:val="0"/>
              <w:snapToGrid w:val="0"/>
              <w:spacing w:line="380" w:lineRule="exact"/>
              <w:textAlignment w:val="bottom"/>
            </w:pPr>
            <w:r>
              <w:rPr>
                <w:rFonts w:hint="eastAsia" w:hAnsi="宋体"/>
              </w:rPr>
              <w:t>履约保证金指定账户：</w:t>
            </w:r>
          </w:p>
          <w:p>
            <w:pPr>
              <w:autoSpaceDE w:val="0"/>
              <w:autoSpaceDN w:val="0"/>
              <w:snapToGrid w:val="0"/>
              <w:spacing w:line="380" w:lineRule="exact"/>
              <w:textAlignment w:val="bottom"/>
              <w:rPr>
                <w:rFonts w:ascii="宋体" w:hAnsi="宋体"/>
              </w:rPr>
            </w:pPr>
            <w:r>
              <w:rPr>
                <w:rFonts w:hint="eastAsia" w:ascii="宋体" w:hAnsi="宋体"/>
              </w:rPr>
              <w:t>开户名称：桂林理工大学</w:t>
            </w:r>
          </w:p>
          <w:p>
            <w:pPr>
              <w:autoSpaceDE w:val="0"/>
              <w:autoSpaceDN w:val="0"/>
              <w:snapToGrid w:val="0"/>
              <w:spacing w:line="380" w:lineRule="exact"/>
              <w:textAlignment w:val="bottom"/>
              <w:rPr>
                <w:rFonts w:ascii="宋体" w:hAnsi="宋体"/>
              </w:rPr>
            </w:pPr>
            <w:r>
              <w:rPr>
                <w:rFonts w:hint="eastAsia" w:ascii="宋体" w:hAnsi="宋体"/>
              </w:rPr>
              <w:t>开户银行：中国银行桂林分行</w:t>
            </w:r>
          </w:p>
          <w:p>
            <w:pPr>
              <w:autoSpaceDE w:val="0"/>
              <w:autoSpaceDN w:val="0"/>
              <w:snapToGrid w:val="0"/>
              <w:spacing w:line="380" w:lineRule="exact"/>
              <w:textAlignment w:val="bottom"/>
            </w:pPr>
            <w:r>
              <w:rPr>
                <w:rFonts w:hint="eastAsia" w:ascii="宋体" w:hAnsi="宋体"/>
              </w:rPr>
              <w:t>账号：613257488744</w:t>
            </w:r>
          </w:p>
          <w:p>
            <w:pPr>
              <w:adjustRightInd w:val="0"/>
              <w:spacing w:line="380" w:lineRule="exact"/>
              <w:jc w:val="left"/>
              <w:rPr>
                <w:rFonts w:hAnsi="宋体"/>
              </w:rPr>
            </w:pPr>
            <w:r>
              <w:rPr>
                <w:rFonts w:hint="eastAsia" w:hAnsi="宋体"/>
              </w:rPr>
              <w:t>备</w:t>
            </w:r>
            <w:r>
              <w:rPr>
                <w:rFonts w:hAnsi="宋体"/>
              </w:rPr>
              <w:t xml:space="preserve">    </w:t>
            </w:r>
            <w:r>
              <w:rPr>
                <w:rFonts w:hint="eastAsia" w:hAnsi="宋体"/>
              </w:rPr>
              <w:t>注：</w:t>
            </w:r>
          </w:p>
          <w:p>
            <w:r>
              <w:rPr>
                <w:rFonts w:hint="eastAsia" w:hAnsi="宋体"/>
                <w:b/>
              </w:rPr>
              <w:t>履约保证金不足额缴纳的（包含保函额度不足的），或者不按规定提交方式提交的，或者保函有效期低于合同履行期限（即合同中规定的当事人履行自己的义务，如交付标的工程、价款或者报酬，履行劳务、完成工作的时间界限）的，不予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093" w:type="dxa"/>
            <w:vAlign w:val="center"/>
          </w:tcPr>
          <w:p>
            <w:pPr>
              <w:autoSpaceDE w:val="0"/>
              <w:autoSpaceDN w:val="0"/>
              <w:spacing w:line="360" w:lineRule="exact"/>
              <w:ind w:right="69" w:rightChars="33"/>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17</w:t>
            </w:r>
          </w:p>
        </w:tc>
        <w:tc>
          <w:tcPr>
            <w:tcW w:w="8813" w:type="dxa"/>
            <w:vAlign w:val="center"/>
          </w:tcPr>
          <w:p>
            <w:pPr>
              <w:pStyle w:val="20"/>
              <w:jc w:val="left"/>
              <w:rPr>
                <w:rFonts w:ascii="Times New Roman" w:hAnsi="Times New Roman" w:eastAsia="宋体" w:cs="Times New Roman"/>
                <w:b w:val="0"/>
                <w:bCs w:val="0"/>
                <w:kern w:val="2"/>
                <w:sz w:val="21"/>
                <w:szCs w:val="21"/>
              </w:rPr>
            </w:pPr>
            <w:r>
              <w:rPr>
                <w:rFonts w:hint="eastAsia" w:ascii="Times New Roman" w:hAnsi="Times New Roman" w:eastAsia="宋体" w:cs="Times New Roman"/>
                <w:b w:val="0"/>
                <w:bCs w:val="0"/>
                <w:kern w:val="2"/>
                <w:sz w:val="21"/>
                <w:szCs w:val="21"/>
              </w:rPr>
              <w:t>现场勘察：无。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jc w:val="center"/>
        </w:trPr>
        <w:tc>
          <w:tcPr>
            <w:tcW w:w="1093" w:type="dxa"/>
            <w:tcBorders>
              <w:bottom w:val="single" w:color="auto" w:sz="4" w:space="0"/>
            </w:tcBorders>
            <w:vAlign w:val="center"/>
          </w:tcPr>
          <w:p>
            <w:pPr>
              <w:autoSpaceDE w:val="0"/>
              <w:autoSpaceDN w:val="0"/>
              <w:spacing w:line="360" w:lineRule="exact"/>
              <w:ind w:right="69" w:rightChars="33"/>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18</w:t>
            </w:r>
          </w:p>
        </w:tc>
        <w:tc>
          <w:tcPr>
            <w:tcW w:w="8813" w:type="dxa"/>
            <w:tcBorders>
              <w:bottom w:val="single" w:color="auto" w:sz="4" w:space="0"/>
              <w:right w:val="single" w:color="auto" w:sz="4" w:space="0"/>
            </w:tcBorders>
            <w:vAlign w:val="center"/>
          </w:tcPr>
          <w:p>
            <w:pPr>
              <w:pStyle w:val="26"/>
              <w:shd w:val="clear" w:color="auto" w:fill="FFFFFF"/>
              <w:snapToGrid w:val="0"/>
              <w:spacing w:line="360" w:lineRule="auto"/>
              <w:rPr>
                <w:rFonts w:hAnsi="宋体"/>
                <w:sz w:val="21"/>
              </w:rPr>
            </w:pPr>
            <w:r>
              <w:rPr>
                <w:rFonts w:hint="eastAsia" w:hAnsi="宋体"/>
                <w:sz w:val="21"/>
              </w:rPr>
              <w:t>1.采购代理费支付方式：</w:t>
            </w:r>
          </w:p>
          <w:p>
            <w:pPr>
              <w:pStyle w:val="26"/>
              <w:shd w:val="clear" w:color="auto" w:fill="FFFFFF"/>
              <w:snapToGrid w:val="0"/>
              <w:spacing w:line="360" w:lineRule="auto"/>
              <w:rPr>
                <w:rFonts w:hAnsi="宋体"/>
                <w:sz w:val="21"/>
              </w:rPr>
            </w:pPr>
            <w:r>
              <w:rPr>
                <w:rFonts w:hint="eastAsia" w:hAnsi="宋体"/>
                <w:sz w:val="21"/>
              </w:rPr>
              <w:t>☑本项目代理服务费由</w:t>
            </w:r>
            <w:r>
              <w:rPr>
                <w:rFonts w:hint="eastAsia" w:hAnsi="宋体"/>
                <w:sz w:val="21"/>
                <w:u w:val="single"/>
              </w:rPr>
              <w:t>中标人</w:t>
            </w:r>
            <w:r>
              <w:rPr>
                <w:rFonts w:hint="eastAsia" w:hAnsi="宋体"/>
                <w:sz w:val="21"/>
              </w:rPr>
              <w:t>在领取中标通知书前，一次性向采购代理机构支付。</w:t>
            </w:r>
          </w:p>
          <w:p>
            <w:pPr>
              <w:pStyle w:val="26"/>
              <w:shd w:val="clear" w:color="auto" w:fill="FFFFFF"/>
              <w:snapToGrid w:val="0"/>
              <w:spacing w:line="360" w:lineRule="auto"/>
              <w:rPr>
                <w:rFonts w:hAnsi="宋体"/>
                <w:sz w:val="21"/>
              </w:rPr>
            </w:pPr>
            <w:r>
              <w:rPr>
                <w:rFonts w:hint="eastAsia" w:hAnsi="宋体"/>
                <w:sz w:val="21"/>
              </w:rPr>
              <w:t>□采购人支付。</w:t>
            </w:r>
          </w:p>
          <w:p>
            <w:pPr>
              <w:pStyle w:val="26"/>
              <w:shd w:val="clear" w:color="auto" w:fill="FFFFFF"/>
              <w:snapToGrid w:val="0"/>
              <w:spacing w:line="360" w:lineRule="auto"/>
              <w:rPr>
                <w:rFonts w:hAnsi="宋体"/>
                <w:sz w:val="21"/>
              </w:rPr>
            </w:pPr>
            <w:r>
              <w:rPr>
                <w:rFonts w:hint="eastAsia" w:hAnsi="宋体"/>
                <w:sz w:val="21"/>
              </w:rPr>
              <w:t>2.采购代理费收取标准：</w:t>
            </w:r>
          </w:p>
          <w:p>
            <w:pPr>
              <w:pStyle w:val="26"/>
              <w:shd w:val="clear" w:color="auto" w:fill="FFFFFF"/>
              <w:snapToGrid w:val="0"/>
              <w:spacing w:line="360" w:lineRule="auto"/>
              <w:rPr>
                <w:rFonts w:hAnsi="宋体"/>
                <w:sz w:val="21"/>
              </w:rPr>
            </w:pPr>
            <w:r>
              <w:rPr>
                <w:rFonts w:hAnsi="宋体"/>
                <w:sz w:val="21"/>
              </w:rPr>
              <w:sym w:font="Wingdings" w:char="00FE"/>
            </w:r>
            <w:r>
              <w:rPr>
                <w:rFonts w:hint="eastAsia" w:hAnsi="宋体"/>
                <w:sz w:val="21"/>
              </w:rPr>
              <w:t>本项目代理服务费以成交金额为基价，参考国家发展和改革委员会《招标代理服务收费管理暂行办法》（计价格[2002]1980号文）及发改价格【2011】534号文收费标准下浮70%收取，按差额定率累进法计算，由成交供应商在成交结果公告发出之日起五个工作日内，一次性向采购代理机构支付。</w:t>
            </w:r>
          </w:p>
          <w:p>
            <w:pPr>
              <w:pStyle w:val="26"/>
              <w:shd w:val="clear" w:color="auto" w:fill="FFFFFF"/>
              <w:snapToGrid w:val="0"/>
              <w:spacing w:line="360" w:lineRule="auto"/>
              <w:rPr>
                <w:rFonts w:hAnsi="宋体"/>
                <w:sz w:val="21"/>
                <w:u w:val="single"/>
              </w:rPr>
            </w:pPr>
            <w:r>
              <w:rPr>
                <w:rFonts w:hint="eastAsia" w:hAnsi="宋体"/>
                <w:sz w:val="21"/>
              </w:rPr>
              <w:t>□固定采购代理收费</w:t>
            </w:r>
            <w:r>
              <w:rPr>
                <w:rFonts w:hint="eastAsia" w:hAnsi="宋体"/>
                <w:sz w:val="21"/>
                <w:u w:val="single"/>
              </w:rPr>
              <w:t xml:space="preserve">              。</w:t>
            </w:r>
          </w:p>
          <w:p>
            <w:pPr>
              <w:pStyle w:val="26"/>
              <w:shd w:val="clear" w:color="auto" w:fill="FFFFFF"/>
              <w:snapToGrid w:val="0"/>
              <w:spacing w:line="360" w:lineRule="auto"/>
              <w:rPr>
                <w:rFonts w:hAnsi="宋体"/>
                <w:sz w:val="21"/>
              </w:rPr>
            </w:pPr>
            <w:r>
              <w:rPr>
                <w:rFonts w:hint="eastAsia" w:hAnsi="宋体"/>
                <w:sz w:val="21"/>
              </w:rPr>
              <w:t xml:space="preserve">3.账户名称： </w:t>
            </w:r>
          </w:p>
          <w:p>
            <w:pPr>
              <w:pStyle w:val="26"/>
              <w:shd w:val="clear" w:color="auto" w:fill="FFFFFF"/>
              <w:snapToGrid w:val="0"/>
              <w:spacing w:line="360" w:lineRule="auto"/>
              <w:rPr>
                <w:rFonts w:hint="eastAsia" w:hAnsi="宋体" w:eastAsia="宋体"/>
                <w:sz w:val="21"/>
                <w:lang w:eastAsia="zh-CN"/>
              </w:rPr>
            </w:pPr>
            <w:r>
              <w:rPr>
                <w:rFonts w:hint="eastAsia" w:hAnsi="宋体"/>
                <w:sz w:val="21"/>
              </w:rPr>
              <w:t>账户名称：</w:t>
            </w:r>
            <w:r>
              <w:rPr>
                <w:rFonts w:hint="eastAsia" w:hAnsi="宋体"/>
                <w:sz w:val="21"/>
                <w:lang w:eastAsia="zh-CN"/>
              </w:rPr>
              <w:t>广西建设工程机电设备招标中心有限公司</w:t>
            </w:r>
          </w:p>
          <w:p>
            <w:pPr>
              <w:pStyle w:val="26"/>
              <w:shd w:val="clear" w:color="auto" w:fill="FFFFFF"/>
              <w:snapToGrid w:val="0"/>
              <w:spacing w:line="360" w:lineRule="auto"/>
              <w:rPr>
                <w:rFonts w:hint="eastAsia" w:hAnsi="宋体"/>
                <w:sz w:val="21"/>
              </w:rPr>
            </w:pPr>
            <w:r>
              <w:rPr>
                <w:rFonts w:hint="eastAsia" w:hAnsi="宋体"/>
                <w:sz w:val="21"/>
              </w:rPr>
              <w:t>开户银行：招商银行南宁分行营业部</w:t>
            </w:r>
          </w:p>
          <w:p>
            <w:pPr>
              <w:pStyle w:val="26"/>
              <w:shd w:val="clear" w:color="auto" w:fill="FFFFFF"/>
              <w:snapToGrid w:val="0"/>
              <w:spacing w:line="360" w:lineRule="auto"/>
              <w:rPr>
                <w:rFonts w:hAnsi="宋体"/>
                <w:b/>
                <w:bCs/>
                <w:szCs w:val="21"/>
              </w:rPr>
            </w:pPr>
            <w:r>
              <w:rPr>
                <w:rFonts w:hint="eastAsia" w:hAnsi="宋体"/>
                <w:sz w:val="21"/>
              </w:rPr>
              <w:t>银行账号：7719 0142 3310 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93" w:type="dxa"/>
            <w:tcBorders>
              <w:top w:val="single" w:color="auto" w:sz="4" w:space="0"/>
              <w:bottom w:val="single" w:color="auto" w:sz="4" w:space="0"/>
            </w:tcBorders>
            <w:vAlign w:val="center"/>
          </w:tcPr>
          <w:p>
            <w:pPr>
              <w:autoSpaceDE w:val="0"/>
              <w:autoSpaceDN w:val="0"/>
              <w:spacing w:line="360" w:lineRule="exact"/>
              <w:ind w:right="69" w:rightChars="33"/>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29</w:t>
            </w:r>
          </w:p>
        </w:tc>
        <w:tc>
          <w:tcPr>
            <w:tcW w:w="8813" w:type="dxa"/>
            <w:tcBorders>
              <w:top w:val="single" w:color="auto" w:sz="4" w:space="0"/>
              <w:bottom w:val="single" w:color="auto" w:sz="4" w:space="0"/>
              <w:right w:val="single" w:color="auto" w:sz="4" w:space="0"/>
            </w:tcBorders>
            <w:vAlign w:val="center"/>
          </w:tcPr>
          <w:p>
            <w:pPr>
              <w:spacing w:line="360" w:lineRule="auto"/>
              <w:rPr>
                <w:rFonts w:cs="黑体"/>
                <w:b/>
                <w:bCs/>
              </w:rPr>
            </w:pPr>
            <w:r>
              <w:rPr>
                <w:rFonts w:hint="eastAsia" w:ascii="宋体" w:hAnsi="宋体"/>
                <w:b/>
                <w:bCs/>
              </w:rPr>
              <w:t>付款周期</w:t>
            </w:r>
          </w:p>
          <w:p>
            <w:pPr>
              <w:spacing w:line="360" w:lineRule="auto"/>
              <w:ind w:firstLine="422" w:firstLineChars="200"/>
              <w:rPr>
                <w:rFonts w:ascii="宋体" w:hAnsi="宋体" w:cs="宋体"/>
              </w:rPr>
            </w:pPr>
            <w:r>
              <w:rPr>
                <w:rFonts w:hint="eastAsia" w:ascii="宋体" w:hAnsi="宋体" w:cs="宋体"/>
                <w:b/>
                <w:bCs/>
              </w:rPr>
              <w:t>预付款：</w:t>
            </w:r>
            <w:r>
              <w:rPr>
                <w:rFonts w:hint="eastAsia" w:ascii="宋体" w:hAnsi="宋体" w:cs="宋体"/>
              </w:rPr>
              <w:t>无。</w:t>
            </w:r>
          </w:p>
          <w:p>
            <w:pPr>
              <w:spacing w:line="360" w:lineRule="auto"/>
              <w:ind w:firstLine="422" w:firstLineChars="200"/>
              <w:jc w:val="left"/>
              <w:rPr>
                <w:rFonts w:ascii="宋体" w:hAnsi="宋体" w:cs="宋体"/>
              </w:rPr>
            </w:pPr>
            <w:r>
              <w:rPr>
                <w:rFonts w:hint="eastAsia" w:hAnsi="宋体" w:cs="宋体"/>
                <w:b/>
                <w:bCs/>
              </w:rPr>
              <w:t>进度款：</w:t>
            </w:r>
            <w:r>
              <w:rPr>
                <w:rFonts w:hint="eastAsia" w:ascii="宋体" w:hAnsi="宋体" w:cs="宋体"/>
              </w:rPr>
              <w:t>工程竣工验收合格后7日内工程款支付至合同价的80%；结算经发包人审定且发包人收到承包人开具的增值税发票后7日内工程款支付至结算总价的100%（在支付此笔工程款前，承包人向发包人对公帐户转入结算总价的3%作为工程质量保修金）；3%的工程质量保修金待工程质量保修期满，双方确认无质量返修问题后14天内由发包人无息一次性向承包人返还。</w:t>
            </w:r>
          </w:p>
          <w:p>
            <w:pPr>
              <w:spacing w:line="360" w:lineRule="auto"/>
              <w:ind w:firstLine="422" w:firstLineChars="200"/>
              <w:jc w:val="left"/>
              <w:rPr>
                <w:rFonts w:ascii="宋体" w:hAnsi="宋体"/>
                <w:b/>
                <w:bCs/>
              </w:rPr>
            </w:pPr>
          </w:p>
        </w:tc>
      </w:tr>
    </w:tbl>
    <w:p>
      <w:pPr>
        <w:jc w:val="center"/>
        <w:rPr>
          <w:rFonts w:asciiTheme="minorEastAsia" w:hAnsiTheme="minorEastAsia" w:eastAsiaTheme="minorEastAsia" w:cstheme="minorEastAsia"/>
          <w:b/>
          <w:bCs/>
          <w:sz w:val="36"/>
          <w:szCs w:val="36"/>
        </w:rPr>
      </w:pPr>
    </w:p>
    <w:p>
      <w:pPr>
        <w:pStyle w:val="61"/>
        <w:jc w:val="both"/>
        <w:rPr>
          <w:rFonts w:asciiTheme="minorEastAsia" w:hAnsiTheme="minorEastAsia" w:eastAsiaTheme="minorEastAsia" w:cstheme="minorEastAsia"/>
          <w:color w:val="auto"/>
          <w:sz w:val="36"/>
          <w:szCs w:val="36"/>
        </w:rPr>
      </w:pPr>
    </w:p>
    <w:p>
      <w:pPr>
        <w:jc w:val="center"/>
        <w:rPr>
          <w:rFonts w:asciiTheme="minorEastAsia" w:hAnsiTheme="minorEastAsia" w:eastAsiaTheme="minorEastAsia" w:cstheme="minorEastAsia"/>
          <w:b/>
          <w:bCs/>
          <w:sz w:val="36"/>
          <w:szCs w:val="36"/>
        </w:rPr>
      </w:pPr>
    </w:p>
    <w:p>
      <w:pPr>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磋商须知</w:t>
      </w:r>
    </w:p>
    <w:p>
      <w:pPr>
        <w:spacing w:line="360" w:lineRule="exact"/>
        <w:ind w:firstLine="211" w:firstLineChars="98"/>
        <w:jc w:val="center"/>
        <w:rPr>
          <w:rFonts w:asciiTheme="minorEastAsia" w:hAnsiTheme="minorEastAsia" w:eastAsiaTheme="minorEastAsia" w:cstheme="minorEastAsia"/>
          <w:b/>
          <w:bCs/>
          <w:spacing w:val="2"/>
        </w:rPr>
      </w:pPr>
      <w:r>
        <w:rPr>
          <w:rFonts w:hint="eastAsia" w:asciiTheme="minorEastAsia" w:hAnsiTheme="minorEastAsia" w:eastAsiaTheme="minorEastAsia" w:cstheme="minorEastAsia"/>
          <w:b/>
          <w:bCs/>
          <w:spacing w:val="2"/>
        </w:rPr>
        <w:t>一、总     则</w:t>
      </w:r>
    </w:p>
    <w:p>
      <w:pPr>
        <w:spacing w:line="360" w:lineRule="auto"/>
        <w:rPr>
          <w:rFonts w:asciiTheme="minorEastAsia" w:hAnsiTheme="minorEastAsia" w:eastAsiaTheme="minorEastAsia" w:cstheme="minorEastAsia"/>
          <w:b/>
          <w:bCs/>
          <w:spacing w:val="2"/>
        </w:rPr>
      </w:pPr>
    </w:p>
    <w:p>
      <w:pPr>
        <w:spacing w:line="360" w:lineRule="auto"/>
        <w:ind w:firstLine="422" w:firstLineChars="200"/>
        <w:rPr>
          <w:rFonts w:ascii="黑体" w:hAnsi="黑体" w:eastAsia="黑体" w:cs="宋体"/>
          <w:b/>
          <w:bCs/>
        </w:rPr>
      </w:pPr>
      <w:r>
        <w:rPr>
          <w:rFonts w:hint="eastAsia" w:ascii="黑体" w:hAnsi="黑体" w:eastAsia="黑体" w:cs="宋体"/>
          <w:b/>
          <w:bCs/>
        </w:rPr>
        <w:t>1.适用范围</w:t>
      </w:r>
    </w:p>
    <w:p>
      <w:pPr>
        <w:spacing w:line="360" w:lineRule="auto"/>
        <w:ind w:firstLine="420" w:firstLineChars="200"/>
        <w:rPr>
          <w:rFonts w:ascii="宋体" w:hAnsi="宋体" w:cs="宋体"/>
        </w:rPr>
      </w:pPr>
      <w:r>
        <w:rPr>
          <w:rFonts w:hint="eastAsia" w:ascii="宋体" w:hAnsi="宋体" w:cs="宋体"/>
        </w:rPr>
        <w:t>1.1本项目采购人、采购代理机构、供应商、磋商小组的相关行为均受《中华人民共和国政府采购法》、《中华人民共和国政府采购法实施条例》、</w:t>
      </w:r>
      <w:r>
        <w:rPr>
          <w:rFonts w:hint="eastAsia" w:ascii="宋体" w:hAnsi="宋体"/>
        </w:rPr>
        <w:t>《政府采购竞争性磋商采购方式管理暂行办法》、《财政部关于政府采购竞争性磋商采购方式管理暂行办法有关问题的补充通知》</w:t>
      </w:r>
      <w:r>
        <w:rPr>
          <w:rFonts w:hint="eastAsia" w:ascii="宋体" w:hAnsi="宋体" w:cs="宋体"/>
        </w:rPr>
        <w:t>及本项目本级和上级财政部门政府采购有关规定的约束和保护。</w:t>
      </w:r>
    </w:p>
    <w:p>
      <w:pPr>
        <w:spacing w:line="360" w:lineRule="auto"/>
        <w:ind w:firstLine="420" w:firstLineChars="200"/>
        <w:rPr>
          <w:rFonts w:ascii="宋体" w:hAnsi="宋体" w:cs="宋体"/>
        </w:rPr>
      </w:pPr>
      <w:r>
        <w:rPr>
          <w:rFonts w:hint="eastAsia" w:ascii="宋体" w:hAnsi="宋体" w:cs="宋体"/>
        </w:rPr>
        <w:t>1.2</w:t>
      </w:r>
      <w:r>
        <w:rPr>
          <w:rFonts w:hint="eastAsia" w:ascii="宋体" w:hAnsi="宋体" w:cs="宋体"/>
          <w:spacing w:val="-6"/>
        </w:rPr>
        <w:t>本竞争性磋商文件（以下简称磋商文件）适用于本项目的所有采购程序和环节（法律、法规另有规定的，从其规定）。</w:t>
      </w:r>
    </w:p>
    <w:p>
      <w:pPr>
        <w:spacing w:line="360" w:lineRule="auto"/>
        <w:ind w:firstLine="422" w:firstLineChars="200"/>
        <w:rPr>
          <w:rFonts w:ascii="黑体" w:hAnsi="黑体" w:eastAsia="黑体" w:cs="宋体"/>
          <w:b/>
          <w:bCs/>
        </w:rPr>
      </w:pPr>
      <w:r>
        <w:rPr>
          <w:rFonts w:hint="eastAsia" w:ascii="黑体" w:hAnsi="黑体" w:eastAsia="黑体" w:cs="宋体"/>
          <w:b/>
          <w:bCs/>
        </w:rPr>
        <w:t>2.定义</w:t>
      </w:r>
    </w:p>
    <w:p>
      <w:pPr>
        <w:spacing w:line="360" w:lineRule="auto"/>
        <w:ind w:firstLine="420" w:firstLineChars="200"/>
        <w:rPr>
          <w:rFonts w:ascii="宋体" w:hAnsi="宋体" w:cs="宋体"/>
        </w:rPr>
      </w:pPr>
      <w:r>
        <w:rPr>
          <w:rFonts w:hint="eastAsia" w:ascii="宋体" w:hAnsi="宋体" w:cs="宋体"/>
        </w:rPr>
        <w:t>2.1“采购人”是指依法进行政府采购的国家机关、事业单位、团体组织。</w:t>
      </w:r>
    </w:p>
    <w:p>
      <w:pPr>
        <w:spacing w:line="360" w:lineRule="auto"/>
        <w:ind w:firstLine="420" w:firstLineChars="200"/>
        <w:rPr>
          <w:rFonts w:ascii="宋体" w:hAnsi="宋体" w:cs="宋体"/>
          <w:u w:val="single"/>
        </w:rPr>
      </w:pPr>
      <w:r>
        <w:rPr>
          <w:rFonts w:hint="eastAsia" w:ascii="宋体" w:hAnsi="宋体" w:cs="宋体"/>
        </w:rPr>
        <w:t>2.2“采购代理机构”是指政府采购集中采购机构和集中采购机构以外的采购代理机构。</w:t>
      </w:r>
    </w:p>
    <w:p>
      <w:pPr>
        <w:spacing w:line="360" w:lineRule="auto"/>
        <w:ind w:firstLine="420" w:firstLineChars="200"/>
        <w:rPr>
          <w:rFonts w:ascii="宋体" w:hAnsi="宋体" w:cs="宋体"/>
        </w:rPr>
      </w:pPr>
      <w:r>
        <w:rPr>
          <w:rFonts w:hint="eastAsia" w:ascii="宋体" w:hAnsi="宋体" w:cs="宋体"/>
        </w:rPr>
        <w:t>2.3“供应商”是指向采购人提供货物、工程或者服务的法人、其他组织或者自然人。</w:t>
      </w:r>
    </w:p>
    <w:p>
      <w:pPr>
        <w:spacing w:line="360" w:lineRule="auto"/>
        <w:ind w:firstLine="420" w:firstLineChars="200"/>
        <w:rPr>
          <w:rFonts w:ascii="宋体" w:hAnsi="宋体" w:cs="宋体"/>
        </w:rPr>
      </w:pPr>
      <w:r>
        <w:rPr>
          <w:rFonts w:hint="eastAsia" w:ascii="宋体" w:hAnsi="宋体"/>
        </w:rPr>
        <w:t>2.4“服务”是指除货物和工程以外的其他政府采购对象。</w:t>
      </w:r>
    </w:p>
    <w:p>
      <w:pPr>
        <w:spacing w:line="360" w:lineRule="auto"/>
        <w:ind w:firstLine="420" w:firstLineChars="200"/>
        <w:rPr>
          <w:rFonts w:ascii="宋体" w:hAnsi="宋体" w:cs="宋体"/>
        </w:rPr>
      </w:pPr>
      <w:r>
        <w:rPr>
          <w:rFonts w:hint="eastAsia" w:ascii="宋体" w:hAnsi="宋体" w:cs="宋体"/>
        </w:rPr>
        <w:t>2.</w:t>
      </w:r>
      <w:r>
        <w:rPr>
          <w:rFonts w:ascii="宋体" w:hAnsi="宋体" w:cs="宋体"/>
        </w:rPr>
        <w:t>5</w:t>
      </w:r>
      <w:r>
        <w:rPr>
          <w:rFonts w:hint="eastAsia" w:ascii="宋体" w:hAnsi="宋体" w:cs="宋体"/>
        </w:rPr>
        <w:t>“竞标”是指供应商按照本项目竞争性磋商公告或者邀请函规定的方式获取磋商文件、提交响应文件并希望获得标的的行为。</w:t>
      </w:r>
    </w:p>
    <w:p>
      <w:pPr>
        <w:spacing w:line="360" w:lineRule="auto"/>
        <w:ind w:firstLine="420" w:firstLineChars="200"/>
        <w:rPr>
          <w:rFonts w:ascii="宋体" w:hAnsi="宋体" w:cs="宋体"/>
        </w:rPr>
      </w:pPr>
      <w:r>
        <w:rPr>
          <w:rFonts w:hint="eastAsia" w:ascii="宋体" w:hAnsi="宋体" w:cs="宋体"/>
        </w:rPr>
        <w:t>2.</w:t>
      </w:r>
      <w:r>
        <w:rPr>
          <w:rFonts w:ascii="宋体" w:hAnsi="宋体" w:cs="宋体"/>
        </w:rPr>
        <w:t>6</w:t>
      </w:r>
      <w:r>
        <w:rPr>
          <w:rFonts w:hint="eastAsia" w:ascii="宋体" w:hAnsi="宋体" w:cs="宋体"/>
        </w:rPr>
        <w:t>“响应文件”</w:t>
      </w:r>
      <w:r>
        <w:rPr>
          <w:rFonts w:hint="eastAsia" w:ascii="宋体" w:hAnsi="宋体" w:cs="宋体"/>
          <w:spacing w:val="-6"/>
        </w:rPr>
        <w:t>是指：供应商根据本磋商文件要求，编制包含资格证明、报价商务技术等所有内容的文件。</w:t>
      </w:r>
    </w:p>
    <w:p>
      <w:pPr>
        <w:spacing w:line="360" w:lineRule="auto"/>
        <w:ind w:firstLine="420" w:firstLineChars="200"/>
        <w:rPr>
          <w:rFonts w:ascii="宋体" w:hAnsi="宋体" w:cs="宋体"/>
        </w:rPr>
      </w:pPr>
      <w:r>
        <w:rPr>
          <w:rFonts w:hint="eastAsia" w:ascii="宋体" w:hAnsi="宋体" w:cs="宋体"/>
        </w:rPr>
        <w:t>2.</w:t>
      </w:r>
      <w:r>
        <w:rPr>
          <w:rFonts w:ascii="宋体" w:hAnsi="宋体" w:cs="宋体"/>
        </w:rPr>
        <w:t>7</w:t>
      </w:r>
      <w:r>
        <w:rPr>
          <w:rFonts w:hint="eastAsia" w:ascii="宋体" w:hAnsi="宋体" w:cs="宋体"/>
        </w:rPr>
        <w:t>“实质性要求”是指磋商文件中已经指明不满足则响应文件按无效响应处理的条款，或者不能负偏离的条款，或者带“▲”的条款。</w:t>
      </w:r>
    </w:p>
    <w:p>
      <w:pPr>
        <w:spacing w:line="360" w:lineRule="auto"/>
        <w:ind w:firstLine="420" w:firstLineChars="200"/>
        <w:rPr>
          <w:rFonts w:ascii="宋体" w:hAnsi="宋体" w:cs="宋体"/>
        </w:rPr>
      </w:pPr>
      <w:r>
        <w:rPr>
          <w:rFonts w:hint="eastAsia" w:ascii="宋体" w:hAnsi="宋体" w:cs="宋体"/>
        </w:rPr>
        <w:t>2.</w:t>
      </w:r>
      <w:r>
        <w:rPr>
          <w:rFonts w:ascii="宋体" w:hAnsi="宋体" w:cs="宋体"/>
        </w:rPr>
        <w:t>8</w:t>
      </w:r>
      <w:r>
        <w:rPr>
          <w:rFonts w:hint="eastAsia" w:ascii="宋体" w:hAnsi="宋体" w:cs="宋体"/>
        </w:rPr>
        <w:t>“正偏离”，是指响应文件对磋商文件中有关条款作出的响应优于条款要求并有利于采购人的情形。</w:t>
      </w:r>
    </w:p>
    <w:p>
      <w:pPr>
        <w:spacing w:line="360" w:lineRule="auto"/>
        <w:ind w:firstLine="420" w:firstLineChars="200"/>
        <w:rPr>
          <w:rFonts w:ascii="宋体" w:hAnsi="宋体" w:cs="宋体"/>
        </w:rPr>
      </w:pPr>
      <w:r>
        <w:rPr>
          <w:rFonts w:ascii="宋体" w:hAnsi="宋体" w:cs="宋体"/>
        </w:rPr>
        <w:t>2.9</w:t>
      </w:r>
      <w:r>
        <w:rPr>
          <w:rFonts w:hint="eastAsia" w:ascii="宋体" w:hAnsi="宋体" w:cs="宋体"/>
        </w:rPr>
        <w:t>“负偏离”，是指响应文件对磋商文件中有关条款作出的响应不满足条款要求，导致采购人要求不能得到满足的情形。</w:t>
      </w:r>
    </w:p>
    <w:p>
      <w:pPr>
        <w:spacing w:line="360" w:lineRule="auto"/>
        <w:ind w:firstLine="420" w:firstLineChars="200"/>
        <w:rPr>
          <w:rFonts w:ascii="宋体" w:hAnsi="宋体" w:cs="宋体"/>
        </w:rPr>
      </w:pPr>
      <w:r>
        <w:rPr>
          <w:rFonts w:hint="eastAsia" w:ascii="宋体" w:hAnsi="宋体" w:cs="宋体"/>
        </w:rPr>
        <w:t>2.10“允许负偏离的条款”是指采购需求中的不属于“实质性要求”的条款。</w:t>
      </w:r>
    </w:p>
    <w:p>
      <w:pPr>
        <w:spacing w:line="360" w:lineRule="auto"/>
        <w:ind w:firstLine="420" w:firstLineChars="200"/>
        <w:rPr>
          <w:rFonts w:ascii="宋体" w:hAnsi="宋体" w:cs="宋体"/>
        </w:rPr>
      </w:pPr>
      <w:r>
        <w:rPr>
          <w:rFonts w:hint="eastAsia" w:ascii="宋体" w:hAnsi="宋体" w:cs="宋体"/>
        </w:rPr>
        <w:t>2.</w:t>
      </w:r>
      <w:r>
        <w:rPr>
          <w:rFonts w:ascii="宋体" w:hAnsi="宋体" w:cs="宋体"/>
        </w:rPr>
        <w:t>11</w:t>
      </w:r>
      <w:r>
        <w:rPr>
          <w:rFonts w:hint="eastAsia" w:ascii="宋体" w:hAnsi="宋体" w:cs="宋体"/>
        </w:rPr>
        <w:t>“书面形式”是指合同书、信件和数据电文（包括电报、电传、传真、电子数据交换和电子邮件）等可以有形地表现所载内容的形式。</w:t>
      </w:r>
    </w:p>
    <w:p>
      <w:pPr>
        <w:spacing w:line="360" w:lineRule="auto"/>
        <w:ind w:firstLine="420" w:firstLineChars="200"/>
        <w:rPr>
          <w:rFonts w:ascii="宋体" w:hAnsi="宋体" w:cs="宋体"/>
        </w:rPr>
      </w:pPr>
      <w:r>
        <w:rPr>
          <w:rFonts w:hint="eastAsia" w:ascii="宋体" w:hAnsi="宋体" w:cs="宋体"/>
        </w:rPr>
        <w:t>2.</w:t>
      </w:r>
      <w:r>
        <w:rPr>
          <w:rFonts w:ascii="宋体" w:hAnsi="宋体" w:cs="宋体"/>
        </w:rPr>
        <w:t>12</w:t>
      </w:r>
      <w:r>
        <w:rPr>
          <w:rFonts w:hint="eastAsia" w:ascii="宋体" w:hAnsi="宋体" w:cs="宋体"/>
        </w:rPr>
        <w:t>“首次报价”是指供应商提交的首次响应文件中的报价。</w:t>
      </w:r>
    </w:p>
    <w:p>
      <w:pPr>
        <w:spacing w:line="360" w:lineRule="auto"/>
        <w:ind w:firstLine="420" w:firstLineChars="200"/>
        <w:rPr>
          <w:rFonts w:ascii="宋体" w:hAnsi="宋体" w:cs="宋体"/>
        </w:rPr>
      </w:pPr>
      <w:r>
        <w:rPr>
          <w:rFonts w:hint="eastAsia" w:ascii="宋体" w:hAnsi="宋体" w:cs="宋体"/>
        </w:rPr>
        <w:t>2.1</w:t>
      </w:r>
      <w:r>
        <w:rPr>
          <w:rFonts w:ascii="宋体" w:hAnsi="宋体" w:cs="宋体"/>
        </w:rPr>
        <w:t>3</w:t>
      </w:r>
      <w:r>
        <w:rPr>
          <w:rFonts w:hint="eastAsia" w:ascii="宋体" w:hAnsi="宋体" w:cs="宋体"/>
        </w:rPr>
        <w:t>“评审报价”是指供应商提交的最后报价并经修正（如有）和政策功能价格扣除（如有）后的价格。</w:t>
      </w:r>
    </w:p>
    <w:p>
      <w:pPr>
        <w:spacing w:line="360" w:lineRule="auto"/>
        <w:ind w:firstLine="422" w:firstLineChars="200"/>
        <w:rPr>
          <w:rFonts w:ascii="黑体" w:hAnsi="黑体" w:eastAsia="黑体" w:cs="宋体"/>
          <w:b/>
          <w:bCs/>
        </w:rPr>
      </w:pPr>
      <w:r>
        <w:rPr>
          <w:rFonts w:hint="eastAsia" w:ascii="黑体" w:hAnsi="黑体" w:eastAsia="黑体" w:cs="宋体"/>
          <w:b/>
          <w:bCs/>
        </w:rPr>
        <w:t>3.供应商的资格条件</w:t>
      </w:r>
    </w:p>
    <w:p>
      <w:pPr>
        <w:spacing w:line="360" w:lineRule="auto"/>
        <w:ind w:firstLine="420" w:firstLineChars="200"/>
        <w:rPr>
          <w:rFonts w:ascii="宋体" w:hAnsi="宋体" w:cs="宋体"/>
        </w:rPr>
      </w:pPr>
      <w:r>
        <w:rPr>
          <w:rFonts w:hint="eastAsia" w:ascii="宋体" w:hAnsi="宋体" w:cs="宋体"/>
        </w:rPr>
        <w:t>供应商的资格条件详见“磋商须知前附表”。</w:t>
      </w:r>
    </w:p>
    <w:p>
      <w:pPr>
        <w:spacing w:line="360" w:lineRule="auto"/>
        <w:ind w:firstLine="422" w:firstLineChars="200"/>
        <w:rPr>
          <w:rFonts w:ascii="黑体" w:hAnsi="黑体" w:eastAsia="黑体" w:cs="宋体"/>
          <w:b/>
          <w:bCs/>
        </w:rPr>
      </w:pPr>
      <w:r>
        <w:rPr>
          <w:rFonts w:hint="eastAsia" w:ascii="黑体" w:hAnsi="黑体" w:eastAsia="黑体" w:cs="宋体"/>
          <w:b/>
          <w:bCs/>
        </w:rPr>
        <w:t>4.磋商费用</w:t>
      </w:r>
    </w:p>
    <w:p>
      <w:pPr>
        <w:spacing w:line="360" w:lineRule="auto"/>
        <w:ind w:firstLine="420" w:firstLineChars="200"/>
        <w:rPr>
          <w:rFonts w:ascii="宋体" w:hAnsi="宋体" w:cs="宋体"/>
        </w:rPr>
      </w:pPr>
      <w:r>
        <w:rPr>
          <w:rFonts w:hint="eastAsia" w:ascii="宋体" w:hAnsi="宋体" w:cs="宋体"/>
        </w:rPr>
        <w:t>供应商应承担参与本次采购活动有关的所有费用，包括但不限于勘查现场、编制和提交响应文件、参加磋商与应答、签订合同等，不论竞标结果如何，均应自行承担。</w:t>
      </w:r>
    </w:p>
    <w:p>
      <w:pPr>
        <w:spacing w:line="360" w:lineRule="auto"/>
        <w:ind w:firstLine="422" w:firstLineChars="200"/>
        <w:rPr>
          <w:rFonts w:ascii="黑体" w:hAnsi="黑体" w:eastAsia="黑体" w:cs="宋体"/>
          <w:b/>
          <w:bCs/>
        </w:rPr>
      </w:pPr>
      <w:r>
        <w:rPr>
          <w:rFonts w:hint="eastAsia" w:ascii="黑体" w:hAnsi="黑体" w:eastAsia="黑体" w:cs="宋体"/>
          <w:b/>
          <w:bCs/>
        </w:rPr>
        <w:t>5.联合体竞标</w:t>
      </w:r>
    </w:p>
    <w:p>
      <w:pPr>
        <w:spacing w:line="360" w:lineRule="auto"/>
        <w:ind w:firstLine="420" w:firstLineChars="200"/>
        <w:rPr>
          <w:rFonts w:ascii="宋体" w:hAnsi="宋体" w:cs="宋体"/>
        </w:rPr>
      </w:pPr>
      <w:r>
        <w:rPr>
          <w:rFonts w:hint="eastAsia" w:ascii="宋体" w:hAnsi="宋体" w:cs="宋体"/>
        </w:rPr>
        <w:t>5.1本项目是否接受联合体竞标，详见“磋商须知前附表”。</w:t>
      </w:r>
    </w:p>
    <w:p>
      <w:pPr>
        <w:spacing w:line="360" w:lineRule="auto"/>
        <w:ind w:firstLine="420" w:firstLineChars="200"/>
        <w:rPr>
          <w:rFonts w:ascii="宋体" w:hAnsi="宋体" w:cs="宋体"/>
        </w:rPr>
      </w:pPr>
      <w:r>
        <w:rPr>
          <w:rFonts w:hint="eastAsia" w:ascii="宋体" w:hAnsi="宋体" w:cs="宋体"/>
        </w:rPr>
        <w:t>5.2</w:t>
      </w:r>
      <w:r>
        <w:rPr>
          <w:rFonts w:hint="eastAsia" w:ascii="宋体" w:hAnsi="宋体"/>
        </w:rPr>
        <w:t>如接受联合体竞标，</w:t>
      </w:r>
      <w:r>
        <w:rPr>
          <w:rFonts w:hint="eastAsia" w:ascii="宋体" w:hAnsi="宋体" w:cs="宋体"/>
        </w:rPr>
        <w:t>联合体竞标要求详见“磋商须知前附表”。</w:t>
      </w:r>
    </w:p>
    <w:p>
      <w:pPr>
        <w:spacing w:line="360" w:lineRule="auto"/>
        <w:ind w:firstLine="420" w:firstLineChars="200"/>
        <w:rPr>
          <w:rFonts w:ascii="宋体" w:hAnsi="宋体"/>
          <w:bCs/>
        </w:rPr>
      </w:pPr>
      <w:r>
        <w:rPr>
          <w:rFonts w:hint="eastAsia" w:ascii="宋体" w:hAnsi="宋体" w:cs="宋体"/>
        </w:rPr>
        <w:t>5.3</w:t>
      </w:r>
      <w:r>
        <w:rPr>
          <w:rFonts w:hint="eastAsia" w:ascii="宋体" w:hAnsi="宋体"/>
          <w:bCs/>
        </w:rPr>
        <w:t>根据《政府采购促进中小企业发展暂行办法》（财库[2020]46号）</w:t>
      </w:r>
      <w:r>
        <w:rPr>
          <w:rFonts w:ascii="宋体" w:hAnsi="宋体"/>
          <w:bCs/>
        </w:rPr>
        <w:t>第九条</w:t>
      </w:r>
      <w:r>
        <w:rPr>
          <w:rFonts w:hint="eastAsia" w:ascii="宋体" w:hAnsi="宋体"/>
          <w:bCs/>
        </w:rPr>
        <w:t>规定，</w:t>
      </w:r>
      <w:r>
        <w:rPr>
          <w:rFonts w:ascii="宋体" w:hAnsi="宋体"/>
          <w:bCs/>
        </w:rPr>
        <w:t>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pPr>
        <w:spacing w:line="360" w:lineRule="auto"/>
        <w:ind w:firstLine="422" w:firstLineChars="200"/>
        <w:rPr>
          <w:rFonts w:ascii="黑体" w:hAnsi="黑体" w:eastAsia="黑体" w:cs="宋体"/>
          <w:b/>
          <w:bCs/>
        </w:rPr>
      </w:pPr>
      <w:r>
        <w:rPr>
          <w:rFonts w:hint="eastAsia" w:ascii="黑体" w:hAnsi="黑体" w:eastAsia="黑体" w:cs="宋体"/>
          <w:b/>
          <w:bCs/>
        </w:rPr>
        <w:t xml:space="preserve">6.转包与分包             </w:t>
      </w:r>
    </w:p>
    <w:p>
      <w:pPr>
        <w:spacing w:line="360" w:lineRule="auto"/>
        <w:ind w:firstLine="420" w:firstLineChars="200"/>
        <w:rPr>
          <w:rFonts w:ascii="宋体" w:hAnsi="宋体" w:cs="宋体"/>
        </w:rPr>
      </w:pPr>
      <w:r>
        <w:rPr>
          <w:rFonts w:hint="eastAsia" w:ascii="宋体" w:hAnsi="宋体" w:cs="宋体"/>
        </w:rPr>
        <w:t>6.1本项目是否允许分包详见“磋商须知前附表”，本项目不允许违法分包。</w:t>
      </w:r>
    </w:p>
    <w:p>
      <w:pPr>
        <w:spacing w:line="360" w:lineRule="auto"/>
        <w:ind w:firstLine="420" w:firstLineChars="200"/>
        <w:rPr>
          <w:rFonts w:ascii="宋体" w:hAnsi="宋体" w:cs="宋体"/>
        </w:rPr>
      </w:pPr>
      <w:r>
        <w:rPr>
          <w:rFonts w:hint="eastAsia" w:ascii="宋体" w:hAnsi="宋体" w:cs="宋体"/>
        </w:rPr>
        <w:t>6.2</w:t>
      </w:r>
      <w:r>
        <w:rPr>
          <w:rFonts w:hint="eastAsia" w:ascii="宋体" w:hAnsi="宋体"/>
          <w:bCs/>
        </w:rPr>
        <w:t>根据《政府采购促进中小企业发展暂行办法》（财库[2020]46号）</w:t>
      </w:r>
      <w:r>
        <w:rPr>
          <w:rFonts w:ascii="宋体" w:hAnsi="宋体"/>
          <w:bCs/>
        </w:rPr>
        <w:t>第九条</w:t>
      </w:r>
      <w:r>
        <w:rPr>
          <w:rFonts w:hint="eastAsia" w:ascii="宋体" w:hAnsi="宋体"/>
          <w:bCs/>
        </w:rPr>
        <w:t>规定，</w:t>
      </w:r>
      <w:r>
        <w:rPr>
          <w:rFonts w:ascii="宋体" w:hAnsi="宋体"/>
          <w:bCs/>
        </w:rPr>
        <w:t>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pPr>
        <w:spacing w:line="360" w:lineRule="auto"/>
        <w:ind w:firstLine="422" w:firstLineChars="200"/>
        <w:rPr>
          <w:rFonts w:ascii="黑体" w:hAnsi="黑体" w:eastAsia="黑体" w:cs="宋体"/>
          <w:b/>
          <w:bCs/>
        </w:rPr>
      </w:pPr>
      <w:bookmarkStart w:id="8" w:name="_Toc254970673"/>
      <w:bookmarkStart w:id="9" w:name="_Toc254970532"/>
      <w:r>
        <w:rPr>
          <w:rFonts w:hint="eastAsia" w:ascii="黑体" w:hAnsi="黑体" w:eastAsia="黑体" w:cs="宋体"/>
          <w:b/>
          <w:bCs/>
        </w:rPr>
        <w:t>7.特别说明</w:t>
      </w:r>
      <w:bookmarkEnd w:id="8"/>
      <w:bookmarkEnd w:id="9"/>
    </w:p>
    <w:p>
      <w:pPr>
        <w:spacing w:line="360" w:lineRule="auto"/>
        <w:ind w:firstLine="420" w:firstLineChars="200"/>
        <w:rPr>
          <w:rFonts w:ascii="宋体" w:hAnsi="宋体" w:cs="宋体"/>
        </w:rPr>
      </w:pPr>
      <w:bookmarkStart w:id="10" w:name="_8.1提供相同品牌产品且通过资格审查、符合性审查的不同投标人参加同一合"/>
      <w:bookmarkEnd w:id="10"/>
      <w:r>
        <w:rPr>
          <w:rFonts w:hint="eastAsia" w:ascii="宋体" w:hAnsi="宋体" w:cs="宋体"/>
        </w:rPr>
        <w:t>7.</w:t>
      </w:r>
      <w:r>
        <w:rPr>
          <w:rFonts w:ascii="宋体" w:hAnsi="宋体" w:cs="宋体"/>
        </w:rPr>
        <w:t>1</w:t>
      </w:r>
      <w:bookmarkStart w:id="11" w:name="_Hlk65832145"/>
      <w:r>
        <w:rPr>
          <w:rFonts w:hint="eastAsia" w:ascii="宋体" w:hAnsi="宋体"/>
        </w:rPr>
        <w:t>如果本磋商文件要求提供供应商或制造商的资格、信誉、荣誉、业绩与企业认证等材料的，资格、信誉、荣誉、业绩与企业认证等必须为供应商或者制造商所拥有或自身获得</w:t>
      </w:r>
      <w:r>
        <w:rPr>
          <w:rFonts w:hint="eastAsia" w:ascii="宋体" w:hAnsi="宋体" w:cs="宋体"/>
        </w:rPr>
        <w:t>。</w:t>
      </w:r>
    </w:p>
    <w:bookmarkEnd w:id="11"/>
    <w:p>
      <w:pPr>
        <w:spacing w:line="360" w:lineRule="auto"/>
        <w:ind w:firstLine="420" w:firstLineChars="200"/>
        <w:rPr>
          <w:rFonts w:ascii="宋体" w:hAnsi="宋体" w:cs="宋体"/>
        </w:rPr>
      </w:pPr>
      <w:r>
        <w:rPr>
          <w:rFonts w:hint="eastAsia" w:ascii="宋体" w:hAnsi="宋体" w:cs="宋体"/>
        </w:rPr>
        <w:t>7.</w:t>
      </w:r>
      <w:r>
        <w:rPr>
          <w:rFonts w:ascii="宋体" w:hAnsi="宋体" w:cs="宋体"/>
        </w:rPr>
        <w:t>2</w:t>
      </w:r>
      <w:r>
        <w:rPr>
          <w:rFonts w:hint="eastAsia" w:ascii="宋体" w:hAnsi="宋体" w:cs="宋体"/>
        </w:rPr>
        <w:t>供应商应仔细阅读磋商文件的所有内容，按照磋商文件的要求提交响应文件，并对所提供的全部资料的真实性承担法律责任。</w:t>
      </w:r>
    </w:p>
    <w:p>
      <w:pPr>
        <w:spacing w:line="360" w:lineRule="auto"/>
        <w:ind w:firstLine="420" w:firstLineChars="200"/>
        <w:rPr>
          <w:rFonts w:ascii="宋体" w:hAnsi="宋体" w:cs="宋体"/>
        </w:rPr>
      </w:pPr>
      <w:r>
        <w:rPr>
          <w:rFonts w:hint="eastAsia" w:ascii="宋体" w:hAnsi="宋体" w:cs="宋体"/>
        </w:rPr>
        <w:t>7.</w:t>
      </w:r>
      <w:r>
        <w:rPr>
          <w:rFonts w:ascii="宋体" w:hAnsi="宋体" w:cs="宋体"/>
        </w:rPr>
        <w:t>3</w:t>
      </w:r>
      <w:r>
        <w:rPr>
          <w:rFonts w:hint="eastAsia" w:ascii="宋体" w:hAnsi="宋体" w:cs="宋体"/>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ascii="宋体" w:hAnsi="宋体" w:cs="宋体"/>
        </w:rPr>
      </w:pPr>
      <w:r>
        <w:rPr>
          <w:rFonts w:hint="eastAsia" w:ascii="宋体" w:hAnsi="宋体" w:cs="宋体"/>
        </w:rPr>
        <w:t>7.</w:t>
      </w:r>
      <w:r>
        <w:rPr>
          <w:rFonts w:ascii="宋体" w:hAnsi="宋体" w:cs="宋体"/>
        </w:rPr>
        <w:t>4</w:t>
      </w:r>
      <w:r>
        <w:rPr>
          <w:rFonts w:hint="eastAsia" w:ascii="宋体" w:hAnsi="宋体" w:cs="宋体"/>
        </w:rPr>
        <w:t>在政府采购活动中，采购人员及相关人员与供应商有下列利害关系之一的，应当回避：</w:t>
      </w:r>
    </w:p>
    <w:p>
      <w:pPr>
        <w:spacing w:line="360" w:lineRule="auto"/>
        <w:ind w:firstLine="420" w:firstLineChars="200"/>
        <w:rPr>
          <w:rFonts w:ascii="宋体" w:hAnsi="宋体" w:cs="宋体"/>
        </w:rPr>
      </w:pPr>
      <w:r>
        <w:rPr>
          <w:rFonts w:hint="eastAsia" w:ascii="宋体" w:hAnsi="宋体" w:cs="宋体"/>
        </w:rPr>
        <w:t>（1）参加采购活动前3年内与供应商存在劳动关系；</w:t>
      </w:r>
    </w:p>
    <w:p>
      <w:pPr>
        <w:spacing w:line="360" w:lineRule="auto"/>
        <w:ind w:firstLine="420" w:firstLineChars="200"/>
        <w:rPr>
          <w:rFonts w:ascii="宋体" w:hAnsi="宋体" w:cs="宋体"/>
        </w:rPr>
      </w:pPr>
      <w:r>
        <w:rPr>
          <w:rFonts w:hint="eastAsia" w:ascii="宋体" w:hAnsi="宋体" w:cs="宋体"/>
        </w:rPr>
        <w:t>（2）参加采购活动前3年内担任供应商的董事、监事；</w:t>
      </w:r>
    </w:p>
    <w:p>
      <w:pPr>
        <w:spacing w:line="360" w:lineRule="auto"/>
        <w:ind w:firstLine="420" w:firstLineChars="200"/>
        <w:rPr>
          <w:rFonts w:ascii="宋体" w:hAnsi="宋体" w:cs="宋体"/>
        </w:rPr>
      </w:pPr>
      <w:r>
        <w:rPr>
          <w:rFonts w:hint="eastAsia" w:ascii="宋体" w:hAnsi="宋体" w:cs="宋体"/>
        </w:rPr>
        <w:t>（3）参加采购活动前3年内是供应商的控股股东或者实际控制人；</w:t>
      </w:r>
    </w:p>
    <w:p>
      <w:pPr>
        <w:spacing w:line="360" w:lineRule="auto"/>
        <w:ind w:firstLine="420" w:firstLineChars="200"/>
        <w:rPr>
          <w:rFonts w:ascii="宋体" w:hAnsi="宋体" w:cs="宋体"/>
        </w:rPr>
      </w:pPr>
      <w:r>
        <w:rPr>
          <w:rFonts w:hint="eastAsia" w:ascii="宋体" w:hAnsi="宋体" w:cs="宋体"/>
        </w:rPr>
        <w:t>（4）与供应商的法定代表人或者负责人有夫妻、直系血亲、三代以内旁系血亲或者近姻亲关系；</w:t>
      </w:r>
    </w:p>
    <w:p>
      <w:pPr>
        <w:spacing w:line="360" w:lineRule="auto"/>
        <w:ind w:firstLine="420" w:firstLineChars="200"/>
        <w:rPr>
          <w:rFonts w:ascii="宋体" w:hAnsi="宋体" w:cs="宋体"/>
        </w:rPr>
      </w:pPr>
      <w:r>
        <w:rPr>
          <w:rFonts w:hint="eastAsia" w:ascii="宋体" w:hAnsi="宋体" w:cs="宋体"/>
        </w:rPr>
        <w:t>（5）与供应商有其他可能影响政府采购活动公平、公正进行的关系。</w:t>
      </w:r>
    </w:p>
    <w:p>
      <w:pPr>
        <w:spacing w:line="360" w:lineRule="auto"/>
        <w:ind w:firstLine="420" w:firstLineChars="200"/>
        <w:rPr>
          <w:rFonts w:ascii="宋体" w:hAnsi="宋体" w:cs="宋体"/>
        </w:rPr>
      </w:pPr>
      <w:r>
        <w:rPr>
          <w:rFonts w:hint="eastAsia" w:ascii="宋体" w:hAnsi="宋体" w:cs="宋体"/>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cs="宋体"/>
        </w:rPr>
      </w:pPr>
      <w:r>
        <w:rPr>
          <w:rFonts w:hint="eastAsia" w:ascii="宋体" w:hAnsi="宋体" w:cs="宋体"/>
        </w:rPr>
        <w:t>7.</w:t>
      </w:r>
      <w:r>
        <w:rPr>
          <w:rFonts w:ascii="宋体" w:hAnsi="宋体" w:cs="宋体"/>
        </w:rPr>
        <w:t>5</w:t>
      </w:r>
      <w:r>
        <w:rPr>
          <w:rFonts w:hint="eastAsia" w:ascii="宋体" w:hAnsi="宋体" w:cs="宋体"/>
        </w:rPr>
        <w:t>有下列情形之一的视为供应商相互串通竞标，响应文件将被视为无效：</w:t>
      </w:r>
    </w:p>
    <w:p>
      <w:pPr>
        <w:spacing w:line="360" w:lineRule="auto"/>
        <w:ind w:firstLine="420" w:firstLineChars="200"/>
        <w:rPr>
          <w:rFonts w:ascii="宋体" w:hAnsi="宋体" w:cs="宋体"/>
        </w:rPr>
      </w:pPr>
      <w:r>
        <w:rPr>
          <w:rFonts w:hint="eastAsia" w:ascii="宋体" w:hAnsi="宋体" w:cs="宋体"/>
        </w:rPr>
        <w:t xml:space="preserve">（1）不同供应商的响应文件由同一单位或者个人编制；或者不同供应商报名的IP地址一致的；或者编制响应文件硬件设备CPU编号、硬盘编号、网卡地址一致的情况； </w:t>
      </w:r>
    </w:p>
    <w:p>
      <w:pPr>
        <w:spacing w:line="360" w:lineRule="auto"/>
        <w:ind w:firstLine="420" w:firstLineChars="200"/>
        <w:rPr>
          <w:rFonts w:ascii="宋体" w:hAnsi="宋体" w:cs="宋体"/>
        </w:rPr>
      </w:pPr>
      <w:r>
        <w:rPr>
          <w:rFonts w:hint="eastAsia" w:ascii="宋体" w:hAnsi="宋体" w:cs="宋体"/>
        </w:rPr>
        <w:t>（2）不同供应商委托同一单位或者个人办理竞标事宜；</w:t>
      </w:r>
    </w:p>
    <w:p>
      <w:pPr>
        <w:spacing w:line="360" w:lineRule="auto"/>
        <w:ind w:firstLine="420" w:firstLineChars="200"/>
        <w:rPr>
          <w:rFonts w:ascii="宋体" w:hAnsi="宋体" w:cs="宋体"/>
        </w:rPr>
      </w:pPr>
      <w:r>
        <w:rPr>
          <w:rFonts w:hint="eastAsia" w:ascii="宋体" w:hAnsi="宋体" w:cs="宋体"/>
        </w:rPr>
        <w:t>（3）不同的供应商的响应文件载明的项目管理员为同一个人；</w:t>
      </w:r>
    </w:p>
    <w:p>
      <w:pPr>
        <w:spacing w:line="360" w:lineRule="auto"/>
        <w:ind w:firstLine="420" w:firstLineChars="200"/>
        <w:rPr>
          <w:rFonts w:ascii="宋体" w:hAnsi="宋体" w:cs="宋体"/>
        </w:rPr>
      </w:pPr>
      <w:r>
        <w:rPr>
          <w:rFonts w:hint="eastAsia" w:ascii="宋体" w:hAnsi="宋体" w:cs="宋体"/>
        </w:rPr>
        <w:t>（4）不同供应商的响应文件异常一致或者报价呈规律性差异；</w:t>
      </w:r>
    </w:p>
    <w:p>
      <w:pPr>
        <w:spacing w:line="360" w:lineRule="auto"/>
        <w:ind w:firstLine="420" w:firstLineChars="200"/>
        <w:rPr>
          <w:rFonts w:ascii="宋体" w:hAnsi="宋体" w:cs="宋体"/>
        </w:rPr>
      </w:pPr>
      <w:r>
        <w:rPr>
          <w:rFonts w:hint="eastAsia" w:ascii="宋体" w:hAnsi="宋体" w:cs="宋体"/>
        </w:rPr>
        <w:t>（5）不同供应商的响应文件相互混装；</w:t>
      </w:r>
    </w:p>
    <w:p>
      <w:pPr>
        <w:tabs>
          <w:tab w:val="left" w:pos="6931"/>
        </w:tabs>
        <w:spacing w:line="360" w:lineRule="auto"/>
        <w:ind w:firstLine="420" w:firstLineChars="200"/>
        <w:rPr>
          <w:rFonts w:ascii="宋体" w:hAnsi="宋体" w:cs="宋体"/>
        </w:rPr>
      </w:pPr>
      <w:r>
        <w:rPr>
          <w:rFonts w:hint="eastAsia" w:ascii="宋体" w:hAnsi="宋体" w:cs="宋体"/>
        </w:rPr>
        <w:t>（6）不同供应商的磋商保证金从同一单位或者个人账户转出。</w:t>
      </w:r>
      <w:r>
        <w:rPr>
          <w:rFonts w:ascii="宋体" w:hAnsi="宋体" w:cs="宋体"/>
        </w:rPr>
        <w:tab/>
      </w:r>
    </w:p>
    <w:p>
      <w:pPr>
        <w:spacing w:line="360" w:lineRule="auto"/>
        <w:ind w:firstLine="420" w:firstLineChars="200"/>
        <w:rPr>
          <w:rFonts w:ascii="宋体" w:hAnsi="宋体" w:cs="宋体"/>
        </w:rPr>
      </w:pPr>
      <w:r>
        <w:rPr>
          <w:rFonts w:hint="eastAsia" w:ascii="宋体" w:hAnsi="宋体" w:cs="宋体"/>
        </w:rPr>
        <w:t>7.</w:t>
      </w:r>
      <w:r>
        <w:rPr>
          <w:rFonts w:ascii="宋体" w:hAnsi="宋体" w:cs="宋体"/>
        </w:rPr>
        <w:t>6</w:t>
      </w:r>
      <w:r>
        <w:rPr>
          <w:rFonts w:hint="eastAsia" w:ascii="宋体" w:hAnsi="宋体" w:cs="宋体"/>
        </w:rPr>
        <w:t>供应商有下列情形之一的，属于恶意串通行为，将报同级监督管理部门：</w:t>
      </w:r>
    </w:p>
    <w:p>
      <w:pPr>
        <w:spacing w:line="360" w:lineRule="auto"/>
        <w:ind w:firstLine="420" w:firstLineChars="200"/>
        <w:rPr>
          <w:rFonts w:ascii="宋体" w:hAnsi="宋体" w:cs="宋体"/>
        </w:rPr>
      </w:pPr>
      <w:r>
        <w:rPr>
          <w:rFonts w:hint="eastAsia" w:ascii="宋体" w:hAnsi="宋体" w:cs="宋体"/>
        </w:rPr>
        <w:t>（1）供应商直接或者间接从采购人或者采购代理机构处获得其他供应商的相关信息并修改其响应文件；</w:t>
      </w:r>
    </w:p>
    <w:p>
      <w:pPr>
        <w:spacing w:line="360" w:lineRule="auto"/>
        <w:ind w:firstLine="420" w:firstLineChars="200"/>
        <w:rPr>
          <w:rFonts w:ascii="宋体" w:hAnsi="宋体" w:cs="宋体"/>
        </w:rPr>
      </w:pPr>
      <w:r>
        <w:rPr>
          <w:rFonts w:hint="eastAsia" w:ascii="宋体" w:hAnsi="宋体" w:cs="宋体"/>
        </w:rPr>
        <w:t>（2）供应商按照采购人或者采购代理机构的授意撤换、修改响应文件；</w:t>
      </w:r>
    </w:p>
    <w:p>
      <w:pPr>
        <w:spacing w:line="360" w:lineRule="auto"/>
        <w:ind w:firstLine="420" w:firstLineChars="200"/>
        <w:rPr>
          <w:rFonts w:ascii="宋体" w:hAnsi="宋体" w:cs="宋体"/>
        </w:rPr>
      </w:pPr>
      <w:r>
        <w:rPr>
          <w:rFonts w:hint="eastAsia" w:ascii="宋体" w:hAnsi="宋体" w:cs="宋体"/>
        </w:rPr>
        <w:t>（3）供应商之间协商报价、技术方案等响应文件或者响应文件的实质性内容；</w:t>
      </w:r>
    </w:p>
    <w:p>
      <w:pPr>
        <w:spacing w:line="360" w:lineRule="auto"/>
        <w:ind w:firstLine="396" w:firstLineChars="200"/>
        <w:rPr>
          <w:rFonts w:ascii="宋体" w:hAnsi="宋体" w:cs="宋体"/>
          <w:spacing w:val="-6"/>
        </w:rPr>
      </w:pPr>
      <w:r>
        <w:rPr>
          <w:rFonts w:hint="eastAsia" w:ascii="宋体" w:hAnsi="宋体" w:cs="宋体"/>
          <w:spacing w:val="-6"/>
        </w:rPr>
        <w:t>（4）属于同一集团、协会、商会等组织成员的供应商按照该组织要求协同参加政府采购活动；</w:t>
      </w:r>
    </w:p>
    <w:p>
      <w:pPr>
        <w:spacing w:line="360" w:lineRule="auto"/>
        <w:ind w:firstLine="420" w:firstLineChars="200"/>
        <w:rPr>
          <w:rFonts w:ascii="宋体" w:hAnsi="宋体" w:cs="宋体"/>
        </w:rPr>
      </w:pPr>
      <w:r>
        <w:rPr>
          <w:rFonts w:hint="eastAsia" w:ascii="宋体" w:hAnsi="宋体" w:cs="宋体"/>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ascii="宋体" w:hAnsi="宋体" w:cs="宋体"/>
        </w:rPr>
      </w:pPr>
      <w:r>
        <w:rPr>
          <w:rFonts w:hint="eastAsia" w:ascii="宋体" w:hAnsi="宋体" w:cs="宋体"/>
        </w:rPr>
        <w:t>（6）供应商之间商定部分供应商放弃参加政府采购活动或者放弃成交；</w:t>
      </w:r>
    </w:p>
    <w:p>
      <w:pPr>
        <w:pStyle w:val="26"/>
        <w:spacing w:line="360" w:lineRule="auto"/>
        <w:ind w:firstLine="420"/>
        <w:rPr>
          <w:rFonts w:asciiTheme="minorEastAsia" w:hAnsiTheme="minorEastAsia" w:eastAsiaTheme="minorEastAsia" w:cstheme="minorEastAsia"/>
          <w:sz w:val="21"/>
          <w:szCs w:val="21"/>
        </w:rPr>
      </w:pPr>
      <w:r>
        <w:rPr>
          <w:rFonts w:hint="eastAsia" w:hAnsi="宋体"/>
          <w:szCs w:val="21"/>
        </w:rPr>
        <w:t>（7）供应商与采购人或者采购代理机构之间、供应商相互之间，为谋求特定供应商成交或者排斥其他供应商的其他串通行为。</w:t>
      </w:r>
    </w:p>
    <w:p>
      <w:pPr>
        <w:spacing w:line="360" w:lineRule="auto"/>
        <w:jc w:val="center"/>
        <w:rPr>
          <w:rFonts w:asciiTheme="minorEastAsia" w:hAnsiTheme="minorEastAsia" w:eastAsiaTheme="minorEastAsia" w:cstheme="minorEastAsia"/>
          <w:b/>
          <w:bCs/>
          <w:spacing w:val="2"/>
        </w:rPr>
      </w:pPr>
      <w:r>
        <w:rPr>
          <w:rFonts w:hint="eastAsia" w:asciiTheme="minorEastAsia" w:hAnsiTheme="minorEastAsia" w:eastAsiaTheme="minorEastAsia" w:cstheme="minorEastAsia"/>
          <w:b/>
          <w:bCs/>
          <w:spacing w:val="2"/>
        </w:rPr>
        <w:t>二、竞争性磋商采购文件（简称磋商文件）</w:t>
      </w:r>
    </w:p>
    <w:p>
      <w:pPr>
        <w:spacing w:line="360" w:lineRule="auto"/>
        <w:rPr>
          <w:rFonts w:asciiTheme="minorEastAsia" w:hAnsiTheme="minorEastAsia" w:eastAsiaTheme="minorEastAsia" w:cstheme="minorEastAsia"/>
          <w:b/>
          <w:bCs/>
          <w:spacing w:val="2"/>
        </w:rPr>
      </w:pPr>
      <w:r>
        <w:rPr>
          <w:rFonts w:hint="eastAsia" w:asciiTheme="minorEastAsia" w:hAnsiTheme="minorEastAsia" w:eastAsiaTheme="minorEastAsia" w:cstheme="minorEastAsia"/>
          <w:b/>
          <w:bCs/>
          <w:spacing w:val="2"/>
        </w:rPr>
        <w:t>8．竞争性磋商采购文件的组成</w:t>
      </w:r>
    </w:p>
    <w:p>
      <w:pPr>
        <w:spacing w:line="360" w:lineRule="auto"/>
        <w:ind w:firstLine="428"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第一章 竞争性磋商公告</w:t>
      </w:r>
    </w:p>
    <w:p>
      <w:pPr>
        <w:spacing w:line="360" w:lineRule="auto"/>
        <w:ind w:firstLine="428" w:firstLineChars="200"/>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第二章 磋商须知前附表及磋商须知</w:t>
      </w:r>
    </w:p>
    <w:p>
      <w:pPr>
        <w:spacing w:line="360" w:lineRule="auto"/>
        <w:ind w:firstLine="417" w:firstLineChars="195"/>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 xml:space="preserve">第三章 </w:t>
      </w:r>
      <w:r>
        <w:rPr>
          <w:rFonts w:hint="eastAsia" w:asciiTheme="minorEastAsia" w:hAnsiTheme="minorEastAsia" w:eastAsiaTheme="minorEastAsia" w:cstheme="minorEastAsia"/>
        </w:rPr>
        <w:t>技术规范</w:t>
      </w:r>
    </w:p>
    <w:p>
      <w:pPr>
        <w:spacing w:line="360" w:lineRule="auto"/>
        <w:ind w:firstLine="417" w:firstLineChars="195"/>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第四章 评审程序、评审方法和评审标准</w:t>
      </w:r>
    </w:p>
    <w:p>
      <w:pPr>
        <w:spacing w:line="360" w:lineRule="auto"/>
        <w:ind w:firstLine="417" w:firstLineChars="195"/>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第五章 响应文件格式</w:t>
      </w:r>
    </w:p>
    <w:p>
      <w:pPr>
        <w:spacing w:line="360" w:lineRule="auto"/>
        <w:ind w:firstLine="419" w:firstLineChars="196"/>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 xml:space="preserve">第六章 二次报价格式 </w:t>
      </w:r>
    </w:p>
    <w:p>
      <w:pPr>
        <w:spacing w:line="360" w:lineRule="auto"/>
        <w:ind w:firstLine="419" w:firstLineChars="196"/>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第七章 合同书格式</w:t>
      </w:r>
    </w:p>
    <w:p>
      <w:pPr>
        <w:spacing w:line="360" w:lineRule="auto"/>
        <w:ind w:firstLine="419" w:firstLineChars="196"/>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第八章 质疑、投诉材料格式</w:t>
      </w:r>
    </w:p>
    <w:p>
      <w:pPr>
        <w:spacing w:line="360" w:lineRule="auto"/>
        <w:jc w:val="left"/>
        <w:rPr>
          <w:rFonts w:ascii="宋体" w:hAnsi="宋体"/>
          <w:b/>
          <w:bCs/>
        </w:rPr>
      </w:pPr>
      <w:r>
        <w:rPr>
          <w:rFonts w:hint="eastAsia" w:ascii="宋体" w:hAnsi="宋体"/>
          <w:b/>
          <w:bCs/>
        </w:rPr>
        <w:t>9.供应商的询问</w:t>
      </w:r>
    </w:p>
    <w:p>
      <w:pPr>
        <w:spacing w:line="360" w:lineRule="auto"/>
        <w:ind w:firstLine="420" w:firstLineChars="200"/>
        <w:rPr>
          <w:rFonts w:ascii="宋体" w:hAnsi="宋体"/>
        </w:rPr>
      </w:pPr>
      <w:r>
        <w:rPr>
          <w:rFonts w:hint="eastAsia" w:ascii="宋体" w:hAnsi="宋体"/>
        </w:rPr>
        <w:t>供应商应认真阅读磋商文件的采购需求，如供应商对磋商文件有疑问的，如要求采购人作出澄清或者修改的，供应商尽应在</w:t>
      </w:r>
      <w:r>
        <w:rPr>
          <w:rFonts w:ascii="宋体" w:hAnsi="宋体"/>
        </w:rPr>
        <w:t>提交首次响应文件截止之日前</w:t>
      </w:r>
      <w:r>
        <w:rPr>
          <w:rFonts w:hint="eastAsia" w:ascii="宋体" w:hAnsi="宋体"/>
        </w:rPr>
        <w:t>，以书面形式向</w:t>
      </w:r>
      <w:r>
        <w:rPr>
          <w:rFonts w:ascii="宋体" w:hAnsi="宋体"/>
        </w:rPr>
        <w:t>采购人、采购代理机构</w:t>
      </w:r>
      <w:r>
        <w:rPr>
          <w:rFonts w:hint="eastAsia" w:ascii="宋体" w:hAnsi="宋体"/>
        </w:rPr>
        <w:t>提出。</w:t>
      </w:r>
    </w:p>
    <w:p>
      <w:pPr>
        <w:spacing w:line="360" w:lineRule="auto"/>
        <w:rPr>
          <w:rFonts w:asciiTheme="minorEastAsia" w:hAnsiTheme="minorEastAsia" w:eastAsiaTheme="minorEastAsia" w:cstheme="minorEastAsia"/>
          <w:b/>
          <w:bCs/>
          <w:spacing w:val="2"/>
        </w:rPr>
      </w:pPr>
      <w:r>
        <w:rPr>
          <w:rFonts w:hint="eastAsia" w:ascii="宋体" w:hAnsi="宋体"/>
          <w:b/>
          <w:bCs/>
        </w:rPr>
        <w:t>10.竞争性磋商采购文件的澄清和修改</w:t>
      </w:r>
    </w:p>
    <w:p>
      <w:pPr>
        <w:spacing w:line="420" w:lineRule="exact"/>
        <w:ind w:firstLine="409" w:firstLineChars="195"/>
        <w:rPr>
          <w:rFonts w:ascii="宋体" w:hAnsi="宋体"/>
        </w:rPr>
      </w:pPr>
      <w:r>
        <w:rPr>
          <w:rFonts w:hint="eastAsia" w:ascii="宋体" w:hAnsi="宋体"/>
        </w:rPr>
        <w:t>10.1已获取磋商文件的潜在供应商，若有问题需要澄清，应于应标截止时间前，以书面形式向采购代理机构提出，采购代理机构与采购人研究后，对认为有必要回答的问题，按照本章10.3的内容处理。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2" w:firstLineChars="200"/>
        <w:rPr>
          <w:rFonts w:ascii="宋体" w:hAnsi="宋体"/>
          <w:b/>
        </w:rPr>
      </w:pPr>
      <w:r>
        <w:rPr>
          <w:rFonts w:hint="eastAsia" w:ascii="宋体" w:hAnsi="宋体"/>
          <w:b/>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pPr>
        <w:spacing w:line="360" w:lineRule="auto"/>
        <w:ind w:firstLine="420" w:firstLineChars="200"/>
        <w:rPr>
          <w:rFonts w:ascii="宋体" w:hAnsi="宋体"/>
        </w:rPr>
      </w:pPr>
      <w:r>
        <w:rPr>
          <w:rFonts w:hint="eastAsia" w:ascii="宋体" w:hAnsi="宋体"/>
        </w:rPr>
        <w:t>1</w:t>
      </w:r>
      <w:r>
        <w:rPr>
          <w:rFonts w:ascii="宋体" w:hAnsi="宋体"/>
        </w:rPr>
        <w:t>0.</w:t>
      </w:r>
      <w:r>
        <w:rPr>
          <w:rFonts w:hint="eastAsia" w:ascii="宋体" w:hAnsi="宋体"/>
        </w:rPr>
        <w:t>3</w:t>
      </w:r>
      <w:r>
        <w:rPr>
          <w:rFonts w:ascii="宋体" w:hAnsi="宋体"/>
        </w:rPr>
        <w:t>提交首次响应文件截止之日前，采购人、采购代理机构或者</w:t>
      </w:r>
      <w:r>
        <w:rPr>
          <w:rFonts w:hint="eastAsia" w:ascii="宋体" w:hAnsi="宋体"/>
        </w:rPr>
        <w:t>磋商</w:t>
      </w:r>
      <w:r>
        <w:rPr>
          <w:rFonts w:ascii="宋体" w:hAnsi="宋体"/>
        </w:rPr>
        <w:t>小组可以对已发出的磋商文件进行必要的澄清或者修改，澄清或者修改的内容作为磋商文件的组成部分。澄清或者修改的内容可能影响响应文件编制的，采购人、采购代理机构或者磋商小组在提交首次响应文件截止时间至少5日前，以</w:t>
      </w:r>
      <w:r>
        <w:rPr>
          <w:rFonts w:hint="eastAsia" w:ascii="宋体" w:hAnsi="宋体"/>
        </w:rPr>
        <w:t>书面</w:t>
      </w:r>
      <w:r>
        <w:rPr>
          <w:rFonts w:ascii="宋体" w:hAnsi="宋体"/>
        </w:rPr>
        <w:t>形式</w:t>
      </w:r>
      <w:r>
        <w:rPr>
          <w:rFonts w:hint="eastAsia" w:ascii="宋体" w:hAnsi="宋体"/>
        </w:rPr>
        <w:t>（目前为网上公告和系统短信等形式）</w:t>
      </w:r>
      <w:r>
        <w:rPr>
          <w:rFonts w:ascii="宋体" w:hAnsi="宋体"/>
        </w:rPr>
        <w:t>通知所有</w:t>
      </w:r>
      <w:r>
        <w:rPr>
          <w:rFonts w:hint="eastAsia" w:ascii="宋体" w:hAnsi="宋体"/>
        </w:rPr>
        <w:t>获取</w:t>
      </w:r>
      <w:r>
        <w:rPr>
          <w:rFonts w:ascii="宋体" w:hAnsi="宋体"/>
        </w:rPr>
        <w:t>磋商文件的供应商，不足5日的，采购人、采购代理机构应当顺延提交首次响应文件截止之日。</w:t>
      </w:r>
    </w:p>
    <w:p>
      <w:pPr>
        <w:spacing w:line="360" w:lineRule="auto"/>
        <w:ind w:firstLine="420" w:firstLineChars="200"/>
        <w:rPr>
          <w:rFonts w:ascii="宋体" w:hAnsi="宋体"/>
        </w:rPr>
      </w:pPr>
      <w:r>
        <w:rPr>
          <w:rFonts w:hint="eastAsia" w:ascii="宋体" w:hAnsi="宋体"/>
        </w:rPr>
        <w:t>1</w:t>
      </w:r>
      <w:r>
        <w:rPr>
          <w:rFonts w:ascii="宋体" w:hAnsi="宋体"/>
        </w:rPr>
        <w:t>0.</w:t>
      </w:r>
      <w:r>
        <w:rPr>
          <w:rFonts w:hint="eastAsia" w:ascii="宋体" w:hAnsi="宋体"/>
        </w:rPr>
        <w:t>4</w:t>
      </w:r>
      <w:r>
        <w:rPr>
          <w:rFonts w:ascii="Arial" w:hAnsi="Arial" w:cs="Arial"/>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20" w:firstLineChars="200"/>
      </w:pPr>
      <w:r>
        <w:rPr>
          <w:rFonts w:hint="eastAsia" w:hAnsi="宋体"/>
        </w:rPr>
        <w:t xml:space="preserve">10.5  </w:t>
      </w:r>
      <w:r>
        <w:rPr>
          <w:rFonts w:hint="eastAsia"/>
        </w:rPr>
        <w:t>采购人和采购代理机构可以视采购具体情况，变更</w:t>
      </w:r>
      <w:r>
        <w:rPr>
          <w:rFonts w:hAnsi="宋体"/>
        </w:rPr>
        <w:t>提交首次响应文件</w:t>
      </w:r>
      <w:r>
        <w:rPr>
          <w:rFonts w:hint="eastAsia"/>
        </w:rPr>
        <w:t>截止时间和竞谈时间，将变更时间在</w:t>
      </w:r>
      <w:r>
        <w:rPr>
          <w:rFonts w:hint="eastAsia" w:hAnsi="宋体"/>
        </w:rPr>
        <w:t>“采购文件公告</w:t>
      </w:r>
      <w:r>
        <w:rPr>
          <w:rFonts w:hAnsi="宋体"/>
        </w:rPr>
        <w:t>”</w:t>
      </w:r>
      <w:r>
        <w:rPr>
          <w:rFonts w:hint="eastAsia" w:hAnsi="宋体"/>
        </w:rPr>
        <w:t>中“七、其他补充事宜3.网上查询地址”</w:t>
      </w:r>
      <w:r>
        <w:rPr>
          <w:rFonts w:hint="eastAsia" w:cs="宋体"/>
        </w:rPr>
        <w:t>规定的政府采购信息发布媒体上</w:t>
      </w:r>
      <w:r>
        <w:rPr>
          <w:rFonts w:hint="eastAsia"/>
        </w:rPr>
        <w:t>发布更正公告。</w:t>
      </w:r>
    </w:p>
    <w:p>
      <w:pPr>
        <w:spacing w:line="420" w:lineRule="exact"/>
        <w:ind w:firstLine="390" w:firstLineChars="195"/>
        <w:rPr>
          <w:rFonts w:ascii="宋体" w:hAnsi="Courier New"/>
          <w:b/>
          <w:kern w:val="0"/>
          <w:sz w:val="20"/>
        </w:rPr>
      </w:pPr>
      <w:r>
        <w:rPr>
          <w:rFonts w:hint="eastAsia" w:ascii="宋体" w:hAnsi="Courier New"/>
          <w:kern w:val="0"/>
          <w:sz w:val="20"/>
        </w:rPr>
        <w:t>▲</w:t>
      </w:r>
      <w:r>
        <w:rPr>
          <w:rFonts w:hint="eastAsia" w:ascii="宋体" w:hAnsi="Courier New"/>
          <w:b/>
          <w:kern w:val="0"/>
          <w:sz w:val="20"/>
        </w:rPr>
        <w:t>响应文件未按磋商文件的澄清、修改的内容编制，又不符合实质性要求的，其响应文件作无效处理。</w:t>
      </w:r>
    </w:p>
    <w:p>
      <w:pPr>
        <w:spacing w:line="460" w:lineRule="exact"/>
        <w:ind w:firstLine="419" w:firstLineChars="195"/>
        <w:jc w:val="center"/>
        <w:rPr>
          <w:rFonts w:asciiTheme="minorEastAsia" w:hAnsiTheme="minorEastAsia" w:eastAsiaTheme="minorEastAsia" w:cstheme="minorEastAsia"/>
          <w:b/>
          <w:bCs/>
          <w:spacing w:val="2"/>
        </w:rPr>
      </w:pPr>
      <w:r>
        <w:rPr>
          <w:rFonts w:hint="eastAsia" w:asciiTheme="minorEastAsia" w:hAnsiTheme="minorEastAsia" w:eastAsiaTheme="minorEastAsia" w:cstheme="minorEastAsia"/>
          <w:b/>
          <w:bCs/>
          <w:spacing w:val="2"/>
        </w:rPr>
        <w:t>三、响应文件的编制</w:t>
      </w:r>
    </w:p>
    <w:p>
      <w:pPr>
        <w:spacing w:line="460" w:lineRule="exact"/>
        <w:rPr>
          <w:rFonts w:asciiTheme="minorEastAsia" w:hAnsiTheme="minorEastAsia" w:eastAsiaTheme="minorEastAsia" w:cstheme="minorEastAsia"/>
          <w:b/>
          <w:bCs/>
          <w:spacing w:val="2"/>
        </w:rPr>
      </w:pPr>
      <w:r>
        <w:rPr>
          <w:rFonts w:hint="eastAsia" w:asciiTheme="minorEastAsia" w:hAnsiTheme="minorEastAsia" w:eastAsiaTheme="minorEastAsia" w:cstheme="minorEastAsia"/>
          <w:b/>
          <w:bCs/>
          <w:spacing w:val="2"/>
        </w:rPr>
        <w:t>11．竞争性磋商响应文件编制基本要求</w:t>
      </w:r>
    </w:p>
    <w:p>
      <w:pPr>
        <w:spacing w:line="460" w:lineRule="exact"/>
        <w:ind w:firstLine="417" w:firstLineChars="195"/>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 xml:space="preserve">11.1 本项目实行电子投标，供应商应准备电子磋商响应文件。  </w:t>
      </w:r>
    </w:p>
    <w:p>
      <w:pPr>
        <w:spacing w:line="460" w:lineRule="exact"/>
        <w:ind w:firstLine="417" w:firstLineChars="195"/>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11.1.1电子响应文件按广西政府采购云平台要求及本竞争性磋商文件要求制作、加密并递交。具体操作流程可参考《政府采购项目电子交易管理操作指南-供应商》，指南可在“http://www.ccgp-guangxi.gov.cn/PurchaseAdvisory/ImportantNotice/2866753.html”下载。</w:t>
      </w:r>
    </w:p>
    <w:p>
      <w:pPr>
        <w:spacing w:line="460" w:lineRule="exact"/>
        <w:ind w:firstLine="411" w:firstLineChars="195"/>
        <w:rPr>
          <w:rFonts w:asciiTheme="minorEastAsia" w:hAnsiTheme="minorEastAsia" w:eastAsiaTheme="minorEastAsia" w:cstheme="minorEastAsia"/>
          <w:b/>
          <w:bCs/>
        </w:rPr>
      </w:pPr>
      <w:r>
        <w:rPr>
          <w:rFonts w:hint="eastAsia" w:asciiTheme="minorEastAsia" w:hAnsiTheme="minorEastAsia" w:eastAsiaTheme="minorEastAsia" w:cstheme="minorEastAsia"/>
          <w:b/>
          <w:bCs/>
        </w:rPr>
        <w:t>▲11.1.2磋商响应文件启用顺序和效力：磋商响应文件的启用，按先后顺位分别为电子磋商响应文件、电子备份磋商响应文件。若磋商供应商在规定时间内无法解密或解密失败，可以以电子备份磋商响应文件作为依据，若电子备份磋商响应文件与广西政府采购云平台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p>
      <w:pPr>
        <w:spacing w:line="460" w:lineRule="exact"/>
        <w:ind w:firstLine="417" w:firstLineChars="195"/>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 xml:space="preserve">11.2 </w:t>
      </w:r>
      <w:r>
        <w:rPr>
          <w:rFonts w:hint="eastAsia" w:ascii="宋体" w:hAnsi="宋体" w:cs="宋体"/>
        </w:rPr>
        <w:t>供应商应当按照竞争性磋商采购文件的要求编制响应文件，并对其提交的响应文件的真实性、合法性承担法律责任。响应文件应当对竞争性磋商采购文件作出实质性响应</w:t>
      </w:r>
      <w:r>
        <w:rPr>
          <w:rFonts w:hint="eastAsia" w:asciiTheme="minorEastAsia" w:hAnsiTheme="minorEastAsia" w:eastAsiaTheme="minorEastAsia" w:cstheme="minorEastAsia"/>
          <w:spacing w:val="2"/>
        </w:rPr>
        <w:t xml:space="preserve">。  </w:t>
      </w:r>
    </w:p>
    <w:p>
      <w:pPr>
        <w:spacing w:line="460" w:lineRule="exact"/>
        <w:ind w:firstLine="417" w:firstLineChars="195"/>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 xml:space="preserve">11.3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  </w:t>
      </w:r>
    </w:p>
    <w:p>
      <w:pPr>
        <w:spacing w:line="460" w:lineRule="exact"/>
        <w:ind w:firstLine="417" w:firstLineChars="195"/>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 xml:space="preserve">11.4 磋商供应商应认真阅读、并充分理解本文件的全部内容（包括所有的澄清、更改、补充、答疑等内容），承诺并履行本文件中各项条款规定及要求 。  </w:t>
      </w:r>
    </w:p>
    <w:p>
      <w:pPr>
        <w:spacing w:line="460" w:lineRule="exact"/>
        <w:ind w:firstLine="417" w:firstLineChars="195"/>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11.5竞争性磋商响应文件必须按本文件的全部内容，包括所有的澄清、更改、补充、答疑等内容及附件进行编制。</w:t>
      </w:r>
    </w:p>
    <w:p>
      <w:pPr>
        <w:spacing w:line="360" w:lineRule="auto"/>
        <w:ind w:firstLine="417" w:firstLineChars="195"/>
        <w:rPr>
          <w:rFonts w:asciiTheme="minorEastAsia" w:hAnsiTheme="minorEastAsia" w:eastAsiaTheme="minorEastAsia" w:cstheme="minorEastAsia"/>
          <w:spacing w:val="2"/>
        </w:rPr>
      </w:pPr>
      <w:r>
        <w:rPr>
          <w:rFonts w:hint="eastAsia" w:asciiTheme="minorEastAsia" w:hAnsiTheme="minorEastAsia" w:eastAsiaTheme="minorEastAsia" w:cstheme="minorEastAsia"/>
          <w:spacing w:val="2"/>
        </w:rPr>
        <w:t xml:space="preserve">11.6 如因磋商供应商只填写和提供了本文件要求的部分内容和附件，而给磋商小组评审造成困难，其可能导致的结果和责任由磋商供应商自行承担。 </w:t>
      </w:r>
    </w:p>
    <w:p>
      <w:pPr>
        <w:spacing w:line="360" w:lineRule="auto"/>
        <w:rPr>
          <w:rFonts w:asciiTheme="minorEastAsia" w:hAnsiTheme="minorEastAsia" w:eastAsiaTheme="minorEastAsia" w:cstheme="minorEastAsia"/>
          <w:b/>
          <w:bCs/>
          <w:spacing w:val="2"/>
        </w:rPr>
      </w:pPr>
      <w:r>
        <w:rPr>
          <w:rFonts w:hint="eastAsia" w:asciiTheme="minorEastAsia" w:hAnsiTheme="minorEastAsia" w:eastAsiaTheme="minorEastAsia" w:cstheme="minorEastAsia"/>
          <w:b/>
          <w:bCs/>
          <w:spacing w:val="2"/>
        </w:rPr>
        <w:t>12．竞争性磋商响应文件的组成</w:t>
      </w:r>
    </w:p>
    <w:p>
      <w:pPr>
        <w:spacing w:line="360" w:lineRule="auto"/>
        <w:ind w:firstLine="420" w:firstLineChars="200"/>
        <w:rPr>
          <w:rFonts w:ascii="宋体" w:hAnsi="宋体" w:cs="宋体"/>
        </w:rPr>
      </w:pPr>
      <w:r>
        <w:rPr>
          <w:rFonts w:hint="eastAsia" w:ascii="宋体" w:hAnsi="宋体" w:cs="宋体"/>
        </w:rPr>
        <w:t>12.1响应文件由资格证明文件、商务和技术文件、报价文件三部分组成：</w:t>
      </w:r>
    </w:p>
    <w:p>
      <w:pPr>
        <w:spacing w:line="360" w:lineRule="auto"/>
        <w:ind w:left="420" w:leftChars="200" w:firstLine="420" w:firstLineChars="200"/>
        <w:rPr>
          <w:rFonts w:ascii="宋体" w:hAnsi="宋体" w:cs="宋体"/>
        </w:rPr>
      </w:pPr>
      <w:r>
        <w:rPr>
          <w:rFonts w:hint="eastAsia" w:ascii="宋体" w:hAnsi="宋体" w:cs="宋体"/>
        </w:rPr>
        <w:t>1</w:t>
      </w:r>
      <w:r>
        <w:rPr>
          <w:rFonts w:ascii="宋体" w:hAnsi="宋体" w:cs="宋体"/>
        </w:rPr>
        <w:t>2.1.1</w:t>
      </w:r>
      <w:r>
        <w:rPr>
          <w:rFonts w:hint="eastAsia" w:ascii="宋体" w:hAnsi="宋体" w:cs="宋体"/>
        </w:rPr>
        <w:t>资格证明文件：详见须知前附表</w:t>
      </w:r>
    </w:p>
    <w:p>
      <w:pPr>
        <w:spacing w:line="360" w:lineRule="auto"/>
        <w:ind w:left="420" w:leftChars="200" w:firstLine="420" w:firstLineChars="200"/>
        <w:rPr>
          <w:rFonts w:ascii="宋体" w:hAnsi="宋体" w:cs="宋体"/>
        </w:rPr>
      </w:pPr>
      <w:r>
        <w:rPr>
          <w:rFonts w:hint="eastAsia" w:ascii="宋体" w:hAnsi="宋体" w:cs="宋体"/>
        </w:rPr>
        <w:t>12.1.2商务和技术文件：详见须知前附表</w:t>
      </w:r>
    </w:p>
    <w:p>
      <w:pPr>
        <w:spacing w:line="360" w:lineRule="auto"/>
        <w:ind w:left="420" w:leftChars="200" w:firstLine="420" w:firstLineChars="200"/>
        <w:rPr>
          <w:rFonts w:ascii="宋体" w:hAnsi="宋体" w:cs="宋体"/>
        </w:rPr>
      </w:pPr>
      <w:r>
        <w:rPr>
          <w:rFonts w:hint="eastAsia" w:ascii="宋体" w:hAnsi="宋体" w:cs="宋体"/>
        </w:rPr>
        <w:t>1</w:t>
      </w:r>
      <w:r>
        <w:rPr>
          <w:rFonts w:ascii="宋体" w:hAnsi="宋体" w:cs="宋体"/>
        </w:rPr>
        <w:t>2.1.</w:t>
      </w:r>
      <w:r>
        <w:rPr>
          <w:rFonts w:hint="eastAsia" w:ascii="宋体" w:hAnsi="宋体" w:cs="宋体"/>
        </w:rPr>
        <w:t>3报价文件：详见须知前附表</w:t>
      </w:r>
    </w:p>
    <w:p>
      <w:pPr>
        <w:spacing w:line="360" w:lineRule="auto"/>
        <w:rPr>
          <w:rFonts w:asciiTheme="minorEastAsia" w:hAnsiTheme="minorEastAsia" w:eastAsiaTheme="minorEastAsia" w:cstheme="minorEastAsia"/>
          <w:b/>
          <w:bCs/>
          <w:spacing w:val="2"/>
        </w:rPr>
      </w:pPr>
      <w:r>
        <w:rPr>
          <w:rFonts w:hint="eastAsia" w:asciiTheme="minorEastAsia" w:hAnsiTheme="minorEastAsia" w:eastAsiaTheme="minorEastAsia" w:cstheme="minorEastAsia"/>
          <w:b/>
          <w:bCs/>
          <w:spacing w:val="2"/>
        </w:rPr>
        <w:t>13.计量单位</w:t>
      </w:r>
    </w:p>
    <w:p>
      <w:pPr>
        <w:spacing w:line="400" w:lineRule="exact"/>
        <w:ind w:firstLine="420" w:firstLineChars="200"/>
        <w:rPr>
          <w:rFonts w:ascii="宋体" w:hAnsi="宋体" w:cs="宋体"/>
        </w:rPr>
      </w:pPr>
      <w:r>
        <w:rPr>
          <w:rFonts w:hint="eastAsia" w:ascii="宋体" w:hAnsi="宋体" w:cs="宋体"/>
        </w:rPr>
        <w:t>竞争性磋商采购文件已有明确规定的，使用竞争性磋商采购文件规定的计量单位；竞争性磋商采购文件没有规定的，应采用中华人民共和国法定计量单位，货币种类为人民币，否则视同未响应。</w:t>
      </w:r>
    </w:p>
    <w:p>
      <w:pPr>
        <w:spacing w:line="400" w:lineRule="exact"/>
        <w:rPr>
          <w:rFonts w:ascii="宋体" w:hAnsi="宋体" w:cs="宋体"/>
          <w:b/>
          <w:bCs/>
        </w:rPr>
      </w:pPr>
      <w:r>
        <w:rPr>
          <w:rFonts w:hint="eastAsia" w:ascii="宋体" w:hAnsi="宋体" w:cs="宋体"/>
          <w:b/>
          <w:bCs/>
        </w:rPr>
        <w:t>14.竞标的风险</w:t>
      </w:r>
    </w:p>
    <w:p>
      <w:pPr>
        <w:spacing w:line="400" w:lineRule="exact"/>
        <w:ind w:firstLine="420" w:firstLineChars="200"/>
        <w:rPr>
          <w:rFonts w:ascii="宋体" w:hAnsi="宋体" w:cs="宋体"/>
        </w:rPr>
      </w:pPr>
      <w:r>
        <w:rPr>
          <w:rFonts w:hint="eastAsia" w:ascii="宋体" w:hAnsi="宋体" w:cs="宋体"/>
        </w:rPr>
        <w:t>供应商没有按照竞争性磋商采购文件要求提供全部资料，或者供应商没有对竞争性磋商采购文件在各方面作出实质性响应可能导致其响应无效，是供应商应当考虑的风险。</w:t>
      </w:r>
    </w:p>
    <w:p>
      <w:pPr>
        <w:spacing w:line="400" w:lineRule="exact"/>
        <w:rPr>
          <w:rFonts w:ascii="宋体" w:hAnsi="宋体" w:cs="宋体"/>
          <w:b/>
          <w:bCs/>
        </w:rPr>
      </w:pPr>
      <w:r>
        <w:rPr>
          <w:rFonts w:hint="eastAsia" w:ascii="宋体" w:hAnsi="宋体" w:cs="宋体"/>
          <w:b/>
          <w:bCs/>
        </w:rPr>
        <w:t>15.</w:t>
      </w:r>
      <w:r>
        <w:rPr>
          <w:rFonts w:hint="eastAsia"/>
          <w:b/>
          <w:bCs/>
        </w:rPr>
        <w:t xml:space="preserve"> </w:t>
      </w:r>
      <w:r>
        <w:rPr>
          <w:rFonts w:hint="eastAsia" w:ascii="宋体" w:hAnsi="宋体" w:cs="宋体"/>
          <w:b/>
          <w:bCs/>
        </w:rPr>
        <w:t>磋商报价说明</w:t>
      </w:r>
    </w:p>
    <w:p>
      <w:pPr>
        <w:tabs>
          <w:tab w:val="left" w:pos="2492"/>
        </w:tabs>
        <w:spacing w:line="400" w:lineRule="exact"/>
        <w:ind w:firstLine="420" w:firstLineChars="200"/>
        <w:rPr>
          <w:rFonts w:ascii="宋体" w:hAnsi="宋体" w:cs="宋体"/>
        </w:rPr>
      </w:pPr>
      <w:r>
        <w:rPr>
          <w:rFonts w:hint="eastAsia" w:ascii="宋体" w:hAnsi="宋体" w:cs="宋体"/>
        </w:rPr>
        <w:t>15.1磋商价格</w:t>
      </w:r>
    </w:p>
    <w:p>
      <w:pPr>
        <w:tabs>
          <w:tab w:val="left" w:pos="2492"/>
        </w:tabs>
        <w:spacing w:line="400" w:lineRule="exact"/>
        <w:ind w:firstLine="840" w:firstLineChars="400"/>
        <w:rPr>
          <w:rFonts w:ascii="宋体" w:hAnsi="宋体" w:cs="宋体"/>
        </w:rPr>
      </w:pPr>
      <w:r>
        <w:rPr>
          <w:rFonts w:hint="eastAsia" w:ascii="宋体" w:hAnsi="宋体" w:cs="宋体"/>
        </w:rPr>
        <w:t>本工程的报价方式为工程量清单报价，合同承包方式为：</w:t>
      </w:r>
      <w:r>
        <w:rPr>
          <w:rFonts w:hint="eastAsia" w:ascii="宋体" w:hAnsi="宋体" w:cs="宋体"/>
          <w:b/>
          <w:bCs/>
          <w:u w:val="single"/>
        </w:rPr>
        <w:t>固定综合单价</w:t>
      </w:r>
      <w:r>
        <w:rPr>
          <w:rFonts w:hint="eastAsia" w:ascii="宋体" w:hAnsi="宋体" w:cs="宋体"/>
        </w:rPr>
        <w:t>。</w:t>
      </w:r>
    </w:p>
    <w:p>
      <w:pPr>
        <w:tabs>
          <w:tab w:val="left" w:pos="2492"/>
        </w:tabs>
        <w:spacing w:line="400" w:lineRule="exact"/>
        <w:ind w:firstLine="420" w:firstLineChars="200"/>
        <w:rPr>
          <w:rFonts w:ascii="宋体" w:hAnsi="宋体" w:cs="宋体"/>
        </w:rPr>
      </w:pPr>
      <w:r>
        <w:rPr>
          <w:rFonts w:hint="eastAsia" w:ascii="宋体" w:hAnsi="宋体" w:cs="宋体"/>
        </w:rPr>
        <w:t>15.1.1 本工程量清单是根据竞争性磋商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tabs>
          <w:tab w:val="left" w:pos="2492"/>
        </w:tabs>
        <w:spacing w:line="400" w:lineRule="exact"/>
        <w:ind w:firstLine="420" w:firstLineChars="200"/>
        <w:rPr>
          <w:rFonts w:ascii="宋体" w:hAnsi="宋体" w:cs="宋体"/>
        </w:rPr>
      </w:pPr>
      <w:r>
        <w:rPr>
          <w:rFonts w:hint="eastAsia" w:ascii="宋体" w:hAnsi="宋体" w:cs="宋体"/>
        </w:rPr>
        <w:t>15.1.2 本工程量清单应与竞争性磋商文件中的供应商须知、通用合同条款、专用合同条款、技术规范及图纸等一起阅读和理解。</w:t>
      </w:r>
    </w:p>
    <w:p>
      <w:pPr>
        <w:tabs>
          <w:tab w:val="left" w:pos="2492"/>
        </w:tabs>
        <w:spacing w:line="400" w:lineRule="exact"/>
        <w:ind w:firstLine="420" w:firstLineChars="200"/>
        <w:rPr>
          <w:rFonts w:ascii="宋体" w:hAnsi="宋体" w:cs="宋体"/>
        </w:rPr>
      </w:pPr>
      <w:r>
        <w:rPr>
          <w:rFonts w:hint="eastAsia" w:ascii="宋体" w:hAnsi="宋体" w:cs="宋体"/>
        </w:rPr>
        <w:t>15.1.3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的规定，由监理人确定的单价或总额价计算支付额。</w:t>
      </w:r>
    </w:p>
    <w:p>
      <w:pPr>
        <w:tabs>
          <w:tab w:val="left" w:pos="2492"/>
        </w:tabs>
        <w:spacing w:line="400" w:lineRule="exact"/>
        <w:ind w:firstLine="420" w:firstLineChars="200"/>
        <w:rPr>
          <w:rFonts w:ascii="宋体" w:hAnsi="宋体" w:cs="宋体"/>
        </w:rPr>
      </w:pPr>
      <w:r>
        <w:rPr>
          <w:rFonts w:hint="eastAsia" w:ascii="宋体" w:hAnsi="宋体" w:cs="宋体"/>
        </w:rPr>
        <w:t>15.1.4 工程量清单中所列工程量的变动，丝毫不会降低或影响合同条款的效力，也不免除承包人按规定的标准进行施工和修复缺陷的责任。</w:t>
      </w:r>
    </w:p>
    <w:p>
      <w:pPr>
        <w:tabs>
          <w:tab w:val="left" w:pos="2492"/>
        </w:tabs>
        <w:spacing w:line="400" w:lineRule="exact"/>
        <w:ind w:firstLine="420" w:firstLineChars="200"/>
        <w:rPr>
          <w:rFonts w:ascii="宋体" w:hAnsi="宋体" w:cs="宋体"/>
        </w:rPr>
      </w:pPr>
      <w:r>
        <w:rPr>
          <w:rFonts w:hint="eastAsia" w:ascii="宋体" w:hAnsi="宋体" w:cs="宋体"/>
        </w:rPr>
        <w:t>15.1.5图纸中所列的工程数量表及数量汇总表仅是提供资料，不是工程量清单的外延。当图纸与工程量清单所列数量不一致时，以工程量清单所列数量作为报价的依据。</w:t>
      </w:r>
    </w:p>
    <w:p>
      <w:pPr>
        <w:tabs>
          <w:tab w:val="left" w:pos="2492"/>
        </w:tabs>
        <w:spacing w:line="400" w:lineRule="exact"/>
        <w:ind w:firstLine="420" w:firstLineChars="200"/>
        <w:rPr>
          <w:rFonts w:ascii="宋体" w:hAnsi="宋体" w:cs="宋体"/>
        </w:rPr>
      </w:pPr>
      <w:r>
        <w:rPr>
          <w:rFonts w:hint="eastAsia" w:ascii="宋体" w:hAnsi="宋体" w:cs="宋体"/>
        </w:rPr>
        <w:t xml:space="preserve">15.1.6工程量清单另册发放。 </w:t>
      </w:r>
    </w:p>
    <w:p>
      <w:pPr>
        <w:tabs>
          <w:tab w:val="left" w:pos="2492"/>
        </w:tabs>
        <w:spacing w:line="400" w:lineRule="exact"/>
        <w:ind w:firstLine="420" w:firstLineChars="200"/>
        <w:rPr>
          <w:rFonts w:ascii="宋体" w:hAnsi="宋体" w:cs="宋体"/>
        </w:rPr>
      </w:pPr>
      <w:r>
        <w:rPr>
          <w:rFonts w:hint="eastAsia" w:ascii="宋体" w:hAnsi="宋体" w:cs="宋体"/>
        </w:rPr>
        <w:t>15.1.7 工程量清单中的每一子目须填入单价或价格，且只允许有一个报价。</w:t>
      </w:r>
    </w:p>
    <w:p>
      <w:pPr>
        <w:tabs>
          <w:tab w:val="left" w:pos="2492"/>
        </w:tabs>
        <w:spacing w:line="400" w:lineRule="exact"/>
        <w:ind w:firstLine="420" w:firstLineChars="200"/>
        <w:rPr>
          <w:rFonts w:ascii="宋体" w:hAnsi="宋体" w:cs="宋体"/>
        </w:rPr>
      </w:pPr>
      <w:r>
        <w:rPr>
          <w:rFonts w:hint="eastAsia" w:ascii="宋体" w:hAnsi="宋体" w:cs="宋体"/>
        </w:rPr>
        <w:t>15.1.8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tabs>
          <w:tab w:val="left" w:pos="2492"/>
        </w:tabs>
        <w:spacing w:line="400" w:lineRule="exact"/>
        <w:ind w:firstLine="420" w:firstLineChars="200"/>
        <w:rPr>
          <w:rFonts w:ascii="宋体" w:hAnsi="宋体" w:cs="宋体"/>
        </w:rPr>
      </w:pPr>
      <w:r>
        <w:rPr>
          <w:rFonts w:hint="eastAsia" w:ascii="宋体" w:hAnsi="宋体" w:cs="宋体"/>
        </w:rPr>
        <w:t>15.1.9 工程量清单中供应商没有填入单价或价格的子目，其费用视为己分摊在工程量清单中其他相关子目的单价或价格之中。承包人必须按监理人指令完成工程量清单中未填入单价或价格的子目，但不能得到结算与支付。</w:t>
      </w:r>
    </w:p>
    <w:p>
      <w:pPr>
        <w:tabs>
          <w:tab w:val="left" w:pos="2492"/>
        </w:tabs>
        <w:spacing w:line="400" w:lineRule="exact"/>
        <w:ind w:firstLine="420" w:firstLineChars="200"/>
        <w:rPr>
          <w:rFonts w:ascii="宋体" w:hAnsi="宋体" w:cs="宋体"/>
        </w:rPr>
      </w:pPr>
      <w:r>
        <w:rPr>
          <w:rFonts w:hint="eastAsia" w:ascii="宋体" w:hAnsi="宋体" w:cs="宋体"/>
        </w:rPr>
        <w:t>15.1.10 符合合同条款规定的全部费用应认为已被计入有标价的工程量清单所列各子目之中，未列子目不予计量的工作，其费用应视为已分摊在本合同工程的有关子目的单价或总额价之中。</w:t>
      </w:r>
    </w:p>
    <w:p>
      <w:pPr>
        <w:tabs>
          <w:tab w:val="left" w:pos="2492"/>
        </w:tabs>
        <w:spacing w:line="400" w:lineRule="exact"/>
        <w:ind w:firstLine="420" w:firstLineChars="200"/>
        <w:rPr>
          <w:rFonts w:ascii="宋体" w:hAnsi="宋体" w:cs="宋体"/>
        </w:rPr>
      </w:pPr>
      <w:r>
        <w:rPr>
          <w:rFonts w:hint="eastAsia" w:ascii="宋体" w:hAnsi="宋体" w:cs="宋体"/>
        </w:rPr>
        <w:t>15.1.11承包人用于本合同工程的各类装备的提供、运输、维护、拆卸、拼装等支付的费用，已包括在工程量清单的单价与总额价之中。</w:t>
      </w:r>
    </w:p>
    <w:p>
      <w:pPr>
        <w:tabs>
          <w:tab w:val="left" w:pos="2492"/>
        </w:tabs>
        <w:spacing w:line="400" w:lineRule="exact"/>
        <w:ind w:firstLine="420" w:firstLineChars="200"/>
        <w:rPr>
          <w:rFonts w:ascii="宋体" w:hAnsi="宋体" w:cs="宋体"/>
        </w:rPr>
      </w:pPr>
      <w:r>
        <w:rPr>
          <w:rFonts w:hint="eastAsia" w:ascii="宋体" w:hAnsi="宋体" w:cs="宋体"/>
        </w:rPr>
        <w:t>15.1.12 工程量清单中各项金额均以人民币（元）结算。</w:t>
      </w:r>
    </w:p>
    <w:p>
      <w:pPr>
        <w:tabs>
          <w:tab w:val="left" w:pos="2492"/>
        </w:tabs>
        <w:spacing w:line="400" w:lineRule="exact"/>
        <w:ind w:firstLine="420" w:firstLineChars="200"/>
        <w:rPr>
          <w:rFonts w:ascii="宋体" w:hAnsi="宋体" w:cs="宋体"/>
        </w:rPr>
      </w:pPr>
      <w:r>
        <w:rPr>
          <w:rFonts w:hint="eastAsia" w:ascii="宋体" w:hAnsi="宋体" w:cs="宋体"/>
        </w:rPr>
        <w:t>15.1.13 暂列金额（不含计日工总额）的数量及拟用子目的说明：</w:t>
      </w:r>
      <w:r>
        <w:rPr>
          <w:rFonts w:hint="eastAsia" w:ascii="宋体" w:hAnsi="宋体" w:cs="宋体"/>
          <w:u w:val="single"/>
        </w:rPr>
        <w:t xml:space="preserve"> 详见工程量清单 </w:t>
      </w:r>
      <w:r>
        <w:rPr>
          <w:rFonts w:hint="eastAsia" w:ascii="宋体" w:hAnsi="宋体" w:cs="宋体"/>
        </w:rPr>
        <w:t>。</w:t>
      </w:r>
    </w:p>
    <w:p>
      <w:pPr>
        <w:tabs>
          <w:tab w:val="left" w:pos="2492"/>
        </w:tabs>
        <w:spacing w:line="400" w:lineRule="exact"/>
        <w:ind w:firstLine="420" w:firstLineChars="200"/>
        <w:rPr>
          <w:rFonts w:ascii="宋体" w:hAnsi="宋体" w:cs="宋体"/>
        </w:rPr>
      </w:pPr>
      <w:r>
        <w:rPr>
          <w:rFonts w:hint="eastAsia" w:ascii="宋体" w:hAnsi="宋体" w:cs="宋体"/>
        </w:rPr>
        <w:t>15.1.14 暂估价的数量及拟用子目的说明：</w:t>
      </w:r>
      <w:r>
        <w:rPr>
          <w:rFonts w:hint="eastAsia" w:ascii="宋体" w:hAnsi="宋体" w:cs="宋体"/>
          <w:u w:val="single"/>
        </w:rPr>
        <w:t xml:space="preserve"> 详见工程量清单 </w:t>
      </w:r>
      <w:r>
        <w:rPr>
          <w:rFonts w:hint="eastAsia" w:ascii="宋体" w:hAnsi="宋体" w:cs="宋体"/>
        </w:rPr>
        <w:t>。</w:t>
      </w:r>
    </w:p>
    <w:p>
      <w:pPr>
        <w:tabs>
          <w:tab w:val="left" w:pos="2492"/>
        </w:tabs>
        <w:spacing w:line="400" w:lineRule="exact"/>
        <w:ind w:firstLine="420" w:firstLineChars="200"/>
        <w:rPr>
          <w:rFonts w:ascii="宋体" w:hAnsi="宋体" w:cs="宋体"/>
        </w:rPr>
      </w:pPr>
      <w:r>
        <w:rPr>
          <w:rFonts w:hint="eastAsia" w:ascii="宋体" w:hAnsi="宋体" w:cs="宋体"/>
        </w:rPr>
        <w:t xml:space="preserve">15.1.15磋商供应商的磋商报价须按竞争性磋商采购文件及澄清答疑中所确认的工程量清单进行报价。磋商供应商对自己所填写的项目编码、计量单位、工程数量负责。评审中，如报价文件项目编码、计量单位、工程数量与采购人提供的无法一致，该清单项目作废，该清单项目的费用视为包含在其他清单项目中；该清单项目作废，如作废的清单项目达到3项以上（含本数）或作废的清单项目造价累计超过单位工程磋商报价的2%（含本数），视为不响应竞争性磋商采购文件实质性内容，作无效磋商处理。 </w:t>
      </w:r>
    </w:p>
    <w:p>
      <w:pPr>
        <w:tabs>
          <w:tab w:val="left" w:pos="2492"/>
        </w:tabs>
        <w:spacing w:line="400" w:lineRule="exact"/>
        <w:ind w:firstLine="420" w:firstLineChars="200"/>
        <w:rPr>
          <w:rFonts w:ascii="宋体" w:hAnsi="宋体" w:cs="宋体"/>
        </w:rPr>
      </w:pPr>
      <w:r>
        <w:rPr>
          <w:rFonts w:hint="eastAsia" w:ascii="宋体" w:hAnsi="宋体" w:cs="宋体"/>
        </w:rPr>
        <w:t>15.2磋商价格计算依据：</w:t>
      </w:r>
    </w:p>
    <w:p>
      <w:pPr>
        <w:pStyle w:val="20"/>
        <w:ind w:firstLine="420" w:firstLineChars="200"/>
        <w:jc w:val="left"/>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1.《建设工程工程量清单计价规范》(GB50500-2013)和《&lt;建设工程工程量清单计价规范&gt;广西壮族自治区实施细则》（修订本）。 </w:t>
      </w:r>
    </w:p>
    <w:p>
      <w:pPr>
        <w:pStyle w:val="20"/>
        <w:ind w:firstLine="420" w:firstLineChars="200"/>
        <w:jc w:val="left"/>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2.《建设工程工程量计算规范》广西壮族自治区实施细则（GB50854～50862-2013）。 </w:t>
      </w:r>
    </w:p>
    <w:p>
      <w:pPr>
        <w:pStyle w:val="20"/>
        <w:ind w:firstLine="420" w:firstLineChars="200"/>
        <w:jc w:val="left"/>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3.定额执行2015年《广西壮族自治区安装工程消耗量定额》及配套的费用定额。 </w:t>
      </w:r>
    </w:p>
    <w:p>
      <w:pPr>
        <w:pStyle w:val="20"/>
        <w:ind w:firstLine="420" w:firstLineChars="200"/>
        <w:jc w:val="left"/>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4.定额执行2013年《广西壮族自治区园林绿化及仿古建筑工程消耗量定额》及配套的费用定额。</w:t>
      </w:r>
    </w:p>
    <w:p>
      <w:pPr>
        <w:pStyle w:val="20"/>
        <w:ind w:firstLine="420" w:firstLineChars="200"/>
        <w:jc w:val="left"/>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5.定额执行2013年版《广西壮族自治区建筑装饰装修工程消耗量定额》及配套的费用定额。</w:t>
      </w:r>
    </w:p>
    <w:p>
      <w:pPr>
        <w:pStyle w:val="20"/>
        <w:ind w:firstLine="420" w:firstLineChars="200"/>
        <w:jc w:val="left"/>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6. 市政定额执行2014年《广西壮族自治区市政工程消耗量定额》及配套的费用定额。 </w:t>
      </w:r>
    </w:p>
    <w:p>
      <w:pPr>
        <w:pStyle w:val="20"/>
        <w:ind w:firstLine="420" w:firstLineChars="200"/>
        <w:jc w:val="left"/>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7.自治区住房城乡建设厅关于颁布2016年《广西壮族自治区建设工程费用定额》的通知(桂建标〔2016〕16号)，工程管理费及利润取中值。</w:t>
      </w:r>
    </w:p>
    <w:p>
      <w:pPr>
        <w:pStyle w:val="20"/>
        <w:ind w:firstLine="420" w:firstLineChars="200"/>
        <w:jc w:val="left"/>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8.广西壮族自治区住房和城乡建设厅文件《关于调整建设工程定额人工费及有关费率的通知》（桂建标〔2018〕年19号）。</w:t>
      </w:r>
    </w:p>
    <w:p>
      <w:pPr>
        <w:pStyle w:val="20"/>
        <w:ind w:firstLine="420" w:firstLineChars="200"/>
        <w:jc w:val="left"/>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9.广西壮族自治区住房和城乡建设厅文件《自治区住房城乡建设厅关于调整建设工程计价增值税税率的通知》(桂建标〔2019〕12号)。</w:t>
      </w:r>
    </w:p>
    <w:p>
      <w:pPr>
        <w:pStyle w:val="20"/>
        <w:ind w:firstLine="420" w:firstLineChars="200"/>
        <w:jc w:val="left"/>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10.本项目采用简易计税法。</w:t>
      </w:r>
    </w:p>
    <w:p>
      <w:pPr>
        <w:pStyle w:val="20"/>
        <w:ind w:firstLine="420" w:firstLineChars="200"/>
        <w:jc w:val="left"/>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11.材料价格信息：材料价格主要按照《桂林市建设工程造价信息》2024年第4期桂林市信息价计算，桂林市信息价没有的，部分材料采用桂林市市场价格计算。</w:t>
      </w:r>
    </w:p>
    <w:p>
      <w:pPr>
        <w:pStyle w:val="20"/>
        <w:ind w:firstLine="420" w:firstLineChars="200"/>
        <w:jc w:val="left"/>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12.技术施工文件及图纸。</w:t>
      </w:r>
    </w:p>
    <w:p>
      <w:pPr>
        <w:pStyle w:val="20"/>
        <w:ind w:firstLine="420" w:firstLineChars="200"/>
        <w:jc w:val="left"/>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13.其他有关文件。</w:t>
      </w:r>
    </w:p>
    <w:p>
      <w:pPr>
        <w:tabs>
          <w:tab w:val="left" w:pos="2492"/>
        </w:tabs>
        <w:spacing w:line="360" w:lineRule="auto"/>
        <w:ind w:firstLine="422" w:firstLineChars="200"/>
        <w:rPr>
          <w:rFonts w:ascii="宋体" w:hAnsi="宋体" w:cs="宋体"/>
        </w:rPr>
      </w:pPr>
      <w:r>
        <w:rPr>
          <w:rFonts w:hint="eastAsia" w:ascii="宋体" w:hAnsi="宋体" w:cs="宋体"/>
          <w:b/>
        </w:rPr>
        <w:t>15.3本项目有二次报价，如二次报价总价有变动，除报总价外还须提供二次报价的已标价工程量清单作为应答文件的组成部分并加盖单位公章（不得以总价下浮的方式做报价，否则作无效磋商处理），磋商供应商需提前做好相关准备（加盖公章的二次报价的工程量清单扫描件），并根据二次报价指令在规定的时间内递交报价文件，报价高于采购预算控制价的竞争性磋商响应文件将被拒绝；如磋商供应商在二次报价时，总报价不做改变，则只需报总价，无需提供二次报价的已标价工程量清单。</w:t>
      </w:r>
    </w:p>
    <w:p>
      <w:pPr>
        <w:spacing w:line="360" w:lineRule="auto"/>
        <w:ind w:firstLine="420" w:firstLineChars="200"/>
        <w:rPr>
          <w:rFonts w:ascii="宋体" w:hAnsi="宋体" w:cs="宋体"/>
        </w:rPr>
      </w:pPr>
      <w:r>
        <w:rPr>
          <w:rFonts w:hint="eastAsia" w:ascii="宋体" w:hAnsi="宋体" w:cs="宋体"/>
        </w:rPr>
        <w:t>15.4竞标报价（最后报价）超过规定的采购预算金额或者最高限价的（如本项目公布了最高限价），其响应文件将作无效处理。</w:t>
      </w:r>
      <w:bookmarkStart w:id="12" w:name="_Hlk42592874"/>
    </w:p>
    <w:bookmarkEnd w:id="12"/>
    <w:p>
      <w:pPr>
        <w:spacing w:line="360" w:lineRule="auto"/>
        <w:rPr>
          <w:rFonts w:ascii="宋体" w:hAnsi="宋体" w:cs="宋体"/>
          <w:b/>
          <w:bCs/>
        </w:rPr>
      </w:pPr>
      <w:r>
        <w:rPr>
          <w:rFonts w:hint="eastAsia" w:ascii="宋体" w:hAnsi="宋体" w:cs="宋体"/>
          <w:b/>
          <w:bCs/>
        </w:rPr>
        <w:t>16.竞标有效期</w:t>
      </w:r>
    </w:p>
    <w:p>
      <w:pPr>
        <w:spacing w:line="360" w:lineRule="auto"/>
        <w:ind w:firstLine="420" w:firstLineChars="200"/>
        <w:rPr>
          <w:rFonts w:ascii="宋体" w:hAnsi="宋体" w:cs="宋体"/>
        </w:rPr>
      </w:pPr>
      <w:r>
        <w:rPr>
          <w:rFonts w:hint="eastAsia" w:ascii="宋体" w:hAnsi="宋体" w:cs="宋体"/>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hAnsi="宋体" w:cs="宋体"/>
        </w:rPr>
      </w:pPr>
      <w:r>
        <w:rPr>
          <w:rFonts w:hint="eastAsia" w:ascii="宋体" w:hAnsi="宋体" w:cs="宋体"/>
        </w:rPr>
        <w:t>16.2 竞标有效期应由供应商按“磋商须知前附表”规定的期限作出响应。</w:t>
      </w:r>
    </w:p>
    <w:p>
      <w:pPr>
        <w:spacing w:line="360" w:lineRule="auto"/>
        <w:ind w:firstLine="420" w:firstLineChars="200"/>
        <w:rPr>
          <w:rFonts w:ascii="宋体" w:hAnsi="宋体" w:cs="宋体"/>
        </w:rPr>
      </w:pPr>
      <w:r>
        <w:rPr>
          <w:rFonts w:hint="eastAsia" w:ascii="宋体" w:hAnsi="宋体" w:cs="宋体"/>
        </w:rPr>
        <w:t>16.3供应商的响应文件在竞标有效期内均保持有效。</w:t>
      </w:r>
    </w:p>
    <w:p>
      <w:pPr>
        <w:spacing w:line="360" w:lineRule="auto"/>
        <w:rPr>
          <w:rFonts w:ascii="宋体" w:hAnsi="宋体" w:cs="宋体"/>
          <w:b/>
          <w:bCs/>
        </w:rPr>
      </w:pPr>
      <w:r>
        <w:rPr>
          <w:rFonts w:hint="eastAsia" w:ascii="宋体" w:hAnsi="宋体" w:cs="宋体"/>
          <w:b/>
          <w:bCs/>
        </w:rPr>
        <w:t>17.磋商保证金：</w:t>
      </w:r>
      <w:r>
        <w:rPr>
          <w:rFonts w:hint="eastAsia" w:ascii="宋体" w:hAnsi="宋体" w:cs="宋体"/>
        </w:rPr>
        <w:t>按“磋商须知前附表”的规定提交磋商保证金。</w:t>
      </w:r>
    </w:p>
    <w:p>
      <w:pPr>
        <w:spacing w:line="360" w:lineRule="auto"/>
        <w:rPr>
          <w:rFonts w:ascii="宋体" w:hAnsi="宋体" w:cs="宋体"/>
          <w:b/>
          <w:bCs/>
        </w:rPr>
      </w:pPr>
      <w:r>
        <w:rPr>
          <w:rFonts w:hint="eastAsia" w:ascii="宋体" w:hAnsi="宋体" w:cs="宋体"/>
          <w:b/>
          <w:bCs/>
        </w:rPr>
        <w:t>18.响应文件编制的要求</w:t>
      </w:r>
    </w:p>
    <w:p>
      <w:pPr>
        <w:spacing w:line="360" w:lineRule="auto"/>
        <w:ind w:firstLine="420" w:firstLineChars="200"/>
        <w:rPr>
          <w:rFonts w:ascii="宋体" w:hAnsi="宋体" w:cs="宋体"/>
        </w:rPr>
      </w:pPr>
      <w:r>
        <w:rPr>
          <w:rFonts w:hint="eastAsia" w:ascii="宋体" w:hAnsi="宋体" w:cs="宋体"/>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pPr>
        <w:spacing w:line="360" w:lineRule="auto"/>
        <w:ind w:firstLine="420" w:firstLineChars="200"/>
        <w:rPr>
          <w:rFonts w:ascii="宋体" w:hAnsi="宋体" w:cs="宋体"/>
        </w:rPr>
      </w:pPr>
      <w:r>
        <w:rPr>
          <w:rFonts w:hint="eastAsia" w:ascii="宋体" w:hAnsi="宋体" w:cs="宋体"/>
        </w:rPr>
        <w:t>18.2</w:t>
      </w:r>
      <w:r>
        <w:rPr>
          <w:rFonts w:hint="eastAsia" w:ascii="宋体" w:hAnsi="宋体" w:cs="宋体"/>
          <w:b/>
          <w:bCs/>
        </w:rPr>
        <w:t>响应文件应按资格证明、报价分别编制，商务技术文件合并编制，本磋商只接受电子版响应文件。</w:t>
      </w:r>
    </w:p>
    <w:p>
      <w:pPr>
        <w:spacing w:line="360" w:lineRule="auto"/>
        <w:ind w:firstLine="420" w:firstLineChars="200"/>
        <w:rPr>
          <w:rFonts w:ascii="宋体" w:hAnsi="宋体" w:cs="宋体"/>
        </w:rPr>
      </w:pPr>
      <w:r>
        <w:rPr>
          <w:rFonts w:hint="eastAsia" w:ascii="宋体" w:hAnsi="宋体" w:cs="宋体"/>
        </w:rPr>
        <w:t>18.</w:t>
      </w:r>
      <w:bookmarkStart w:id="13" w:name="_Hlk65832699"/>
      <w:r>
        <w:rPr>
          <w:rFonts w:hint="eastAsia" w:ascii="宋体" w:hAnsi="宋体" w:cs="宋体"/>
        </w:rPr>
        <w:t>3</w:t>
      </w:r>
      <w:r>
        <w:rPr>
          <w:rFonts w:hint="eastAsia" w:ascii="宋体" w:hAnsi="宋体"/>
        </w:rPr>
        <w:t>响应文件须由供应商在</w:t>
      </w:r>
      <w:r>
        <w:rPr>
          <w:rFonts w:hint="eastAsia" w:ascii="宋体" w:hAnsi="宋体" w:cs="仿宋_GB2312"/>
          <w:kern w:val="0"/>
          <w:lang w:val="zh-CN"/>
        </w:rPr>
        <w:t>“</w:t>
      </w:r>
      <w:r>
        <w:rPr>
          <w:rFonts w:hint="eastAsia" w:ascii="宋体" w:hAnsi="宋体"/>
        </w:rPr>
        <w:t>第五章 响应文件格式</w:t>
      </w:r>
      <w:r>
        <w:rPr>
          <w:rFonts w:hint="eastAsia" w:ascii="宋体" w:hAnsi="宋体" w:cs="仿宋_GB2312"/>
          <w:kern w:val="0"/>
          <w:lang w:val="zh-CN"/>
        </w:rPr>
        <w:t>”</w:t>
      </w:r>
      <w:r>
        <w:rPr>
          <w:rFonts w:hint="eastAsia" w:ascii="宋体" w:hAnsi="宋体"/>
        </w:rPr>
        <w:t>规定位置</w:t>
      </w:r>
      <w:r>
        <w:rPr>
          <w:rFonts w:hint="eastAsia" w:ascii="宋体" w:hAnsi="宋体" w:cs="仿宋_GB2312"/>
        </w:rPr>
        <w:t>进行签署、盖章</w:t>
      </w:r>
      <w:bookmarkEnd w:id="13"/>
      <w:r>
        <w:rPr>
          <w:rFonts w:hint="eastAsia" w:ascii="宋体" w:hAnsi="宋体" w:cs="宋体"/>
        </w:rPr>
        <w:t>，否则其响应文件按无效响应处理。骑缝盖公章不视为在规定位置盖章。</w:t>
      </w:r>
    </w:p>
    <w:p>
      <w:pPr>
        <w:spacing w:line="360" w:lineRule="auto"/>
        <w:ind w:firstLine="420" w:firstLineChars="200"/>
        <w:rPr>
          <w:rFonts w:ascii="宋体" w:hAnsi="宋体" w:cs="宋体"/>
        </w:rPr>
      </w:pPr>
      <w:r>
        <w:rPr>
          <w:rFonts w:hint="eastAsia" w:ascii="宋体" w:hAnsi="宋体" w:cs="宋体"/>
        </w:rPr>
        <w:t>18.4响应文件中标注的供应商名称应与营业执照（事业单位法人证书、执业许可证、自然人身份证）及电子公章一致，否则其响应文件按无效响应处理。</w:t>
      </w:r>
    </w:p>
    <w:p>
      <w:pPr>
        <w:spacing w:line="360" w:lineRule="auto"/>
        <w:ind w:firstLine="420" w:firstLineChars="200"/>
        <w:rPr>
          <w:rFonts w:ascii="宋体" w:hAnsi="宋体" w:cs="宋体"/>
        </w:rPr>
      </w:pPr>
      <w:r>
        <w:rPr>
          <w:rFonts w:hint="eastAsia" w:ascii="宋体" w:hAnsi="宋体" w:cs="宋体"/>
        </w:rPr>
        <w:t>18.5响应文件应避免涂改、行间插字或者删除，否则其响应文件按无效响应处理。</w:t>
      </w:r>
    </w:p>
    <w:p>
      <w:pPr>
        <w:spacing w:line="400" w:lineRule="exact"/>
        <w:ind w:firstLine="420" w:firstLineChars="200"/>
        <w:rPr>
          <w:rFonts w:ascii="宋体" w:hAnsi="宋体" w:cs="宋体"/>
          <w:b/>
        </w:rPr>
      </w:pPr>
      <w:r>
        <w:rPr>
          <w:rFonts w:hint="eastAsia" w:ascii="宋体" w:hAnsi="宋体" w:cs="宋体"/>
        </w:rPr>
        <w:t>18.6</w:t>
      </w:r>
      <w:r>
        <w:rPr>
          <w:rFonts w:hint="eastAsia" w:ascii="宋体" w:hAnsi="宋体" w:cs="宋体"/>
          <w:b/>
        </w:rPr>
        <w:t>▲特别说明：（1）响应文件中所须加盖公章部分均采用CA签章。若竞争性磋商采购文件中有专门标注的某关联点，并要求供应商在电子投标系统中作出磋商响应的，如供应商未对关联点进行响应或者在响应文件其它内容进行描述，造成电子评审不能查询的责任由供应商自行承担。</w:t>
      </w:r>
    </w:p>
    <w:p>
      <w:pPr>
        <w:spacing w:line="400" w:lineRule="exact"/>
        <w:ind w:firstLine="422" w:firstLineChars="200"/>
        <w:rPr>
          <w:rFonts w:ascii="宋体" w:hAnsi="宋体" w:cs="宋体"/>
          <w:b/>
        </w:rPr>
      </w:pPr>
      <w:r>
        <w:rPr>
          <w:rFonts w:hint="eastAsia" w:ascii="宋体" w:hAnsi="宋体" w:cs="宋体"/>
          <w:b/>
        </w:rPr>
        <w:t>（2）竞争性磋商采购文件要求提供的的各种复印件，须加盖磋商供应商CA签章，否则其磋商无效。</w:t>
      </w:r>
    </w:p>
    <w:p>
      <w:pPr>
        <w:spacing w:line="400" w:lineRule="exact"/>
        <w:ind w:firstLine="422" w:firstLineChars="200"/>
        <w:rPr>
          <w:rFonts w:ascii="宋体" w:hAnsi="宋体" w:cs="宋体"/>
          <w:b/>
        </w:rPr>
      </w:pPr>
      <w:r>
        <w:rPr>
          <w:rFonts w:hint="eastAsia" w:ascii="宋体" w:hAnsi="宋体" w:cs="宋体"/>
          <w:b/>
        </w:rPr>
        <w:t>（3）竞争性磋商采购文件要求“必须提供”的证明等材料，磋商供应商必须全部提供，缺一不可，否则磋商无效。</w:t>
      </w:r>
    </w:p>
    <w:p>
      <w:pPr>
        <w:spacing w:line="400" w:lineRule="exact"/>
        <w:ind w:firstLine="422" w:firstLineChars="200"/>
        <w:rPr>
          <w:rFonts w:ascii="宋体" w:hAnsi="宋体" w:cs="宋体"/>
          <w:b/>
        </w:rPr>
      </w:pPr>
      <w:r>
        <w:rPr>
          <w:rFonts w:hint="eastAsia" w:ascii="宋体" w:hAnsi="宋体" w:cs="宋体"/>
          <w:b/>
        </w:rPr>
        <w:t>（4）竞争性磋商采购文件要求法定代表人（负责人）或委托代理人签字的部分必须签字或电子签章，否则视为磋商无效。</w:t>
      </w:r>
    </w:p>
    <w:p>
      <w:pPr>
        <w:adjustRightInd w:val="0"/>
        <w:snapToGrid w:val="0"/>
        <w:spacing w:line="360" w:lineRule="exact"/>
        <w:ind w:firstLine="420"/>
        <w:rPr>
          <w:rFonts w:ascii="宋体" w:hAnsi="Courier New"/>
          <w:b/>
          <w:szCs w:val="20"/>
        </w:rPr>
      </w:pPr>
      <w:r>
        <w:rPr>
          <w:rFonts w:hint="eastAsia" w:ascii="宋体" w:hAnsi="Courier New"/>
          <w:b/>
          <w:szCs w:val="20"/>
        </w:rPr>
        <w:t>（5）电子磋商响应文件中须加盖供应商公章部分均采用 CA 签章，并根据“政府采购项目电子交易管理操作指南-供应商”及本竞争性磋商采购文件规定的格式和顺序编制电子磋商响应文件并进行关联定位，以便磋商小组在评审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漏读，或者在按竞争性磋商文件规定的部位查找不到相关内容的，由供应商自行承担。</w:t>
      </w:r>
    </w:p>
    <w:p>
      <w:pPr>
        <w:adjustRightInd w:val="0"/>
        <w:snapToGrid w:val="0"/>
        <w:spacing w:line="360" w:lineRule="exact"/>
        <w:ind w:firstLine="420"/>
        <w:rPr>
          <w:rFonts w:ascii="宋体" w:hAnsi="Courier New"/>
          <w:b/>
          <w:szCs w:val="20"/>
        </w:rPr>
      </w:pPr>
      <w:r>
        <w:rPr>
          <w:rFonts w:hint="eastAsia" w:ascii="宋体" w:hAnsi="Courier New"/>
          <w:b/>
          <w:szCs w:val="20"/>
        </w:rPr>
        <w:t>（6）磋商响应文件不得涂改，若有修改错漏处，须法定代表人（负责人）或授权委托人签字。磋商响应文件因字迹潦草或表达不清所引起的后果由供应商负责。</w:t>
      </w:r>
    </w:p>
    <w:p>
      <w:pPr>
        <w:shd w:val="clear" w:color="auto" w:fill="FFFFFF"/>
        <w:spacing w:line="360" w:lineRule="auto"/>
        <w:rPr>
          <w:rFonts w:ascii="宋体" w:hAnsi="宋体"/>
          <w:b/>
          <w:bCs/>
        </w:rPr>
      </w:pPr>
    </w:p>
    <w:p>
      <w:pPr>
        <w:shd w:val="clear" w:color="auto" w:fill="FFFFFF"/>
        <w:spacing w:line="360" w:lineRule="auto"/>
        <w:rPr>
          <w:rFonts w:ascii="宋体" w:hAnsi="宋体"/>
          <w:b/>
          <w:bCs/>
        </w:rPr>
      </w:pPr>
      <w:r>
        <w:rPr>
          <w:rFonts w:hint="eastAsia" w:ascii="宋体" w:hAnsi="宋体"/>
          <w:b/>
          <w:bCs/>
        </w:rPr>
        <w:t>19.响应文件的密封和标记</w:t>
      </w:r>
    </w:p>
    <w:p>
      <w:pPr>
        <w:spacing w:line="360" w:lineRule="auto"/>
        <w:ind w:firstLine="420" w:firstLineChars="200"/>
        <w:rPr>
          <w:rFonts w:ascii="宋体" w:hAnsi="宋体" w:cs="仿宋_GB2312"/>
          <w:kern w:val="0"/>
          <w:lang w:val="zh-CN"/>
        </w:rPr>
      </w:pPr>
      <w:r>
        <w:rPr>
          <w:rFonts w:hint="eastAsia" w:ascii="宋体" w:hAnsi="宋体" w:cs="仿宋_GB2312"/>
          <w:kern w:val="0"/>
          <w:lang w:val="zh-CN"/>
        </w:rPr>
        <w:t>19.1供应商进行电子交易应安装客户端软件—“</w:t>
      </w:r>
      <w:r>
        <w:rPr>
          <w:rFonts w:hint="eastAsia" w:ascii="宋体" w:hAnsi="宋体" w:cs="仿宋_GB2312"/>
          <w:kern w:val="0"/>
        </w:rPr>
        <w:t>广西</w:t>
      </w:r>
      <w:r>
        <w:rPr>
          <w:rFonts w:hint="eastAsia" w:ascii="宋体" w:hAnsi="宋体" w:cs="仿宋_GB2312"/>
          <w:kern w:val="0"/>
          <w:lang w:val="zh-CN"/>
        </w:rPr>
        <w:t>政采云电子交易客户端”，并按照磋商文件和电子交易平台的要求编制并加密响应文件。供应商未按规定加密的响应文件，电子交易平台将拒收并提示。</w:t>
      </w:r>
    </w:p>
    <w:p>
      <w:pPr>
        <w:spacing w:line="360" w:lineRule="auto"/>
        <w:ind w:firstLine="420" w:firstLineChars="200"/>
        <w:rPr>
          <w:rFonts w:ascii="宋体" w:hAnsi="宋体" w:cs="仿宋_GB2312"/>
          <w:kern w:val="0"/>
          <w:lang w:val="zh-CN"/>
        </w:rPr>
      </w:pPr>
      <w:r>
        <w:rPr>
          <w:rFonts w:hint="eastAsia" w:ascii="宋体" w:hAnsi="宋体" w:cs="仿宋_GB2312"/>
          <w:kern w:val="0"/>
          <w:lang w:val="zh-CN"/>
        </w:rPr>
        <w:t>19.2使用“</w:t>
      </w:r>
      <w:r>
        <w:rPr>
          <w:rFonts w:hint="eastAsia" w:ascii="宋体" w:hAnsi="宋体" w:cs="仿宋_GB2312"/>
          <w:kern w:val="0"/>
        </w:rPr>
        <w:t>广西</w:t>
      </w:r>
      <w:r>
        <w:rPr>
          <w:rFonts w:hint="eastAsia" w:ascii="宋体" w:hAnsi="宋体" w:cs="仿宋_GB2312"/>
          <w:kern w:val="0"/>
          <w:lang w:val="zh-CN"/>
        </w:rPr>
        <w:t>政采云电子交易客户端”需要提前申领CA数字证书，申领流程见该项目采购公告附件。</w:t>
      </w:r>
    </w:p>
    <w:p>
      <w:pPr>
        <w:spacing w:line="360" w:lineRule="auto"/>
        <w:ind w:firstLine="396" w:firstLineChars="200"/>
        <w:rPr>
          <w:rFonts w:ascii="宋体" w:hAnsi="宋体" w:cs="仿宋_GB2312"/>
          <w:spacing w:val="-6"/>
          <w:kern w:val="0"/>
          <w:lang w:val="zh-CN"/>
        </w:rPr>
      </w:pPr>
      <w:r>
        <w:rPr>
          <w:rFonts w:hint="eastAsia" w:ascii="宋体" w:hAnsi="宋体" w:cs="仿宋_GB2312"/>
          <w:spacing w:val="-6"/>
          <w:kern w:val="0"/>
          <w:lang w:val="zh-CN"/>
        </w:rPr>
        <w:t>19.3为确保网上操作合法、有效和安全，供应商应当在响应文件提交截止时间前完成在“政府采购云平台”的身份认证，确保在电子交易过程中能够对相关数据电文进行加密和使用电子签名。</w:t>
      </w:r>
    </w:p>
    <w:p>
      <w:pPr>
        <w:shd w:val="clear" w:color="auto" w:fill="FFFFFF"/>
        <w:spacing w:line="360" w:lineRule="auto"/>
        <w:rPr>
          <w:rFonts w:ascii="宋体" w:hAnsi="宋体"/>
          <w:b/>
          <w:bCs/>
        </w:rPr>
      </w:pPr>
      <w:r>
        <w:rPr>
          <w:rFonts w:hint="eastAsia" w:ascii="宋体" w:hAnsi="宋体"/>
          <w:b/>
          <w:bCs/>
        </w:rPr>
        <w:t>20. 竞争性磋商响应文件的递交</w:t>
      </w:r>
    </w:p>
    <w:p>
      <w:pPr>
        <w:spacing w:line="360" w:lineRule="auto"/>
        <w:ind w:firstLine="420" w:firstLineChars="200"/>
        <w:rPr>
          <w:rFonts w:ascii="宋体" w:hAnsi="宋体"/>
        </w:rPr>
      </w:pPr>
      <w:r>
        <w:rPr>
          <w:rFonts w:hint="eastAsia" w:ascii="宋体" w:hAnsi="宋体"/>
        </w:rPr>
        <w:t>20.1</w:t>
      </w:r>
      <w:r>
        <w:rPr>
          <w:rFonts w:hint="eastAsia" w:ascii="宋体" w:hAnsi="宋体" w:cs="宋体"/>
        </w:rPr>
        <w:t>供应商必须在“磋商须知前附表”规定的时间和地点提交响应文件。</w:t>
      </w:r>
    </w:p>
    <w:p>
      <w:pPr>
        <w:spacing w:line="360" w:lineRule="auto"/>
        <w:ind w:firstLine="420" w:firstLineChars="200"/>
        <w:rPr>
          <w:rFonts w:ascii="宋体" w:hAnsi="宋体"/>
        </w:rPr>
      </w:pPr>
      <w:r>
        <w:rPr>
          <w:rFonts w:hint="eastAsia" w:ascii="宋体" w:hAnsi="宋体"/>
        </w:rPr>
        <w:t>20.2 在响应文件提交截止时间以后，不能补充、修改响应文件。</w:t>
      </w:r>
    </w:p>
    <w:p>
      <w:pPr>
        <w:spacing w:line="360" w:lineRule="auto"/>
        <w:ind w:firstLine="420" w:firstLineChars="200"/>
        <w:rPr>
          <w:rFonts w:ascii="宋体" w:hAnsi="宋体"/>
        </w:rPr>
      </w:pPr>
      <w:r>
        <w:rPr>
          <w:rFonts w:hint="eastAsia" w:ascii="宋体" w:hAnsi="宋体"/>
        </w:rPr>
        <w:t>20.3 在提交“最后报价”后，供应商不能退出谈判。</w:t>
      </w:r>
    </w:p>
    <w:p>
      <w:pPr>
        <w:spacing w:line="360" w:lineRule="auto"/>
        <w:ind w:firstLine="420" w:firstLineChars="200"/>
        <w:rPr>
          <w:rFonts w:ascii="宋体" w:hAnsi="宋体"/>
        </w:rPr>
      </w:pPr>
      <w:r>
        <w:rPr>
          <w:rFonts w:hint="eastAsia" w:ascii="宋体" w:hAnsi="宋体"/>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ascii="宋体" w:hAnsi="宋体"/>
        </w:rPr>
      </w:pPr>
      <w:r>
        <w:rPr>
          <w:rFonts w:hint="eastAsia" w:ascii="宋体" w:hAnsi="宋体"/>
        </w:rPr>
        <w:t>20.5 采购机构不可视情况延长提交响应文件的截止时间。</w:t>
      </w:r>
    </w:p>
    <w:p>
      <w:pPr>
        <w:shd w:val="clear" w:color="auto" w:fill="FFFFFF"/>
        <w:spacing w:line="360" w:lineRule="auto"/>
        <w:rPr>
          <w:rFonts w:ascii="宋体" w:hAnsi="宋体"/>
          <w:b/>
          <w:bCs/>
        </w:rPr>
      </w:pPr>
      <w:r>
        <w:rPr>
          <w:rFonts w:hint="eastAsia" w:ascii="宋体" w:hAnsi="宋体"/>
          <w:b/>
          <w:bCs/>
        </w:rPr>
        <w:t>21.首次响应文件的补充、修改与撤回</w:t>
      </w:r>
    </w:p>
    <w:p>
      <w:pPr>
        <w:spacing w:line="360" w:lineRule="auto"/>
        <w:ind w:firstLine="420" w:firstLineChars="200"/>
        <w:rPr>
          <w:rFonts w:ascii="宋体" w:hAnsi="宋体" w:cs="宋体"/>
        </w:rPr>
      </w:pPr>
      <w:r>
        <w:rPr>
          <w:rFonts w:hint="eastAsia" w:ascii="宋体" w:hAnsi="宋体" w:cs="宋体"/>
        </w:rPr>
        <w:t>详见“磋商须知前附表”。</w:t>
      </w:r>
    </w:p>
    <w:p>
      <w:pPr>
        <w:shd w:val="clear" w:color="auto" w:fill="FFFFFF"/>
        <w:spacing w:line="360" w:lineRule="auto"/>
        <w:rPr>
          <w:rFonts w:ascii="宋体" w:hAnsi="宋体"/>
          <w:b/>
          <w:bCs/>
        </w:rPr>
      </w:pPr>
      <w:bookmarkStart w:id="14" w:name="_Hlk45702405"/>
      <w:r>
        <w:rPr>
          <w:rFonts w:hint="eastAsia" w:ascii="宋体" w:hAnsi="宋体"/>
          <w:b/>
          <w:bCs/>
        </w:rPr>
        <w:t>22. 首次响应文件的退回</w:t>
      </w:r>
    </w:p>
    <w:p>
      <w:pPr>
        <w:spacing w:line="360" w:lineRule="auto"/>
        <w:ind w:firstLine="396" w:firstLineChars="200"/>
        <w:rPr>
          <w:rFonts w:ascii="宋体" w:hAnsi="宋体" w:cs="宋体"/>
          <w:spacing w:val="-6"/>
        </w:rPr>
      </w:pPr>
      <w:r>
        <w:rPr>
          <w:rFonts w:hint="eastAsia" w:ascii="宋体" w:hAnsi="宋体" w:cs="宋体"/>
          <w:spacing w:val="-6"/>
        </w:rPr>
        <w:t>在首次响应文件提交截止时间止提交响应文件的供应商不足3家时电子响应文件由代理机构在“政采云”平台操作退回，除此之外采购人和采购代理机构对已提交的电子响应文件概不退回。</w:t>
      </w:r>
    </w:p>
    <w:p>
      <w:pPr>
        <w:shd w:val="clear" w:color="auto" w:fill="FFFFFF"/>
        <w:spacing w:line="360" w:lineRule="auto"/>
        <w:rPr>
          <w:rFonts w:ascii="宋体" w:hAnsi="宋体"/>
          <w:b/>
          <w:bCs/>
        </w:rPr>
      </w:pPr>
      <w:r>
        <w:rPr>
          <w:rFonts w:hint="eastAsia" w:ascii="宋体" w:hAnsi="宋体"/>
          <w:b/>
          <w:bCs/>
        </w:rPr>
        <w:t>23. 截止时间后的撤回</w:t>
      </w:r>
    </w:p>
    <w:p>
      <w:pPr>
        <w:spacing w:line="360" w:lineRule="auto"/>
        <w:ind w:firstLine="420" w:firstLineChars="200"/>
        <w:rPr>
          <w:rFonts w:ascii="宋体" w:hAnsi="宋体"/>
        </w:rPr>
      </w:pPr>
      <w:r>
        <w:rPr>
          <w:rFonts w:hint="eastAsia" w:ascii="宋体" w:hAnsi="宋体" w:cs="宋体"/>
        </w:rPr>
        <w:t>本项目不收取磋商保证金，供应商在首次响应文件提交截止时间后可向采购人、采购代理机构书面申请撤回电子响应文件。</w:t>
      </w:r>
      <w:bookmarkEnd w:id="14"/>
    </w:p>
    <w:p>
      <w:pPr>
        <w:pStyle w:val="26"/>
        <w:spacing w:line="420" w:lineRule="exact"/>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四、评审和磋商</w:t>
      </w:r>
    </w:p>
    <w:p>
      <w:pPr>
        <w:spacing w:line="460" w:lineRule="exact"/>
        <w:ind w:firstLine="417" w:firstLineChars="195"/>
        <w:rPr>
          <w:rFonts w:asciiTheme="minorEastAsia" w:hAnsiTheme="minorEastAsia" w:eastAsiaTheme="minorEastAsia" w:cstheme="minorEastAsia"/>
          <w:spacing w:val="2"/>
        </w:rPr>
      </w:pPr>
    </w:p>
    <w:p>
      <w:pPr>
        <w:pStyle w:val="26"/>
        <w:spacing w:line="360" w:lineRule="auto"/>
        <w:rPr>
          <w:rFonts w:hAnsi="宋体"/>
          <w:b/>
          <w:bCs/>
          <w:sz w:val="21"/>
        </w:rPr>
      </w:pPr>
      <w:r>
        <w:rPr>
          <w:rFonts w:hint="eastAsia" w:hAnsi="宋体"/>
          <w:b/>
          <w:bCs/>
          <w:sz w:val="21"/>
        </w:rPr>
        <w:t>24.磋商小组的组建</w:t>
      </w:r>
    </w:p>
    <w:p>
      <w:pPr>
        <w:spacing w:line="360" w:lineRule="auto"/>
        <w:ind w:firstLine="420" w:firstLineChars="200"/>
        <w:rPr>
          <w:rFonts w:ascii="宋体" w:hAnsi="宋体" w:cs="宋体"/>
        </w:rPr>
      </w:pPr>
      <w:r>
        <w:rPr>
          <w:rFonts w:hint="eastAsia" w:ascii="宋体" w:hAnsi="宋体" w:cs="宋体"/>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pStyle w:val="6"/>
        <w:ind w:firstLine="420" w:firstLineChars="200"/>
        <w:jc w:val="left"/>
        <w:rPr>
          <w:rFonts w:ascii="宋体" w:hAnsi="宋体" w:cs="宋体"/>
          <w:b w:val="0"/>
          <w:bCs w:val="0"/>
          <w:sz w:val="21"/>
          <w:szCs w:val="21"/>
        </w:rPr>
      </w:pPr>
      <w:r>
        <w:rPr>
          <w:rFonts w:hint="eastAsia" w:ascii="宋体" w:hAnsi="宋体" w:cs="宋体"/>
          <w:b w:val="0"/>
          <w:bCs w:val="0"/>
          <w:sz w:val="21"/>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rPr>
          <w:rFonts w:asciiTheme="minorEastAsia" w:hAnsiTheme="minorEastAsia" w:eastAsiaTheme="minorEastAsia" w:cstheme="minorEastAsia"/>
          <w:b/>
          <w:bCs/>
        </w:rPr>
      </w:pPr>
      <w:r>
        <w:rPr>
          <w:rFonts w:hint="eastAsia" w:asciiTheme="minorEastAsia" w:hAnsiTheme="minorEastAsia" w:eastAsiaTheme="minorEastAsia" w:cstheme="minorEastAsia"/>
          <w:b/>
          <w:bCs/>
        </w:rPr>
        <w:t>25.首次响应文件的开启</w:t>
      </w:r>
    </w:p>
    <w:p>
      <w:pPr>
        <w:spacing w:line="360" w:lineRule="auto"/>
        <w:ind w:firstLine="420" w:firstLineChars="200"/>
        <w:rPr>
          <w:rFonts w:ascii="宋体" w:hAnsi="宋体" w:cs="宋体"/>
        </w:rPr>
      </w:pPr>
      <w:r>
        <w:rPr>
          <w:rFonts w:hint="eastAsia" w:ascii="宋体" w:hAnsi="宋体" w:cs="宋体"/>
        </w:rPr>
        <w:t>25</w:t>
      </w:r>
      <w:r>
        <w:rPr>
          <w:rFonts w:ascii="宋体" w:hAnsi="宋体" w:cs="宋体"/>
        </w:rPr>
        <w:t>.1</w:t>
      </w:r>
      <w:r>
        <w:rPr>
          <w:rFonts w:hint="eastAsia" w:ascii="宋体" w:hAnsi="宋体" w:cs="宋体"/>
        </w:rPr>
        <w:t>首次响应文件由磋商小组或者采购代理机构在“磋商须知前附表”规定的时间开启。</w:t>
      </w:r>
    </w:p>
    <w:p>
      <w:pPr>
        <w:pStyle w:val="26"/>
        <w:spacing w:line="360" w:lineRule="auto"/>
        <w:ind w:firstLine="420" w:firstLineChars="200"/>
        <w:rPr>
          <w:rFonts w:hAnsi="宋体"/>
          <w:bCs/>
          <w:sz w:val="21"/>
        </w:rPr>
      </w:pPr>
      <w:r>
        <w:rPr>
          <w:rFonts w:hAnsi="宋体"/>
          <w:sz w:val="21"/>
        </w:rPr>
        <w:t>2</w:t>
      </w:r>
      <w:r>
        <w:rPr>
          <w:rFonts w:hint="eastAsia" w:hAnsi="宋体"/>
          <w:sz w:val="21"/>
        </w:rPr>
        <w:t>5</w:t>
      </w:r>
      <w:r>
        <w:rPr>
          <w:rFonts w:hAnsi="宋体"/>
          <w:sz w:val="21"/>
        </w:rPr>
        <w:t xml:space="preserve">.2 </w:t>
      </w:r>
      <w:r>
        <w:rPr>
          <w:rFonts w:hint="eastAsia" w:hAnsi="宋体"/>
          <w:bCs/>
          <w:sz w:val="21"/>
        </w:rPr>
        <w:t>响应文件解密</w:t>
      </w:r>
    </w:p>
    <w:p>
      <w:pPr>
        <w:pStyle w:val="26"/>
        <w:snapToGrid w:val="0"/>
        <w:spacing w:line="360" w:lineRule="auto"/>
        <w:ind w:firstLine="420" w:firstLineChars="200"/>
        <w:rPr>
          <w:rFonts w:hAnsi="宋体"/>
          <w:sz w:val="21"/>
        </w:rPr>
      </w:pPr>
      <w:r>
        <w:rPr>
          <w:rFonts w:hint="eastAsia" w:hAnsi="宋体"/>
          <w:bCs/>
          <w:sz w:val="21"/>
        </w:rPr>
        <w:t>采购代理机构将在“磋商须知前附表”规定的时</w:t>
      </w:r>
      <w:r>
        <w:rPr>
          <w:rFonts w:hint="eastAsia" w:hAnsi="宋体"/>
          <w:sz w:val="21"/>
        </w:rPr>
        <w:t>间通过电子交易平台组织响应文件开启，采购机构依托电子交易平台发起开始解密指令，供应商的法定代表人或其委托代理人</w:t>
      </w:r>
      <w:r>
        <w:rPr>
          <w:rFonts w:hint="eastAsia" w:hAnsi="宋体"/>
          <w:b/>
          <w:sz w:val="21"/>
        </w:rPr>
        <w:t>须携带加密时所用的CA锁按平台提示和采购文件的规定登录到“广西政采云”平台电子开标大厅签到并在发起解密指令之时起30分钟内完成对电子响应文件在线解密</w:t>
      </w:r>
      <w:r>
        <w:rPr>
          <w:rFonts w:hint="eastAsia" w:hAnsi="宋体"/>
          <w:sz w:val="21"/>
        </w:rPr>
        <w:t>。发起解密指令之时起5分钟内供应商还未进行解密的，代理机构要通知供应商，供应商没预留联系方式或预留联系方式无效，导致代理机构无法联系到供应商进行解密的，</w:t>
      </w:r>
      <w:r>
        <w:rPr>
          <w:rFonts w:hint="eastAsia" w:hAnsi="宋体"/>
          <w:b/>
          <w:sz w:val="21"/>
        </w:rPr>
        <w:t>视为响应文件无效。</w:t>
      </w:r>
      <w:r>
        <w:rPr>
          <w:rFonts w:hint="eastAsia" w:hAnsi="宋体"/>
          <w:sz w:val="21"/>
        </w:rPr>
        <w:t>（解密</w:t>
      </w:r>
      <w:r>
        <w:rPr>
          <w:rFonts w:hint="eastAsia" w:hAnsi="宋体"/>
          <w:bCs/>
          <w:sz w:val="21"/>
        </w:rPr>
        <w:t>异常情况处理：详见本章</w:t>
      </w:r>
      <w:r>
        <w:rPr>
          <w:rFonts w:hint="eastAsia" w:hAnsi="宋体"/>
          <w:sz w:val="21"/>
        </w:rPr>
        <w:t>26.3电子交易活动的中止。）</w:t>
      </w:r>
    </w:p>
    <w:p>
      <w:pPr>
        <w:pStyle w:val="26"/>
        <w:spacing w:line="360" w:lineRule="auto"/>
        <w:ind w:firstLine="420" w:firstLineChars="200"/>
        <w:rPr>
          <w:sz w:val="21"/>
          <w:szCs w:val="21"/>
        </w:rPr>
      </w:pPr>
      <w:r>
        <w:rPr>
          <w:rFonts w:hint="eastAsia" w:hAnsi="宋体"/>
          <w:sz w:val="21"/>
          <w:szCs w:val="21"/>
        </w:rPr>
        <w:t>如</w:t>
      </w:r>
      <w:r>
        <w:rPr>
          <w:rFonts w:hint="eastAsia" w:hAnsi="宋体"/>
          <w:bCs/>
          <w:sz w:val="21"/>
          <w:szCs w:val="21"/>
        </w:rPr>
        <w:t>供应商成功解密响应文件，但未在“广西政采云”电子开标大厅参加谈判的，视同认可谈判过程和结果，</w:t>
      </w:r>
      <w:r>
        <w:rPr>
          <w:rFonts w:hint="eastAsia" w:hAnsi="宋体"/>
          <w:sz w:val="21"/>
          <w:szCs w:val="21"/>
        </w:rPr>
        <w:t>由此产生的后果由供应商自行负责。参与谈判的供应商</w:t>
      </w:r>
      <w:r>
        <w:rPr>
          <w:rFonts w:hint="eastAsia"/>
          <w:sz w:val="21"/>
          <w:szCs w:val="21"/>
        </w:rPr>
        <w:t>不足3家的，不得谈判。</w:t>
      </w:r>
    </w:p>
    <w:p>
      <w:pPr>
        <w:spacing w:line="360" w:lineRule="auto"/>
        <w:rPr>
          <w:rFonts w:asciiTheme="minorEastAsia" w:hAnsiTheme="minorEastAsia" w:eastAsiaTheme="minorEastAsia" w:cstheme="minorEastAsia"/>
          <w:b/>
          <w:bCs/>
        </w:rPr>
      </w:pPr>
      <w:r>
        <w:rPr>
          <w:rFonts w:hint="eastAsia" w:asciiTheme="minorEastAsia" w:hAnsiTheme="minorEastAsia" w:eastAsiaTheme="minorEastAsia" w:cstheme="minorEastAsia"/>
          <w:b/>
          <w:bCs/>
        </w:rPr>
        <w:t>26.评审程序、评审方法和评审标准</w:t>
      </w:r>
    </w:p>
    <w:p>
      <w:pPr>
        <w:spacing w:line="360" w:lineRule="auto"/>
        <w:ind w:firstLine="420" w:firstLineChars="200"/>
        <w:rPr>
          <w:rFonts w:ascii="宋体" w:hAnsi="宋体" w:cs="宋体"/>
        </w:rPr>
      </w:pPr>
      <w:r>
        <w:rPr>
          <w:rFonts w:ascii="宋体" w:hAnsi="宋体" w:cs="宋体"/>
        </w:rPr>
        <w:t>26.1</w:t>
      </w:r>
      <w:r>
        <w:rPr>
          <w:rFonts w:hint="eastAsia" w:ascii="宋体" w:hAnsi="宋体" w:cs="宋体"/>
        </w:rPr>
        <w:t>磋商小组</w:t>
      </w:r>
      <w:r>
        <w:rPr>
          <w:rFonts w:ascii="宋体" w:hAnsi="宋体" w:cs="宋体"/>
        </w:rPr>
        <w:t>按照</w:t>
      </w:r>
      <w:r>
        <w:rPr>
          <w:rFonts w:hint="eastAsia" w:ascii="宋体" w:hAnsi="宋体" w:cs="宋体"/>
        </w:rPr>
        <w:t>“第四章 评审程序、评审方法和评审标准”</w:t>
      </w:r>
      <w:r>
        <w:rPr>
          <w:rFonts w:ascii="宋体" w:hAnsi="宋体" w:cs="宋体"/>
        </w:rPr>
        <w:t>规定的方法、评审因素、标准和程序对</w:t>
      </w:r>
      <w:r>
        <w:rPr>
          <w:rFonts w:hint="eastAsia" w:ascii="宋体" w:hAnsi="宋体" w:cs="宋体"/>
        </w:rPr>
        <w:t>响应</w:t>
      </w:r>
      <w:r>
        <w:rPr>
          <w:rFonts w:ascii="宋体" w:hAnsi="宋体" w:cs="宋体"/>
        </w:rPr>
        <w:t>文件进行评审。</w:t>
      </w:r>
    </w:p>
    <w:p>
      <w:pPr>
        <w:spacing w:line="360" w:lineRule="auto"/>
        <w:ind w:firstLine="420" w:firstLineChars="200"/>
        <w:rPr>
          <w:rFonts w:ascii="宋体" w:hAnsi="宋体"/>
        </w:rPr>
      </w:pPr>
      <w:r>
        <w:rPr>
          <w:rFonts w:hint="eastAsia" w:ascii="宋体" w:hAnsi="宋体"/>
        </w:rPr>
        <w:t>2</w:t>
      </w:r>
      <w:r>
        <w:rPr>
          <w:rFonts w:ascii="宋体" w:hAnsi="宋体"/>
        </w:rPr>
        <w:t xml:space="preserve">6.2 </w:t>
      </w:r>
      <w:r>
        <w:rPr>
          <w:rFonts w:hint="eastAsia" w:ascii="宋体" w:hAnsi="宋体"/>
        </w:rPr>
        <w:t>磋商顺序详见 “ 磋商须知前附表”。</w:t>
      </w:r>
    </w:p>
    <w:p>
      <w:pPr>
        <w:spacing w:line="360" w:lineRule="auto"/>
        <w:ind w:firstLine="420" w:firstLineChars="200"/>
        <w:rPr>
          <w:rFonts w:ascii="宋体" w:hAnsi="宋体"/>
        </w:rPr>
      </w:pPr>
      <w:r>
        <w:rPr>
          <w:rFonts w:hint="eastAsia" w:ascii="宋体" w:hAnsi="宋体"/>
        </w:rPr>
        <w:t>2</w:t>
      </w:r>
      <w:r>
        <w:rPr>
          <w:rFonts w:ascii="宋体" w:hAnsi="宋体"/>
        </w:rPr>
        <w:t>6.3</w:t>
      </w:r>
      <w:r>
        <w:rPr>
          <w:rFonts w:hint="eastAsia" w:ascii="宋体" w:hAnsi="宋体"/>
        </w:rPr>
        <w:t>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ascii="宋体" w:hAnsi="宋体"/>
        </w:rPr>
      </w:pPr>
      <w:r>
        <w:rPr>
          <w:rFonts w:hint="eastAsia" w:ascii="宋体" w:hAnsi="宋体"/>
        </w:rPr>
        <w:t xml:space="preserve">（1）电子交易平台发生故障而无法登录访问的； </w:t>
      </w:r>
    </w:p>
    <w:p>
      <w:pPr>
        <w:spacing w:line="360" w:lineRule="auto"/>
        <w:ind w:firstLine="420" w:firstLineChars="200"/>
        <w:rPr>
          <w:rFonts w:ascii="宋体" w:hAnsi="宋体"/>
        </w:rPr>
      </w:pPr>
      <w:r>
        <w:rPr>
          <w:rFonts w:hint="eastAsia" w:ascii="宋体" w:hAnsi="宋体"/>
        </w:rPr>
        <w:t>（2）电子交易平台应用或数据库出现错误，不能进行正常操作的；</w:t>
      </w:r>
    </w:p>
    <w:p>
      <w:pPr>
        <w:spacing w:line="360" w:lineRule="auto"/>
        <w:ind w:firstLine="420" w:firstLineChars="200"/>
        <w:rPr>
          <w:rFonts w:ascii="宋体" w:hAnsi="宋体"/>
        </w:rPr>
      </w:pPr>
      <w:r>
        <w:rPr>
          <w:rFonts w:hint="eastAsia" w:ascii="宋体" w:hAnsi="宋体"/>
        </w:rPr>
        <w:t>（3）电子交易平台发现严重安全漏洞，有潜在泄密危险的；</w:t>
      </w:r>
    </w:p>
    <w:p>
      <w:pPr>
        <w:spacing w:line="360" w:lineRule="auto"/>
        <w:ind w:firstLine="420" w:firstLineChars="200"/>
        <w:rPr>
          <w:rFonts w:ascii="宋体" w:hAnsi="宋体"/>
        </w:rPr>
      </w:pPr>
      <w:r>
        <w:rPr>
          <w:rFonts w:hint="eastAsia" w:ascii="宋体" w:hAnsi="宋体"/>
        </w:rPr>
        <w:t xml:space="preserve">（4）病毒发作导致不能进行正常操作的； </w:t>
      </w:r>
    </w:p>
    <w:p>
      <w:pPr>
        <w:spacing w:line="360" w:lineRule="auto"/>
        <w:ind w:firstLine="420" w:firstLineChars="200"/>
        <w:rPr>
          <w:rFonts w:ascii="宋体" w:hAnsi="宋体"/>
        </w:rPr>
      </w:pPr>
      <w:r>
        <w:rPr>
          <w:rFonts w:hint="eastAsia" w:ascii="宋体" w:hAnsi="宋体"/>
        </w:rPr>
        <w:t>（5）其他无法保证电子交易的公平、公正和安全的情况。</w:t>
      </w:r>
    </w:p>
    <w:p>
      <w:pPr>
        <w:spacing w:line="360" w:lineRule="auto"/>
        <w:rPr>
          <w:rFonts w:ascii="宋体" w:hAnsi="宋体"/>
        </w:rPr>
      </w:pPr>
      <w:r>
        <w:rPr>
          <w:rFonts w:hint="eastAsia" w:ascii="宋体" w:hAnsi="宋体"/>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5"/>
        <w:spacing w:before="0" w:after="0" w:line="360" w:lineRule="auto"/>
        <w:jc w:val="center"/>
        <w:rPr>
          <w:rFonts w:asciiTheme="minorEastAsia" w:hAnsiTheme="minorEastAsia" w:eastAsiaTheme="minorEastAsia" w:cstheme="minorEastAsia"/>
          <w:bCs w:val="0"/>
          <w:kern w:val="0"/>
          <w:sz w:val="21"/>
          <w:szCs w:val="21"/>
        </w:rPr>
      </w:pPr>
      <w:bookmarkStart w:id="15" w:name="_Toc80886934"/>
      <w:bookmarkStart w:id="16" w:name="_Toc20286"/>
    </w:p>
    <w:p>
      <w:pPr>
        <w:pStyle w:val="5"/>
        <w:spacing w:before="0" w:after="0" w:line="360" w:lineRule="auto"/>
        <w:jc w:val="center"/>
        <w:rPr>
          <w:rFonts w:asciiTheme="minorEastAsia" w:hAnsiTheme="minorEastAsia" w:eastAsiaTheme="minorEastAsia" w:cstheme="minorEastAsia"/>
          <w:bCs w:val="0"/>
          <w:kern w:val="0"/>
          <w:sz w:val="21"/>
          <w:szCs w:val="21"/>
        </w:rPr>
      </w:pPr>
      <w:r>
        <w:rPr>
          <w:rFonts w:hint="eastAsia" w:asciiTheme="minorEastAsia" w:hAnsiTheme="minorEastAsia" w:eastAsiaTheme="minorEastAsia" w:cstheme="minorEastAsia"/>
          <w:bCs w:val="0"/>
          <w:kern w:val="0"/>
          <w:sz w:val="21"/>
          <w:szCs w:val="21"/>
        </w:rPr>
        <w:t>五、成交及合同</w:t>
      </w:r>
      <w:bookmarkEnd w:id="15"/>
      <w:bookmarkEnd w:id="16"/>
    </w:p>
    <w:p>
      <w:pPr>
        <w:spacing w:line="400" w:lineRule="exact"/>
        <w:rPr>
          <w:rFonts w:ascii="宋体" w:hAnsi="宋体" w:cs="宋体"/>
          <w:b/>
          <w:bCs/>
        </w:rPr>
      </w:pPr>
      <w:r>
        <w:rPr>
          <w:rFonts w:hint="eastAsia" w:ascii="宋体" w:hAnsi="宋体" w:cs="宋体"/>
          <w:b/>
          <w:bCs/>
        </w:rPr>
        <w:t>27.确定成交供应商及结果公告</w:t>
      </w:r>
    </w:p>
    <w:p>
      <w:pPr>
        <w:spacing w:line="400" w:lineRule="exact"/>
        <w:ind w:firstLine="420" w:firstLineChars="200"/>
        <w:rPr>
          <w:rFonts w:ascii="宋体" w:hAnsi="宋体" w:cs="宋体"/>
        </w:rPr>
      </w:pPr>
      <w:r>
        <w:rPr>
          <w:rFonts w:hint="eastAsia" w:ascii="宋体" w:hAnsi="宋体" w:cs="宋体"/>
        </w:rPr>
        <w:t>27.1</w:t>
      </w:r>
      <w:r>
        <w:rPr>
          <w:rFonts w:hint="eastAsia" w:ascii="宋体" w:hAnsi="宋体" w:cs="宋体"/>
          <w:kern w:val="0"/>
        </w:rPr>
        <w:t xml:space="preserve"> </w:t>
      </w:r>
      <w:r>
        <w:rPr>
          <w:rFonts w:hint="eastAsia" w:ascii="宋体" w:hAnsi="宋体" w:cs="宋体"/>
        </w:rPr>
        <w:t>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400" w:lineRule="exact"/>
        <w:ind w:firstLine="420" w:firstLineChars="200"/>
        <w:rPr>
          <w:rFonts w:ascii="宋体" w:hAnsi="宋体" w:cs="宋体"/>
        </w:rPr>
      </w:pPr>
      <w:r>
        <w:rPr>
          <w:rFonts w:hint="eastAsia" w:ascii="宋体" w:hAnsi="宋体" w:cs="宋体"/>
        </w:rPr>
        <w:t>27.2采购代理机构应当在</w:t>
      </w:r>
      <w:r>
        <w:rPr>
          <w:rFonts w:hint="eastAsia" w:ascii="宋体" w:hAnsi="宋体" w:cs="宋体"/>
          <w:kern w:val="0"/>
        </w:rPr>
        <w:t>成交</w:t>
      </w:r>
      <w:r>
        <w:rPr>
          <w:rFonts w:hint="eastAsia" w:ascii="宋体" w:hAnsi="宋体" w:cs="宋体"/>
        </w:rPr>
        <w:t>供应商确定后2个工作日内，在省级以上财政部门指定的媒体上公告成交结果，同时向成交供应商发出成交通知书。</w:t>
      </w:r>
    </w:p>
    <w:p>
      <w:pPr>
        <w:spacing w:line="400" w:lineRule="exact"/>
        <w:ind w:firstLine="420" w:firstLineChars="200"/>
        <w:rPr>
          <w:rFonts w:ascii="宋体" w:hAnsi="宋体" w:cs="宋体"/>
          <w:b/>
        </w:rPr>
      </w:pPr>
      <w:r>
        <w:rPr>
          <w:rFonts w:hint="eastAsia" w:ascii="宋体" w:hAnsi="宋体" w:cs="宋体"/>
        </w:rPr>
        <w:t>27</w:t>
      </w:r>
      <w:r>
        <w:rPr>
          <w:rFonts w:ascii="宋体" w:hAnsi="宋体" w:cs="宋体"/>
        </w:rPr>
        <w:t>.3</w:t>
      </w:r>
      <w:r>
        <w:rPr>
          <w:rFonts w:hint="eastAsia" w:ascii="宋体" w:hAnsi="宋体" w:cs="宋体"/>
          <w:b/>
        </w:rPr>
        <w:t xml:space="preserve"> </w:t>
      </w:r>
      <w:r>
        <w:rPr>
          <w:rFonts w:hint="eastAsia" w:ascii="宋体" w:hAnsi="宋体" w:cs="宋体"/>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400" w:lineRule="exact"/>
        <w:ind w:firstLine="420" w:firstLineChars="200"/>
        <w:rPr>
          <w:rFonts w:ascii="宋体" w:hAnsi="宋体" w:cs="宋体"/>
        </w:rPr>
      </w:pPr>
      <w:r>
        <w:rPr>
          <w:rFonts w:hint="eastAsia" w:ascii="宋体" w:hAnsi="宋体"/>
          <w:bCs/>
        </w:rPr>
        <w:t>27</w:t>
      </w:r>
      <w:r>
        <w:rPr>
          <w:rFonts w:ascii="宋体" w:hAnsi="宋体"/>
          <w:bCs/>
        </w:rPr>
        <w:t>.4</w:t>
      </w:r>
      <w:r>
        <w:rPr>
          <w:rFonts w:hint="eastAsia" w:ascii="宋体" w:hAnsi="宋体"/>
          <w:bCs/>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也可以重新重新开展采购活动。</w:t>
      </w:r>
    </w:p>
    <w:p>
      <w:pPr>
        <w:spacing w:line="400" w:lineRule="exact"/>
        <w:rPr>
          <w:rFonts w:ascii="宋体" w:hAnsi="宋体" w:cs="宋体"/>
          <w:b/>
          <w:bCs/>
        </w:rPr>
      </w:pPr>
      <w:r>
        <w:rPr>
          <w:rFonts w:hint="eastAsia" w:ascii="宋体" w:hAnsi="宋体" w:cs="宋体"/>
          <w:b/>
          <w:bCs/>
        </w:rPr>
        <w:t>28.履约保证金：无。</w:t>
      </w:r>
    </w:p>
    <w:p>
      <w:pPr>
        <w:spacing w:line="400" w:lineRule="exact"/>
        <w:rPr>
          <w:rFonts w:ascii="宋体" w:hAnsi="宋体" w:cs="宋体"/>
        </w:rPr>
      </w:pPr>
      <w:r>
        <w:rPr>
          <w:rFonts w:hint="eastAsia" w:ascii="宋体" w:hAnsi="宋体" w:cs="宋体"/>
          <w:b/>
          <w:bCs/>
        </w:rPr>
        <w:t>29.签订合同</w:t>
      </w:r>
    </w:p>
    <w:p>
      <w:pPr>
        <w:spacing w:line="400" w:lineRule="exact"/>
        <w:ind w:firstLine="424" w:firstLineChars="202"/>
        <w:rPr>
          <w:rFonts w:ascii="宋体" w:hAnsi="宋体" w:cs="宋体"/>
        </w:rPr>
      </w:pPr>
      <w:r>
        <w:rPr>
          <w:rFonts w:hint="eastAsia" w:ascii="宋体" w:hAnsi="宋体" w:cs="宋体"/>
        </w:rPr>
        <w:t>29</w:t>
      </w:r>
      <w:r>
        <w:rPr>
          <w:rFonts w:ascii="宋体" w:hAnsi="宋体" w:cs="宋体"/>
        </w:rPr>
        <w:t>.1</w:t>
      </w:r>
      <w:r>
        <w:rPr>
          <w:rFonts w:hint="eastAsia" w:ascii="宋体" w:hAnsi="宋体" w:cs="宋体"/>
        </w:rPr>
        <w:t xml:space="preserve"> 签订合同时间：按成交通知书规定的时间与采购人签订合同。</w:t>
      </w:r>
    </w:p>
    <w:p>
      <w:pPr>
        <w:spacing w:line="400" w:lineRule="exact"/>
        <w:ind w:firstLine="424" w:firstLineChars="202"/>
        <w:rPr>
          <w:rFonts w:ascii="宋体" w:hAnsi="宋体" w:cs="宋体"/>
        </w:rPr>
      </w:pPr>
      <w:r>
        <w:rPr>
          <w:rFonts w:hint="eastAsia" w:ascii="宋体" w:hAnsi="宋体" w:cs="宋体"/>
        </w:rPr>
        <w:t>29.2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pPr>
        <w:spacing w:line="400" w:lineRule="exact"/>
        <w:rPr>
          <w:rFonts w:ascii="宋体" w:hAnsi="宋体" w:cs="宋体"/>
          <w:b/>
          <w:bCs/>
        </w:rPr>
      </w:pPr>
      <w:r>
        <w:rPr>
          <w:rFonts w:hint="eastAsia" w:ascii="宋体" w:hAnsi="宋体" w:cs="宋体"/>
          <w:b/>
          <w:bCs/>
        </w:rPr>
        <w:t>30.政府采购合同公告</w:t>
      </w:r>
    </w:p>
    <w:p>
      <w:pPr>
        <w:spacing w:line="360" w:lineRule="auto"/>
        <w:ind w:firstLine="420" w:firstLineChars="200"/>
        <w:rPr>
          <w:rFonts w:hAnsi="宋体"/>
        </w:rPr>
      </w:pPr>
      <w:r>
        <w:rPr>
          <w:rFonts w:hint="eastAsia" w:ascii="宋体" w:hAnsi="宋体" w:cs="宋体"/>
        </w:rPr>
        <w:t>根据《中华人民共和国政府采购法实施条例》第五十条规定，</w:t>
      </w:r>
      <w:r>
        <w:rPr>
          <w:rFonts w:hint="eastAsia" w:hAnsi="宋体"/>
        </w:rPr>
        <w:t>采购人或者受托采购代理机构应当自政府采购合同签订之日起2个工作日内，将政府采购合同</w:t>
      </w:r>
      <w:r>
        <w:rPr>
          <w:rFonts w:hint="eastAsia" w:ascii="宋体" w:hAnsi="宋体"/>
          <w:bCs/>
        </w:rPr>
        <w:t>在</w:t>
      </w:r>
      <w:r>
        <w:rPr>
          <w:rFonts w:hint="eastAsia" w:ascii="宋体" w:hAnsi="宋体" w:cs="宋体"/>
          <w:kern w:val="0"/>
        </w:rPr>
        <w:t>“广西政府采购网（http://zfcg.gxzf.gov.cn）”</w:t>
      </w:r>
      <w:r>
        <w:rPr>
          <w:rFonts w:hint="eastAsia" w:hAnsi="宋体"/>
        </w:rPr>
        <w:t>上公告，</w:t>
      </w:r>
      <w:r>
        <w:rPr>
          <w:rFonts w:hAnsi="宋体"/>
        </w:rPr>
        <w:t>但政府采购合同中涉及国家秘密、商业秘密的内容除外。</w:t>
      </w:r>
    </w:p>
    <w:p>
      <w:pPr>
        <w:spacing w:line="360" w:lineRule="auto"/>
        <w:rPr>
          <w:rFonts w:ascii="宋体" w:hAnsi="宋体" w:cs="宋体"/>
          <w:b/>
          <w:bCs/>
        </w:rPr>
      </w:pPr>
      <w:r>
        <w:rPr>
          <w:rFonts w:hint="eastAsia" w:ascii="宋体" w:hAnsi="宋体" w:cs="宋体"/>
          <w:b/>
          <w:bCs/>
        </w:rPr>
        <w:t>31. 询问、质疑和投诉</w:t>
      </w:r>
    </w:p>
    <w:p>
      <w:pPr>
        <w:spacing w:line="360" w:lineRule="auto"/>
        <w:ind w:firstLine="420" w:firstLineChars="200"/>
        <w:rPr>
          <w:rFonts w:ascii="宋体" w:hAnsi="宋体" w:cs="宋体"/>
        </w:rPr>
      </w:pPr>
      <w:r>
        <w:rPr>
          <w:rFonts w:hint="eastAsia" w:ascii="宋体" w:hAnsi="宋体" w:cs="宋体"/>
        </w:rPr>
        <w:t>31.1供应商对政府采购活动事项有疑问的，可以向采购人、采购代理机构提出询问，采购人或者采购代理机构应当在3个工作日内对供应商依法提出的询问作出答复。</w:t>
      </w:r>
    </w:p>
    <w:p>
      <w:pPr>
        <w:spacing w:line="360" w:lineRule="auto"/>
        <w:ind w:firstLine="420" w:firstLineChars="200"/>
        <w:rPr>
          <w:rFonts w:ascii="宋体" w:hAnsi="宋体"/>
          <w:b/>
        </w:rPr>
      </w:pPr>
      <w:r>
        <w:rPr>
          <w:rFonts w:hint="eastAsia" w:ascii="宋体" w:hAnsi="宋体" w:cs="宋体"/>
        </w:rPr>
        <w:t>31.2供应商认为磋商文件、采购过程或者成交结果使自己的合法权益受到损害的，应当在知道或者应知其权益受到损害之日起7个工作日内，以书面形式向采购人、采购代理机构提出质疑，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shd w:val="clear" w:color="auto" w:fill="FFFFFF"/>
        </w:rPr>
        <w:t>接收质疑函的方式、联系部门、联系电话和通讯地址等信息</w:t>
      </w:r>
      <w:r>
        <w:rPr>
          <w:rFonts w:hint="eastAsia" w:ascii="宋体" w:hAnsi="宋体" w:cs="Arial"/>
          <w:shd w:val="clear" w:color="auto" w:fill="FFFFFF"/>
        </w:rPr>
        <w:t>详见</w:t>
      </w:r>
      <w:r>
        <w:rPr>
          <w:rFonts w:hint="eastAsia" w:ascii="宋体" w:hAnsi="宋体" w:cs="宋体"/>
        </w:rPr>
        <w:t>“磋商须知前附表”。</w:t>
      </w:r>
      <w:r>
        <w:rPr>
          <w:rFonts w:hint="eastAsia" w:ascii="宋体" w:hAnsi="宋体"/>
          <w:b/>
        </w:rPr>
        <w:t xml:space="preserve">具体质疑起算时间及处理方式如下： </w:t>
      </w:r>
    </w:p>
    <w:p>
      <w:pPr>
        <w:spacing w:line="360" w:lineRule="auto"/>
        <w:ind w:firstLine="420" w:firstLineChars="200"/>
        <w:rPr>
          <w:rFonts w:hAnsi="宋体"/>
          <w:bCs/>
        </w:rPr>
      </w:pPr>
      <w:r>
        <w:rPr>
          <w:rFonts w:hint="eastAsia" w:hAnsi="宋体"/>
          <w:bCs/>
        </w:rPr>
        <w:t>（1）潜在供应商依法获取采购文件后，认为采购文件使自己的权益受到损害的，应当在竞争性磋商采购文件公告期限届满之日起7个工作日内提出质疑。</w:t>
      </w:r>
      <w:r>
        <w:rPr>
          <w:rFonts w:hint="eastAsia"/>
        </w:rPr>
        <w:t>委托代理协议无特殊约定的，</w:t>
      </w:r>
      <w:r>
        <w:rPr>
          <w:rFonts w:hint="eastAsia" w:hAnsi="宋体"/>
          <w:bCs/>
        </w:rPr>
        <w:t>对竞争性磋商文件中采购需求（含资格要求、采购预算和评分办法）的质疑由采购人受理并负责答复；对竞争性磋商文件中的采购执行程序的质疑由采购代理机构受理并负责答复。</w:t>
      </w:r>
    </w:p>
    <w:p>
      <w:pPr>
        <w:spacing w:line="360" w:lineRule="auto"/>
        <w:ind w:firstLine="420" w:firstLineChars="200"/>
        <w:rPr>
          <w:rFonts w:hAnsi="宋体"/>
          <w:bCs/>
        </w:rPr>
      </w:pPr>
      <w:r>
        <w:rPr>
          <w:rFonts w:hint="eastAsia" w:hAnsi="宋体"/>
          <w:bCs/>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pPr>
        <w:spacing w:line="360" w:lineRule="auto"/>
        <w:ind w:firstLine="420" w:firstLineChars="200"/>
        <w:rPr>
          <w:rFonts w:hAnsi="宋体"/>
          <w:bCs/>
        </w:rPr>
      </w:pPr>
      <w:r>
        <w:rPr>
          <w:rFonts w:hint="eastAsia" w:hAnsi="宋体"/>
          <w:bCs/>
        </w:rPr>
        <w:t>（3）供应商认为成交结果使自己的权益受到损害的，应当在成交结果公告期限届满之日起7个工作日内提出质疑，由采购人受理并负责答复。</w:t>
      </w:r>
    </w:p>
    <w:p>
      <w:pPr>
        <w:spacing w:line="360" w:lineRule="auto"/>
        <w:ind w:firstLine="420" w:firstLineChars="200"/>
        <w:rPr>
          <w:rFonts w:hAnsi="宋体"/>
          <w:bCs/>
        </w:rPr>
      </w:pPr>
      <w:r>
        <w:rPr>
          <w:rFonts w:hint="eastAsia" w:asciiTheme="minorEastAsia" w:hAnsiTheme="minorEastAsia" w:eastAsiaTheme="minorEastAsia" w:cstheme="minorEastAsia"/>
          <w:bCs/>
        </w:rPr>
        <w:t>31.3</w:t>
      </w:r>
      <w:r>
        <w:rPr>
          <w:rFonts w:hint="eastAsia" w:hAnsi="宋体"/>
          <w:bCs/>
        </w:rPr>
        <w:t>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ascii="宋体" w:hAnsi="宋体" w:cs="宋体"/>
        </w:rPr>
      </w:pPr>
      <w:r>
        <w:rPr>
          <w:rFonts w:hint="eastAsia" w:ascii="宋体" w:hAnsi="宋体" w:cs="宋体"/>
        </w:rPr>
        <w:t>31.4 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pPr>
        <w:spacing w:line="360" w:lineRule="auto"/>
        <w:ind w:firstLine="420" w:firstLineChars="200"/>
        <w:rPr>
          <w:rFonts w:ascii="宋体" w:hAnsi="宋体" w:cs="宋体"/>
        </w:rPr>
      </w:pPr>
      <w:r>
        <w:rPr>
          <w:rFonts w:hint="eastAsia" w:ascii="宋体" w:hAnsi="宋体" w:cs="宋体"/>
        </w:rPr>
        <w:t>（1）供应商的姓名或者名称、地址、邮编、联系人及联系电话；</w:t>
      </w:r>
    </w:p>
    <w:p>
      <w:pPr>
        <w:spacing w:line="360" w:lineRule="auto"/>
        <w:ind w:firstLine="420" w:firstLineChars="200"/>
        <w:rPr>
          <w:rFonts w:ascii="宋体" w:hAnsi="宋体" w:cs="宋体"/>
        </w:rPr>
      </w:pPr>
      <w:r>
        <w:rPr>
          <w:rFonts w:hint="eastAsia" w:ascii="宋体" w:hAnsi="宋体" w:cs="宋体"/>
        </w:rPr>
        <w:t>（2）质疑项目的名称、编号；</w:t>
      </w:r>
    </w:p>
    <w:p>
      <w:pPr>
        <w:spacing w:line="360" w:lineRule="auto"/>
        <w:ind w:firstLine="420" w:firstLineChars="200"/>
        <w:rPr>
          <w:rFonts w:ascii="宋体" w:hAnsi="宋体" w:cs="宋体"/>
        </w:rPr>
      </w:pPr>
      <w:r>
        <w:rPr>
          <w:rFonts w:hint="eastAsia" w:ascii="宋体" w:hAnsi="宋体" w:cs="宋体"/>
        </w:rPr>
        <w:t>（3）具体、明确的质疑事项和与质疑事项相关的请求；</w:t>
      </w:r>
    </w:p>
    <w:p>
      <w:pPr>
        <w:spacing w:line="360" w:lineRule="auto"/>
        <w:ind w:firstLine="420" w:firstLineChars="200"/>
        <w:rPr>
          <w:rFonts w:ascii="宋体" w:hAnsi="宋体" w:cs="宋体"/>
        </w:rPr>
      </w:pPr>
      <w:r>
        <w:rPr>
          <w:rFonts w:hint="eastAsia" w:ascii="宋体" w:hAnsi="宋体" w:cs="宋体"/>
        </w:rPr>
        <w:t>（4）事实依据；</w:t>
      </w:r>
    </w:p>
    <w:p>
      <w:pPr>
        <w:spacing w:line="360" w:lineRule="auto"/>
        <w:ind w:firstLine="420" w:firstLineChars="200"/>
        <w:rPr>
          <w:rFonts w:ascii="宋体" w:hAnsi="宋体" w:cs="宋体"/>
        </w:rPr>
      </w:pPr>
      <w:r>
        <w:rPr>
          <w:rFonts w:hint="eastAsia" w:ascii="宋体" w:hAnsi="宋体" w:cs="宋体"/>
        </w:rPr>
        <w:t>（5）必要的法律依据；</w:t>
      </w:r>
    </w:p>
    <w:p>
      <w:pPr>
        <w:spacing w:line="360" w:lineRule="auto"/>
        <w:ind w:firstLine="420" w:firstLineChars="200"/>
        <w:rPr>
          <w:rFonts w:ascii="宋体" w:hAnsi="宋体" w:cs="宋体"/>
        </w:rPr>
      </w:pPr>
      <w:r>
        <w:rPr>
          <w:rFonts w:hint="eastAsia" w:ascii="宋体" w:hAnsi="宋体" w:cs="宋体"/>
        </w:rPr>
        <w:t>（6）提出质疑的日期。</w:t>
      </w:r>
    </w:p>
    <w:p>
      <w:pPr>
        <w:spacing w:line="360" w:lineRule="auto"/>
        <w:ind w:firstLine="420" w:firstLineChars="200"/>
        <w:rPr>
          <w:rFonts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ascii="宋体" w:hAnsi="宋体" w:cs="宋体"/>
        </w:rPr>
      </w:pPr>
      <w:r>
        <w:rPr>
          <w:rFonts w:hint="eastAsia" w:ascii="宋体" w:hAnsi="宋体" w:cs="宋体"/>
        </w:rPr>
        <w:t>31</w:t>
      </w:r>
      <w:r>
        <w:rPr>
          <w:rFonts w:ascii="宋体" w:hAnsi="宋体" w:cs="宋体"/>
        </w:rPr>
        <w:t>.5</w:t>
      </w:r>
      <w:r>
        <w:rPr>
          <w:rFonts w:hint="eastAsia" w:ascii="宋体" w:hAnsi="宋体" w:cs="宋体"/>
        </w:rPr>
        <w:t>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rPr>
      </w:pPr>
      <w:r>
        <w:rPr>
          <w:rFonts w:hint="eastAsia" w:ascii="宋体" w:hAnsi="宋体" w:cs="宋体"/>
        </w:rPr>
        <w:t>质疑答复导致成交结果改变的，采购人或者采购代理机构应当将有关情况书面报告本级财政部门。</w:t>
      </w:r>
    </w:p>
    <w:p>
      <w:pPr>
        <w:spacing w:line="360" w:lineRule="auto"/>
        <w:ind w:firstLine="420" w:firstLineChars="200"/>
        <w:rPr>
          <w:rFonts w:ascii="宋体" w:hAnsi="宋体" w:cs="宋体"/>
        </w:rPr>
      </w:pPr>
      <w:r>
        <w:rPr>
          <w:rFonts w:ascii="宋体" w:hAnsi="宋体" w:cs="宋体"/>
        </w:rPr>
        <w:t>3</w:t>
      </w:r>
      <w:r>
        <w:rPr>
          <w:rFonts w:hint="eastAsia" w:ascii="宋体" w:hAnsi="宋体" w:cs="宋体"/>
        </w:rPr>
        <w:t>1.</w:t>
      </w:r>
      <w:r>
        <w:rPr>
          <w:rFonts w:ascii="宋体" w:hAnsi="宋体" w:cs="宋体"/>
        </w:rPr>
        <w:t>6</w:t>
      </w:r>
      <w:r>
        <w:rPr>
          <w:rFonts w:hint="eastAsia" w:ascii="宋体" w:hAnsi="宋体" w:cs="宋体"/>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磋商须知前附表”。</w:t>
      </w:r>
    </w:p>
    <w:p>
      <w:pPr>
        <w:snapToGrid w:val="0"/>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31.7接收质疑函方式：书面形式或邮寄。</w:t>
      </w:r>
    </w:p>
    <w:p>
      <w:pPr>
        <w:pStyle w:val="26"/>
        <w:snapToGrid w:val="0"/>
        <w:spacing w:line="360" w:lineRule="auto"/>
        <w:ind w:firstLine="420" w:firstLineChars="20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质疑联系部门：</w:t>
      </w:r>
      <w:r>
        <w:rPr>
          <w:rFonts w:hint="eastAsia" w:asciiTheme="minorEastAsia" w:hAnsiTheme="minorEastAsia" w:eastAsiaTheme="minorEastAsia" w:cstheme="minorEastAsia"/>
          <w:kern w:val="2"/>
          <w:sz w:val="21"/>
          <w:szCs w:val="21"/>
          <w:lang w:eastAsia="zh-CN"/>
        </w:rPr>
        <w:t>广西建设工程机电设备招标中心有限公司</w:t>
      </w:r>
      <w:r>
        <w:rPr>
          <w:rFonts w:hint="eastAsia" w:asciiTheme="minorEastAsia" w:hAnsiTheme="minorEastAsia" w:eastAsiaTheme="minorEastAsia" w:cstheme="minorEastAsia"/>
          <w:kern w:val="2"/>
          <w:sz w:val="21"/>
          <w:szCs w:val="21"/>
        </w:rPr>
        <w:t xml:space="preserve">   </w:t>
      </w:r>
    </w:p>
    <w:p>
      <w:pPr>
        <w:pStyle w:val="26"/>
        <w:snapToGrid w:val="0"/>
        <w:spacing w:line="360" w:lineRule="auto"/>
        <w:ind w:firstLine="420" w:firstLineChars="20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联系电话：0771-2821389/0773-5587517</w:t>
      </w:r>
    </w:p>
    <w:p>
      <w:pPr>
        <w:pStyle w:val="26"/>
        <w:snapToGrid w:val="0"/>
        <w:spacing w:line="360" w:lineRule="auto"/>
        <w:ind w:firstLine="420" w:firstLineChars="20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通讯地址：桂林市临桂区世纪大道长岛十六区110栋三楼</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业务时间：每天8时00分到12时00分，15时00分到18时 00分，双休日和法定节假日不办理业务。</w:t>
      </w:r>
    </w:p>
    <w:p>
      <w:pPr>
        <w:spacing w:line="460" w:lineRule="exact"/>
        <w:rPr>
          <w:rFonts w:asciiTheme="minorEastAsia" w:hAnsiTheme="minorEastAsia" w:eastAsiaTheme="minorEastAsia" w:cstheme="minorEastAsia"/>
          <w:b/>
          <w:bCs/>
        </w:rPr>
      </w:pPr>
      <w:r>
        <w:rPr>
          <w:rFonts w:hint="eastAsia" w:asciiTheme="minorEastAsia" w:hAnsiTheme="minorEastAsia" w:eastAsiaTheme="minorEastAsia" w:cstheme="minorEastAsia"/>
          <w:b/>
          <w:bCs/>
        </w:rPr>
        <w:t>32.评标结果公示</w:t>
      </w:r>
    </w:p>
    <w:p>
      <w:pPr>
        <w:spacing w:line="46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32.1在评标结束的2个工作日内，</w:t>
      </w:r>
      <w:r>
        <w:rPr>
          <w:rFonts w:hint="eastAsia" w:asciiTheme="minorEastAsia" w:hAnsiTheme="minorEastAsia" w:eastAsiaTheme="minorEastAsia" w:cstheme="minorEastAsia"/>
          <w:spacing w:val="2"/>
        </w:rPr>
        <w:t>在http://www.ccgp.gov.cn/（中国政府采购网）、http://zfcg.gxzf.gov.cn (广西政府采购网)、http://www.guangxibid.com.cn/（广西招标网）、https://gxygcg.ejy365.com/（广西阳光采购服务平台）公示评标结果。</w:t>
      </w:r>
    </w:p>
    <w:p>
      <w:pPr>
        <w:spacing w:line="460" w:lineRule="exact"/>
        <w:rPr>
          <w:rFonts w:asciiTheme="minorEastAsia" w:hAnsiTheme="minorEastAsia" w:eastAsiaTheme="minorEastAsia" w:cstheme="minorEastAsia"/>
          <w:b/>
          <w:bCs/>
        </w:rPr>
      </w:pPr>
      <w:r>
        <w:rPr>
          <w:rFonts w:hint="eastAsia" w:asciiTheme="minorEastAsia" w:hAnsiTheme="minorEastAsia" w:eastAsiaTheme="minorEastAsia" w:cstheme="minorEastAsia"/>
          <w:b/>
          <w:bCs/>
        </w:rPr>
        <w:t>33.成交通知书</w:t>
      </w:r>
    </w:p>
    <w:p>
      <w:pPr>
        <w:spacing w:line="460" w:lineRule="exact"/>
        <w:ind w:firstLine="409" w:firstLineChars="195"/>
        <w:rPr>
          <w:rFonts w:ascii="宋体" w:hAnsi="宋体" w:cs="宋体"/>
          <w:kern w:val="0"/>
        </w:rPr>
      </w:pPr>
      <w:r>
        <w:rPr>
          <w:rFonts w:hint="eastAsia" w:asciiTheme="minorEastAsia" w:hAnsiTheme="minorEastAsia" w:eastAsiaTheme="minorEastAsia" w:cstheme="minorEastAsia"/>
        </w:rPr>
        <w:t>33.1</w:t>
      </w:r>
      <w:r>
        <w:rPr>
          <w:rFonts w:hint="eastAsia" w:ascii="宋体" w:hAnsi="宋体" w:cs="宋体"/>
        </w:rPr>
        <w:t>成交通知及成交结果公告。</w:t>
      </w:r>
      <w:r>
        <w:rPr>
          <w:rFonts w:hint="eastAsia" w:ascii="宋体" w:hAnsi="宋体" w:cs="宋体"/>
          <w:kern w:val="0"/>
        </w:rPr>
        <w:t>成交</w:t>
      </w:r>
      <w:r>
        <w:rPr>
          <w:rFonts w:hint="eastAsia" w:ascii="宋体" w:hAnsi="宋体" w:cs="宋体"/>
        </w:rPr>
        <w:t>供应商确定后2个工作日内，在省级以上财政部门指定的媒体上公</w:t>
      </w:r>
      <w:r>
        <w:rPr>
          <w:rFonts w:hint="eastAsia" w:ascii="宋体" w:hAnsi="宋体" w:cs="宋体"/>
          <w:kern w:val="0"/>
        </w:rPr>
        <w:t>告成交结果（公告内容除包含《政府采购公告和公示信息格式规范（2020年版）》要求内容外，还应包含采购人专门面向中小企业预留份额情况及成交供应商评审价格、优惠率等内容），</w:t>
      </w:r>
      <w:r>
        <w:rPr>
          <w:rFonts w:hint="eastAsia" w:ascii="宋体" w:hAnsi="宋体" w:cs="宋体"/>
        </w:rPr>
        <w:t>同时向成交供应商发出成交通知书，成交通知书规定签订合同的时间不得超过20个日历天。</w:t>
      </w:r>
      <w:r>
        <w:rPr>
          <w:rFonts w:hint="eastAsia" w:asciiTheme="minorEastAsia" w:hAnsiTheme="minorEastAsia" w:eastAsiaTheme="minorEastAsia" w:cstheme="minorEastAsia"/>
        </w:rPr>
        <w:t>在该通知书（以下合同条件中称“成交通知书”）中给出采购人对成交的磋商供应商按本合同施工、竣工和保修工程的成交标价（以下</w:t>
      </w:r>
      <w:r>
        <w:rPr>
          <w:rFonts w:hint="eastAsia" w:ascii="宋体" w:hAnsi="宋体" w:cs="宋体"/>
          <w:kern w:val="0"/>
        </w:rPr>
        <w:t>合同条件中称为“合同价格”），以及工期、质量和有关合同签订的期限、地点。</w:t>
      </w:r>
    </w:p>
    <w:p>
      <w:pPr>
        <w:spacing w:line="360" w:lineRule="auto"/>
        <w:ind w:firstLine="420" w:firstLineChars="200"/>
        <w:rPr>
          <w:rFonts w:asciiTheme="minorEastAsia" w:hAnsiTheme="minorEastAsia" w:eastAsiaTheme="minorEastAsia" w:cstheme="minorEastAsia"/>
        </w:rPr>
      </w:pPr>
      <w:r>
        <w:rPr>
          <w:rFonts w:hint="eastAsia" w:ascii="宋体" w:hAnsi="宋体" w:cs="宋体"/>
          <w:kern w:val="0"/>
        </w:rPr>
        <w:t>33.2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w:t>
      </w:r>
      <w:r>
        <w:rPr>
          <w:rFonts w:hint="eastAsia" w:asciiTheme="minorEastAsia" w:hAnsiTheme="minorEastAsia" w:eastAsiaTheme="minorEastAsia" w:cstheme="minorEastAsia"/>
        </w:rPr>
        <w:t>交候选人因上述规定的同样原因被取消成交资格的，采购人可以确定排名第三的成交候选人为成交供应商，以此类推，</w:t>
      </w:r>
      <w:r>
        <w:rPr>
          <w:rFonts w:hint="eastAsia" w:ascii="宋体" w:hAnsi="宋体"/>
          <w:bCs/>
        </w:rPr>
        <w:t>也可以重新重新开展采购活动。</w:t>
      </w:r>
      <w:r>
        <w:rPr>
          <w:rFonts w:hint="eastAsia" w:asciiTheme="minorEastAsia" w:hAnsiTheme="minorEastAsia" w:eastAsiaTheme="minorEastAsia" w:cstheme="minorEastAsia"/>
        </w:rPr>
        <w:t>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pPr>
        <w:spacing w:line="360" w:lineRule="auto"/>
        <w:ind w:firstLine="420" w:firstLineChars="200"/>
        <w:rPr>
          <w:rFonts w:ascii="宋体" w:hAnsi="宋体" w:cs="宋体"/>
        </w:rPr>
      </w:pPr>
      <w:r>
        <w:rPr>
          <w:rFonts w:hint="eastAsia" w:ascii="宋体" w:hAnsi="宋体" w:cs="宋体"/>
          <w:kern w:val="0"/>
        </w:rPr>
        <w:t>33.3</w:t>
      </w:r>
      <w:r>
        <w:rPr>
          <w:rFonts w:hint="eastAsia" w:ascii="宋体" w:hAnsi="宋体" w:cs="宋体"/>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rPr>
      </w:pPr>
      <w:r>
        <w:rPr>
          <w:rFonts w:hint="eastAsia" w:ascii="宋体" w:hAnsi="宋体" w:cs="宋体"/>
        </w:rPr>
        <w:t>33.4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r>
        <w:rPr>
          <w:rFonts w:hint="eastAsia" w:ascii="宋体" w:hAnsi="宋体"/>
          <w:bCs/>
        </w:rPr>
        <w:t>也可以重新重新开展采购活动</w:t>
      </w:r>
      <w:r>
        <w:rPr>
          <w:rFonts w:hint="eastAsia" w:ascii="宋体" w:hAnsi="宋体" w:cs="宋体"/>
        </w:rPr>
        <w:t>。</w:t>
      </w:r>
    </w:p>
    <w:p>
      <w:pPr>
        <w:spacing w:line="360" w:lineRule="auto"/>
        <w:ind w:firstLine="420" w:firstLineChars="200"/>
        <w:rPr>
          <w:rFonts w:ascii="宋体" w:hAnsi="宋体" w:cs="宋体"/>
        </w:rPr>
      </w:pPr>
      <w:r>
        <w:rPr>
          <w:rFonts w:hint="eastAsia" w:ascii="宋体" w:hAnsi="宋体" w:cs="宋体"/>
        </w:rPr>
        <w:t>33.5成交通知书为合同的组成部分。</w:t>
      </w:r>
    </w:p>
    <w:p>
      <w:pPr>
        <w:spacing w:line="360" w:lineRule="auto"/>
        <w:ind w:firstLine="420" w:firstLineChars="200"/>
        <w:rPr>
          <w:rFonts w:ascii="宋体" w:hAnsi="宋体" w:cs="宋体"/>
        </w:rPr>
      </w:pPr>
      <w:r>
        <w:rPr>
          <w:rFonts w:hint="eastAsia" w:ascii="宋体" w:hAnsi="宋体" w:cs="宋体"/>
        </w:rPr>
        <w:t>33.6采购代理机构应及时将未成交的结果通知其他磋商供应商。</w:t>
      </w:r>
    </w:p>
    <w:p>
      <w:pPr>
        <w:spacing w:line="360" w:lineRule="auto"/>
        <w:rPr>
          <w:rFonts w:asciiTheme="minorEastAsia" w:hAnsiTheme="minorEastAsia" w:eastAsiaTheme="minorEastAsia" w:cstheme="minorEastAsia"/>
          <w:b/>
          <w:bCs/>
        </w:rPr>
      </w:pPr>
      <w:r>
        <w:rPr>
          <w:rFonts w:hint="eastAsia" w:asciiTheme="minorEastAsia" w:hAnsiTheme="minorEastAsia" w:eastAsiaTheme="minorEastAsia" w:cstheme="minorEastAsia"/>
          <w:b/>
          <w:bCs/>
        </w:rPr>
        <w:t>34.合同的授予标准</w:t>
      </w:r>
    </w:p>
    <w:p>
      <w:pPr>
        <w:spacing w:line="360" w:lineRule="auto"/>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34.1合同将授予被确定为实质上响应招标文件要求，具备履行合同能力，综合评分排名第一的供应商。</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bCs/>
        </w:rPr>
        <w:t>35.合同的签署</w:t>
      </w:r>
    </w:p>
    <w:p>
      <w:pPr>
        <w:pStyle w:val="170"/>
        <w:snapToGrid w:val="0"/>
        <w:spacing w:before="0"/>
        <w:ind w:firstLine="396"/>
        <w:rPr>
          <w:rFonts w:ascii="宋体" w:hAnsi="宋体"/>
          <w:spacing w:val="-6"/>
          <w:sz w:val="21"/>
          <w:szCs w:val="21"/>
        </w:rPr>
      </w:pPr>
      <w:r>
        <w:rPr>
          <w:rFonts w:hint="eastAsia" w:ascii="宋体" w:hAnsi="宋体" w:cs="宋体"/>
          <w:spacing w:val="-6"/>
          <w:sz w:val="21"/>
          <w:szCs w:val="21"/>
        </w:rPr>
        <w:t>35.1</w:t>
      </w:r>
      <w:r>
        <w:rPr>
          <w:rFonts w:hint="eastAsia" w:ascii="宋体" w:hAnsi="宋体"/>
          <w:spacing w:val="-6"/>
          <w:sz w:val="21"/>
          <w:szCs w:val="21"/>
        </w:rPr>
        <w:t>成交结果公告无异议的项目，采购人在成交通知书发出之日起20个日历天内和成交供应商签订采购合同，倡导各采购人尽量压缩合同签订时间。</w:t>
      </w:r>
    </w:p>
    <w:p>
      <w:pPr>
        <w:pStyle w:val="170"/>
        <w:snapToGrid w:val="0"/>
        <w:spacing w:before="0"/>
        <w:ind w:firstLine="420"/>
        <w:rPr>
          <w:rFonts w:ascii="宋体" w:hAnsi="宋体"/>
          <w:sz w:val="21"/>
          <w:szCs w:val="21"/>
          <w:lang w:val="zh-CN"/>
        </w:rPr>
      </w:pPr>
      <w:r>
        <w:rPr>
          <w:rFonts w:hint="eastAsia" w:ascii="宋体" w:hAnsi="宋体" w:cs="宋体"/>
          <w:sz w:val="21"/>
          <w:szCs w:val="21"/>
        </w:rPr>
        <w:t>35.2</w:t>
      </w:r>
      <w:r>
        <w:rPr>
          <w:rFonts w:hint="eastAsia" w:ascii="宋体" w:hAnsi="宋体"/>
          <w:sz w:val="21"/>
          <w:szCs w:val="21"/>
        </w:rPr>
        <w:t>采购人与成交供应商应当在成交通知书规定的时间内，按照磋商文件确定的合同文本以及采购标的、服务技术、采购金额、采购数量、技术和服务要求等事项签订政府采购合同。</w:t>
      </w:r>
      <w:r>
        <w:rPr>
          <w:rFonts w:hint="eastAsia" w:ascii="宋体" w:hAnsi="宋体"/>
          <w:sz w:val="21"/>
          <w:szCs w:val="21"/>
          <w:lang w:val="zh-CN"/>
        </w:rPr>
        <w:t>如成交供应商为联合体的（</w:t>
      </w:r>
      <w:r>
        <w:rPr>
          <w:rFonts w:hint="eastAsia" w:ascii="宋体" w:hAnsi="宋体"/>
          <w:sz w:val="21"/>
          <w:szCs w:val="21"/>
        </w:rPr>
        <w:t>允许联合体竞标时</w:t>
      </w:r>
      <w:r>
        <w:rPr>
          <w:rFonts w:hint="eastAsia" w:ascii="宋体" w:hAnsi="宋体"/>
          <w:sz w:val="21"/>
          <w:szCs w:val="21"/>
          <w:lang w:val="zh-CN"/>
        </w:rPr>
        <w:t>），由联合体成员各方法定代表人或其授权代表与采购人代表签订合同。</w:t>
      </w:r>
    </w:p>
    <w:p>
      <w:pPr>
        <w:spacing w:line="360" w:lineRule="auto"/>
        <w:ind w:firstLine="420" w:firstLineChars="200"/>
        <w:rPr>
          <w:rFonts w:ascii="宋体" w:hAnsi="宋体"/>
        </w:rPr>
      </w:pPr>
      <w:r>
        <w:rPr>
          <w:rFonts w:hint="eastAsia" w:ascii="宋体" w:hAnsi="宋体" w:cs="宋体"/>
        </w:rPr>
        <w:t>35.3</w:t>
      </w:r>
      <w:r>
        <w:rPr>
          <w:rFonts w:hint="eastAsia" w:ascii="宋体" w:hAnsi="宋体"/>
        </w:rPr>
        <w:t>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pPr>
        <w:spacing w:line="360" w:lineRule="auto"/>
        <w:ind w:firstLine="420" w:firstLineChars="200"/>
        <w:rPr>
          <w:rFonts w:ascii="宋体" w:hAnsi="宋体"/>
        </w:rPr>
      </w:pPr>
      <w:r>
        <w:rPr>
          <w:rFonts w:hint="eastAsia" w:ascii="宋体" w:hAnsi="宋体" w:cs="宋体"/>
        </w:rPr>
        <w:t>35.4</w:t>
      </w:r>
      <w:r>
        <w:rPr>
          <w:rFonts w:hint="eastAsia" w:ascii="宋体" w:hAnsi="宋体"/>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spacing w:line="360" w:lineRule="auto"/>
        <w:ind w:firstLine="420" w:firstLineChars="200"/>
        <w:rPr>
          <w:rFonts w:ascii="宋体" w:hAnsi="宋体"/>
        </w:rPr>
      </w:pPr>
      <w:r>
        <w:rPr>
          <w:rFonts w:hint="eastAsia" w:ascii="宋体" w:hAnsi="宋体" w:cs="宋体"/>
        </w:rPr>
        <w:t>35.5</w:t>
      </w:r>
      <w:r>
        <w:rPr>
          <w:rFonts w:hint="eastAsia" w:ascii="宋体" w:hAnsi="宋体"/>
        </w:rPr>
        <w:t>如签订合同并生效后，供应商无故拒绝或延期履行义务，除按照合同条款处理外，列入不良行为记录，并给予通报。</w:t>
      </w:r>
    </w:p>
    <w:p>
      <w:pPr>
        <w:pStyle w:val="170"/>
        <w:spacing w:before="0"/>
        <w:ind w:firstLine="420"/>
        <w:rPr>
          <w:rFonts w:ascii="宋体" w:hAnsi="宋体" w:cs="宋体"/>
          <w:szCs w:val="21"/>
        </w:rPr>
      </w:pPr>
      <w:r>
        <w:rPr>
          <w:rFonts w:hint="eastAsia" w:ascii="宋体" w:hAnsi="宋体" w:cs="宋体"/>
          <w:sz w:val="21"/>
          <w:szCs w:val="21"/>
        </w:rPr>
        <w:t>35.6</w:t>
      </w:r>
      <w:r>
        <w:rPr>
          <w:rFonts w:ascii="宋体" w:hAnsi="宋体" w:cs="仿宋_GB2312"/>
          <w:sz w:val="21"/>
          <w:szCs w:val="21"/>
        </w:rPr>
        <w:t>采购合同由采购人与</w:t>
      </w:r>
      <w:r>
        <w:rPr>
          <w:rFonts w:hint="eastAsia" w:ascii="宋体" w:hAnsi="宋体" w:cs="仿宋_GB2312"/>
          <w:sz w:val="21"/>
          <w:szCs w:val="21"/>
        </w:rPr>
        <w:t>成交</w:t>
      </w:r>
      <w:r>
        <w:rPr>
          <w:rFonts w:ascii="宋体" w:hAnsi="宋体" w:cs="仿宋_GB2312"/>
          <w:sz w:val="21"/>
          <w:szCs w:val="21"/>
        </w:rPr>
        <w:t>供应商根据</w:t>
      </w:r>
      <w:r>
        <w:rPr>
          <w:rFonts w:hint="eastAsia" w:ascii="宋体" w:hAnsi="宋体"/>
          <w:sz w:val="21"/>
          <w:szCs w:val="21"/>
        </w:rPr>
        <w:t>磋商文件</w:t>
      </w:r>
      <w:r>
        <w:rPr>
          <w:rFonts w:hint="eastAsia" w:ascii="宋体" w:hAnsi="宋体" w:cs="仿宋_GB2312"/>
          <w:sz w:val="21"/>
          <w:szCs w:val="21"/>
        </w:rPr>
        <w:t>、响应文件等内容通过政府采购电子交易平台在线签订，自动备案，根据《中华人民共和国政府采购法实施条例》第五十条规定，采购人应当自采购合同签订之日起2个工作日内，将采购合同在竞争性磋商采购公告发布的媒体上公告，但采购合同中涉及国家秘密、商业秘密的内容除外。在线签订须携带使</w:t>
      </w:r>
      <w:r>
        <w:rPr>
          <w:rFonts w:hint="eastAsia" w:ascii="宋体" w:hAnsi="宋体" w:cs="宋体"/>
          <w:sz w:val="21"/>
          <w:szCs w:val="21"/>
        </w:rPr>
        <w:t>用的有效 CA 证书加盖单位电子公章</w:t>
      </w:r>
      <w:r>
        <w:rPr>
          <w:rFonts w:hint="eastAsia" w:ascii="宋体" w:hAnsi="宋体" w:cs="仿宋_GB2312"/>
          <w:sz w:val="21"/>
          <w:szCs w:val="21"/>
        </w:rPr>
        <w:t>。</w:t>
      </w:r>
    </w:p>
    <w:p>
      <w:pPr>
        <w:spacing w:line="360" w:lineRule="auto"/>
        <w:rPr>
          <w:rFonts w:asciiTheme="minorEastAsia" w:hAnsiTheme="minorEastAsia" w:eastAsiaTheme="minorEastAsia" w:cstheme="minorEastAsia"/>
          <w:b/>
          <w:bCs/>
        </w:rPr>
      </w:pPr>
      <w:r>
        <w:rPr>
          <w:rFonts w:hint="eastAsia" w:asciiTheme="minorEastAsia" w:hAnsiTheme="minorEastAsia" w:eastAsiaTheme="minorEastAsia" w:cstheme="minorEastAsia"/>
          <w:b/>
          <w:bCs/>
        </w:rPr>
        <w:t>36.履约保证金</w:t>
      </w:r>
    </w:p>
    <w:p>
      <w:pPr>
        <w:tabs>
          <w:tab w:val="left" w:pos="0"/>
        </w:tabs>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本项目不需要提交履约保证金。</w:t>
      </w:r>
    </w:p>
    <w:p>
      <w:pPr>
        <w:pStyle w:val="31"/>
        <w:spacing w:line="360" w:lineRule="auto"/>
        <w:jc w:val="center"/>
        <w:rPr>
          <w:rFonts w:eastAsiaTheme="minorEastAsia"/>
        </w:rPr>
      </w:pPr>
      <w:r>
        <w:rPr>
          <w:rFonts w:hint="eastAsia" w:asciiTheme="minorEastAsia" w:hAnsiTheme="minorEastAsia" w:eastAsiaTheme="minorEastAsia" w:cstheme="minorEastAsia"/>
          <w:b/>
          <w:sz w:val="21"/>
          <w:szCs w:val="21"/>
        </w:rPr>
        <w:t>六、验收</w:t>
      </w:r>
    </w:p>
    <w:p>
      <w:pPr>
        <w:tabs>
          <w:tab w:val="left" w:pos="0"/>
        </w:tabs>
        <w:spacing w:line="360" w:lineRule="auto"/>
        <w:ind w:firstLine="420" w:firstLineChars="200"/>
        <w:rPr>
          <w:rFonts w:ascii="宋体" w:hAnsi="宋体" w:cs="宋体"/>
          <w:kern w:val="0"/>
        </w:rPr>
      </w:pPr>
      <w:r>
        <w:rPr>
          <w:rFonts w:hint="eastAsia" w:ascii="宋体" w:hAnsi="宋体" w:cs="宋体"/>
          <w:kern w:val="0"/>
        </w:rPr>
        <w:t>37.1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ascii="宋体" w:hAnsi="宋体" w:cs="Helvetica"/>
          <w:kern w:val="0"/>
        </w:rPr>
      </w:pPr>
      <w:r>
        <w:rPr>
          <w:rFonts w:hint="eastAsia" w:ascii="宋体" w:hAnsi="宋体" w:cs="宋体"/>
          <w:kern w:val="0"/>
        </w:rPr>
        <w:t>37.2采购人可以邀请参加本项目的其他供应商或者第三方机构参与验收。参与验收的供应商或者第三方机构</w:t>
      </w:r>
      <w:r>
        <w:rPr>
          <w:rFonts w:hint="eastAsia" w:ascii="宋体" w:hAnsi="宋体" w:cs="Helvetica"/>
          <w:kern w:val="0"/>
        </w:rPr>
        <w:t>的意见作为验收书的参考资料一并存档。</w:t>
      </w:r>
    </w:p>
    <w:p>
      <w:pPr>
        <w:tabs>
          <w:tab w:val="left" w:pos="0"/>
        </w:tabs>
        <w:spacing w:line="360" w:lineRule="auto"/>
        <w:ind w:firstLine="420" w:firstLineChars="200"/>
        <w:rPr>
          <w:rFonts w:ascii="宋体" w:hAnsi="宋体" w:cs="Helvetica"/>
          <w:kern w:val="0"/>
        </w:rPr>
      </w:pPr>
      <w:r>
        <w:rPr>
          <w:rFonts w:hint="eastAsia" w:ascii="宋体" w:hAnsi="宋体" w:cs="Helvetica"/>
          <w:kern w:val="0"/>
        </w:rPr>
        <w:t>37.3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20" w:firstLineChars="200"/>
        <w:rPr>
          <w:rFonts w:ascii="宋体" w:hAnsi="宋体" w:cs="Helvetica"/>
          <w:kern w:val="0"/>
        </w:rPr>
      </w:pPr>
      <w:r>
        <w:rPr>
          <w:rFonts w:hint="eastAsia" w:ascii="宋体" w:hAnsi="宋体" w:cs="Helvetica"/>
          <w:kern w:val="0"/>
        </w:rPr>
        <w:t>37.4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26"/>
        <w:spacing w:line="360" w:lineRule="auto"/>
        <w:ind w:firstLine="422" w:firstLineChars="200"/>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七、其他事项</w:t>
      </w:r>
    </w:p>
    <w:p>
      <w:pPr>
        <w:pStyle w:val="26"/>
        <w:spacing w:line="360"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38.代理服务费</w:t>
      </w:r>
    </w:p>
    <w:p>
      <w:pPr>
        <w:pStyle w:val="26"/>
        <w:spacing w:line="360" w:lineRule="auto"/>
        <w:ind w:firstLine="420" w:firstLineChars="200"/>
        <w:textAlignment w:val="center"/>
        <w:rPr>
          <w:rFonts w:hAnsi="宋体"/>
          <w:kern w:val="2"/>
          <w:sz w:val="21"/>
        </w:rPr>
      </w:pPr>
      <w:r>
        <w:rPr>
          <w:rFonts w:hint="eastAsia" w:hAnsi="宋体"/>
          <w:kern w:val="2"/>
          <w:sz w:val="21"/>
        </w:rPr>
        <w:t>代理服务收费标准及缴费账户详见“磋商须知前附表”，供应商为联合体的</w:t>
      </w:r>
      <w:r>
        <w:rPr>
          <w:rFonts w:hint="eastAsia" w:hAnsi="宋体"/>
          <w:sz w:val="21"/>
          <w:szCs w:val="21"/>
          <w:lang w:val="zh-CN"/>
        </w:rPr>
        <w:t>（</w:t>
      </w:r>
      <w:r>
        <w:rPr>
          <w:rFonts w:hint="eastAsia" w:hAnsi="宋体"/>
          <w:sz w:val="21"/>
          <w:szCs w:val="21"/>
        </w:rPr>
        <w:t>允许联合体竞标时</w:t>
      </w:r>
      <w:r>
        <w:rPr>
          <w:rFonts w:hint="eastAsia" w:hAnsi="宋体"/>
          <w:sz w:val="21"/>
          <w:szCs w:val="21"/>
          <w:lang w:val="zh-CN"/>
        </w:rPr>
        <w:t>）</w:t>
      </w:r>
      <w:r>
        <w:rPr>
          <w:rFonts w:hint="eastAsia" w:hAnsi="宋体"/>
          <w:kern w:val="2"/>
          <w:sz w:val="21"/>
        </w:rPr>
        <w:t>，可以由联合体中的一方或者多方共同交纳代理服务费。</w:t>
      </w:r>
    </w:p>
    <w:p>
      <w:pPr>
        <w:pStyle w:val="26"/>
        <w:spacing w:line="380" w:lineRule="exac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39.需要补充的其他内容</w:t>
      </w:r>
    </w:p>
    <w:p>
      <w:pPr>
        <w:pStyle w:val="26"/>
        <w:spacing w:line="360" w:lineRule="auto"/>
        <w:ind w:firstLine="420" w:firstLineChars="200"/>
        <w:textAlignment w:val="center"/>
        <w:rPr>
          <w:rFonts w:hAnsi="宋体"/>
          <w:kern w:val="2"/>
          <w:sz w:val="21"/>
        </w:rPr>
      </w:pPr>
      <w:r>
        <w:rPr>
          <w:rFonts w:hint="eastAsia" w:hAnsi="宋体"/>
          <w:kern w:val="2"/>
          <w:sz w:val="21"/>
        </w:rPr>
        <w:t>39.1本竞争性磋商采购文件是根据《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解释权属本采购代理机构。</w:t>
      </w:r>
    </w:p>
    <w:p>
      <w:pPr>
        <w:pStyle w:val="26"/>
        <w:spacing w:line="360" w:lineRule="auto"/>
        <w:ind w:firstLine="420" w:firstLineChars="200"/>
        <w:textAlignment w:val="center"/>
        <w:rPr>
          <w:rFonts w:hAnsi="宋体"/>
          <w:kern w:val="2"/>
          <w:sz w:val="21"/>
        </w:rPr>
      </w:pPr>
      <w:r>
        <w:rPr>
          <w:rFonts w:hint="eastAsia" w:asciiTheme="minorEastAsia" w:hAnsiTheme="minorEastAsia" w:eastAsiaTheme="minorEastAsia" w:cstheme="minorEastAsia"/>
          <w:sz w:val="21"/>
          <w:szCs w:val="21"/>
        </w:rPr>
        <w:t>39.2</w:t>
      </w:r>
      <w:r>
        <w:rPr>
          <w:rFonts w:hint="eastAsia" w:hAnsi="宋体"/>
          <w:kern w:val="2"/>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sz w:val="21"/>
        </w:rPr>
        <w:t>服务由中小企业承接，即提供服务的人员为中小企业依照《中华人民共和国劳动合同法》订立劳动合同的从业人员，不对其中涉及的货物的制造商和工程承建商作出要求的</w:t>
      </w:r>
      <w:r>
        <w:rPr>
          <w:rFonts w:hint="eastAsia" w:hAnsi="宋体"/>
          <w:kern w:val="2"/>
          <w:sz w:val="21"/>
        </w:rPr>
        <w:t>，享受本文件规定的中小企业扶持政策。监狱企业或残疾人福利性单位视同为中小企业。</w:t>
      </w:r>
    </w:p>
    <w:p>
      <w:pPr>
        <w:pStyle w:val="26"/>
        <w:spacing w:line="360" w:lineRule="auto"/>
        <w:ind w:firstLine="420" w:firstLineChars="200"/>
        <w:textAlignment w:val="center"/>
        <w:rPr>
          <w:rFonts w:hAnsi="宋体"/>
          <w:kern w:val="2"/>
          <w:sz w:val="21"/>
        </w:rPr>
      </w:pPr>
      <w:r>
        <w:rPr>
          <w:rFonts w:hint="eastAsia" w:hAnsi="宋体"/>
          <w:kern w:val="2"/>
          <w:sz w:val="21"/>
        </w:rPr>
        <w:t>以联合体形式参加政府采购活动，联合体各方均为中小企业的，联合体视同中小企业。其中，联合体各方均为小微企业的，联合体视同小微企业。</w:t>
      </w:r>
    </w:p>
    <w:p>
      <w:pPr>
        <w:pStyle w:val="26"/>
        <w:spacing w:line="360" w:lineRule="auto"/>
        <w:ind w:firstLine="420"/>
        <w:rPr>
          <w:rFonts w:hAnsi="宋体"/>
          <w:kern w:val="2"/>
          <w:sz w:val="21"/>
        </w:rPr>
      </w:pPr>
      <w:r>
        <w:rPr>
          <w:rFonts w:hint="eastAsia" w:hAnsi="宋体"/>
          <w:kern w:val="2"/>
          <w:sz w:val="21"/>
        </w:rPr>
        <w:t>依据本文件规定享受扶持政策获得政府采购合同的，小微企业不得将合同分包给大中型企业，中型企业不得将合同分包给大型企业。</w:t>
      </w:r>
    </w:p>
    <w:p>
      <w:pPr>
        <w:pStyle w:val="4"/>
        <w:numPr>
          <w:ilvl w:val="0"/>
          <w:numId w:val="9"/>
        </w:numPr>
        <w:jc w:val="center"/>
        <w:rPr>
          <w:rFonts w:asciiTheme="minorEastAsia" w:hAnsiTheme="minorEastAsia" w:eastAsiaTheme="minorEastAsia" w:cstheme="minorEastAsia"/>
          <w:kern w:val="0"/>
          <w:sz w:val="44"/>
          <w:szCs w:val="44"/>
        </w:rPr>
      </w:pPr>
      <w:bookmarkStart w:id="17" w:name="_Toc3177"/>
      <w:bookmarkStart w:id="18" w:name="_Toc13906"/>
      <w:r>
        <w:rPr>
          <w:rFonts w:hint="eastAsia" w:asciiTheme="minorEastAsia" w:hAnsiTheme="minorEastAsia" w:eastAsiaTheme="minorEastAsia" w:cstheme="minorEastAsia"/>
          <w:kern w:val="0"/>
          <w:sz w:val="44"/>
          <w:szCs w:val="44"/>
        </w:rPr>
        <w:t xml:space="preserve"> 技术规范</w:t>
      </w:r>
      <w:bookmarkEnd w:id="17"/>
    </w:p>
    <w:p>
      <w:pPr>
        <w:spacing w:line="420" w:lineRule="exact"/>
        <w:ind w:firstLine="420" w:firstLineChars="200"/>
        <w:jc w:val="left"/>
        <w:rPr>
          <w:rFonts w:ascii="宋体" w:hAnsi="宋体"/>
        </w:rPr>
      </w:pPr>
      <w:r>
        <w:rPr>
          <w:rFonts w:hint="eastAsia" w:ascii="宋体" w:hAnsi="宋体"/>
        </w:rPr>
        <w:t>一、工程建设地点的现场条件：</w:t>
      </w:r>
    </w:p>
    <w:p>
      <w:pPr>
        <w:spacing w:line="420" w:lineRule="exact"/>
        <w:ind w:firstLine="420" w:firstLineChars="200"/>
        <w:jc w:val="left"/>
        <w:rPr>
          <w:rFonts w:ascii="宋体" w:hAnsi="宋体"/>
        </w:rPr>
      </w:pPr>
      <w:r>
        <w:rPr>
          <w:rFonts w:hint="eastAsia" w:ascii="宋体" w:hAnsi="宋体"/>
        </w:rPr>
        <w:t>（一）现场自然条件</w:t>
      </w:r>
    </w:p>
    <w:p>
      <w:pPr>
        <w:spacing w:line="420" w:lineRule="exact"/>
        <w:ind w:firstLine="420" w:firstLineChars="200"/>
        <w:jc w:val="left"/>
        <w:rPr>
          <w:rFonts w:ascii="宋体" w:hAnsi="宋体"/>
        </w:rPr>
      </w:pPr>
      <w:r>
        <w:rPr>
          <w:rFonts w:hint="eastAsia" w:ascii="宋体" w:hAnsi="宋体"/>
        </w:rPr>
        <w:t>满足施工要求。</w:t>
      </w:r>
    </w:p>
    <w:p>
      <w:pPr>
        <w:spacing w:line="420" w:lineRule="exact"/>
        <w:ind w:firstLine="420" w:firstLineChars="200"/>
        <w:jc w:val="left"/>
        <w:rPr>
          <w:rFonts w:ascii="宋体" w:hAnsi="宋体"/>
        </w:rPr>
      </w:pPr>
      <w:r>
        <w:rPr>
          <w:rFonts w:hint="eastAsia" w:ascii="宋体" w:hAnsi="宋体"/>
        </w:rPr>
        <w:t>（二）现场施工条件</w:t>
      </w:r>
    </w:p>
    <w:p>
      <w:pPr>
        <w:spacing w:line="420" w:lineRule="exact"/>
        <w:ind w:firstLine="420" w:firstLineChars="200"/>
        <w:jc w:val="left"/>
        <w:rPr>
          <w:rFonts w:ascii="宋体" w:hAnsi="宋体"/>
        </w:rPr>
      </w:pPr>
      <w:r>
        <w:rPr>
          <w:rFonts w:hint="eastAsia" w:ascii="宋体" w:hAnsi="宋体"/>
        </w:rPr>
        <w:t>符合施工要求。</w:t>
      </w:r>
    </w:p>
    <w:p>
      <w:pPr>
        <w:spacing w:line="420" w:lineRule="exact"/>
        <w:ind w:firstLine="420" w:firstLineChars="200"/>
        <w:jc w:val="left"/>
        <w:rPr>
          <w:rFonts w:ascii="宋体" w:hAnsi="宋体"/>
        </w:rPr>
      </w:pPr>
      <w:r>
        <w:rPr>
          <w:rFonts w:hint="eastAsia" w:ascii="宋体" w:hAnsi="宋体"/>
        </w:rPr>
        <w:t>二、施工要求</w:t>
      </w:r>
    </w:p>
    <w:p>
      <w:pPr>
        <w:spacing w:line="420" w:lineRule="exact"/>
        <w:ind w:firstLine="420" w:firstLineChars="200"/>
        <w:jc w:val="left"/>
      </w:pPr>
      <w:r>
        <w:rPr>
          <w:rFonts w:hint="eastAsia" w:ascii="宋体" w:hAnsi="宋体"/>
        </w:rPr>
        <w:t>本工程应该认真按照设计施工图纸的要求进行施工，同时也要严格现行标准和技术规范。具体技术参数按工程图纸说明。</w:t>
      </w:r>
    </w:p>
    <w:p>
      <w:pPr>
        <w:pStyle w:val="26"/>
        <w:spacing w:line="360" w:lineRule="auto"/>
        <w:jc w:val="center"/>
        <w:rPr>
          <w:rStyle w:val="62"/>
          <w:rFonts w:asciiTheme="minorEastAsia" w:hAnsiTheme="minorEastAsia" w:eastAsiaTheme="minorEastAsia" w:cstheme="minorEastAsia"/>
          <w:sz w:val="36"/>
          <w:szCs w:val="36"/>
        </w:rPr>
      </w:pPr>
      <w:r>
        <w:rPr>
          <w:rStyle w:val="62"/>
          <w:rFonts w:hint="eastAsia" w:asciiTheme="minorEastAsia" w:hAnsiTheme="minorEastAsia" w:eastAsiaTheme="minorEastAsia" w:cstheme="minorEastAsia"/>
          <w:sz w:val="36"/>
          <w:szCs w:val="36"/>
        </w:rPr>
        <w:t>本项目工程量清单及图纸另册发放。</w:t>
      </w:r>
    </w:p>
    <w:p>
      <w:pPr>
        <w:pStyle w:val="26"/>
        <w:spacing w:line="360" w:lineRule="auto"/>
        <w:jc w:val="center"/>
        <w:rPr>
          <w:rStyle w:val="62"/>
          <w:rFonts w:asciiTheme="minorEastAsia" w:hAnsiTheme="minorEastAsia" w:eastAsiaTheme="minorEastAsia" w:cstheme="minorEastAsia"/>
          <w:sz w:val="36"/>
          <w:szCs w:val="36"/>
        </w:rPr>
      </w:pPr>
    </w:p>
    <w:p>
      <w:pPr>
        <w:pStyle w:val="26"/>
        <w:spacing w:line="360" w:lineRule="auto"/>
        <w:jc w:val="center"/>
        <w:rPr>
          <w:rStyle w:val="62"/>
          <w:rFonts w:asciiTheme="minorEastAsia" w:hAnsiTheme="minorEastAsia" w:eastAsiaTheme="minorEastAsia" w:cstheme="minorEastAsia"/>
          <w:sz w:val="36"/>
          <w:szCs w:val="36"/>
        </w:rPr>
      </w:pPr>
    </w:p>
    <w:p>
      <w:pPr>
        <w:pStyle w:val="26"/>
        <w:spacing w:line="360" w:lineRule="auto"/>
        <w:jc w:val="center"/>
        <w:rPr>
          <w:rStyle w:val="62"/>
          <w:rFonts w:asciiTheme="minorEastAsia" w:hAnsiTheme="minorEastAsia" w:eastAsiaTheme="minorEastAsia" w:cstheme="minorEastAsia"/>
          <w:sz w:val="36"/>
          <w:szCs w:val="36"/>
        </w:rPr>
      </w:pPr>
    </w:p>
    <w:p>
      <w:pPr>
        <w:pStyle w:val="26"/>
        <w:spacing w:line="360" w:lineRule="auto"/>
        <w:jc w:val="center"/>
        <w:rPr>
          <w:rStyle w:val="62"/>
          <w:rFonts w:asciiTheme="minorEastAsia" w:hAnsiTheme="minorEastAsia" w:eastAsiaTheme="minorEastAsia" w:cstheme="minorEastAsia"/>
          <w:sz w:val="36"/>
          <w:szCs w:val="36"/>
        </w:rPr>
      </w:pPr>
    </w:p>
    <w:p>
      <w:pPr>
        <w:pStyle w:val="26"/>
        <w:spacing w:line="360" w:lineRule="auto"/>
        <w:jc w:val="center"/>
        <w:rPr>
          <w:rStyle w:val="62"/>
          <w:rFonts w:asciiTheme="minorEastAsia" w:hAnsiTheme="minorEastAsia" w:eastAsiaTheme="minorEastAsia" w:cstheme="minorEastAsia"/>
          <w:sz w:val="36"/>
          <w:szCs w:val="36"/>
        </w:rPr>
      </w:pPr>
    </w:p>
    <w:p>
      <w:pPr>
        <w:pStyle w:val="26"/>
        <w:spacing w:line="360" w:lineRule="auto"/>
        <w:jc w:val="center"/>
        <w:rPr>
          <w:rStyle w:val="62"/>
          <w:rFonts w:asciiTheme="minorEastAsia" w:hAnsiTheme="minorEastAsia" w:eastAsiaTheme="minorEastAsia" w:cstheme="minorEastAsia"/>
          <w:sz w:val="36"/>
          <w:szCs w:val="36"/>
        </w:rPr>
      </w:pPr>
    </w:p>
    <w:p>
      <w:pPr>
        <w:pStyle w:val="26"/>
        <w:spacing w:line="360" w:lineRule="auto"/>
        <w:jc w:val="center"/>
        <w:rPr>
          <w:rStyle w:val="62"/>
          <w:rFonts w:asciiTheme="minorEastAsia" w:hAnsiTheme="minorEastAsia" w:eastAsiaTheme="minorEastAsia" w:cstheme="minorEastAsia"/>
          <w:sz w:val="36"/>
          <w:szCs w:val="36"/>
        </w:rPr>
      </w:pPr>
    </w:p>
    <w:p>
      <w:pPr>
        <w:rPr>
          <w:rStyle w:val="62"/>
          <w:rFonts w:asciiTheme="minorEastAsia" w:hAnsiTheme="minorEastAsia" w:eastAsiaTheme="minorEastAsia" w:cstheme="minorEastAsia"/>
          <w:sz w:val="36"/>
          <w:szCs w:val="36"/>
        </w:rPr>
      </w:pPr>
    </w:p>
    <w:p>
      <w:pPr>
        <w:pStyle w:val="20"/>
        <w:rPr>
          <w:rStyle w:val="62"/>
          <w:rFonts w:asciiTheme="minorEastAsia" w:hAnsiTheme="minorEastAsia" w:eastAsiaTheme="minorEastAsia" w:cstheme="minorEastAsia"/>
          <w:b/>
          <w:bCs/>
          <w:sz w:val="36"/>
          <w:szCs w:val="36"/>
        </w:rPr>
      </w:pPr>
    </w:p>
    <w:p>
      <w:pPr>
        <w:pStyle w:val="21"/>
        <w:ind w:firstLine="361"/>
        <w:rPr>
          <w:rStyle w:val="62"/>
          <w:rFonts w:asciiTheme="minorEastAsia" w:hAnsiTheme="minorEastAsia" w:eastAsiaTheme="minorEastAsia" w:cstheme="minorEastAsia"/>
          <w:b/>
          <w:bCs/>
          <w:sz w:val="36"/>
          <w:szCs w:val="36"/>
        </w:rPr>
      </w:pPr>
    </w:p>
    <w:p>
      <w:pPr>
        <w:pStyle w:val="21"/>
        <w:ind w:firstLine="361"/>
        <w:rPr>
          <w:rStyle w:val="62"/>
          <w:rFonts w:asciiTheme="minorEastAsia" w:hAnsiTheme="minorEastAsia" w:eastAsiaTheme="minorEastAsia" w:cstheme="minorEastAsia"/>
          <w:b/>
          <w:bCs/>
          <w:sz w:val="36"/>
          <w:szCs w:val="36"/>
        </w:rPr>
      </w:pPr>
    </w:p>
    <w:p>
      <w:pPr>
        <w:pStyle w:val="21"/>
        <w:ind w:firstLine="361"/>
        <w:rPr>
          <w:rStyle w:val="62"/>
          <w:rFonts w:asciiTheme="minorEastAsia" w:hAnsiTheme="minorEastAsia" w:eastAsiaTheme="minorEastAsia" w:cstheme="minorEastAsia"/>
          <w:b/>
          <w:bCs/>
          <w:sz w:val="36"/>
          <w:szCs w:val="36"/>
        </w:rPr>
      </w:pPr>
    </w:p>
    <w:p>
      <w:pPr>
        <w:pStyle w:val="4"/>
        <w:numPr>
          <w:ilvl w:val="0"/>
          <w:numId w:val="9"/>
        </w:numPr>
        <w:jc w:val="center"/>
        <w:rPr>
          <w:rFonts w:asciiTheme="minorEastAsia" w:hAnsiTheme="minorEastAsia" w:eastAsiaTheme="minorEastAsia" w:cstheme="minorEastAsia"/>
          <w:kern w:val="0"/>
          <w:sz w:val="44"/>
          <w:szCs w:val="44"/>
        </w:rPr>
      </w:pPr>
      <w:r>
        <w:rPr>
          <w:rFonts w:hint="eastAsia" w:asciiTheme="minorEastAsia" w:hAnsiTheme="minorEastAsia" w:eastAsiaTheme="minorEastAsia" w:cstheme="minorEastAsia"/>
          <w:kern w:val="0"/>
          <w:sz w:val="44"/>
          <w:szCs w:val="44"/>
        </w:rPr>
        <w:t xml:space="preserve"> </w:t>
      </w:r>
      <w:bookmarkStart w:id="19" w:name="_Toc3710"/>
      <w:r>
        <w:rPr>
          <w:rFonts w:hint="eastAsia" w:asciiTheme="minorEastAsia" w:hAnsiTheme="minorEastAsia" w:eastAsiaTheme="minorEastAsia" w:cstheme="minorEastAsia"/>
          <w:kern w:val="0"/>
          <w:sz w:val="44"/>
          <w:szCs w:val="44"/>
        </w:rPr>
        <w:t>评审程序、评审方法和评审标准</w:t>
      </w:r>
      <w:bookmarkEnd w:id="19"/>
    </w:p>
    <w:p>
      <w:pPr>
        <w:pStyle w:val="4"/>
        <w:jc w:val="center"/>
        <w:rPr>
          <w:rFonts w:ascii="宋体" w:hAnsi="宋体"/>
          <w:b w:val="0"/>
        </w:rPr>
      </w:pPr>
      <w:bookmarkStart w:id="20" w:name="_Toc23320"/>
      <w:bookmarkStart w:id="21" w:name="_Toc80886938"/>
      <w:r>
        <w:rPr>
          <w:rFonts w:hint="eastAsia" w:ascii="宋体" w:hAnsi="宋体"/>
          <w:b w:val="0"/>
        </w:rPr>
        <w:t>第一节 评审程序和评审方法</w:t>
      </w:r>
      <w:bookmarkEnd w:id="20"/>
      <w:bookmarkEnd w:id="21"/>
    </w:p>
    <w:p>
      <w:pPr>
        <w:spacing w:line="360" w:lineRule="auto"/>
        <w:ind w:firstLine="422" w:firstLineChars="200"/>
        <w:rPr>
          <w:rFonts w:ascii="黑体" w:hAnsi="黑体" w:eastAsia="黑体" w:cs="宋体"/>
          <w:b/>
          <w:bCs/>
        </w:rPr>
      </w:pPr>
      <w:r>
        <w:rPr>
          <w:rFonts w:ascii="黑体" w:hAnsi="黑体" w:eastAsia="黑体" w:cs="宋体"/>
          <w:b/>
          <w:bCs/>
        </w:rPr>
        <w:t>1</w:t>
      </w:r>
      <w:r>
        <w:rPr>
          <w:rFonts w:hint="eastAsia" w:ascii="黑体" w:hAnsi="黑体" w:eastAsia="黑体" w:cs="宋体"/>
          <w:b/>
          <w:bCs/>
        </w:rPr>
        <w:t>.确认磋商文件</w:t>
      </w:r>
    </w:p>
    <w:p>
      <w:pPr>
        <w:spacing w:line="360" w:lineRule="auto"/>
        <w:ind w:firstLine="420" w:firstLineChars="200"/>
        <w:rPr>
          <w:rFonts w:ascii="宋体" w:hAnsi="宋体" w:cs="宋体"/>
        </w:rPr>
      </w:pPr>
      <w:r>
        <w:rPr>
          <w:rFonts w:hint="eastAsia" w:ascii="宋体" w:hAnsi="宋体" w:cs="宋体"/>
        </w:rPr>
        <w:t>1.1由磋商小组确认磋商文件。</w:t>
      </w:r>
    </w:p>
    <w:p>
      <w:pPr>
        <w:spacing w:line="360" w:lineRule="auto"/>
        <w:ind w:firstLine="422" w:firstLineChars="200"/>
        <w:rPr>
          <w:rFonts w:ascii="黑体" w:hAnsi="黑体" w:eastAsia="黑体" w:cs="宋体"/>
          <w:b/>
          <w:bCs/>
        </w:rPr>
      </w:pPr>
      <w:r>
        <w:rPr>
          <w:rFonts w:hint="eastAsia" w:ascii="黑体" w:hAnsi="黑体" w:eastAsia="黑体" w:cs="宋体"/>
          <w:b/>
          <w:bCs/>
        </w:rPr>
        <w:t>2.资格审查</w:t>
      </w:r>
    </w:p>
    <w:p>
      <w:pPr>
        <w:snapToGrid w:val="0"/>
        <w:spacing w:line="360" w:lineRule="auto"/>
        <w:ind w:firstLine="420" w:firstLineChars="200"/>
        <w:rPr>
          <w:rFonts w:ascii="宋体" w:hAnsi="宋体"/>
        </w:rPr>
      </w:pPr>
      <w:r>
        <w:rPr>
          <w:rFonts w:hint="eastAsia" w:ascii="宋体" w:hAnsi="宋体" w:cs="宋体"/>
        </w:rPr>
        <w:t>2.1</w:t>
      </w:r>
      <w:r>
        <w:rPr>
          <w:rFonts w:hint="eastAsia" w:ascii="宋体" w:hAnsi="宋体"/>
        </w:rPr>
        <w:t>响应文件开启后，磋商小组依法对供应商的资格证明文件进行审查。</w:t>
      </w:r>
    </w:p>
    <w:p>
      <w:pPr>
        <w:snapToGrid w:val="0"/>
        <w:spacing w:line="360" w:lineRule="auto"/>
        <w:ind w:firstLine="420" w:firstLineChars="200"/>
        <w:rPr>
          <w:rFonts w:ascii="宋体" w:hAnsi="宋体" w:cs="宋体"/>
        </w:rPr>
      </w:pPr>
      <w:r>
        <w:rPr>
          <w:rFonts w:hint="eastAsia" w:ascii="宋体" w:hAnsi="宋体" w:cs="宋体"/>
        </w:rPr>
        <w:t>注：采购人代表或者采购代理机构在资格审查结束前，对供应商进行信用查询。</w:t>
      </w:r>
    </w:p>
    <w:p>
      <w:pPr>
        <w:snapToGrid w:val="0"/>
        <w:spacing w:line="360" w:lineRule="auto"/>
        <w:ind w:firstLine="420" w:firstLineChars="200"/>
        <w:jc w:val="left"/>
        <w:rPr>
          <w:rFonts w:ascii="宋体" w:hAnsi="宋体" w:cs="宋体"/>
        </w:rPr>
      </w:pPr>
      <w:r>
        <w:rPr>
          <w:rFonts w:hint="eastAsia" w:ascii="宋体" w:hAnsi="宋体" w:cs="宋体"/>
        </w:rPr>
        <w:t>（1）查询渠道：“广西政采云”平台“信用中国”网站(</w:t>
      </w:r>
      <w:r>
        <w:fldChar w:fldCharType="begin"/>
      </w:r>
      <w:r>
        <w:instrText xml:space="preserve"> HYPERLINK "http://www.creditchina.gov.cn" </w:instrText>
      </w:r>
      <w:r>
        <w:fldChar w:fldCharType="separate"/>
      </w:r>
      <w:r>
        <w:rPr>
          <w:rStyle w:val="55"/>
          <w:rFonts w:hint="eastAsia" w:hAnsi="宋体" w:cs="宋体"/>
        </w:rPr>
        <w:t>www.creditchina.gov.cn</w:t>
      </w:r>
      <w:r>
        <w:rPr>
          <w:rStyle w:val="55"/>
          <w:rFonts w:hint="eastAsia" w:hAnsi="宋体" w:cs="宋体"/>
        </w:rPr>
        <w:fldChar w:fldCharType="end"/>
      </w:r>
      <w:r>
        <w:rPr>
          <w:rFonts w:hint="eastAsia" w:ascii="宋体" w:hAnsi="宋体" w:cs="宋体"/>
        </w:rPr>
        <w:t>)、中国政府采购网(</w:t>
      </w:r>
      <w:r>
        <w:fldChar w:fldCharType="begin"/>
      </w:r>
      <w:r>
        <w:instrText xml:space="preserve"> HYPERLINK "http://www.ccgp.gov.cn" </w:instrText>
      </w:r>
      <w:r>
        <w:fldChar w:fldCharType="separate"/>
      </w:r>
      <w:r>
        <w:rPr>
          <w:rStyle w:val="55"/>
          <w:rFonts w:hint="eastAsia" w:hAnsi="宋体" w:cs="宋体"/>
        </w:rPr>
        <w:t>www.ccgp.gov.cn</w:t>
      </w:r>
      <w:r>
        <w:rPr>
          <w:rStyle w:val="55"/>
          <w:rFonts w:hint="eastAsia" w:hAnsi="宋体" w:cs="宋体"/>
        </w:rPr>
        <w:fldChar w:fldCharType="end"/>
      </w:r>
      <w:r>
        <w:rPr>
          <w:rFonts w:hint="eastAsia" w:ascii="宋体" w:hAnsi="宋体" w:cs="宋体"/>
        </w:rPr>
        <w:t>)链接入口。</w:t>
      </w:r>
    </w:p>
    <w:p>
      <w:pPr>
        <w:snapToGrid w:val="0"/>
        <w:spacing w:line="360" w:lineRule="auto"/>
        <w:ind w:firstLine="420" w:firstLineChars="200"/>
        <w:rPr>
          <w:rFonts w:ascii="宋体" w:hAnsi="宋体" w:cs="宋体"/>
        </w:rPr>
      </w:pPr>
      <w:r>
        <w:rPr>
          <w:rFonts w:hint="eastAsia" w:ascii="宋体" w:hAnsi="宋体" w:cs="宋体"/>
        </w:rPr>
        <w:t>（2）信用查询截止时点：资格审查结束前。</w:t>
      </w:r>
    </w:p>
    <w:p>
      <w:pPr>
        <w:snapToGrid w:val="0"/>
        <w:spacing w:line="360" w:lineRule="auto"/>
        <w:ind w:firstLine="420" w:firstLineChars="200"/>
        <w:rPr>
          <w:rFonts w:ascii="宋体" w:hAnsi="宋体" w:cs="宋体"/>
        </w:rPr>
      </w:pPr>
      <w:r>
        <w:rPr>
          <w:rFonts w:hint="eastAsia" w:ascii="宋体" w:hAnsi="宋体" w:cs="宋体"/>
        </w:rPr>
        <w:t>查询记录和证据留存方式：在查询网站中直接打印查询记录，截图另存为电子文档作为评审资料保存。</w:t>
      </w:r>
    </w:p>
    <w:p>
      <w:pPr>
        <w:spacing w:line="360" w:lineRule="auto"/>
        <w:ind w:firstLine="420" w:firstLineChars="200"/>
        <w:rPr>
          <w:rFonts w:ascii="宋体" w:hAnsi="宋体" w:cs="宋体"/>
        </w:rPr>
      </w:pPr>
      <w:r>
        <w:rPr>
          <w:rFonts w:hint="eastAsia" w:ascii="宋体" w:hAnsi="宋体" w:cs="宋体"/>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ascii="宋体" w:hAnsi="宋体" w:cs="宋体"/>
        </w:rPr>
      </w:pPr>
      <w:r>
        <w:rPr>
          <w:rFonts w:hint="eastAsia" w:ascii="宋体" w:hAnsi="宋体" w:cs="宋体"/>
        </w:rPr>
        <w:t>2.2资格审查标准为本磋商文件中载明对供应商资格要求的条件。资格审查采用合格制，凡符合磋商文件规定的供应商资格要求的响应文件均通过资格审查。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ascii="宋体" w:hAnsi="宋体" w:cs="宋体"/>
        </w:rPr>
      </w:pPr>
      <w:r>
        <w:rPr>
          <w:rFonts w:hint="eastAsia" w:ascii="宋体" w:hAnsi="宋体" w:cs="宋体"/>
        </w:rPr>
        <w:t>2.3供应商有下列情形之一的，资格审查不通过，其响应文件按无效响应处理：</w:t>
      </w:r>
    </w:p>
    <w:p>
      <w:pPr>
        <w:snapToGrid w:val="0"/>
        <w:spacing w:line="360" w:lineRule="auto"/>
        <w:ind w:firstLine="420" w:firstLineChars="200"/>
        <w:rPr>
          <w:rFonts w:ascii="宋体" w:hAnsi="宋体" w:cs="宋体"/>
        </w:rPr>
      </w:pPr>
      <w:r>
        <w:rPr>
          <w:rFonts w:hint="eastAsia" w:ascii="宋体" w:hAnsi="宋体" w:cs="宋体"/>
        </w:rPr>
        <w:t>（</w:t>
      </w:r>
      <w:r>
        <w:rPr>
          <w:rFonts w:ascii="宋体" w:hAnsi="宋体" w:cs="宋体"/>
        </w:rPr>
        <w:t>1</w:t>
      </w:r>
      <w:r>
        <w:rPr>
          <w:rFonts w:hint="eastAsia" w:ascii="宋体" w:hAnsi="宋体" w:cs="宋体"/>
        </w:rPr>
        <w:t>）不具备磋商文件中规定的资格要求的；</w:t>
      </w:r>
    </w:p>
    <w:p>
      <w:pPr>
        <w:spacing w:line="360" w:lineRule="auto"/>
        <w:ind w:firstLine="420" w:firstLineChars="200"/>
        <w:rPr>
          <w:rFonts w:ascii="宋体" w:hAnsi="宋体" w:cs="宋体"/>
        </w:rPr>
      </w:pPr>
      <w:r>
        <w:rPr>
          <w:rFonts w:hint="eastAsia" w:ascii="宋体" w:hAnsi="宋体" w:cs="宋体"/>
        </w:rPr>
        <w:t>（</w:t>
      </w:r>
      <w:r>
        <w:rPr>
          <w:rFonts w:ascii="宋体" w:hAnsi="宋体" w:cs="宋体"/>
        </w:rPr>
        <w:t>2</w:t>
      </w:r>
      <w:r>
        <w:rPr>
          <w:rFonts w:hint="eastAsia" w:ascii="宋体" w:hAnsi="宋体" w:cs="宋体"/>
        </w:rPr>
        <w:t>）响应文件未提供任一项“磋商须知前附表”资格证明文件规定的“必须提供”的文件资料的；</w:t>
      </w:r>
    </w:p>
    <w:p>
      <w:pPr>
        <w:spacing w:line="360" w:lineRule="auto"/>
        <w:ind w:firstLine="420" w:firstLineChars="200"/>
        <w:rPr>
          <w:rFonts w:ascii="宋体" w:hAnsi="宋体" w:cs="宋体"/>
        </w:rPr>
      </w:pPr>
      <w:r>
        <w:rPr>
          <w:rFonts w:hint="eastAsia" w:ascii="宋体" w:hAnsi="宋体" w:cs="宋体"/>
        </w:rPr>
        <w:t>（</w:t>
      </w:r>
      <w:r>
        <w:rPr>
          <w:rFonts w:ascii="宋体" w:hAnsi="宋体" w:cs="宋体"/>
        </w:rPr>
        <w:t>3</w:t>
      </w:r>
      <w:r>
        <w:rPr>
          <w:rFonts w:hint="eastAsia" w:ascii="宋体" w:hAnsi="宋体" w:cs="宋体"/>
        </w:rPr>
        <w:t>）响应文件提供的资格证明文件出现任一项不符合“磋商须知前附表”资格证明文件规定的“必须提供”的文件资料要求或者无效的。</w:t>
      </w:r>
    </w:p>
    <w:p>
      <w:pPr>
        <w:spacing w:line="360" w:lineRule="auto"/>
        <w:ind w:firstLine="420" w:firstLineChars="200"/>
        <w:rPr>
          <w:rFonts w:ascii="宋体" w:hAnsi="宋体" w:cs="宋体"/>
        </w:rPr>
      </w:pPr>
      <w:bookmarkStart w:id="22" w:name="_Hlk68601553"/>
      <w:r>
        <w:rPr>
          <w:rFonts w:hint="eastAsia" w:ascii="宋体" w:hAnsi="宋体" w:cs="宋体"/>
        </w:rPr>
        <w:t>（4）同一合同项下的不同供应商，单位负责人为同一人或者存在直接控股、管理关系的；为本项目提供过整体设计、规范编制或者项目管理、监理、检测等服务的。</w:t>
      </w:r>
      <w:bookmarkEnd w:id="22"/>
    </w:p>
    <w:p>
      <w:pPr>
        <w:spacing w:line="360" w:lineRule="auto"/>
        <w:ind w:firstLine="420" w:firstLineChars="200"/>
        <w:rPr>
          <w:rFonts w:ascii="宋体" w:hAnsi="宋体"/>
        </w:rPr>
      </w:pPr>
      <w:r>
        <w:rPr>
          <w:rFonts w:hint="eastAsia" w:ascii="宋体" w:hAnsi="宋体" w:cs="宋体"/>
        </w:rPr>
        <w:t>2.4通过资格审查的合格供应商不足3家的，不得进入符合性审查环节，</w:t>
      </w:r>
      <w:r>
        <w:rPr>
          <w:rFonts w:hint="eastAsia" w:ascii="宋体" w:hAnsi="宋体"/>
        </w:rPr>
        <w:t>采购人或者采购代理机构应当重新开展采购活动。</w:t>
      </w:r>
    </w:p>
    <w:p>
      <w:pPr>
        <w:pStyle w:val="29"/>
      </w:pP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3.符合性审查</w:t>
      </w:r>
    </w:p>
    <w:p>
      <w:pPr>
        <w:spacing w:line="360" w:lineRule="auto"/>
        <w:ind w:firstLine="420" w:firstLineChars="200"/>
        <w:rPr>
          <w:rFonts w:ascii="宋体" w:hAnsi="宋体" w:cs="宋体"/>
        </w:rPr>
      </w:pPr>
      <w:r>
        <w:rPr>
          <w:rFonts w:hint="eastAsia" w:ascii="宋体" w:hAnsi="宋体" w:cs="宋体"/>
        </w:rPr>
        <w:t>3</w:t>
      </w:r>
      <w:r>
        <w:rPr>
          <w:rFonts w:ascii="宋体" w:hAnsi="宋体" w:cs="宋体"/>
        </w:rPr>
        <w:t>.1</w:t>
      </w:r>
      <w:r>
        <w:rPr>
          <w:rFonts w:hint="eastAsia" w:ascii="宋体" w:hAnsi="宋体" w:cs="宋体"/>
        </w:rPr>
        <w:t>由磋商小组对</w:t>
      </w:r>
      <w:r>
        <w:rPr>
          <w:rFonts w:hint="eastAsia" w:ascii="宋体" w:hAnsi="宋体"/>
        </w:rPr>
        <w:t>通过资格审查的合格供应商</w:t>
      </w:r>
      <w:r>
        <w:rPr>
          <w:rFonts w:hint="eastAsia" w:ascii="宋体" w:hAnsi="宋体" w:cs="宋体"/>
        </w:rPr>
        <w:t>的响应文件的响应报价、商务、技术等实质性要求进行符合性审查，以确定其是否满足磋商文件的实质性要求。</w:t>
      </w:r>
    </w:p>
    <w:p>
      <w:pPr>
        <w:spacing w:line="360" w:lineRule="auto"/>
        <w:ind w:firstLine="420" w:firstLineChars="200"/>
        <w:rPr>
          <w:rFonts w:ascii="宋体" w:hAnsi="宋体" w:cs="宋体"/>
        </w:rPr>
      </w:pPr>
      <w:r>
        <w:rPr>
          <w:rFonts w:hint="eastAsia" w:ascii="宋体" w:hAnsi="宋体" w:cs="宋体"/>
        </w:rPr>
        <w:t>3</w:t>
      </w:r>
      <w:r>
        <w:rPr>
          <w:rFonts w:ascii="宋体" w:hAnsi="宋体" w:cs="宋体"/>
        </w:rPr>
        <w:t>.2</w:t>
      </w:r>
      <w:r>
        <w:rPr>
          <w:rFonts w:hint="eastAsia" w:ascii="宋体" w:hAnsi="宋体" w:cs="宋体"/>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spacing w:val="-6"/>
        </w:rPr>
      </w:pPr>
      <w:r>
        <w:rPr>
          <w:rFonts w:hint="eastAsia" w:ascii="宋体" w:hAnsi="宋体" w:cs="宋体"/>
        </w:rPr>
        <w:t>3.</w:t>
      </w:r>
      <w:r>
        <w:rPr>
          <w:rFonts w:ascii="宋体" w:hAnsi="宋体" w:cs="宋体"/>
        </w:rPr>
        <w:t>3</w:t>
      </w:r>
      <w:r>
        <w:rPr>
          <w:rFonts w:hint="eastAsia" w:ascii="宋体" w:hAnsi="宋体" w:cs="宋体"/>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spacing w:val="-6"/>
        </w:rPr>
        <w:t>。供应商为自然人的，必须由本人签字并附身份证明。</w:t>
      </w:r>
    </w:p>
    <w:p>
      <w:pPr>
        <w:spacing w:line="360" w:lineRule="auto"/>
        <w:ind w:firstLine="396" w:firstLineChars="200"/>
        <w:rPr>
          <w:rFonts w:ascii="宋体" w:hAnsi="宋体" w:cs="宋体"/>
        </w:rPr>
      </w:pPr>
      <w:r>
        <w:rPr>
          <w:rFonts w:hint="eastAsia" w:ascii="宋体" w:hAnsi="宋体" w:cs="宋体"/>
          <w:spacing w:val="-6"/>
        </w:rPr>
        <w:t>3</w:t>
      </w:r>
      <w:r>
        <w:rPr>
          <w:rFonts w:ascii="宋体" w:hAnsi="宋体" w:cs="宋体"/>
          <w:spacing w:val="-6"/>
        </w:rPr>
        <w:t>.4</w:t>
      </w:r>
      <w:r>
        <w:rPr>
          <w:rFonts w:hint="eastAsia" w:ascii="宋体" w:hAnsi="宋体" w:cs="宋体"/>
        </w:rPr>
        <w:t xml:space="preserve">首次响应文件报价出现前后不一致的，按照下列规定修正： </w:t>
      </w:r>
    </w:p>
    <w:p>
      <w:pPr>
        <w:spacing w:line="360" w:lineRule="auto"/>
        <w:ind w:firstLine="420" w:firstLineChars="200"/>
        <w:rPr>
          <w:rFonts w:ascii="宋体" w:hAnsi="宋体" w:cs="宋体"/>
        </w:rPr>
      </w:pPr>
      <w:r>
        <w:rPr>
          <w:rFonts w:hint="eastAsia" w:ascii="宋体" w:hAnsi="宋体" w:cs="宋体"/>
        </w:rPr>
        <w:t>（1）响应文件中报价表内容与响应文件中相应内容不一致的，以报价表为准；</w:t>
      </w:r>
    </w:p>
    <w:p>
      <w:pPr>
        <w:spacing w:line="360" w:lineRule="auto"/>
        <w:ind w:firstLine="420" w:firstLineChars="200"/>
        <w:rPr>
          <w:rFonts w:ascii="宋体" w:hAnsi="宋体" w:cs="宋体"/>
        </w:rPr>
      </w:pPr>
      <w:r>
        <w:rPr>
          <w:rFonts w:hint="eastAsia" w:ascii="宋体" w:hAnsi="宋体" w:cs="宋体"/>
        </w:rPr>
        <w:t>（2）大写金额和小写金额不一致的，以大写金额为准；</w:t>
      </w:r>
    </w:p>
    <w:p>
      <w:pPr>
        <w:spacing w:line="360" w:lineRule="auto"/>
        <w:ind w:firstLine="420" w:firstLineChars="200"/>
        <w:rPr>
          <w:rFonts w:ascii="宋体" w:hAnsi="宋体" w:cs="宋体"/>
        </w:rPr>
      </w:pPr>
      <w:r>
        <w:rPr>
          <w:rFonts w:hint="eastAsia" w:ascii="宋体" w:hAnsi="宋体" w:cs="宋体"/>
        </w:rPr>
        <w:t>（3）单价金额小数点或者百分比有明显错位的，以报价表的总价为准，并修改单价；</w:t>
      </w:r>
    </w:p>
    <w:p>
      <w:pPr>
        <w:spacing w:line="360" w:lineRule="auto"/>
        <w:ind w:firstLine="420" w:firstLineChars="200"/>
        <w:rPr>
          <w:rFonts w:ascii="宋体" w:hAnsi="宋体" w:cs="宋体"/>
        </w:rPr>
      </w:pPr>
      <w:r>
        <w:rPr>
          <w:rFonts w:hint="eastAsia" w:ascii="宋体" w:hAnsi="宋体" w:cs="宋体"/>
        </w:rPr>
        <w:t>（4）总价金额与按单价汇总金额不一致的，以单价金额计算结果为准。</w:t>
      </w:r>
    </w:p>
    <w:p>
      <w:pPr>
        <w:spacing w:line="360" w:lineRule="auto"/>
        <w:ind w:firstLine="420" w:firstLineChars="200"/>
        <w:rPr>
          <w:rFonts w:ascii="宋体" w:hAnsi="宋体" w:cs="宋体"/>
        </w:rPr>
      </w:pPr>
      <w:r>
        <w:rPr>
          <w:rFonts w:hint="eastAsia" w:ascii="宋体" w:hAnsi="宋体" w:cs="宋体"/>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ascii="宋体" w:hAnsi="宋体" w:cs="宋体"/>
        </w:rPr>
      </w:pPr>
      <w:r>
        <w:rPr>
          <w:rFonts w:hint="eastAsia" w:ascii="宋体" w:hAnsi="宋体" w:cs="宋体"/>
        </w:rPr>
        <w:t>3.</w:t>
      </w:r>
      <w:r>
        <w:rPr>
          <w:rFonts w:ascii="宋体" w:hAnsi="宋体" w:cs="宋体"/>
        </w:rPr>
        <w:t>5</w:t>
      </w:r>
      <w:r>
        <w:rPr>
          <w:rFonts w:hint="eastAsia" w:ascii="宋体" w:hAnsi="宋体" w:cs="宋体"/>
        </w:rPr>
        <w:t>商务技术、报价评审</w:t>
      </w:r>
    </w:p>
    <w:p>
      <w:pPr>
        <w:spacing w:line="360" w:lineRule="auto"/>
        <w:ind w:firstLine="420" w:firstLineChars="200"/>
        <w:rPr>
          <w:rFonts w:ascii="宋体" w:hAnsi="宋体" w:cs="宋体"/>
        </w:rPr>
      </w:pPr>
      <w:r>
        <w:rPr>
          <w:rFonts w:hint="eastAsia" w:ascii="宋体" w:hAnsi="宋体" w:cs="宋体"/>
        </w:rPr>
        <w:t>在评审时，如发现下列情形之一的，将被视为响应文件无效处理：</w:t>
      </w:r>
    </w:p>
    <w:p>
      <w:pPr>
        <w:spacing w:line="360" w:lineRule="auto"/>
        <w:ind w:firstLine="420" w:firstLineChars="200"/>
        <w:rPr>
          <w:rFonts w:ascii="宋体" w:hAnsi="宋体" w:cs="宋体"/>
        </w:rPr>
      </w:pPr>
      <w:r>
        <w:rPr>
          <w:rFonts w:hint="eastAsia" w:ascii="宋体" w:hAnsi="宋体" w:cs="宋体"/>
        </w:rPr>
        <w:t>（1）商务技术评审</w:t>
      </w:r>
    </w:p>
    <w:p>
      <w:pPr>
        <w:spacing w:line="360" w:lineRule="auto"/>
        <w:ind w:firstLine="420" w:firstLineChars="200"/>
        <w:rPr>
          <w:rFonts w:ascii="宋体" w:hAnsi="宋体" w:cs="宋体"/>
        </w:rPr>
      </w:pPr>
      <w:r>
        <w:rPr>
          <w:rFonts w:hint="eastAsia" w:ascii="宋体" w:hAnsi="宋体" w:cs="宋体"/>
        </w:rPr>
        <w:t>1）响应文件未按磋商文件要求签署、盖章；</w:t>
      </w:r>
    </w:p>
    <w:p>
      <w:pPr>
        <w:spacing w:line="360" w:lineRule="auto"/>
        <w:ind w:firstLine="420" w:firstLineChars="200"/>
        <w:rPr>
          <w:rFonts w:ascii="宋体" w:hAnsi="宋体" w:cs="宋体"/>
        </w:rPr>
      </w:pPr>
      <w:r>
        <w:rPr>
          <w:rFonts w:hint="eastAsia" w:ascii="宋体" w:hAnsi="宋体" w:cs="宋体"/>
        </w:rPr>
        <w:t xml:space="preserve">2）委托代理人未能出具有效身份证明或者出具的身份证明与授权委托书中的信息不符； </w:t>
      </w:r>
    </w:p>
    <w:p>
      <w:pPr>
        <w:spacing w:line="360" w:lineRule="auto"/>
        <w:ind w:firstLine="420" w:firstLineChars="200"/>
        <w:rPr>
          <w:rFonts w:ascii="宋体" w:hAnsi="宋体" w:cs="宋体"/>
        </w:rPr>
      </w:pPr>
      <w:r>
        <w:rPr>
          <w:rFonts w:hint="eastAsia" w:ascii="宋体" w:hAnsi="宋体" w:cs="宋体"/>
        </w:rPr>
        <w:t>3）响应文件未提供任一项“磋商须知前附表” 商务技术文件中 “必须提供”或者“委托时必须提供”的文件资料；响应文件提供的商务技术文件出现任一项不符合“磋商须知前附表”商务技术文件中 “必须提供”或者“委托时必须提供”文件资料要求的规定或者提供的商务技术文件无效。</w:t>
      </w:r>
    </w:p>
    <w:p>
      <w:pPr>
        <w:spacing w:line="360" w:lineRule="auto"/>
        <w:ind w:firstLine="420" w:firstLineChars="200"/>
        <w:rPr>
          <w:rFonts w:ascii="宋体" w:hAnsi="宋体" w:cs="宋体"/>
        </w:rPr>
      </w:pPr>
      <w:r>
        <w:rPr>
          <w:rFonts w:hint="eastAsia" w:ascii="宋体" w:hAnsi="宋体" w:cs="宋体"/>
        </w:rPr>
        <w:t>4）实质性的要求发生负偏离；</w:t>
      </w:r>
    </w:p>
    <w:p>
      <w:pPr>
        <w:spacing w:line="360" w:lineRule="auto"/>
        <w:ind w:firstLine="420" w:firstLineChars="200"/>
        <w:rPr>
          <w:rFonts w:ascii="宋体" w:hAnsi="宋体" w:cs="宋体"/>
        </w:rPr>
      </w:pPr>
      <w:r>
        <w:rPr>
          <w:rFonts w:hint="eastAsia" w:ascii="宋体" w:hAnsi="宋体" w:cs="宋体"/>
        </w:rPr>
        <w:t>5）未对竞标有效期作出响应或者响应文件承诺的竞标有效期不满足磋商文件要求；</w:t>
      </w:r>
    </w:p>
    <w:p>
      <w:pPr>
        <w:spacing w:line="360" w:lineRule="auto"/>
        <w:ind w:firstLine="420" w:firstLineChars="200"/>
        <w:rPr>
          <w:rFonts w:ascii="宋体" w:hAnsi="宋体" w:cs="宋体"/>
        </w:rPr>
      </w:pPr>
      <w:r>
        <w:rPr>
          <w:rFonts w:hint="eastAsia" w:ascii="宋体" w:hAnsi="宋体" w:cs="宋体"/>
        </w:rPr>
        <w:t>6）响应文件的实质性内容未使用中文表述、使用计量单位不符合磋商文件要求；</w:t>
      </w:r>
    </w:p>
    <w:p>
      <w:pPr>
        <w:spacing w:line="360" w:lineRule="auto"/>
        <w:ind w:firstLine="420" w:firstLineChars="200"/>
        <w:rPr>
          <w:rFonts w:ascii="宋体" w:hAnsi="宋体" w:cs="宋体"/>
        </w:rPr>
      </w:pPr>
      <w:r>
        <w:rPr>
          <w:rFonts w:hint="eastAsia" w:ascii="宋体" w:hAnsi="宋体" w:cs="宋体"/>
        </w:rPr>
        <w:t>7）响应文件中的文件资料因填写不齐全或者内容虚假或者出现其他情形而导致被磋商小组认定无效；</w:t>
      </w:r>
    </w:p>
    <w:p>
      <w:pPr>
        <w:spacing w:line="360" w:lineRule="auto"/>
        <w:ind w:firstLine="420" w:firstLineChars="200"/>
        <w:rPr>
          <w:rFonts w:ascii="宋体" w:hAnsi="宋体" w:cs="宋体"/>
        </w:rPr>
      </w:pPr>
      <w:r>
        <w:rPr>
          <w:rFonts w:hint="eastAsia" w:ascii="宋体" w:hAnsi="宋体" w:cs="宋体"/>
        </w:rPr>
        <w:t>8）响应文件含有采购人不能接受的附加条件；</w:t>
      </w:r>
    </w:p>
    <w:p>
      <w:pPr>
        <w:spacing w:line="360" w:lineRule="auto"/>
        <w:ind w:firstLine="420" w:firstLineChars="200"/>
        <w:rPr>
          <w:rFonts w:ascii="宋体" w:hAnsi="宋体" w:cs="宋体"/>
        </w:rPr>
      </w:pPr>
      <w:r>
        <w:rPr>
          <w:rFonts w:hint="eastAsia" w:ascii="宋体" w:hAnsi="宋体" w:cs="宋体"/>
        </w:rPr>
        <w:t>9）属于“供应商须知正文”第7.</w:t>
      </w:r>
      <w:r>
        <w:rPr>
          <w:rFonts w:ascii="宋体" w:hAnsi="宋体" w:cs="宋体"/>
        </w:rPr>
        <w:t>5</w:t>
      </w:r>
      <w:r>
        <w:rPr>
          <w:rFonts w:hint="eastAsia" w:ascii="宋体" w:hAnsi="宋体" w:cs="宋体"/>
        </w:rPr>
        <w:t>条情形；</w:t>
      </w:r>
    </w:p>
    <w:p>
      <w:pPr>
        <w:spacing w:line="360" w:lineRule="auto"/>
        <w:ind w:firstLine="420" w:firstLineChars="200"/>
        <w:rPr>
          <w:rFonts w:ascii="宋体" w:hAnsi="宋体" w:cs="宋体"/>
        </w:rPr>
      </w:pPr>
      <w:r>
        <w:rPr>
          <w:rFonts w:hint="eastAsia" w:ascii="宋体" w:hAnsi="宋体" w:cs="宋体"/>
        </w:rPr>
        <w:t>10）虚假竞标，或者出现其他情形而导致被磋商小组认定无效；</w:t>
      </w:r>
    </w:p>
    <w:p>
      <w:pPr>
        <w:spacing w:line="360" w:lineRule="auto"/>
        <w:ind w:firstLine="420" w:firstLineChars="200"/>
        <w:rPr>
          <w:rFonts w:ascii="宋体" w:hAnsi="宋体" w:cs="宋体"/>
        </w:rPr>
      </w:pPr>
      <w:r>
        <w:rPr>
          <w:rFonts w:hint="eastAsia" w:ascii="宋体" w:hAnsi="宋体" w:cs="宋体"/>
        </w:rPr>
        <w:t>11）竞标技术方案不明确，磋商文件未允许</w:t>
      </w:r>
      <w:r>
        <w:rPr>
          <w:rFonts w:hint="eastAsia" w:ascii="宋体" w:hAnsi="宋体"/>
        </w:rPr>
        <w:t>但响应文件中</w:t>
      </w:r>
      <w:r>
        <w:rPr>
          <w:rFonts w:hint="eastAsia" w:ascii="宋体" w:hAnsi="宋体" w:cs="宋体"/>
        </w:rPr>
        <w:t>存在一个或者一个以上备选（替代）竞标方案；</w:t>
      </w:r>
    </w:p>
    <w:p>
      <w:pPr>
        <w:spacing w:line="360" w:lineRule="auto"/>
        <w:ind w:firstLine="420" w:firstLineChars="200"/>
        <w:rPr>
          <w:rFonts w:ascii="宋体" w:hAnsi="宋体" w:cs="宋体"/>
        </w:rPr>
      </w:pPr>
      <w:r>
        <w:rPr>
          <w:rFonts w:hint="eastAsia" w:ascii="宋体" w:hAnsi="宋体" w:cs="宋体"/>
        </w:rPr>
        <w:t>12）响应文件标注的项目名称或者项目编号与竞争性磋商文件标注的项目名称或者项目编号不一致的；</w:t>
      </w:r>
    </w:p>
    <w:p>
      <w:pPr>
        <w:spacing w:line="360" w:lineRule="auto"/>
        <w:ind w:firstLine="420" w:firstLineChars="200"/>
        <w:rPr>
          <w:rFonts w:ascii="宋体" w:hAnsi="宋体" w:cs="宋体"/>
        </w:rPr>
      </w:pPr>
      <w:r>
        <w:rPr>
          <w:rFonts w:hint="eastAsia" w:ascii="宋体" w:hAnsi="宋体" w:cs="宋体"/>
        </w:rPr>
        <w:t>13）未响应磋商文件实质性要求；</w:t>
      </w:r>
    </w:p>
    <w:p>
      <w:pPr>
        <w:spacing w:line="360" w:lineRule="auto"/>
        <w:ind w:firstLine="420" w:firstLineChars="200"/>
        <w:rPr>
          <w:rFonts w:ascii="宋体" w:hAnsi="宋体" w:cs="宋体"/>
        </w:rPr>
      </w:pPr>
      <w:r>
        <w:rPr>
          <w:rFonts w:hint="eastAsia" w:ascii="宋体" w:hAnsi="宋体" w:cs="宋体"/>
        </w:rPr>
        <w:t>14）法律、法规和磋商文件规定的其他无效情形。</w:t>
      </w:r>
    </w:p>
    <w:p>
      <w:pPr>
        <w:spacing w:line="360" w:lineRule="auto"/>
        <w:ind w:firstLine="420" w:firstLineChars="200"/>
        <w:rPr>
          <w:rFonts w:ascii="宋体" w:hAnsi="宋体" w:cs="宋体"/>
        </w:rPr>
      </w:pPr>
      <w:r>
        <w:rPr>
          <w:rFonts w:hint="eastAsia" w:ascii="宋体" w:hAnsi="宋体" w:cs="宋体"/>
        </w:rPr>
        <w:t>（</w:t>
      </w:r>
      <w:r>
        <w:rPr>
          <w:rFonts w:ascii="宋体" w:hAnsi="宋体" w:cs="宋体"/>
        </w:rPr>
        <w:t>2</w:t>
      </w:r>
      <w:r>
        <w:rPr>
          <w:rFonts w:hint="eastAsia" w:ascii="宋体" w:hAnsi="宋体" w:cs="宋体"/>
        </w:rPr>
        <w:t>）报价评审</w:t>
      </w:r>
    </w:p>
    <w:p>
      <w:pPr>
        <w:spacing w:line="360" w:lineRule="auto"/>
        <w:ind w:firstLine="420" w:firstLineChars="200"/>
        <w:rPr>
          <w:rFonts w:ascii="宋体" w:hAnsi="宋体" w:cs="宋体"/>
        </w:rPr>
      </w:pPr>
      <w:r>
        <w:rPr>
          <w:rFonts w:hint="eastAsia" w:ascii="宋体" w:hAnsi="宋体" w:cs="宋体"/>
        </w:rPr>
        <w:t>1)</w:t>
      </w:r>
      <w:r>
        <w:rPr>
          <w:rFonts w:ascii="宋体" w:hAnsi="宋体" w:cs="宋体"/>
        </w:rPr>
        <w:t xml:space="preserve"> </w:t>
      </w:r>
      <w:r>
        <w:rPr>
          <w:rFonts w:hint="eastAsia" w:ascii="宋体" w:hAnsi="宋体" w:cs="宋体"/>
        </w:rPr>
        <w:t>响应文件未提供“磋商须知前附表” 报价文件中规定的“响应报价表”；</w:t>
      </w:r>
    </w:p>
    <w:p>
      <w:pPr>
        <w:spacing w:line="360" w:lineRule="auto"/>
        <w:ind w:firstLine="420" w:firstLineChars="200"/>
        <w:rPr>
          <w:rFonts w:ascii="宋体" w:hAnsi="宋体" w:cs="宋体"/>
        </w:rPr>
      </w:pPr>
      <w:r>
        <w:rPr>
          <w:rFonts w:hint="eastAsia" w:ascii="宋体" w:hAnsi="宋体" w:cs="宋体"/>
        </w:rPr>
        <w:t>2）未采用人民币报价或者未按照磋商文件标明的币种报价；</w:t>
      </w:r>
    </w:p>
    <w:p>
      <w:pPr>
        <w:spacing w:line="360" w:lineRule="auto"/>
        <w:ind w:firstLine="420" w:firstLineChars="200"/>
        <w:rPr>
          <w:rFonts w:ascii="宋体" w:hAnsi="宋体" w:cs="宋体"/>
        </w:rPr>
      </w:pPr>
      <w:r>
        <w:rPr>
          <w:rFonts w:hint="eastAsia" w:ascii="宋体" w:hAnsi="宋体" w:cs="宋体"/>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pPr>
        <w:spacing w:line="360" w:lineRule="auto"/>
        <w:ind w:firstLine="420" w:firstLineChars="200"/>
        <w:rPr>
          <w:rFonts w:ascii="宋体" w:hAnsi="宋体" w:cs="宋体"/>
        </w:rPr>
      </w:pPr>
      <w:r>
        <w:rPr>
          <w:rFonts w:hint="eastAsia" w:ascii="宋体" w:hAnsi="宋体" w:cs="宋体"/>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pPr>
        <w:spacing w:line="360" w:lineRule="auto"/>
        <w:ind w:firstLine="420" w:firstLineChars="200"/>
        <w:rPr>
          <w:rFonts w:ascii="宋体" w:hAnsi="宋体" w:cs="宋体"/>
        </w:rPr>
      </w:pPr>
      <w:r>
        <w:rPr>
          <w:rFonts w:hint="eastAsia" w:ascii="宋体" w:hAnsi="宋体" w:cs="宋体"/>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pPr>
        <w:spacing w:line="360" w:lineRule="auto"/>
        <w:ind w:firstLine="420" w:firstLineChars="200"/>
        <w:rPr>
          <w:rFonts w:ascii="宋体" w:hAnsi="宋体" w:cs="宋体"/>
        </w:rPr>
      </w:pPr>
      <w:r>
        <w:rPr>
          <w:rFonts w:hint="eastAsia" w:ascii="宋体" w:hAnsi="宋体" w:cs="宋体"/>
        </w:rPr>
        <w:t>6）</w:t>
      </w:r>
      <w:r>
        <w:rPr>
          <w:rFonts w:hint="eastAsia" w:ascii="宋体" w:hAnsi="宋体"/>
        </w:rPr>
        <w:t>响应文件响应的标的数量及单位与竞争性磋商采购文件要求实质性不一致的。</w:t>
      </w:r>
    </w:p>
    <w:p>
      <w:pPr>
        <w:spacing w:line="360" w:lineRule="auto"/>
        <w:ind w:firstLine="420" w:firstLineChars="200"/>
        <w:rPr>
          <w:rFonts w:ascii="宋体" w:hAnsi="宋体" w:cs="宋体"/>
        </w:rPr>
      </w:pPr>
      <w:r>
        <w:rPr>
          <w:rFonts w:hint="eastAsia" w:ascii="宋体" w:hAnsi="宋体" w:cs="宋体"/>
        </w:rPr>
        <w:t>3</w:t>
      </w:r>
      <w:r>
        <w:rPr>
          <w:rFonts w:ascii="宋体" w:hAnsi="宋体" w:cs="宋体"/>
        </w:rPr>
        <w:t>.6</w:t>
      </w:r>
      <w:r>
        <w:rPr>
          <w:rFonts w:hint="eastAsia" w:ascii="宋体" w:hAnsi="宋体" w:cs="宋体"/>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ascii="宋体" w:hAnsi="宋体" w:cs="宋体"/>
        </w:rPr>
      </w:pPr>
      <w:r>
        <w:rPr>
          <w:rFonts w:hint="eastAsia" w:ascii="宋体" w:hAnsi="宋体" w:cs="宋体"/>
        </w:rPr>
        <w:t>3</w:t>
      </w:r>
      <w:r>
        <w:rPr>
          <w:rFonts w:ascii="宋体" w:hAnsi="宋体" w:cs="宋体"/>
        </w:rPr>
        <w:t>.7</w:t>
      </w:r>
      <w:r>
        <w:rPr>
          <w:rFonts w:hint="eastAsia" w:ascii="宋体" w:hAnsi="宋体" w:cs="宋体"/>
        </w:rPr>
        <w:t>非</w:t>
      </w:r>
      <w:r>
        <w:rPr>
          <w:rFonts w:hint="eastAsia" w:ascii="宋体" w:hAnsi="宋体"/>
        </w:rPr>
        <w:t>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pPr>
        <w:ind w:firstLine="422" w:firstLineChars="200"/>
        <w:rPr>
          <w:rFonts w:ascii="黑体" w:hAnsi="黑体" w:eastAsia="黑体" w:cs="宋体"/>
          <w:b/>
          <w:bCs/>
        </w:rPr>
      </w:pPr>
      <w:r>
        <w:rPr>
          <w:rFonts w:hint="eastAsia" w:ascii="黑体" w:hAnsi="黑体" w:eastAsia="黑体" w:cs="宋体"/>
          <w:b/>
          <w:bCs/>
        </w:rPr>
        <w:t>4.磋商程序</w:t>
      </w:r>
    </w:p>
    <w:p>
      <w:pPr>
        <w:spacing w:line="360" w:lineRule="auto"/>
        <w:ind w:firstLine="420" w:firstLineChars="200"/>
        <w:rPr>
          <w:rFonts w:ascii="宋体" w:hAnsi="宋体" w:cs="宋体"/>
          <w:kern w:val="0"/>
        </w:rPr>
      </w:pPr>
      <w:r>
        <w:rPr>
          <w:rFonts w:hint="eastAsia" w:ascii="宋体" w:hAnsi="宋体" w:cs="宋体"/>
          <w:kern w:val="0"/>
        </w:rPr>
        <w:t>4</w:t>
      </w:r>
      <w:r>
        <w:rPr>
          <w:rFonts w:ascii="宋体" w:hAnsi="宋体" w:cs="宋体"/>
          <w:kern w:val="0"/>
        </w:rPr>
        <w:t>.1</w:t>
      </w:r>
      <w:r>
        <w:rPr>
          <w:rFonts w:hint="eastAsia" w:ascii="宋体" w:hAnsi="宋体" w:cs="宋体"/>
          <w:kern w:val="0"/>
        </w:rPr>
        <w:t>磋商小组按照“磋商须知前附表”</w:t>
      </w:r>
      <w:r>
        <w:rPr>
          <w:rFonts w:hint="eastAsia" w:ascii="宋体" w:hAnsi="宋体" w:cs="宋体"/>
        </w:rPr>
        <w:t xml:space="preserve"> </w:t>
      </w:r>
      <w:r>
        <w:rPr>
          <w:rFonts w:hint="eastAsia" w:ascii="宋体" w:hAnsi="宋体" w:cs="宋体"/>
          <w:kern w:val="0"/>
        </w:rPr>
        <w:t>确定的</w:t>
      </w:r>
      <w:r>
        <w:rPr>
          <w:rFonts w:hint="eastAsia" w:ascii="宋体" w:hAnsi="宋体" w:cs="宋体"/>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ascii="宋体" w:hAnsi="宋体" w:cs="宋体"/>
        </w:rPr>
      </w:pPr>
      <w:r>
        <w:rPr>
          <w:rFonts w:hint="eastAsia" w:ascii="宋体" w:hAnsi="宋体" w:cs="宋体"/>
        </w:rPr>
        <w:t>4</w:t>
      </w:r>
      <w:r>
        <w:rPr>
          <w:rFonts w:ascii="宋体" w:hAnsi="宋体" w:cs="宋体"/>
        </w:rPr>
        <w:t>.2</w:t>
      </w:r>
      <w:r>
        <w:rPr>
          <w:rFonts w:hint="eastAsia" w:ascii="宋体" w:hAnsi="宋体" w:cs="宋体"/>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hAnsi="宋体" w:cs="宋体"/>
        </w:rPr>
      </w:pPr>
      <w:r>
        <w:rPr>
          <w:rFonts w:hint="eastAsia" w:ascii="宋体" w:hAnsi="宋体" w:cs="宋体"/>
        </w:rPr>
        <w:t>4</w:t>
      </w:r>
      <w:r>
        <w:rPr>
          <w:rFonts w:ascii="宋体" w:hAnsi="宋体" w:cs="宋体"/>
        </w:rPr>
        <w:t>.3</w:t>
      </w:r>
      <w:r>
        <w:rPr>
          <w:rFonts w:hint="eastAsia" w:ascii="宋体" w:hAnsi="宋体" w:cs="宋体"/>
        </w:rPr>
        <w:t>对磋商文件作出的实质性变动是磋商文件的有效组成部分，由磋商小组及时以电子澄清函形式同时通知所有参加磋商的供应商。</w:t>
      </w:r>
    </w:p>
    <w:p>
      <w:pPr>
        <w:spacing w:line="360" w:lineRule="auto"/>
        <w:ind w:firstLine="420" w:firstLineChars="200"/>
        <w:rPr>
          <w:rFonts w:ascii="宋体" w:hAnsi="宋体" w:cs="宋体"/>
        </w:rPr>
      </w:pPr>
      <w:r>
        <w:rPr>
          <w:rFonts w:hint="eastAsia" w:ascii="宋体" w:hAnsi="宋体" w:cs="宋体"/>
        </w:rPr>
        <w:t>4</w:t>
      </w:r>
      <w:r>
        <w:rPr>
          <w:rFonts w:ascii="宋体" w:hAnsi="宋体" w:cs="宋体"/>
        </w:rPr>
        <w:t>.4</w:t>
      </w:r>
      <w:r>
        <w:rPr>
          <w:rFonts w:hint="eastAsia" w:ascii="宋体" w:hAnsi="宋体" w:cs="宋体"/>
        </w:rPr>
        <w:t>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pPr>
        <w:spacing w:line="360" w:lineRule="auto"/>
        <w:ind w:firstLine="420" w:firstLineChars="200"/>
        <w:rPr>
          <w:rFonts w:ascii="宋体" w:hAnsi="宋体" w:cs="宋体"/>
        </w:rPr>
      </w:pPr>
      <w:r>
        <w:rPr>
          <w:rFonts w:hint="eastAsia" w:ascii="宋体" w:hAnsi="宋体" w:cs="宋体"/>
        </w:rPr>
        <w:t>4</w:t>
      </w:r>
      <w:r>
        <w:rPr>
          <w:rFonts w:ascii="宋体" w:hAnsi="宋体" w:cs="宋体"/>
        </w:rPr>
        <w:t>.5</w:t>
      </w:r>
      <w:r>
        <w:rPr>
          <w:rFonts w:hint="eastAsia" w:ascii="宋体" w:hAnsi="宋体" w:cs="宋体"/>
        </w:rPr>
        <w:t>磋商中，</w:t>
      </w:r>
      <w:r>
        <w:rPr>
          <w:rFonts w:hint="eastAsia" w:ascii="宋体" w:hAnsi="宋体" w:cs="宋体"/>
          <w:spacing w:val="-6"/>
        </w:rPr>
        <w:t>磋商的任何一方不得透露与磋商有关的其他供应商的技术资料、价格和其他信息。</w:t>
      </w:r>
    </w:p>
    <w:p>
      <w:pPr>
        <w:widowControl/>
        <w:tabs>
          <w:tab w:val="left" w:pos="540"/>
        </w:tabs>
        <w:spacing w:line="360" w:lineRule="auto"/>
        <w:ind w:firstLine="420" w:firstLineChars="200"/>
        <w:jc w:val="left"/>
        <w:rPr>
          <w:rFonts w:ascii="仿宋" w:hAnsi="仿宋" w:eastAsia="仿宋" w:cs="仿宋_GB2312"/>
          <w:b/>
        </w:rPr>
      </w:pPr>
      <w:r>
        <w:rPr>
          <w:rFonts w:hint="eastAsia" w:ascii="宋体" w:hAnsi="宋体" w:cs="宋体"/>
        </w:rPr>
        <w:t>4</w:t>
      </w:r>
      <w:r>
        <w:rPr>
          <w:rFonts w:ascii="宋体" w:hAnsi="宋体" w:cs="宋体"/>
        </w:rPr>
        <w:t>.6</w:t>
      </w:r>
      <w:r>
        <w:rPr>
          <w:rFonts w:hint="eastAsia" w:ascii="宋体" w:hAnsi="宋体" w:cs="宋体"/>
        </w:rPr>
        <w:t>磋商小组应对磋商过程和重要磋商内容进行记录，作为评标报告一部分，磋商小组在记录上签字确认。</w:t>
      </w:r>
      <w:r>
        <w:rPr>
          <w:rFonts w:hint="eastAsia" w:ascii="仿宋" w:hAnsi="仿宋" w:eastAsia="仿宋" w:cs="仿宋_GB2312"/>
          <w:b/>
        </w:rPr>
        <w:t>主要内容包括：</w:t>
      </w:r>
    </w:p>
    <w:p>
      <w:pPr>
        <w:pStyle w:val="170"/>
        <w:spacing w:before="0"/>
        <w:ind w:firstLine="396"/>
        <w:rPr>
          <w:rFonts w:ascii="宋体" w:hAnsi="宋体" w:cs="宋体"/>
          <w:spacing w:val="-6"/>
          <w:kern w:val="2"/>
          <w:sz w:val="21"/>
          <w:szCs w:val="21"/>
        </w:rPr>
      </w:pPr>
      <w:r>
        <w:rPr>
          <w:rFonts w:hint="eastAsia" w:ascii="宋体" w:hAnsi="宋体" w:cs="宋体"/>
          <w:spacing w:val="-6"/>
          <w:kern w:val="2"/>
          <w:sz w:val="21"/>
          <w:szCs w:val="21"/>
        </w:rPr>
        <w:t>（1）按照相关规定进行公示的，公示情况说明；</w:t>
      </w:r>
    </w:p>
    <w:p>
      <w:pPr>
        <w:pStyle w:val="170"/>
        <w:spacing w:before="0"/>
        <w:ind w:firstLine="396"/>
        <w:rPr>
          <w:rFonts w:ascii="宋体" w:hAnsi="宋体" w:cs="宋体"/>
          <w:spacing w:val="-6"/>
          <w:kern w:val="2"/>
          <w:sz w:val="21"/>
          <w:szCs w:val="21"/>
        </w:rPr>
      </w:pPr>
      <w:r>
        <w:rPr>
          <w:rFonts w:hint="eastAsia" w:ascii="宋体" w:hAnsi="宋体" w:cs="宋体"/>
          <w:spacing w:val="-6"/>
          <w:kern w:val="2"/>
          <w:sz w:val="21"/>
          <w:szCs w:val="21"/>
        </w:rPr>
        <w:t>（2）磋商日期和地点，磋商供应商名单；</w:t>
      </w:r>
    </w:p>
    <w:p>
      <w:pPr>
        <w:pStyle w:val="170"/>
        <w:spacing w:before="0"/>
        <w:ind w:firstLine="396"/>
        <w:rPr>
          <w:rFonts w:ascii="宋体" w:hAnsi="宋体" w:cs="宋体"/>
          <w:spacing w:val="-6"/>
          <w:kern w:val="2"/>
          <w:sz w:val="21"/>
          <w:szCs w:val="21"/>
        </w:rPr>
      </w:pPr>
      <w:r>
        <w:rPr>
          <w:rFonts w:hint="eastAsia" w:ascii="宋体" w:hAnsi="宋体" w:cs="宋体"/>
          <w:spacing w:val="-6"/>
          <w:kern w:val="2"/>
          <w:sz w:val="21"/>
          <w:szCs w:val="21"/>
        </w:rPr>
        <w:t>（3）合同主要条款及价格商定情况。</w:t>
      </w:r>
    </w:p>
    <w:p>
      <w:pPr>
        <w:widowControl/>
        <w:tabs>
          <w:tab w:val="left" w:pos="540"/>
        </w:tabs>
        <w:spacing w:line="360" w:lineRule="auto"/>
        <w:ind w:firstLine="420" w:firstLineChars="200"/>
        <w:jc w:val="left"/>
        <w:rPr>
          <w:rFonts w:ascii="宋体" w:hAnsi="宋体" w:cs="宋体"/>
        </w:rPr>
      </w:pPr>
      <w:r>
        <w:rPr>
          <w:rFonts w:hint="eastAsia" w:ascii="宋体" w:hAnsi="宋体" w:cs="宋体"/>
        </w:rPr>
        <w:t>4.</w:t>
      </w:r>
      <w:r>
        <w:rPr>
          <w:rFonts w:ascii="宋体" w:hAnsi="宋体" w:cs="宋体"/>
        </w:rPr>
        <w:t>7</w:t>
      </w:r>
      <w:r>
        <w:rPr>
          <w:rFonts w:hint="eastAsia" w:ascii="宋体" w:hAnsi="宋体" w:cs="宋体"/>
        </w:rPr>
        <w:t>磋商过程中重新提交的响应文件，供应商可以在开启前补充、修改。</w:t>
      </w:r>
    </w:p>
    <w:p>
      <w:pPr>
        <w:tabs>
          <w:tab w:val="left" w:pos="2835"/>
        </w:tabs>
        <w:spacing w:line="360" w:lineRule="auto"/>
        <w:ind w:firstLine="420" w:firstLineChars="200"/>
        <w:rPr>
          <w:rFonts w:ascii="宋体" w:hAnsi="宋体" w:cs="宋体"/>
        </w:rPr>
      </w:pPr>
      <w:r>
        <w:rPr>
          <w:rFonts w:hint="eastAsia" w:ascii="宋体" w:hAnsi="宋体" w:cs="宋体"/>
        </w:rPr>
        <w:t>4</w:t>
      </w:r>
      <w:r>
        <w:rPr>
          <w:rFonts w:ascii="宋体" w:hAnsi="宋体" w:cs="宋体"/>
        </w:rPr>
        <w:t>.8</w:t>
      </w:r>
      <w:r>
        <w:rPr>
          <w:rFonts w:hint="eastAsia" w:ascii="宋体" w:hAnsi="宋体"/>
        </w:rPr>
        <w:t>对磋商过程提交的响应文件进行有效性、完整性和响应程度审查，通过审查的合格供应商不足3家的，采购人或者采购代理机构应当重新开展采购活动。</w:t>
      </w:r>
    </w:p>
    <w:p>
      <w:pPr>
        <w:ind w:firstLine="200"/>
        <w:rPr>
          <w:rFonts w:ascii="宋体" w:hAnsi="宋体" w:cs="宋体"/>
        </w:rPr>
      </w:pPr>
      <w:r>
        <w:rPr>
          <w:rFonts w:hint="eastAsia" w:ascii="黑体" w:hAnsi="黑体" w:eastAsia="黑体" w:cs="宋体"/>
          <w:b/>
          <w:bCs/>
        </w:rPr>
        <w:t>5</w:t>
      </w:r>
      <w:r>
        <w:rPr>
          <w:rFonts w:ascii="黑体" w:hAnsi="黑体" w:eastAsia="黑体" w:cs="宋体"/>
          <w:b/>
          <w:bCs/>
        </w:rPr>
        <w:t>.</w:t>
      </w:r>
      <w:r>
        <w:rPr>
          <w:rFonts w:hint="eastAsia" w:ascii="黑体" w:hAnsi="黑体" w:eastAsia="黑体" w:cs="宋体"/>
          <w:b/>
          <w:bCs/>
        </w:rPr>
        <w:t xml:space="preserve"> 最后报价</w:t>
      </w:r>
    </w:p>
    <w:p>
      <w:pPr>
        <w:spacing w:line="360" w:lineRule="auto"/>
        <w:ind w:firstLine="420" w:firstLineChars="200"/>
        <w:rPr>
          <w:rFonts w:ascii="宋体" w:hAnsi="宋体" w:cs="宋体"/>
        </w:rPr>
      </w:pPr>
      <w:r>
        <w:rPr>
          <w:rFonts w:hint="eastAsia" w:ascii="宋体" w:hAnsi="宋体" w:cs="宋体"/>
        </w:rPr>
        <w:t>5</w:t>
      </w:r>
      <w:r>
        <w:rPr>
          <w:rFonts w:ascii="宋体" w:hAnsi="宋体" w:cs="宋体"/>
        </w:rPr>
        <w:t>.1</w:t>
      </w:r>
      <w:r>
        <w:rPr>
          <w:rFonts w:hint="eastAsia" w:ascii="宋体" w:hAnsi="宋体" w:cs="宋体"/>
        </w:rPr>
        <w:t>磋商文件能够详细列明采购标的的技术、服务要求的，磋商结束后，由磋商小组要求所有继续参加磋商的供应商在规定时间内密封提交最后报价，除本章第5</w:t>
      </w:r>
      <w:r>
        <w:rPr>
          <w:rFonts w:ascii="宋体" w:hAnsi="宋体" w:cs="宋体"/>
        </w:rPr>
        <w:t>.3</w:t>
      </w:r>
      <w:r>
        <w:rPr>
          <w:rFonts w:hint="eastAsia" w:ascii="宋体" w:hAnsi="宋体" w:cs="宋体"/>
        </w:rPr>
        <w:t>条外，提交最后报价的供应商不得少于3家，否则必须重新采购。</w:t>
      </w:r>
    </w:p>
    <w:p>
      <w:pPr>
        <w:spacing w:line="360" w:lineRule="auto"/>
        <w:ind w:firstLine="420" w:firstLineChars="200"/>
        <w:rPr>
          <w:rFonts w:ascii="宋体" w:hAnsi="宋体" w:cs="宋体"/>
        </w:rPr>
      </w:pPr>
      <w:r>
        <w:rPr>
          <w:rFonts w:hint="eastAsia" w:ascii="宋体" w:hAnsi="宋体" w:cs="宋体"/>
        </w:rPr>
        <w:t>5</w:t>
      </w:r>
      <w:r>
        <w:rPr>
          <w:rFonts w:ascii="宋体" w:hAnsi="宋体" w:cs="宋体"/>
        </w:rPr>
        <w:t>.2</w:t>
      </w:r>
      <w:r>
        <w:rPr>
          <w:rFonts w:hint="eastAsia" w:ascii="宋体" w:hAnsi="宋体" w:cs="宋体"/>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spacing w:line="360" w:lineRule="auto"/>
        <w:ind w:firstLine="420" w:firstLineChars="200"/>
        <w:rPr>
          <w:rFonts w:ascii="宋体" w:hAnsi="宋体" w:cs="宋体"/>
        </w:rPr>
      </w:pPr>
      <w:r>
        <w:rPr>
          <w:rFonts w:hint="eastAsia" w:ascii="宋体" w:hAnsi="宋体" w:cs="宋体"/>
        </w:rPr>
        <w:t>5</w:t>
      </w:r>
      <w:r>
        <w:rPr>
          <w:rFonts w:ascii="宋体" w:hAnsi="宋体" w:cs="宋体"/>
        </w:rPr>
        <w:t>.3</w:t>
      </w:r>
      <w:r>
        <w:rPr>
          <w:rFonts w:hint="eastAsia" w:ascii="宋体" w:hAnsi="宋体" w:cs="宋体"/>
        </w:rPr>
        <w:t xml:space="preserve">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pPr>
        <w:spacing w:line="360" w:lineRule="auto"/>
        <w:ind w:firstLine="420" w:firstLineChars="200"/>
        <w:rPr>
          <w:rFonts w:ascii="宋体" w:hAnsi="宋体" w:cs="宋体"/>
        </w:rPr>
      </w:pPr>
      <w:r>
        <w:rPr>
          <w:rFonts w:hint="eastAsia" w:ascii="宋体" w:hAnsi="宋体" w:cs="宋体"/>
        </w:rPr>
        <w:t>5</w:t>
      </w:r>
      <w:r>
        <w:rPr>
          <w:rFonts w:ascii="宋体" w:hAnsi="宋体" w:cs="宋体"/>
        </w:rPr>
        <w:t>.4</w:t>
      </w:r>
      <w:r>
        <w:rPr>
          <w:rFonts w:hint="eastAsia" w:ascii="宋体" w:hAnsi="宋体" w:cs="宋体"/>
        </w:rPr>
        <w:t>已经提交响应文件的供应商，在提交最后报价之前，可以根据磋商情况退出磋商，退出磋商的供应商的响应文件按无效响应处理。</w:t>
      </w:r>
    </w:p>
    <w:p>
      <w:pPr>
        <w:spacing w:line="360" w:lineRule="auto"/>
        <w:ind w:firstLine="420" w:firstLineChars="200"/>
        <w:rPr>
          <w:rFonts w:ascii="宋体" w:hAnsi="宋体" w:cs="宋体"/>
        </w:rPr>
      </w:pPr>
      <w:r>
        <w:rPr>
          <w:rFonts w:hint="eastAsia" w:ascii="宋体" w:hAnsi="宋体" w:cs="宋体"/>
        </w:rPr>
        <w:t>5</w:t>
      </w:r>
      <w:r>
        <w:rPr>
          <w:rFonts w:ascii="宋体" w:hAnsi="宋体" w:cs="宋体"/>
        </w:rPr>
        <w:t>.5</w:t>
      </w:r>
      <w:r>
        <w:rPr>
          <w:rFonts w:hint="eastAsia" w:ascii="宋体" w:hAnsi="宋体" w:cs="宋体"/>
        </w:rPr>
        <w:t>供应商未在规定时间内提交最后报价的，视同退出磋商。</w:t>
      </w:r>
    </w:p>
    <w:p>
      <w:pPr>
        <w:spacing w:line="360" w:lineRule="auto"/>
        <w:ind w:firstLine="420" w:firstLineChars="200"/>
        <w:rPr>
          <w:rFonts w:ascii="宋体" w:hAnsi="宋体" w:cs="宋体"/>
        </w:rPr>
      </w:pPr>
      <w:r>
        <w:rPr>
          <w:rFonts w:hint="eastAsia" w:ascii="宋体" w:hAnsi="宋体" w:cs="宋体"/>
        </w:rPr>
        <w:t>5</w:t>
      </w:r>
      <w:r>
        <w:rPr>
          <w:rFonts w:ascii="宋体" w:hAnsi="宋体" w:cs="宋体"/>
        </w:rPr>
        <w:t>.6</w:t>
      </w:r>
      <w:r>
        <w:rPr>
          <w:rFonts w:hint="eastAsia" w:ascii="宋体" w:hAnsi="宋体" w:cs="宋体"/>
        </w:rPr>
        <w:t>磋商小组收齐某一分标最后报价后统一开启，磋商小组对最后报价进行有效性、完整性和响应程度的审查。</w:t>
      </w:r>
    </w:p>
    <w:p>
      <w:pPr>
        <w:spacing w:line="360" w:lineRule="auto"/>
        <w:ind w:firstLine="420" w:firstLineChars="200"/>
        <w:rPr>
          <w:rFonts w:ascii="宋体" w:hAnsi="宋体" w:cs="宋体"/>
        </w:rPr>
      </w:pPr>
      <w:r>
        <w:rPr>
          <w:rFonts w:hint="eastAsia" w:ascii="宋体" w:hAnsi="宋体" w:cs="宋体"/>
        </w:rPr>
        <w:t>5</w:t>
      </w:r>
      <w:r>
        <w:rPr>
          <w:rFonts w:ascii="宋体" w:hAnsi="宋体" w:cs="宋体"/>
        </w:rPr>
        <w:t>.7</w:t>
      </w:r>
      <w:r>
        <w:rPr>
          <w:rFonts w:hint="eastAsia" w:ascii="宋体" w:hAnsi="宋体" w:cs="宋体"/>
        </w:rPr>
        <w:t>最终响应文件的报价出现前后不一致的，按照本章第3</w:t>
      </w:r>
      <w:r>
        <w:rPr>
          <w:rFonts w:ascii="宋体" w:hAnsi="宋体" w:cs="宋体"/>
        </w:rPr>
        <w:t>.4</w:t>
      </w:r>
      <w:r>
        <w:rPr>
          <w:rFonts w:hint="eastAsia" w:ascii="宋体" w:hAnsi="宋体" w:cs="宋体"/>
        </w:rPr>
        <w:t xml:space="preserve">条的规定修正。 </w:t>
      </w:r>
    </w:p>
    <w:p>
      <w:pPr>
        <w:spacing w:line="360" w:lineRule="auto"/>
        <w:ind w:firstLine="420" w:firstLineChars="200"/>
        <w:rPr>
          <w:rFonts w:ascii="宋体" w:hAnsi="宋体" w:cs="宋体"/>
        </w:rPr>
      </w:pPr>
      <w:r>
        <w:rPr>
          <w:rFonts w:hint="eastAsia" w:ascii="宋体" w:hAnsi="宋体" w:cs="宋体"/>
        </w:rPr>
        <w:t>5</w:t>
      </w:r>
      <w:r>
        <w:rPr>
          <w:rFonts w:ascii="宋体" w:hAnsi="宋体" w:cs="宋体"/>
        </w:rPr>
        <w:t>.8</w:t>
      </w:r>
      <w:r>
        <w:rPr>
          <w:rFonts w:hint="eastAsia" w:ascii="宋体" w:hAnsi="宋体" w:cs="宋体"/>
        </w:rPr>
        <w:t>修正后的最终报价出现下列情形的，按无效响应处理：</w:t>
      </w:r>
    </w:p>
    <w:p>
      <w:pPr>
        <w:spacing w:line="360" w:lineRule="auto"/>
        <w:ind w:firstLine="420" w:firstLineChars="200"/>
        <w:rPr>
          <w:rFonts w:ascii="宋体" w:hAnsi="宋体" w:cs="宋体"/>
        </w:rPr>
      </w:pPr>
      <w:r>
        <w:rPr>
          <w:rFonts w:hint="eastAsia" w:ascii="宋体" w:hAnsi="宋体" w:cs="宋体"/>
        </w:rPr>
        <w:t>（1）供应商不确认的（全流程电子化评标采取在线确认）；</w:t>
      </w:r>
    </w:p>
    <w:p>
      <w:pPr>
        <w:spacing w:line="360" w:lineRule="auto"/>
        <w:ind w:firstLine="420" w:firstLineChars="200"/>
        <w:rPr>
          <w:rFonts w:ascii="宋体" w:hAnsi="宋体" w:cs="宋体"/>
        </w:rPr>
      </w:pPr>
      <w:r>
        <w:rPr>
          <w:rFonts w:hint="eastAsia" w:ascii="宋体" w:hAnsi="宋体" w:cs="宋体"/>
        </w:rPr>
        <w:t>（2）经供应商确认修正后的响应报价（包含首次报价、最后报价）超过所竞标分标规定的采购预算金额或者最高限价的（如本项目公布了最高限价）；</w:t>
      </w:r>
    </w:p>
    <w:p>
      <w:pPr>
        <w:spacing w:line="360" w:lineRule="auto"/>
        <w:ind w:firstLine="420" w:firstLineChars="200"/>
        <w:rPr>
          <w:rFonts w:ascii="宋体" w:hAnsi="宋体" w:cs="宋体"/>
        </w:rPr>
      </w:pPr>
      <w:r>
        <w:rPr>
          <w:rFonts w:hint="eastAsia" w:ascii="宋体" w:hAnsi="宋体" w:cs="宋体"/>
        </w:rPr>
        <w:t>（3）经供应商确认修正后的响应报价（包含首次报价、最后报价）超过分项采购预算金额或者最高限价的（如本项目公布了最高限价）。</w:t>
      </w:r>
    </w:p>
    <w:p>
      <w:pPr>
        <w:spacing w:line="360" w:lineRule="auto"/>
        <w:ind w:firstLine="420" w:firstLineChars="200"/>
        <w:rPr>
          <w:rFonts w:ascii="宋体" w:hAnsi="宋体" w:cs="宋体"/>
        </w:rPr>
      </w:pPr>
      <w:r>
        <w:rPr>
          <w:rFonts w:hint="eastAsia" w:ascii="宋体" w:hAnsi="宋体" w:cs="宋体"/>
        </w:rPr>
        <w:t>5</w:t>
      </w:r>
      <w:r>
        <w:rPr>
          <w:rFonts w:ascii="宋体" w:hAnsi="宋体" w:cs="宋体"/>
        </w:rPr>
        <w:t>.9</w:t>
      </w:r>
      <w:r>
        <w:rPr>
          <w:rFonts w:hint="eastAsia" w:ascii="宋体" w:hAnsi="宋体" w:cs="宋体"/>
        </w:rPr>
        <w:t>经供应商确认修正后的最后报价作为评审及签订合同的依据。</w:t>
      </w:r>
    </w:p>
    <w:p>
      <w:pPr>
        <w:spacing w:line="360" w:lineRule="auto"/>
        <w:ind w:firstLine="420" w:firstLineChars="200"/>
        <w:rPr>
          <w:rFonts w:ascii="宋体" w:hAnsi="宋体" w:cs="宋体"/>
        </w:rPr>
      </w:pPr>
      <w:r>
        <w:rPr>
          <w:rFonts w:hint="eastAsia" w:ascii="宋体" w:hAnsi="宋体" w:cs="宋体"/>
        </w:rPr>
        <w:t>5.10供应商出现最后报价按无效响应处理或者响应文件按无效处理时</w:t>
      </w:r>
      <w:r>
        <w:rPr>
          <w:rFonts w:hint="eastAsia" w:ascii="宋体" w:hAnsi="宋体"/>
          <w:sz w:val="22"/>
          <w:szCs w:val="22"/>
        </w:rPr>
        <w:t>，磋商小组应当告知有关供应商</w:t>
      </w:r>
      <w:r>
        <w:rPr>
          <w:rFonts w:hint="eastAsia" w:ascii="宋体" w:hAnsi="宋体" w:cs="宋体"/>
        </w:rPr>
        <w:t>。</w:t>
      </w:r>
    </w:p>
    <w:p>
      <w:pPr>
        <w:spacing w:line="360" w:lineRule="auto"/>
        <w:ind w:firstLine="420" w:firstLineChars="200"/>
        <w:rPr>
          <w:rFonts w:ascii="宋体" w:hAnsi="宋体" w:cs="宋体"/>
        </w:rPr>
      </w:pPr>
      <w:r>
        <w:rPr>
          <w:rFonts w:ascii="宋体" w:hAnsi="宋体" w:cs="宋体"/>
        </w:rPr>
        <w:t>5.1</w:t>
      </w:r>
      <w:r>
        <w:rPr>
          <w:rFonts w:hint="eastAsia" w:ascii="宋体" w:hAnsi="宋体" w:cs="宋体"/>
        </w:rPr>
        <w:t>1最后报价结束后，磋商小组不得再与供应商进行任何形式的商谈。</w:t>
      </w:r>
    </w:p>
    <w:p>
      <w:pPr>
        <w:spacing w:line="360" w:lineRule="auto"/>
        <w:ind w:firstLine="200"/>
        <w:rPr>
          <w:rFonts w:ascii="黑体" w:hAnsi="黑体" w:eastAsia="黑体" w:cs="宋体"/>
          <w:b/>
          <w:bCs/>
        </w:rPr>
      </w:pPr>
      <w:r>
        <w:rPr>
          <w:rFonts w:hint="eastAsia" w:ascii="黑体" w:hAnsi="黑体" w:eastAsia="黑体" w:cs="宋体"/>
          <w:b/>
          <w:bCs/>
        </w:rPr>
        <w:t>6</w:t>
      </w:r>
      <w:r>
        <w:rPr>
          <w:rFonts w:ascii="黑体" w:hAnsi="黑体" w:eastAsia="黑体" w:cs="宋体"/>
          <w:b/>
          <w:bCs/>
        </w:rPr>
        <w:t>.</w:t>
      </w:r>
      <w:r>
        <w:rPr>
          <w:rFonts w:hint="eastAsia" w:ascii="黑体" w:hAnsi="黑体" w:eastAsia="黑体" w:cs="宋体"/>
          <w:b/>
          <w:bCs/>
        </w:rPr>
        <w:t>比较与评价</w:t>
      </w:r>
    </w:p>
    <w:p>
      <w:pPr>
        <w:spacing w:line="360" w:lineRule="auto"/>
        <w:ind w:firstLine="420" w:firstLineChars="200"/>
        <w:rPr>
          <w:rFonts w:ascii="宋体" w:hAnsi="宋体" w:cs="宋体"/>
        </w:rPr>
      </w:pPr>
      <w:r>
        <w:rPr>
          <w:rFonts w:hint="eastAsia" w:ascii="宋体" w:hAnsi="宋体" w:cs="宋体"/>
        </w:rPr>
        <w:t>6</w:t>
      </w:r>
      <w:r>
        <w:rPr>
          <w:rFonts w:ascii="宋体" w:hAnsi="宋体" w:cs="宋体"/>
        </w:rPr>
        <w:t>.1</w:t>
      </w:r>
      <w:r>
        <w:rPr>
          <w:rFonts w:hint="eastAsia" w:ascii="宋体" w:hAnsi="宋体" w:cs="宋体"/>
        </w:rPr>
        <w:t>评审方法：综合评分法。</w:t>
      </w:r>
    </w:p>
    <w:p>
      <w:pPr>
        <w:spacing w:line="360" w:lineRule="auto"/>
        <w:ind w:firstLine="420" w:firstLineChars="200"/>
        <w:rPr>
          <w:rFonts w:ascii="宋体" w:hAnsi="宋体" w:cs="宋体"/>
        </w:rPr>
      </w:pPr>
      <w:r>
        <w:rPr>
          <w:rFonts w:ascii="宋体" w:hAnsi="宋体" w:cs="宋体"/>
        </w:rPr>
        <w:t>6.2</w:t>
      </w:r>
      <w:r>
        <w:rPr>
          <w:rFonts w:hint="eastAsia" w:ascii="宋体" w:hAnsi="宋体" w:cs="宋体"/>
        </w:rPr>
        <w:t>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ascii="宋体" w:hAnsi="宋体" w:cs="宋体"/>
        </w:rPr>
      </w:pPr>
      <w:r>
        <w:rPr>
          <w:rFonts w:ascii="宋体" w:hAnsi="宋体" w:cs="宋体"/>
        </w:rPr>
        <w:t>6.3</w:t>
      </w:r>
      <w:r>
        <w:rPr>
          <w:rFonts w:hint="eastAsia" w:ascii="宋体" w:hAnsi="宋体" w:cs="宋体"/>
        </w:rPr>
        <w:t>评审时，磋商小组各成员应当独立对每个有效响应的文件进行评价、打分，然后汇总每个供应商每项评分因素的得分。</w:t>
      </w:r>
    </w:p>
    <w:p>
      <w:pPr>
        <w:spacing w:line="360" w:lineRule="auto"/>
        <w:ind w:firstLine="420" w:firstLineChars="200"/>
        <w:rPr>
          <w:rFonts w:ascii="宋体" w:hAnsi="宋体" w:cs="宋体"/>
        </w:rPr>
      </w:pPr>
      <w:r>
        <w:rPr>
          <w:rFonts w:hint="eastAsia" w:ascii="宋体" w:hAnsi="宋体" w:cs="宋体"/>
        </w:rPr>
        <w:t>（1）磋商小组按照磋商文件中规定的评审标准计算各供应商的报价得分。项目评审过程中，不得去掉最后报价中的最高报价和最低报价。</w:t>
      </w:r>
    </w:p>
    <w:p>
      <w:pPr>
        <w:spacing w:line="360" w:lineRule="auto"/>
        <w:ind w:firstLine="420" w:firstLineChars="200"/>
        <w:rPr>
          <w:rFonts w:ascii="宋体" w:hAnsi="宋体" w:cs="宋体"/>
        </w:rPr>
      </w:pPr>
      <w:r>
        <w:rPr>
          <w:rFonts w:hint="eastAsia" w:ascii="宋体" w:hAnsi="宋体" w:cs="宋体"/>
        </w:rPr>
        <w:t>（2）各供应商的得分为磋商小组所有成员的有效评分的算术平均数。</w:t>
      </w:r>
    </w:p>
    <w:p>
      <w:pPr>
        <w:spacing w:line="360" w:lineRule="auto"/>
        <w:ind w:firstLine="420" w:firstLineChars="200"/>
        <w:rPr>
          <w:rFonts w:ascii="宋体" w:hAnsi="宋体" w:cs="宋体"/>
        </w:rPr>
      </w:pPr>
      <w:r>
        <w:rPr>
          <w:rFonts w:ascii="宋体" w:hAnsi="宋体" w:cs="宋体"/>
        </w:rPr>
        <w:t>6.4</w:t>
      </w:r>
      <w:r>
        <w:rPr>
          <w:rFonts w:hint="eastAsia" w:ascii="宋体" w:hAnsi="宋体" w:cs="宋体"/>
        </w:rPr>
        <w:t>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ascii="宋体" w:hAnsi="宋体"/>
          <w:kern w:val="0"/>
        </w:rPr>
      </w:pPr>
      <w:r>
        <w:rPr>
          <w:rFonts w:ascii="宋体" w:hAnsi="宋体" w:cs="宋体"/>
        </w:rPr>
        <w:t>6.5</w:t>
      </w:r>
      <w:r>
        <w:rPr>
          <w:rFonts w:hint="eastAsia" w:ascii="宋体" w:hAnsi="宋体" w:cs="宋体"/>
        </w:rPr>
        <w:t>由磋商小组根据综合评分情况，按照评审得分由高到低顺序推荐3名以上成交候选供应商，并编写评</w:t>
      </w:r>
      <w:r>
        <w:rPr>
          <w:rFonts w:hint="eastAsia" w:ascii="宋体" w:hAnsi="宋体"/>
          <w:kern w:val="0"/>
        </w:rPr>
        <w:t>审报告。符合本章第5</w:t>
      </w:r>
      <w:r>
        <w:rPr>
          <w:rFonts w:ascii="宋体" w:hAnsi="宋体"/>
          <w:kern w:val="0"/>
        </w:rPr>
        <w:t>.3</w:t>
      </w:r>
      <w:r>
        <w:rPr>
          <w:rFonts w:hint="eastAsia" w:ascii="宋体" w:hAnsi="宋体"/>
          <w:kern w:val="0"/>
        </w:rPr>
        <w:t>条情形的，可以推荐2家成交候选供应商。评审得分相同的，按照最后报价由低到高的顺序推荐。评审得分且最后报价相同的，按照技术指标优劣顺序推荐。</w:t>
      </w:r>
    </w:p>
    <w:p>
      <w:pPr>
        <w:spacing w:line="360" w:lineRule="auto"/>
        <w:ind w:firstLine="420" w:firstLineChars="200"/>
        <w:rPr>
          <w:rFonts w:ascii="宋体" w:hAnsi="宋体" w:cs="宋体"/>
        </w:rPr>
      </w:pPr>
      <w:r>
        <w:rPr>
          <w:rFonts w:ascii="宋体" w:hAnsi="宋体"/>
          <w:kern w:val="0"/>
        </w:rPr>
        <w:t>6.6</w:t>
      </w:r>
      <w:r>
        <w:rPr>
          <w:rFonts w:hint="eastAsia" w:ascii="宋体" w:hAnsi="宋体"/>
          <w:kern w:val="0"/>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rPr>
          <w:rFonts w:ascii="黑体" w:hAnsi="黑体" w:eastAsia="黑体" w:cs="宋体"/>
          <w:b/>
          <w:bCs/>
        </w:rPr>
      </w:pPr>
    </w:p>
    <w:p>
      <w:pPr>
        <w:spacing w:line="360" w:lineRule="auto"/>
        <w:rPr>
          <w:rFonts w:ascii="黑体" w:hAnsi="黑体" w:eastAsia="黑体" w:cs="宋体"/>
          <w:b/>
          <w:bCs/>
        </w:rPr>
      </w:pPr>
      <w:r>
        <w:rPr>
          <w:rFonts w:hint="eastAsia" w:ascii="黑体" w:hAnsi="黑体" w:eastAsia="黑体" w:cs="宋体"/>
          <w:b/>
          <w:bCs/>
        </w:rPr>
        <w:t>7</w:t>
      </w:r>
      <w:r>
        <w:rPr>
          <w:rFonts w:ascii="黑体" w:hAnsi="黑体" w:eastAsia="黑体" w:cs="宋体"/>
          <w:b/>
          <w:bCs/>
        </w:rPr>
        <w:t>.</w:t>
      </w:r>
      <w:r>
        <w:rPr>
          <w:rFonts w:hint="eastAsia" w:ascii="黑体" w:hAnsi="黑体" w:eastAsia="黑体" w:cs="宋体"/>
          <w:b/>
          <w:bCs/>
        </w:rPr>
        <w:t>评审标准</w:t>
      </w:r>
    </w:p>
    <w:p>
      <w:pPr>
        <w:spacing w:line="360" w:lineRule="auto"/>
        <w:ind w:firstLine="420" w:firstLineChars="200"/>
        <w:rPr>
          <w:rFonts w:ascii="宋体" w:hAnsi="宋体"/>
          <w:bCs/>
        </w:rPr>
      </w:pPr>
      <w:r>
        <w:rPr>
          <w:rFonts w:hint="eastAsia" w:ascii="宋体" w:hAnsi="宋体"/>
          <w:bCs/>
        </w:rPr>
        <w:t>评审依据：磋商小组将以磋商响应文件为评审依据，对供应商的报价、技术、商务等方面内容按百分制打分。（计分方法按四舍五入取至百分位）</w:t>
      </w:r>
    </w:p>
    <w:tbl>
      <w:tblPr>
        <w:tblStyle w:val="45"/>
        <w:tblW w:w="9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418"/>
        <w:gridCol w:w="628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Tahoma" w:asciiTheme="majorEastAsia" w:hAnsiTheme="majorEastAsia" w:eastAsiaTheme="majorEastAsia"/>
                <w:b/>
                <w:bCs/>
                <w:kern w:val="0"/>
              </w:rPr>
            </w:pPr>
            <w:r>
              <w:rPr>
                <w:rFonts w:hint="eastAsia" w:cs="Tahoma" w:asciiTheme="majorEastAsia" w:hAnsiTheme="majorEastAsia" w:eastAsiaTheme="majorEastAsia"/>
                <w:b/>
                <w:bCs/>
                <w:kern w:val="0"/>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Tahoma" w:asciiTheme="majorEastAsia" w:hAnsiTheme="majorEastAsia" w:eastAsiaTheme="majorEastAsia"/>
                <w:b/>
                <w:bCs/>
                <w:kern w:val="0"/>
              </w:rPr>
            </w:pPr>
            <w:r>
              <w:rPr>
                <w:rFonts w:hint="eastAsia" w:cs="Tahoma" w:asciiTheme="majorEastAsia" w:hAnsiTheme="majorEastAsia" w:eastAsiaTheme="majorEastAsia"/>
                <w:b/>
                <w:bCs/>
                <w:kern w:val="0"/>
              </w:rPr>
              <w:t>评审因素</w:t>
            </w:r>
          </w:p>
        </w:tc>
        <w:tc>
          <w:tcPr>
            <w:tcW w:w="62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Tahoma" w:asciiTheme="majorEastAsia" w:hAnsiTheme="majorEastAsia" w:eastAsiaTheme="majorEastAsia"/>
                <w:b/>
                <w:bCs/>
                <w:kern w:val="0"/>
              </w:rPr>
            </w:pPr>
            <w:r>
              <w:rPr>
                <w:rFonts w:hint="eastAsia" w:cs="Tahoma" w:asciiTheme="majorEastAsia" w:hAnsiTheme="majorEastAsia" w:eastAsiaTheme="majorEastAsia"/>
                <w:b/>
                <w:bCs/>
                <w:kern w:val="0"/>
              </w:rPr>
              <w:t>评审标准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Tahoma" w:asciiTheme="majorEastAsia" w:hAnsiTheme="majorEastAsia" w:eastAsiaTheme="majorEastAsia"/>
                <w:b/>
                <w:bCs/>
                <w:kern w:val="0"/>
              </w:rPr>
            </w:pPr>
            <w:r>
              <w:rPr>
                <w:rFonts w:hint="eastAsia" w:cs="Tahoma" w:asciiTheme="majorEastAsia" w:hAnsiTheme="majorEastAsia" w:eastAsiaTheme="majorEastAsia"/>
                <w:b/>
                <w:bCs/>
                <w:kern w:val="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Tahoma" w:asciiTheme="majorEastAsia" w:hAnsiTheme="majorEastAsia" w:eastAsiaTheme="majorEastAsia"/>
                <w:kern w:val="0"/>
              </w:rPr>
            </w:pPr>
            <w:r>
              <w:rPr>
                <w:rFonts w:hint="eastAsia" w:cs="Tahoma" w:asciiTheme="majorEastAsia" w:hAnsiTheme="majorEastAsia" w:eastAsiaTheme="majorEastAsia"/>
                <w:kern w:val="0"/>
              </w:rPr>
              <w:t>1</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Tahoma" w:asciiTheme="majorEastAsia" w:hAnsiTheme="majorEastAsia" w:eastAsiaTheme="majorEastAsia"/>
                <w:kern w:val="0"/>
              </w:rPr>
            </w:pPr>
            <w:r>
              <w:rPr>
                <w:rFonts w:hint="eastAsia" w:cs="Tahoma" w:asciiTheme="majorEastAsia" w:hAnsiTheme="majorEastAsia" w:eastAsiaTheme="majorEastAsia"/>
                <w:kern w:val="0"/>
              </w:rPr>
              <w:t>价格分</w:t>
            </w:r>
          </w:p>
        </w:tc>
        <w:tc>
          <w:tcPr>
            <w:tcW w:w="6288" w:type="dxa"/>
            <w:tcBorders>
              <w:top w:val="single" w:color="auto" w:sz="4" w:space="0"/>
              <w:left w:val="single" w:color="auto" w:sz="4" w:space="0"/>
              <w:bottom w:val="single" w:color="auto" w:sz="4" w:space="0"/>
              <w:right w:val="single" w:color="auto" w:sz="4" w:space="0"/>
            </w:tcBorders>
          </w:tcPr>
          <w:p>
            <w:pPr>
              <w:spacing w:line="500" w:lineRule="exact"/>
              <w:ind w:firstLine="31" w:firstLineChars="15"/>
              <w:rPr>
                <w:rFonts w:asciiTheme="majorEastAsia" w:hAnsiTheme="majorEastAsia" w:eastAsiaTheme="majorEastAsia"/>
              </w:rPr>
            </w:pPr>
            <w:r>
              <w:rPr>
                <w:rFonts w:hint="eastAsia" w:cs="Courier New" w:asciiTheme="majorEastAsia" w:hAnsiTheme="majorEastAsia" w:eastAsiaTheme="majorEastAsia"/>
                <w:bCs/>
              </w:rPr>
              <w:t>（1）</w:t>
            </w:r>
            <w:r>
              <w:rPr>
                <w:rFonts w:hint="eastAsia" w:asciiTheme="majorEastAsia" w:hAnsiTheme="majorEastAsia" w:eastAsiaTheme="majorEastAsia"/>
              </w:rPr>
              <w:t>最终成交供应商的成交金额等于最后报价（如有修正，以确认修正后的最后报价为准）。</w:t>
            </w:r>
          </w:p>
          <w:p>
            <w:pPr>
              <w:pStyle w:val="26"/>
              <w:spacing w:line="500" w:lineRule="exact"/>
              <w:ind w:firstLine="31" w:firstLineChars="15"/>
              <w:rPr>
                <w:rFonts w:asciiTheme="majorEastAsia" w:hAnsiTheme="majorEastAsia" w:eastAsiaTheme="majorEastAsia"/>
                <w:kern w:val="2"/>
                <w:sz w:val="21"/>
              </w:rPr>
            </w:pPr>
            <w:r>
              <w:rPr>
                <w:rFonts w:hint="eastAsia" w:asciiTheme="majorEastAsia" w:hAnsiTheme="majorEastAsia" w:eastAsiaTheme="majorEastAsia"/>
                <w:kern w:val="2"/>
                <w:sz w:val="21"/>
              </w:rPr>
              <w:t>（2）以进入比较与评价环节的最低的最后报价为基准价，基准价得分为</w:t>
            </w:r>
            <w:r>
              <w:rPr>
                <w:rFonts w:hint="eastAsia" w:asciiTheme="majorEastAsia" w:hAnsiTheme="majorEastAsia" w:eastAsiaTheme="majorEastAsia"/>
                <w:kern w:val="2"/>
                <w:sz w:val="21"/>
                <w:u w:val="single"/>
              </w:rPr>
              <w:t>30</w:t>
            </w:r>
            <w:r>
              <w:rPr>
                <w:rFonts w:hint="eastAsia" w:asciiTheme="majorEastAsia" w:hAnsiTheme="majorEastAsia" w:eastAsiaTheme="majorEastAsia"/>
                <w:kern w:val="2"/>
                <w:sz w:val="21"/>
              </w:rPr>
              <w:t>分。</w:t>
            </w:r>
          </w:p>
          <w:p>
            <w:pPr>
              <w:pStyle w:val="26"/>
              <w:spacing w:line="500" w:lineRule="exact"/>
              <w:ind w:firstLine="31" w:firstLineChars="15"/>
              <w:rPr>
                <w:rFonts w:asciiTheme="majorEastAsia" w:hAnsiTheme="majorEastAsia" w:eastAsiaTheme="majorEastAsia"/>
                <w:kern w:val="2"/>
                <w:sz w:val="21"/>
              </w:rPr>
            </w:pPr>
            <w:r>
              <w:rPr>
                <w:rFonts w:hint="eastAsia" w:asciiTheme="majorEastAsia" w:hAnsiTheme="majorEastAsia" w:eastAsiaTheme="majorEastAsia"/>
                <w:kern w:val="2"/>
                <w:sz w:val="21"/>
              </w:rPr>
              <w:t>（3）价格分计算公式：</w:t>
            </w:r>
          </w:p>
          <w:p>
            <w:pPr>
              <w:pStyle w:val="26"/>
              <w:spacing w:line="500" w:lineRule="exact"/>
              <w:ind w:firstLine="31" w:firstLineChars="15"/>
              <w:rPr>
                <w:rFonts w:asciiTheme="majorEastAsia" w:hAnsiTheme="majorEastAsia" w:eastAsiaTheme="majorEastAsia"/>
                <w:kern w:val="2"/>
                <w:sz w:val="21"/>
              </w:rPr>
            </w:pPr>
            <w:r>
              <w:rPr>
                <w:rFonts w:hint="eastAsia" w:asciiTheme="majorEastAsia" w:hAnsiTheme="majorEastAsia" w:eastAsiaTheme="majorEastAsia"/>
                <w:kern w:val="2"/>
                <w:sz w:val="21"/>
              </w:rPr>
              <w:t>报价得分=（基准价/最后报价）×</w:t>
            </w:r>
            <w:r>
              <w:rPr>
                <w:rFonts w:hint="eastAsia" w:asciiTheme="majorEastAsia" w:hAnsiTheme="majorEastAsia" w:eastAsiaTheme="majorEastAsia"/>
                <w:kern w:val="2"/>
                <w:sz w:val="21"/>
                <w:u w:val="single"/>
              </w:rPr>
              <w:t>30</w:t>
            </w:r>
            <w:r>
              <w:rPr>
                <w:rFonts w:hint="eastAsia" w:asciiTheme="majorEastAsia" w:hAnsiTheme="majorEastAsia" w:eastAsiaTheme="majorEastAsia"/>
                <w:kern w:val="2"/>
                <w:sz w:val="21"/>
              </w:rPr>
              <w:t>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Tahoma" w:asciiTheme="majorEastAsia" w:hAnsiTheme="majorEastAsia" w:eastAsiaTheme="majorEastAsia"/>
                <w:kern w:val="0"/>
              </w:rPr>
            </w:pPr>
            <w:r>
              <w:rPr>
                <w:rFonts w:hint="eastAsia" w:cs="Tahoma" w:asciiTheme="majorEastAsia" w:hAnsiTheme="majorEastAsia" w:eastAsiaTheme="majorEastAsia"/>
                <w:kern w:val="0"/>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Tahoma" w:asciiTheme="majorEastAsia" w:hAnsiTheme="majorEastAsia" w:eastAsiaTheme="majorEastAsia"/>
                <w:kern w:val="0"/>
              </w:rPr>
            </w:pPr>
            <w:r>
              <w:rPr>
                <w:rFonts w:hint="eastAsia" w:asciiTheme="majorEastAsia" w:hAnsiTheme="majorEastAsia" w:eastAsiaTheme="majorEastAsia"/>
                <w:bCs/>
                <w:kern w:val="0"/>
              </w:rPr>
              <w:t>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Tahoma" w:asciiTheme="majorEastAsia" w:hAnsiTheme="majorEastAsia" w:eastAsiaTheme="majorEastAsia"/>
                <w:kern w:val="0"/>
              </w:rPr>
            </w:pPr>
            <w:r>
              <w:rPr>
                <w:rFonts w:hint="eastAsia" w:asciiTheme="majorEastAsia" w:hAnsiTheme="majorEastAsia" w:eastAsiaTheme="majorEastAsia"/>
                <w:bCs/>
                <w:kern w:val="0"/>
              </w:rPr>
              <w:t>技术分【</w:t>
            </w:r>
            <w:r>
              <w:rPr>
                <w:rFonts w:hint="eastAsia" w:asciiTheme="majorEastAsia" w:hAnsiTheme="majorEastAsia" w:eastAsiaTheme="majorEastAsia"/>
              </w:rPr>
              <w:t>施工组织设计】</w:t>
            </w:r>
          </w:p>
        </w:tc>
        <w:tc>
          <w:tcPr>
            <w:tcW w:w="713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ajorEastAsia" w:hAnsiTheme="majorEastAsia" w:eastAsiaTheme="majorEastAsia"/>
                <w:bCs/>
              </w:rPr>
            </w:pPr>
            <w:r>
              <w:rPr>
                <w:rFonts w:hint="eastAsia" w:asciiTheme="majorEastAsia" w:hAnsiTheme="majorEastAsia" w:eastAsiaTheme="majorEastAsia"/>
                <w:bCs/>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Tahoma" w:asciiTheme="majorEastAsia" w:hAnsiTheme="majorEastAsia" w:eastAsiaTheme="majorEastAsia"/>
                <w:kern w:val="0"/>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bCs/>
                <w:kern w:val="0"/>
              </w:rPr>
            </w:pPr>
            <w:r>
              <w:rPr>
                <w:rFonts w:hint="eastAsia" w:ascii="宋体" w:hAnsi="宋体" w:cs="宋体"/>
              </w:rPr>
              <w:t>（1）总体概述（6分）</w:t>
            </w:r>
          </w:p>
        </w:tc>
        <w:tc>
          <w:tcPr>
            <w:tcW w:w="628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cs="宋体"/>
              </w:rPr>
            </w:pPr>
            <w:r>
              <w:rPr>
                <w:rFonts w:hint="eastAsia" w:ascii="宋体" w:hAnsi="宋体" w:cs="宋体"/>
              </w:rPr>
              <w:t xml:space="preserve">一档（2分）：对项目总体有认识，有一定的措施但部分不具体；施工段划分较合理，基本符合规范要求； </w:t>
            </w:r>
          </w:p>
          <w:p>
            <w:pPr>
              <w:spacing w:line="500" w:lineRule="exact"/>
              <w:jc w:val="left"/>
            </w:pPr>
            <w:r>
              <w:rPr>
                <w:rFonts w:hint="eastAsia" w:ascii="宋体" w:hAnsi="宋体" w:cs="宋体"/>
              </w:rPr>
              <w:t>二档（4分）：</w:t>
            </w:r>
            <w:r>
              <w:rPr>
                <w:rFonts w:hint="eastAsia"/>
              </w:rPr>
              <w:t xml:space="preserve">对项目总体有一定认识，表达清晰、完整，措施具体有效；施工段划分清晰，符合规范要求； </w:t>
            </w:r>
          </w:p>
          <w:p>
            <w:pPr>
              <w:pStyle w:val="8"/>
              <w:spacing w:line="500" w:lineRule="exact"/>
              <w:ind w:firstLine="0"/>
              <w:rPr>
                <w:rFonts w:asciiTheme="majorEastAsia" w:hAnsiTheme="majorEastAsia" w:eastAsiaTheme="majorEastAsia"/>
              </w:rPr>
            </w:pPr>
            <w:r>
              <w:rPr>
                <w:rFonts w:hint="eastAsia" w:ascii="宋体" w:hAnsi="宋体" w:cs="宋体"/>
              </w:rPr>
              <w:t>三档（6分）：</w:t>
            </w:r>
            <w:r>
              <w:rPr>
                <w:rFonts w:hint="eastAsia"/>
              </w:rPr>
              <w:t>对项目总体有深刻认识，表达清晰、完整、严谨、合理，措施先进、具体、有效、成熟；施工段划分清晰、合理，完全符合规范要求。</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Theme="majorEastAsia" w:hAnsiTheme="majorEastAsia" w:eastAsiaTheme="majorEastAsia"/>
              </w:rPr>
            </w:pPr>
            <w:r>
              <w:rPr>
                <w:rFonts w:hint="eastAsia" w:asciiTheme="majorEastAsia" w:hAnsiTheme="majorEastAsia" w:eastAsiaTheme="majorEastAsia"/>
              </w:rPr>
              <w:t>47分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Tahoma" w:asciiTheme="majorEastAsia" w:hAnsiTheme="majorEastAsia" w:eastAsiaTheme="majorEastAsia"/>
                <w:kern w:val="0"/>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ajorEastAsia" w:hAnsiTheme="majorEastAsia" w:eastAsiaTheme="majorEastAsia"/>
              </w:rPr>
            </w:pPr>
            <w:r>
              <w:rPr>
                <w:rFonts w:hint="eastAsia" w:ascii="宋体" w:hAnsi="宋体" w:cs="宋体"/>
              </w:rPr>
              <w:t>（2）主要施工方法（9分）</w:t>
            </w:r>
          </w:p>
        </w:tc>
        <w:tc>
          <w:tcPr>
            <w:tcW w:w="628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cs="宋体"/>
              </w:rPr>
            </w:pPr>
            <w:r>
              <w:rPr>
                <w:rFonts w:hint="eastAsia" w:ascii="宋体" w:hAnsi="宋体" w:cs="宋体"/>
              </w:rPr>
              <w:t>一档（3分）：各主要分部施工方法能满足项目需求，有施工技术方案，能指导具体施工并确保安全；</w:t>
            </w:r>
          </w:p>
          <w:p>
            <w:pPr>
              <w:spacing w:line="500" w:lineRule="exact"/>
              <w:jc w:val="left"/>
              <w:rPr>
                <w:rFonts w:ascii="宋体" w:hAnsi="宋体" w:cs="宋体"/>
              </w:rPr>
            </w:pPr>
            <w:r>
              <w:rPr>
                <w:rFonts w:hint="eastAsia" w:ascii="宋体" w:hAnsi="宋体" w:cs="宋体"/>
              </w:rPr>
              <w:t xml:space="preserve">二档（6分）：各主要分部施工方法符合项目实际，有较详尽的施工技术方案，工艺较好、方法有一定的可行及针对性，能指导具体施工并确保安全； </w:t>
            </w:r>
          </w:p>
          <w:p>
            <w:pPr>
              <w:spacing w:line="500" w:lineRule="exact"/>
              <w:jc w:val="left"/>
              <w:rPr>
                <w:rFonts w:asciiTheme="majorEastAsia" w:hAnsiTheme="majorEastAsia" w:eastAsiaTheme="majorEastAsia"/>
              </w:rPr>
            </w:pPr>
            <w:r>
              <w:rPr>
                <w:rFonts w:hint="eastAsia" w:ascii="宋体" w:hAnsi="宋体" w:cs="宋体"/>
              </w:rPr>
              <w:t xml:space="preserve">三档（9分）：各主要分部施工方法符合项目实际，有详尽的施工技术方案，工艺先进、方法科学合理、可行、针对性强，能有效的指导具体施工并确保安全。 </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Tahoma" w:asciiTheme="majorEastAsia" w:hAnsiTheme="majorEastAsia" w:eastAsiaTheme="majorEastAsia"/>
                <w:kern w:val="0"/>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cs="宋体" w:asciiTheme="majorEastAsia" w:hAnsiTheme="majorEastAsia" w:eastAsiaTheme="majorEastAsia"/>
              </w:rPr>
            </w:pPr>
            <w:r>
              <w:rPr>
                <w:rFonts w:hint="eastAsia" w:ascii="宋体" w:hAnsi="宋体" w:cs="宋体"/>
              </w:rPr>
              <w:t>（3）施工进度、施工进度计划和各阶段进度的保证措施（6分）</w:t>
            </w:r>
          </w:p>
        </w:tc>
        <w:tc>
          <w:tcPr>
            <w:tcW w:w="628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cs="宋体"/>
              </w:rPr>
            </w:pPr>
            <w:r>
              <w:rPr>
                <w:rFonts w:hint="eastAsia" w:ascii="宋体" w:hAnsi="宋体" w:cs="宋体"/>
              </w:rPr>
              <w:t>一档（2分）：关键线路基本准确，计划编制基本合理，关键节点的控制措施基本可行；</w:t>
            </w:r>
          </w:p>
          <w:p>
            <w:pPr>
              <w:spacing w:line="500" w:lineRule="exact"/>
              <w:jc w:val="left"/>
              <w:rPr>
                <w:rFonts w:ascii="宋体" w:hAnsi="宋体" w:cs="宋体"/>
              </w:rPr>
            </w:pPr>
            <w:r>
              <w:rPr>
                <w:rFonts w:hint="eastAsia" w:ascii="宋体" w:hAnsi="宋体" w:cs="宋体"/>
              </w:rPr>
              <w:t>二档（4分）：关键线路清晰、准确，计划编制合理、有一定的可行性，关键节点的控制措施有基本可行，有一定的针对性；</w:t>
            </w:r>
          </w:p>
          <w:p>
            <w:pPr>
              <w:spacing w:line="500" w:lineRule="exact"/>
              <w:jc w:val="left"/>
              <w:rPr>
                <w:rFonts w:asciiTheme="majorEastAsia" w:hAnsiTheme="majorEastAsia" w:eastAsiaTheme="majorEastAsia"/>
              </w:rPr>
            </w:pPr>
            <w:r>
              <w:rPr>
                <w:rFonts w:hint="eastAsia" w:ascii="宋体" w:hAnsi="宋体" w:cs="宋体"/>
              </w:rPr>
              <w:t xml:space="preserve">三档（6分）：关键线路清晰、准确、完整，计划编制合理、可行、针对性强，关键节点的控制措施有力、合理、可行、针对性强。 </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Tahoma" w:asciiTheme="majorEastAsia" w:hAnsiTheme="majorEastAsia" w:eastAsiaTheme="majorEastAsia"/>
                <w:kern w:val="0"/>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（4）关键施工技术、工艺及工程实施的重点、难点和解决方案</w:t>
            </w:r>
          </w:p>
          <w:p>
            <w:pPr>
              <w:spacing w:line="360" w:lineRule="exact"/>
              <w:jc w:val="center"/>
              <w:rPr>
                <w:rFonts w:cs="宋体" w:asciiTheme="majorEastAsia" w:hAnsiTheme="majorEastAsia" w:eastAsiaTheme="majorEastAsia"/>
              </w:rPr>
            </w:pPr>
            <w:r>
              <w:rPr>
                <w:rFonts w:hint="eastAsia" w:ascii="宋体" w:hAnsi="宋体" w:cs="宋体"/>
              </w:rPr>
              <w:t>（8分）</w:t>
            </w:r>
          </w:p>
        </w:tc>
        <w:tc>
          <w:tcPr>
            <w:tcW w:w="628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cs="宋体"/>
              </w:rPr>
            </w:pPr>
            <w:r>
              <w:rPr>
                <w:rFonts w:hint="eastAsia" w:ascii="宋体" w:hAnsi="宋体" w:cs="宋体"/>
              </w:rPr>
              <w:t xml:space="preserve">一档（2分）：对项目关键技术有一定了解，对重点、难点有建议，解决方案基本可行； </w:t>
            </w:r>
          </w:p>
          <w:p>
            <w:pPr>
              <w:spacing w:line="500" w:lineRule="exact"/>
              <w:jc w:val="left"/>
              <w:rPr>
                <w:rFonts w:ascii="宋体" w:hAnsi="宋体" w:cs="宋体"/>
              </w:rPr>
            </w:pPr>
            <w:r>
              <w:rPr>
                <w:rFonts w:hint="eastAsia" w:ascii="宋体" w:hAnsi="宋体" w:cs="宋体"/>
              </w:rPr>
              <w:t>二档（5分）：对项目关键技术、工艺有深入的表达，对重点、难点有合理的建议，解决方案经济、安全、基本可行；</w:t>
            </w:r>
          </w:p>
          <w:p>
            <w:pPr>
              <w:spacing w:line="500" w:lineRule="exact"/>
              <w:jc w:val="left"/>
              <w:rPr>
                <w:rFonts w:asciiTheme="majorEastAsia" w:hAnsiTheme="majorEastAsia" w:eastAsiaTheme="majorEastAsia"/>
              </w:rPr>
            </w:pPr>
            <w:r>
              <w:rPr>
                <w:rFonts w:hint="eastAsia" w:ascii="宋体" w:hAnsi="宋体" w:cs="宋体"/>
              </w:rPr>
              <w:t xml:space="preserve">三档（8分）：对项目关键技术、工艺有深入的表达，对重点、难点有先进合理的施工措施并有可行的安全措施，解决方案完整、经济、安全、切实可行，措施得力。 </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Tahoma" w:asciiTheme="majorEastAsia" w:hAnsiTheme="majorEastAsia" w:eastAsiaTheme="majorEastAsia"/>
                <w:kern w:val="0"/>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（5）安全文明施工措施</w:t>
            </w:r>
          </w:p>
          <w:p>
            <w:pPr>
              <w:spacing w:line="360" w:lineRule="exact"/>
              <w:jc w:val="center"/>
              <w:rPr>
                <w:rFonts w:cs="宋体" w:asciiTheme="majorEastAsia" w:hAnsiTheme="majorEastAsia" w:eastAsiaTheme="majorEastAsia"/>
              </w:rPr>
            </w:pPr>
            <w:r>
              <w:rPr>
                <w:rFonts w:hint="eastAsia" w:ascii="宋体" w:hAnsi="宋体" w:cs="宋体"/>
              </w:rPr>
              <w:t>（6分）</w:t>
            </w:r>
          </w:p>
        </w:tc>
        <w:tc>
          <w:tcPr>
            <w:tcW w:w="628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cs="宋体"/>
              </w:rPr>
            </w:pPr>
            <w:r>
              <w:rPr>
                <w:rFonts w:hint="eastAsia" w:ascii="宋体" w:hAnsi="宋体" w:cs="宋体"/>
              </w:rPr>
              <w:t>一档（2分）：有基本合理的措施，采用规范正确；</w:t>
            </w:r>
          </w:p>
          <w:p>
            <w:pPr>
              <w:spacing w:line="500" w:lineRule="exact"/>
              <w:jc w:val="left"/>
              <w:rPr>
                <w:rFonts w:ascii="宋体" w:hAnsi="宋体" w:cs="宋体"/>
              </w:rPr>
            </w:pPr>
            <w:r>
              <w:rPr>
                <w:rFonts w:hint="eastAsia" w:ascii="宋体" w:hAnsi="宋体" w:cs="宋体"/>
              </w:rPr>
              <w:t xml:space="preserve">二档（4分）：针对项目实际情况，提供合理的措施且具体、完整，采用规范正确。 </w:t>
            </w:r>
          </w:p>
          <w:p>
            <w:pPr>
              <w:spacing w:line="500" w:lineRule="exact"/>
              <w:jc w:val="left"/>
              <w:rPr>
                <w:rFonts w:asciiTheme="majorEastAsia" w:hAnsiTheme="majorEastAsia" w:eastAsiaTheme="majorEastAsia"/>
              </w:rPr>
            </w:pPr>
            <w:r>
              <w:rPr>
                <w:rFonts w:hint="eastAsia" w:ascii="宋体" w:hAnsi="宋体" w:cs="宋体"/>
              </w:rPr>
              <w:t xml:space="preserve">三档（6分）：针对项目实际情况，提供先进、具体、完整、可行、针对性强的实施措施，采用规范正确、清晰。 </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Tahoma" w:asciiTheme="majorEastAsia" w:hAnsiTheme="majorEastAsia" w:eastAsiaTheme="majorEastAsia"/>
                <w:kern w:val="0"/>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（6）质量保证与承诺</w:t>
            </w:r>
          </w:p>
          <w:p>
            <w:pPr>
              <w:spacing w:line="360" w:lineRule="exact"/>
              <w:jc w:val="center"/>
              <w:rPr>
                <w:rFonts w:asciiTheme="majorEastAsia" w:hAnsiTheme="majorEastAsia" w:eastAsiaTheme="majorEastAsia"/>
                <w:bCs/>
                <w:kern w:val="0"/>
              </w:rPr>
            </w:pPr>
            <w:r>
              <w:rPr>
                <w:rFonts w:hint="eastAsia" w:ascii="宋体" w:hAnsi="宋体" w:cs="宋体"/>
              </w:rPr>
              <w:t>6分）</w:t>
            </w:r>
          </w:p>
        </w:tc>
        <w:tc>
          <w:tcPr>
            <w:tcW w:w="628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cs="宋体"/>
              </w:rPr>
            </w:pPr>
            <w:r>
              <w:rPr>
                <w:rFonts w:hint="eastAsia" w:ascii="宋体" w:hAnsi="宋体" w:cs="宋体"/>
              </w:rPr>
              <w:t xml:space="preserve">一档（2分）：针对项目实际提出质量保证措施，基本满足竞争性磋商文件的质量要求； </w:t>
            </w:r>
          </w:p>
          <w:p>
            <w:pPr>
              <w:spacing w:line="500" w:lineRule="exact"/>
              <w:jc w:val="left"/>
              <w:rPr>
                <w:rFonts w:ascii="宋体" w:hAnsi="宋体" w:cs="宋体"/>
              </w:rPr>
            </w:pPr>
            <w:r>
              <w:rPr>
                <w:rFonts w:hint="eastAsia" w:ascii="宋体" w:hAnsi="宋体" w:cs="宋体"/>
              </w:rPr>
              <w:t>二档（4分）：针对项目实际提出具体及有一定可行性的质量保证措施，满足竞争性磋商文件的质量要求；</w:t>
            </w:r>
          </w:p>
          <w:p>
            <w:pPr>
              <w:spacing w:line="500" w:lineRule="exact"/>
              <w:jc w:val="left"/>
              <w:rPr>
                <w:rFonts w:asciiTheme="majorEastAsia" w:hAnsiTheme="majorEastAsia" w:eastAsiaTheme="majorEastAsia"/>
              </w:rPr>
            </w:pPr>
            <w:r>
              <w:rPr>
                <w:rFonts w:hint="eastAsia" w:ascii="宋体" w:hAnsi="宋体" w:cs="宋体"/>
              </w:rPr>
              <w:t>三档（6分）：针对项目实际提出先进、可行、具体的质量保证措施，超过竞争性磋商文件的质量要求及施工验收规范要求。</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Tahoma" w:asciiTheme="majorEastAsia" w:hAnsiTheme="majorEastAsia" w:eastAsiaTheme="majorEastAsia"/>
                <w:kern w:val="0"/>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（7）新技术应用与承诺</w:t>
            </w:r>
          </w:p>
          <w:p>
            <w:pPr>
              <w:spacing w:line="360" w:lineRule="exact"/>
              <w:jc w:val="center"/>
              <w:rPr>
                <w:rFonts w:asciiTheme="majorEastAsia" w:hAnsiTheme="majorEastAsia" w:eastAsiaTheme="majorEastAsia"/>
                <w:bCs/>
                <w:kern w:val="0"/>
              </w:rPr>
            </w:pPr>
            <w:r>
              <w:rPr>
                <w:rFonts w:hint="eastAsia" w:ascii="宋体" w:hAnsi="宋体" w:cs="宋体"/>
              </w:rPr>
              <w:t>（6分）</w:t>
            </w:r>
          </w:p>
        </w:tc>
        <w:tc>
          <w:tcPr>
            <w:tcW w:w="628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cs="宋体"/>
              </w:rPr>
            </w:pPr>
            <w:r>
              <w:rPr>
                <w:rFonts w:hint="eastAsia" w:ascii="宋体" w:hAnsi="宋体" w:cs="宋体"/>
              </w:rPr>
              <w:t xml:space="preserve">一档（2分）：有新技术措施，但验证材料不充分，对节约投资和工期可能有一定收益，对采用新技术可能产生的风险预见不足； </w:t>
            </w:r>
          </w:p>
          <w:p>
            <w:pPr>
              <w:spacing w:line="500" w:lineRule="exact"/>
              <w:jc w:val="left"/>
              <w:rPr>
                <w:rFonts w:ascii="宋体" w:hAnsi="宋体" w:cs="宋体"/>
              </w:rPr>
            </w:pPr>
            <w:r>
              <w:rPr>
                <w:rFonts w:hint="eastAsia" w:ascii="宋体" w:hAnsi="宋体" w:cs="宋体"/>
              </w:rPr>
              <w:t>二档（4分）：针对项目实际，提出采用新技术的具体措施。新技术的验证材料可靠，对节约投资和工期有保证措施；对采用新技术可能产生的风险有一定的预见；</w:t>
            </w:r>
          </w:p>
          <w:p>
            <w:pPr>
              <w:spacing w:line="500" w:lineRule="exact"/>
              <w:jc w:val="left"/>
              <w:rPr>
                <w:rFonts w:asciiTheme="majorEastAsia" w:hAnsiTheme="majorEastAsia" w:eastAsiaTheme="majorEastAsia"/>
              </w:rPr>
            </w:pPr>
            <w:r>
              <w:rPr>
                <w:rFonts w:hint="eastAsia" w:ascii="宋体" w:hAnsi="宋体" w:cs="宋体"/>
              </w:rPr>
              <w:t>三档（6分）：针对项目实际，提出采用新技术的具体措施；新技术的验证材料可靠，对节约投资和工期的保证措施得力、具体、严谨；对采用新技术可能产生的风险预见充分，对新技术的实施有安全生产的可靠方案。</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Tahoma" w:asciiTheme="majorEastAsia" w:hAnsiTheme="majorEastAsia" w:eastAsiaTheme="majorEastAsia"/>
                <w:kern w:val="0"/>
              </w:rPr>
            </w:pPr>
            <w:r>
              <w:rPr>
                <w:rFonts w:hint="eastAsia" w:cs="Tahoma" w:asciiTheme="majorEastAsia" w:hAnsiTheme="majorEastAsia" w:eastAsiaTheme="majorEastAsia"/>
                <w:kern w:val="0"/>
              </w:rPr>
              <w:t>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Courier New" w:asciiTheme="majorEastAsia" w:hAnsiTheme="majorEastAsia" w:eastAsiaTheme="majorEastAsia"/>
                <w:bCs/>
              </w:rPr>
            </w:pPr>
            <w:r>
              <w:rPr>
                <w:rFonts w:hint="eastAsia" w:cs="Courier New" w:asciiTheme="majorEastAsia" w:hAnsiTheme="majorEastAsia" w:eastAsiaTheme="majorEastAsia"/>
                <w:bCs/>
              </w:rPr>
              <w:t>商务分</w:t>
            </w:r>
          </w:p>
        </w:tc>
        <w:tc>
          <w:tcPr>
            <w:tcW w:w="7139"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cs="Tahoma" w:asciiTheme="majorEastAsia" w:hAnsiTheme="majorEastAsia" w:eastAsiaTheme="majorEastAsia"/>
                <w:kern w:val="0"/>
              </w:rPr>
            </w:pPr>
            <w:r>
              <w:rPr>
                <w:rFonts w:hint="eastAsia" w:cs="Tahoma" w:asciiTheme="majorEastAsia" w:hAnsiTheme="majorEastAsia" w:eastAsiaTheme="majorEastAsia"/>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Tahoma" w:asciiTheme="majorEastAsia" w:hAnsiTheme="majorEastAsia" w:eastAsiaTheme="majorEastAsia"/>
                <w:kern w:val="0"/>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ahoma" w:asciiTheme="majorEastAsia" w:hAnsiTheme="majorEastAsia" w:eastAsiaTheme="majorEastAsia"/>
                <w:kern w:val="0"/>
              </w:rPr>
            </w:pPr>
            <w:r>
              <w:rPr>
                <w:rFonts w:hint="eastAsia" w:cs="Tahoma" w:asciiTheme="majorEastAsia" w:hAnsiTheme="majorEastAsia" w:eastAsiaTheme="majorEastAsia"/>
                <w:kern w:val="0"/>
              </w:rPr>
              <w:t>3.1企业认证分（3分）</w:t>
            </w:r>
          </w:p>
        </w:tc>
        <w:tc>
          <w:tcPr>
            <w:tcW w:w="6288" w:type="dxa"/>
            <w:tcBorders>
              <w:top w:val="single" w:color="auto" w:sz="4" w:space="0"/>
              <w:left w:val="single" w:color="auto" w:sz="4" w:space="0"/>
              <w:bottom w:val="single" w:color="auto" w:sz="4" w:space="0"/>
              <w:right w:val="single" w:color="auto" w:sz="4" w:space="0"/>
            </w:tcBorders>
          </w:tcPr>
          <w:p>
            <w:pPr>
              <w:pStyle w:val="26"/>
              <w:spacing w:line="500" w:lineRule="exact"/>
              <w:rPr>
                <w:rFonts w:asciiTheme="majorEastAsia" w:hAnsiTheme="majorEastAsia" w:eastAsiaTheme="majorEastAsia"/>
                <w:spacing w:val="-4"/>
                <w:kern w:val="2"/>
                <w:sz w:val="21"/>
              </w:rPr>
            </w:pPr>
            <w:r>
              <w:rPr>
                <w:rFonts w:hint="eastAsia" w:asciiTheme="majorEastAsia" w:hAnsiTheme="majorEastAsia" w:eastAsiaTheme="majorEastAsia"/>
                <w:spacing w:val="-4"/>
                <w:kern w:val="2"/>
                <w:sz w:val="21"/>
              </w:rPr>
              <w:t>供应商通过</w:t>
            </w:r>
            <w:r>
              <w:rPr>
                <w:rFonts w:hint="eastAsia" w:asciiTheme="majorEastAsia" w:hAnsiTheme="majorEastAsia" w:eastAsiaTheme="majorEastAsia"/>
                <w:kern w:val="2"/>
                <w:sz w:val="21"/>
              </w:rPr>
              <w:t>质量管理体系认证、环境管理体系认证、职业健康安全管理体系认证且有效的【供应商于响应文件中提供相应有效认证证书复印件(认证证书中应清晰反映供应商单位全称），并加盖供应商电子签章】，每提供1项有效认证得1分，最多得3分。</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Tahoma" w:asciiTheme="majorEastAsia" w:hAnsiTheme="majorEastAsia" w:eastAsiaTheme="majorEastAsia"/>
                <w:kern w:val="0"/>
              </w:rPr>
            </w:pPr>
            <w:r>
              <w:rPr>
                <w:rFonts w:hint="eastAsia" w:cs="Tahoma" w:asciiTheme="majorEastAsia" w:hAnsiTheme="majorEastAsia" w:eastAsiaTheme="majorEastAsia"/>
                <w:kern w:val="0"/>
              </w:rPr>
              <w:t>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Tahoma" w:asciiTheme="majorEastAsia" w:hAnsiTheme="majorEastAsia" w:eastAsiaTheme="majorEastAsia"/>
                <w:kern w:val="0"/>
              </w:rPr>
            </w:pPr>
            <w:r>
              <w:rPr>
                <w:rFonts w:hint="eastAsia" w:cs="Tahoma" w:asciiTheme="majorEastAsia" w:hAnsiTheme="majorEastAsia" w:eastAsiaTheme="majorEastAsia"/>
                <w:kern w:val="0"/>
              </w:rPr>
              <w:t>·</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ahoma" w:asciiTheme="majorEastAsia" w:hAnsiTheme="majorEastAsia" w:eastAsiaTheme="majorEastAsia"/>
                <w:kern w:val="0"/>
              </w:rPr>
            </w:pPr>
            <w:r>
              <w:rPr>
                <w:rFonts w:hint="eastAsia" w:cs="Tahoma" w:asciiTheme="majorEastAsia" w:hAnsiTheme="majorEastAsia" w:eastAsiaTheme="majorEastAsia"/>
                <w:kern w:val="0"/>
              </w:rPr>
              <w:t>3.2人员配备分（11分）</w:t>
            </w:r>
          </w:p>
        </w:tc>
        <w:tc>
          <w:tcPr>
            <w:tcW w:w="6288" w:type="dxa"/>
            <w:tcBorders>
              <w:top w:val="single" w:color="auto" w:sz="4" w:space="0"/>
              <w:left w:val="single" w:color="auto" w:sz="4" w:space="0"/>
              <w:bottom w:val="single" w:color="auto" w:sz="4" w:space="0"/>
              <w:right w:val="single" w:color="auto" w:sz="4" w:space="0"/>
            </w:tcBorders>
          </w:tcPr>
          <w:p>
            <w:pPr>
              <w:pStyle w:val="26"/>
              <w:spacing w:line="500" w:lineRule="exact"/>
              <w:rPr>
                <w:rFonts w:asciiTheme="majorEastAsia" w:hAnsiTheme="majorEastAsia" w:eastAsiaTheme="majorEastAsia"/>
                <w:kern w:val="2"/>
                <w:sz w:val="21"/>
              </w:rPr>
            </w:pPr>
            <w:r>
              <w:rPr>
                <w:rFonts w:hint="eastAsia" w:asciiTheme="majorEastAsia" w:hAnsiTheme="majorEastAsia" w:eastAsiaTheme="majorEastAsia"/>
                <w:kern w:val="2"/>
                <w:sz w:val="21"/>
              </w:rPr>
              <w:t>（1）供应商拟投入本项目的项目经理具有</w:t>
            </w:r>
            <w:r>
              <w:rPr>
                <w:rFonts w:asciiTheme="majorEastAsia" w:hAnsiTheme="majorEastAsia" w:eastAsiaTheme="majorEastAsia"/>
                <w:kern w:val="2"/>
                <w:sz w:val="21"/>
              </w:rPr>
              <w:t>与本项目相关专业的</w:t>
            </w:r>
            <w:r>
              <w:rPr>
                <w:rFonts w:hint="eastAsia" w:asciiTheme="majorEastAsia" w:hAnsiTheme="majorEastAsia" w:eastAsiaTheme="majorEastAsia"/>
                <w:kern w:val="2"/>
                <w:sz w:val="21"/>
              </w:rPr>
              <w:t>助理工程师</w:t>
            </w:r>
            <w:r>
              <w:rPr>
                <w:rFonts w:asciiTheme="majorEastAsia" w:hAnsiTheme="majorEastAsia" w:eastAsiaTheme="majorEastAsia"/>
                <w:kern w:val="2"/>
                <w:sz w:val="21"/>
              </w:rPr>
              <w:t>职称</w:t>
            </w:r>
            <w:r>
              <w:rPr>
                <w:rFonts w:hint="eastAsia" w:asciiTheme="majorEastAsia" w:hAnsiTheme="majorEastAsia" w:eastAsiaTheme="majorEastAsia"/>
                <w:kern w:val="2"/>
                <w:sz w:val="21"/>
              </w:rPr>
              <w:t>的，得1分；具有</w:t>
            </w:r>
            <w:r>
              <w:rPr>
                <w:rFonts w:asciiTheme="majorEastAsia" w:hAnsiTheme="majorEastAsia" w:eastAsiaTheme="majorEastAsia"/>
                <w:kern w:val="2"/>
                <w:sz w:val="21"/>
              </w:rPr>
              <w:t>与本项目相关专业的</w:t>
            </w:r>
            <w:r>
              <w:rPr>
                <w:rFonts w:hint="eastAsia" w:asciiTheme="majorEastAsia" w:hAnsiTheme="majorEastAsia" w:eastAsiaTheme="majorEastAsia"/>
                <w:kern w:val="2"/>
                <w:sz w:val="21"/>
              </w:rPr>
              <w:t>工程师</w:t>
            </w:r>
            <w:r>
              <w:rPr>
                <w:rFonts w:asciiTheme="majorEastAsia" w:hAnsiTheme="majorEastAsia" w:eastAsiaTheme="majorEastAsia"/>
                <w:kern w:val="2"/>
                <w:sz w:val="21"/>
              </w:rPr>
              <w:t>及以上职称</w:t>
            </w:r>
            <w:r>
              <w:rPr>
                <w:rFonts w:hint="eastAsia" w:asciiTheme="majorEastAsia" w:hAnsiTheme="majorEastAsia" w:eastAsiaTheme="majorEastAsia"/>
                <w:kern w:val="2"/>
                <w:sz w:val="21"/>
              </w:rPr>
              <w:t>的，得3分。</w:t>
            </w:r>
          </w:p>
          <w:p>
            <w:pPr>
              <w:pStyle w:val="26"/>
              <w:spacing w:line="500" w:lineRule="exact"/>
              <w:rPr>
                <w:rFonts w:asciiTheme="majorEastAsia" w:hAnsiTheme="majorEastAsia" w:eastAsiaTheme="majorEastAsia"/>
                <w:spacing w:val="-4"/>
                <w:kern w:val="2"/>
                <w:sz w:val="21"/>
              </w:rPr>
            </w:pPr>
            <w:r>
              <w:rPr>
                <w:rFonts w:hint="eastAsia" w:asciiTheme="majorEastAsia" w:hAnsiTheme="majorEastAsia" w:eastAsiaTheme="majorEastAsia"/>
                <w:kern w:val="2"/>
                <w:sz w:val="21"/>
              </w:rPr>
              <w:t>（2）供应商投入本项目的项目管理人员（项目经理、技术负责人除外）中具有助理工程师职称的，每提供有1人得0.5分；具有工程师及以</w:t>
            </w:r>
            <w:r>
              <w:rPr>
                <w:rFonts w:hint="eastAsia" w:asciiTheme="majorEastAsia" w:hAnsiTheme="majorEastAsia" w:eastAsiaTheme="majorEastAsia"/>
                <w:spacing w:val="-4"/>
                <w:kern w:val="2"/>
                <w:sz w:val="21"/>
              </w:rPr>
              <w:t>上职称的，每提供1人得2分，本项最多得8分。</w:t>
            </w:r>
          </w:p>
          <w:p>
            <w:pPr>
              <w:pStyle w:val="26"/>
              <w:spacing w:line="500" w:lineRule="exact"/>
              <w:rPr>
                <w:rFonts w:asciiTheme="majorEastAsia" w:hAnsiTheme="majorEastAsia" w:eastAsiaTheme="majorEastAsia"/>
                <w:b/>
                <w:bCs/>
                <w:spacing w:val="-4"/>
                <w:kern w:val="2"/>
                <w:sz w:val="21"/>
              </w:rPr>
            </w:pPr>
            <w:r>
              <w:rPr>
                <w:rFonts w:hint="eastAsia" w:asciiTheme="majorEastAsia" w:hAnsiTheme="majorEastAsia" w:eastAsiaTheme="majorEastAsia"/>
                <w:b/>
                <w:bCs/>
                <w:spacing w:val="-4"/>
                <w:kern w:val="2"/>
                <w:sz w:val="21"/>
              </w:rPr>
              <w:t>注：1.供应商于响应文件中提供以上人员相应职称证书复印件，加盖供应商电子签章，否则不予计分。</w:t>
            </w:r>
          </w:p>
          <w:p>
            <w:pPr>
              <w:pStyle w:val="26"/>
              <w:spacing w:line="500" w:lineRule="exact"/>
              <w:rPr>
                <w:rFonts w:asciiTheme="majorEastAsia" w:hAnsiTheme="majorEastAsia" w:eastAsiaTheme="majorEastAsia"/>
                <w:spacing w:val="-4"/>
                <w:kern w:val="2"/>
                <w:sz w:val="21"/>
              </w:rPr>
            </w:pPr>
            <w:r>
              <w:rPr>
                <w:rFonts w:hint="eastAsia" w:asciiTheme="majorEastAsia" w:hAnsiTheme="majorEastAsia" w:eastAsiaTheme="majorEastAsia"/>
                <w:b/>
                <w:bCs/>
                <w:spacing w:val="-4"/>
                <w:kern w:val="2"/>
                <w:sz w:val="21"/>
              </w:rPr>
              <w:t>2.同一人员同时具有不同职称证书的只计一次分值，分值入高不入低，不重复计分。</w:t>
            </w:r>
          </w:p>
        </w:tc>
        <w:tc>
          <w:tcPr>
            <w:tcW w:w="851" w:type="dxa"/>
            <w:vMerge w:val="continue"/>
            <w:tcBorders>
              <w:left w:val="single" w:color="auto" w:sz="4" w:space="0"/>
              <w:right w:val="single" w:color="auto" w:sz="4" w:space="0"/>
            </w:tcBorders>
            <w:vAlign w:val="center"/>
          </w:tcPr>
          <w:p>
            <w:pPr>
              <w:widowControl/>
              <w:spacing w:line="360" w:lineRule="auto"/>
              <w:jc w:val="center"/>
              <w:rPr>
                <w:rFonts w:cs="Tahoma" w:asciiTheme="majorEastAsia" w:hAnsiTheme="majorEastAsia" w:eastAsiaTheme="maj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Tahoma" w:asciiTheme="majorEastAsia" w:hAnsiTheme="majorEastAsia" w:eastAsiaTheme="majorEastAsia"/>
                <w:kern w:val="0"/>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Tahoma" w:asciiTheme="majorEastAsia" w:hAnsiTheme="majorEastAsia" w:eastAsiaTheme="majorEastAsia"/>
                <w:kern w:val="0"/>
              </w:rPr>
            </w:pPr>
            <w:r>
              <w:rPr>
                <w:rFonts w:hint="eastAsia" w:cs="Tahoma" w:asciiTheme="majorEastAsia" w:hAnsiTheme="majorEastAsia" w:eastAsiaTheme="majorEastAsia"/>
                <w:kern w:val="0"/>
              </w:rPr>
              <w:t>3.3业绩分（9分）</w:t>
            </w:r>
          </w:p>
        </w:tc>
        <w:tc>
          <w:tcPr>
            <w:tcW w:w="6288" w:type="dxa"/>
            <w:tcBorders>
              <w:top w:val="single" w:color="auto" w:sz="4" w:space="0"/>
              <w:left w:val="single" w:color="auto" w:sz="4" w:space="0"/>
              <w:bottom w:val="single" w:color="auto" w:sz="4" w:space="0"/>
              <w:right w:val="single" w:color="auto" w:sz="4" w:space="0"/>
            </w:tcBorders>
          </w:tcPr>
          <w:p>
            <w:pPr>
              <w:pStyle w:val="26"/>
              <w:spacing w:line="500" w:lineRule="exact"/>
              <w:rPr>
                <w:rFonts w:asciiTheme="majorEastAsia" w:hAnsiTheme="majorEastAsia" w:eastAsiaTheme="majorEastAsia"/>
                <w:kern w:val="2"/>
                <w:sz w:val="21"/>
              </w:rPr>
            </w:pPr>
            <w:r>
              <w:rPr>
                <w:rFonts w:hint="eastAsia" w:asciiTheme="majorEastAsia" w:hAnsiTheme="majorEastAsia" w:eastAsiaTheme="majorEastAsia"/>
                <w:kern w:val="2"/>
                <w:sz w:val="21"/>
              </w:rPr>
              <w:t>供应商自2020年以来具有承接过建设工程项目（包括改造、装修）业绩的【响应文件中提供中标（成交）通知书或合同协议书复印件，</w:t>
            </w:r>
            <w:r>
              <w:rPr>
                <w:rFonts w:hint="eastAsia" w:asciiTheme="majorEastAsia" w:hAnsiTheme="majorEastAsia" w:eastAsiaTheme="majorEastAsia"/>
                <w:sz w:val="21"/>
              </w:rPr>
              <w:t>要求能清晰反映工程名称、工程内容、金额，同一个编号的项目有两个或两个以上的分标中标的只算</w:t>
            </w:r>
            <w:r>
              <w:rPr>
                <w:rFonts w:asciiTheme="majorEastAsia" w:hAnsiTheme="majorEastAsia" w:eastAsiaTheme="majorEastAsia"/>
                <w:sz w:val="21"/>
              </w:rPr>
              <w:t>1</w:t>
            </w:r>
            <w:r>
              <w:rPr>
                <w:rFonts w:hint="eastAsia" w:asciiTheme="majorEastAsia" w:hAnsiTheme="majorEastAsia" w:eastAsiaTheme="majorEastAsia"/>
                <w:sz w:val="21"/>
              </w:rPr>
              <w:t>个业绩，</w:t>
            </w:r>
            <w:r>
              <w:rPr>
                <w:rFonts w:hint="eastAsia" w:asciiTheme="majorEastAsia" w:hAnsiTheme="majorEastAsia" w:eastAsiaTheme="majorEastAsia"/>
                <w:kern w:val="2"/>
                <w:sz w:val="21"/>
              </w:rPr>
              <w:t>加盖供应商电子签章】，每提供1项业绩得1.5分，最多得9分。</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Tahoma" w:asciiTheme="majorEastAsia" w:hAnsiTheme="majorEastAsia" w:eastAsiaTheme="maj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483" w:type="dxa"/>
            <w:gridSpan w:val="3"/>
            <w:tcBorders>
              <w:top w:val="single" w:color="auto" w:sz="4" w:space="0"/>
              <w:left w:val="single" w:color="auto" w:sz="4" w:space="0"/>
              <w:bottom w:val="single" w:color="auto" w:sz="4" w:space="0"/>
              <w:right w:val="single" w:color="auto" w:sz="4" w:space="0"/>
            </w:tcBorders>
            <w:vAlign w:val="center"/>
          </w:tcPr>
          <w:p>
            <w:pPr>
              <w:pStyle w:val="26"/>
              <w:spacing w:line="360" w:lineRule="auto"/>
              <w:jc w:val="left"/>
              <w:rPr>
                <w:rFonts w:asciiTheme="majorEastAsia" w:hAnsiTheme="majorEastAsia" w:eastAsiaTheme="majorEastAsia"/>
                <w:kern w:val="2"/>
                <w:sz w:val="21"/>
              </w:rPr>
            </w:pPr>
            <w:r>
              <w:rPr>
                <w:rFonts w:hint="eastAsia" w:asciiTheme="majorEastAsia" w:hAnsiTheme="majorEastAsia" w:eastAsiaTheme="majorEastAsia"/>
                <w:kern w:val="2"/>
                <w:sz w:val="21"/>
              </w:rPr>
              <w:t>总得分＝1＋2＋3</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Tahoma" w:asciiTheme="majorEastAsia" w:hAnsiTheme="majorEastAsia" w:eastAsiaTheme="majorEastAsia"/>
                <w:kern w:val="0"/>
              </w:rPr>
            </w:pPr>
            <w:r>
              <w:rPr>
                <w:rFonts w:hint="eastAsia" w:cs="Tahoma" w:asciiTheme="majorEastAsia" w:hAnsiTheme="majorEastAsia" w:eastAsiaTheme="majorEastAsia"/>
                <w:kern w:val="0"/>
              </w:rPr>
              <w:t>100分</w:t>
            </w:r>
          </w:p>
        </w:tc>
      </w:tr>
    </w:tbl>
    <w:p>
      <w:pPr>
        <w:spacing w:line="360" w:lineRule="auto"/>
        <w:rPr>
          <w:rFonts w:asciiTheme="minorEastAsia" w:hAnsiTheme="minorEastAsia" w:eastAsiaTheme="minorEastAsia" w:cstheme="minorEastAsia"/>
          <w:b/>
          <w:bCs/>
        </w:rPr>
      </w:pPr>
    </w:p>
    <w:p>
      <w:pPr>
        <w:spacing w:line="360" w:lineRule="auto"/>
        <w:rPr>
          <w:rFonts w:asciiTheme="minorEastAsia" w:hAnsiTheme="minorEastAsia" w:eastAsiaTheme="minorEastAsia" w:cstheme="minorEastAsia"/>
          <w:b/>
          <w:bCs/>
        </w:rPr>
      </w:pPr>
      <w:r>
        <w:rPr>
          <w:rFonts w:hint="eastAsia" w:asciiTheme="minorEastAsia" w:hAnsiTheme="minorEastAsia" w:eastAsiaTheme="minorEastAsia" w:cstheme="minorEastAsia"/>
          <w:b/>
          <w:bCs/>
        </w:rPr>
        <w:t>8.终止竞争性磋商采购活动</w:t>
      </w:r>
    </w:p>
    <w:p>
      <w:pPr>
        <w:pStyle w:val="21"/>
        <w:spacing w:line="360" w:lineRule="auto"/>
        <w:ind w:firstLine="422"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p/>
    <w:p>
      <w:pPr>
        <w:pStyle w:val="20"/>
      </w:pPr>
    </w:p>
    <w:p>
      <w:pPr>
        <w:pStyle w:val="21"/>
        <w:ind w:firstLine="482"/>
      </w:pPr>
    </w:p>
    <w:p>
      <w:pPr>
        <w:pStyle w:val="21"/>
        <w:ind w:firstLine="482"/>
      </w:pPr>
    </w:p>
    <w:p>
      <w:pPr>
        <w:pStyle w:val="21"/>
        <w:ind w:firstLine="482"/>
      </w:pPr>
    </w:p>
    <w:p>
      <w:pPr>
        <w:pStyle w:val="21"/>
        <w:ind w:firstLine="482"/>
      </w:pPr>
    </w:p>
    <w:p>
      <w:pPr>
        <w:pStyle w:val="21"/>
        <w:ind w:firstLine="482"/>
      </w:pPr>
    </w:p>
    <w:p>
      <w:pPr>
        <w:pStyle w:val="21"/>
        <w:ind w:firstLine="482"/>
      </w:pPr>
    </w:p>
    <w:p>
      <w:pPr>
        <w:pStyle w:val="21"/>
        <w:ind w:firstLine="482"/>
      </w:pPr>
    </w:p>
    <w:p>
      <w:pPr>
        <w:pStyle w:val="21"/>
        <w:ind w:firstLine="482"/>
      </w:pPr>
    </w:p>
    <w:p>
      <w:pPr>
        <w:pStyle w:val="21"/>
        <w:ind w:firstLine="482"/>
      </w:pPr>
    </w:p>
    <w:p>
      <w:pPr>
        <w:pStyle w:val="21"/>
        <w:ind w:firstLine="482"/>
      </w:pPr>
    </w:p>
    <w:p>
      <w:pPr>
        <w:rPr>
          <w:rFonts w:ascii="宋体" w:hAnsi="宋体"/>
        </w:rPr>
      </w:pPr>
      <w:bookmarkStart w:id="23" w:name="_Toc80886939"/>
      <w:bookmarkStart w:id="24" w:name="_Toc32748"/>
      <w:r>
        <w:rPr>
          <w:rFonts w:hint="eastAsia" w:ascii="宋体" w:hAnsi="宋体"/>
        </w:rPr>
        <w:br w:type="page"/>
      </w:r>
    </w:p>
    <w:p>
      <w:pPr>
        <w:pStyle w:val="4"/>
        <w:jc w:val="center"/>
        <w:rPr>
          <w:rFonts w:ascii="宋体" w:hAnsi="宋体"/>
          <w:b w:val="0"/>
        </w:rPr>
      </w:pPr>
      <w:r>
        <w:rPr>
          <w:rFonts w:hint="eastAsia" w:ascii="宋体" w:hAnsi="宋体"/>
          <w:b w:val="0"/>
        </w:rPr>
        <w:t>第二节 评标报告</w:t>
      </w:r>
      <w:bookmarkEnd w:id="23"/>
      <w:bookmarkEnd w:id="24"/>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1.成交标准</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bCs/>
        </w:rPr>
        <w:t>由磋商小组根据综合评分情况，按照评审得分由高到低顺序推荐3名以上成交候选供应商</w:t>
      </w:r>
      <w:r>
        <w:rPr>
          <w:rFonts w:hint="eastAsia" w:asciiTheme="minorEastAsia" w:hAnsiTheme="minorEastAsia" w:eastAsiaTheme="minorEastAsia" w:cstheme="minorEastAsia"/>
        </w:rPr>
        <w:t>,并在线编写电子评审报告</w:t>
      </w:r>
      <w:r>
        <w:rPr>
          <w:rFonts w:hint="eastAsia" w:asciiTheme="minorEastAsia" w:hAnsiTheme="minorEastAsia" w:eastAsiaTheme="minorEastAsia" w:cstheme="minorEastAsia"/>
          <w:bCs/>
        </w:rPr>
        <w:t>。符合本章第一节第5.3条情形的，可以推荐2家成交候选供应商。评审得分相同的，按照最后报价（不计算价格折扣）由低到高的顺序推荐。评审得分且最后报价（不计算价格折扣）相同的，</w:t>
      </w:r>
      <w:r>
        <w:rPr>
          <w:rFonts w:hint="eastAsia" w:cs="宋体"/>
        </w:rPr>
        <w:t>以企业信誉实力分高的优先；企业信誉实力分也相等的，以企业用于该项工程投标的资质高的优先；企业用于该项工程投标的资质也相等的，以技术标得分高的优先；技术标得分也相等的</w:t>
      </w:r>
      <w:r>
        <w:rPr>
          <w:rFonts w:hint="eastAsia" w:asciiTheme="minorEastAsia" w:hAnsiTheme="minorEastAsia" w:eastAsiaTheme="minorEastAsia" w:cstheme="minorEastAsia"/>
          <w:bCs/>
        </w:rPr>
        <w:t>，由磋商小组随机抽取推荐。</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2.评标争议事项处理</w:t>
      </w:r>
    </w:p>
    <w:p>
      <w:pPr>
        <w:pStyle w:val="170"/>
        <w:spacing w:before="0"/>
        <w:ind w:firstLine="42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磋商小组成员对需要共同认定的事项存在争议的，应当按照少数服从多数的原则作出结论。持不同意见的磋商小组成员应当在评标报告上签署不同意见及理由，否则视为同意评标报告。</w:t>
      </w:r>
    </w:p>
    <w:p>
      <w:pPr>
        <w:pStyle w:val="4"/>
        <w:jc w:val="center"/>
        <w:rPr>
          <w:rFonts w:ascii="宋体" w:hAnsi="宋体"/>
          <w:b w:val="0"/>
        </w:rPr>
      </w:pPr>
      <w:bookmarkStart w:id="25" w:name="_Toc80205936"/>
      <w:bookmarkStart w:id="26" w:name="_Toc80886940"/>
      <w:bookmarkStart w:id="27" w:name="_Toc7829"/>
      <w:r>
        <w:rPr>
          <w:rFonts w:hint="eastAsia" w:ascii="宋体" w:hAnsi="宋体"/>
          <w:b w:val="0"/>
        </w:rPr>
        <w:t>第三节 评审过程的保密与录像</w:t>
      </w:r>
      <w:bookmarkEnd w:id="25"/>
      <w:bookmarkEnd w:id="26"/>
      <w:bookmarkEnd w:id="27"/>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1.保密。</w:t>
      </w:r>
    </w:p>
    <w:p>
      <w:pPr>
        <w:widowControl/>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widowControl/>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2.录音录像。</w:t>
      </w:r>
    </w:p>
    <w:p>
      <w:pPr>
        <w:pStyle w:val="21"/>
        <w:spacing w:line="360" w:lineRule="auto"/>
        <w:ind w:firstLine="21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采购代理机构对评审工作现场及操作屏幕进行全过程录音录像，录音录像资料作为采购项目文件随其他文件一并存档。</w:t>
      </w:r>
    </w:p>
    <w:p>
      <w:pPr>
        <w:pStyle w:val="21"/>
        <w:spacing w:line="360" w:lineRule="auto"/>
        <w:ind w:firstLine="482"/>
      </w:pPr>
    </w:p>
    <w:p>
      <w:pPr>
        <w:pStyle w:val="21"/>
        <w:spacing w:line="360" w:lineRule="auto"/>
        <w:ind w:firstLine="482"/>
      </w:pPr>
    </w:p>
    <w:p>
      <w:pPr>
        <w:pStyle w:val="21"/>
        <w:spacing w:line="360" w:lineRule="auto"/>
        <w:ind w:firstLine="482"/>
      </w:pPr>
    </w:p>
    <w:p>
      <w:pPr>
        <w:pStyle w:val="21"/>
        <w:spacing w:line="360" w:lineRule="auto"/>
        <w:ind w:firstLine="482"/>
      </w:pPr>
    </w:p>
    <w:p>
      <w:pPr>
        <w:pStyle w:val="21"/>
        <w:spacing w:line="360" w:lineRule="auto"/>
        <w:ind w:firstLine="482"/>
      </w:pPr>
    </w:p>
    <w:p>
      <w:pPr>
        <w:pStyle w:val="21"/>
        <w:spacing w:line="360" w:lineRule="auto"/>
        <w:ind w:firstLine="442"/>
        <w:jc w:val="center"/>
        <w:outlineLvl w:val="0"/>
        <w:rPr>
          <w:rFonts w:asciiTheme="minorEastAsia" w:hAnsiTheme="minorEastAsia" w:eastAsiaTheme="minorEastAsia" w:cstheme="minorEastAsia"/>
          <w:sz w:val="44"/>
          <w:szCs w:val="44"/>
        </w:rPr>
      </w:pPr>
      <w:bookmarkStart w:id="28" w:name="_Toc27061"/>
      <w:bookmarkStart w:id="29" w:name="_Toc44229897"/>
      <w:r>
        <w:rPr>
          <w:rFonts w:hint="eastAsia" w:asciiTheme="minorEastAsia" w:hAnsiTheme="minorEastAsia" w:eastAsiaTheme="minorEastAsia" w:cstheme="minorEastAsia"/>
          <w:sz w:val="44"/>
          <w:szCs w:val="44"/>
        </w:rPr>
        <w:t>第五章  响应文件格式</w:t>
      </w:r>
      <w:bookmarkEnd w:id="28"/>
    </w:p>
    <w:p>
      <w:pPr>
        <w:pStyle w:val="4"/>
        <w:jc w:val="center"/>
        <w:rPr>
          <w:rFonts w:ascii="宋体" w:hAnsi="宋体"/>
          <w:bCs w:val="0"/>
        </w:rPr>
      </w:pPr>
      <w:r>
        <w:rPr>
          <w:rFonts w:hint="eastAsia" w:ascii="宋体" w:hAnsi="宋体"/>
          <w:bCs w:val="0"/>
        </w:rPr>
        <w:t>第一节 封面格式</w:t>
      </w:r>
    </w:p>
    <w:p>
      <w:pPr>
        <w:rPr>
          <w:rFonts w:ascii="宋体" w:hAnsi="宋体"/>
          <w:b/>
          <w:bCs/>
          <w:sz w:val="32"/>
          <w:szCs w:val="32"/>
        </w:rPr>
      </w:pPr>
      <w:r>
        <w:rPr>
          <w:rFonts w:hint="eastAsia" w:ascii="宋体" w:hAnsi="宋体"/>
          <w:b/>
          <w:sz w:val="32"/>
          <w:szCs w:val="32"/>
        </w:rPr>
        <w:t>（</w:t>
      </w:r>
      <w:r>
        <w:rPr>
          <w:rFonts w:hint="eastAsia" w:ascii="宋体" w:hAnsi="宋体"/>
          <w:b/>
          <w:bCs/>
          <w:sz w:val="32"/>
          <w:szCs w:val="32"/>
        </w:rPr>
        <w:t>响应文件外层包装封面格式</w:t>
      </w:r>
      <w:r>
        <w:rPr>
          <w:rFonts w:hint="eastAsia" w:ascii="宋体" w:hAnsi="宋体"/>
          <w:b/>
          <w:sz w:val="32"/>
          <w:szCs w:val="32"/>
        </w:rPr>
        <w:t xml:space="preserve"> ）</w:t>
      </w:r>
    </w:p>
    <w:p>
      <w:pPr>
        <w:snapToGrid w:val="0"/>
        <w:spacing w:before="120" w:beforeLines="50" w:after="50"/>
        <w:rPr>
          <w:rFonts w:ascii="宋体" w:hAnsi="宋体"/>
          <w:sz w:val="24"/>
          <w:szCs w:val="20"/>
        </w:rPr>
      </w:pPr>
    </w:p>
    <w:p>
      <w:pPr>
        <w:snapToGrid w:val="0"/>
        <w:spacing w:before="120" w:beforeLines="50" w:after="50"/>
        <w:jc w:val="center"/>
        <w:rPr>
          <w:rFonts w:ascii="宋体" w:hAnsi="宋体"/>
          <w:bCs/>
          <w:sz w:val="24"/>
          <w:szCs w:val="20"/>
        </w:rPr>
      </w:pPr>
    </w:p>
    <w:p>
      <w:pPr>
        <w:snapToGrid w:val="0"/>
        <w:spacing w:before="120"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响  应  文  件</w:t>
      </w: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rPr>
          <w:rFonts w:ascii="仿宋_GB2312" w:hAnsi="仿宋_GB2312" w:eastAsia="仿宋_GB2312" w:cs="仿宋_GB2312"/>
          <w:bCs/>
          <w:sz w:val="32"/>
          <w:szCs w:val="32"/>
        </w:rPr>
      </w:pPr>
    </w:p>
    <w:p>
      <w:pPr>
        <w:snapToGrid w:val="0"/>
        <w:spacing w:before="120" w:beforeLines="50" w:after="50"/>
        <w:ind w:firstLine="640" w:firstLineChars="200"/>
        <w:rPr>
          <w:rFonts w:ascii="宋体" w:hAnsi="宋体" w:cs="仿宋_GB2312"/>
          <w:bCs/>
          <w:sz w:val="32"/>
          <w:szCs w:val="32"/>
        </w:rPr>
      </w:pPr>
      <w:r>
        <w:rPr>
          <w:rFonts w:hint="eastAsia" w:ascii="宋体" w:hAnsi="宋体" w:cs="仿宋_GB2312"/>
          <w:bCs/>
          <w:sz w:val="32"/>
          <w:szCs w:val="32"/>
        </w:rPr>
        <w:t>项目名称：</w:t>
      </w:r>
    </w:p>
    <w:p>
      <w:pPr>
        <w:snapToGrid w:val="0"/>
        <w:spacing w:before="120" w:beforeLines="50" w:after="50"/>
        <w:ind w:firstLine="480" w:firstLineChars="150"/>
        <w:rPr>
          <w:rFonts w:ascii="宋体" w:hAnsi="宋体" w:cs="仿宋_GB2312"/>
          <w:bCs/>
          <w:sz w:val="32"/>
          <w:szCs w:val="32"/>
        </w:rPr>
      </w:pPr>
    </w:p>
    <w:p>
      <w:pPr>
        <w:snapToGrid w:val="0"/>
        <w:spacing w:before="120" w:beforeLines="50" w:after="50"/>
        <w:ind w:firstLine="640" w:firstLineChars="200"/>
        <w:rPr>
          <w:rFonts w:ascii="宋体" w:hAnsi="宋体" w:cs="仿宋_GB2312"/>
          <w:bCs/>
          <w:sz w:val="32"/>
          <w:szCs w:val="32"/>
        </w:rPr>
      </w:pPr>
      <w:r>
        <w:rPr>
          <w:rFonts w:hint="eastAsia" w:ascii="宋体" w:hAnsi="宋体" w:cs="仿宋_GB2312"/>
          <w:bCs/>
          <w:sz w:val="32"/>
          <w:szCs w:val="32"/>
        </w:rPr>
        <w:t>项目编号：</w:t>
      </w:r>
    </w:p>
    <w:p>
      <w:pPr>
        <w:snapToGrid w:val="0"/>
        <w:spacing w:before="120" w:beforeLines="50" w:after="50"/>
        <w:ind w:firstLine="480" w:firstLineChars="150"/>
        <w:rPr>
          <w:rFonts w:ascii="宋体" w:hAnsi="宋体" w:cs="仿宋_GB2312"/>
          <w:bCs/>
          <w:sz w:val="32"/>
          <w:szCs w:val="32"/>
        </w:rPr>
      </w:pPr>
    </w:p>
    <w:p>
      <w:pPr>
        <w:snapToGrid w:val="0"/>
        <w:spacing w:before="120" w:beforeLines="50" w:after="50"/>
        <w:ind w:firstLine="640" w:firstLineChars="200"/>
        <w:rPr>
          <w:rFonts w:ascii="宋体" w:hAnsi="宋体" w:cs="仿宋_GB2312"/>
          <w:bCs/>
          <w:sz w:val="32"/>
          <w:szCs w:val="32"/>
        </w:rPr>
      </w:pPr>
      <w:r>
        <w:rPr>
          <w:rFonts w:hint="eastAsia" w:ascii="宋体" w:hAnsi="宋体" w:cs="仿宋_GB2312"/>
          <w:bCs/>
          <w:sz w:val="32"/>
          <w:szCs w:val="32"/>
        </w:rPr>
        <w:t>所竞分标（如有则填写，无分标时填写“无”或者留空）：</w:t>
      </w:r>
    </w:p>
    <w:p>
      <w:pPr>
        <w:snapToGrid w:val="0"/>
        <w:spacing w:before="120" w:beforeLines="50" w:after="50"/>
        <w:rPr>
          <w:rFonts w:ascii="宋体" w:hAnsi="宋体" w:cs="仿宋_GB2312"/>
          <w:bCs/>
          <w:sz w:val="32"/>
          <w:szCs w:val="32"/>
        </w:rPr>
      </w:pPr>
    </w:p>
    <w:p>
      <w:pPr>
        <w:snapToGrid w:val="0"/>
        <w:spacing w:before="120" w:beforeLines="50" w:after="50"/>
        <w:ind w:firstLine="640" w:firstLineChars="200"/>
        <w:rPr>
          <w:rFonts w:ascii="宋体" w:hAnsi="宋体" w:cs="仿宋_GB2312"/>
          <w:bCs/>
          <w:sz w:val="32"/>
          <w:szCs w:val="32"/>
        </w:rPr>
      </w:pPr>
      <w:r>
        <w:rPr>
          <w:rFonts w:hint="eastAsia" w:ascii="宋体" w:hAnsi="宋体" w:cs="仿宋_GB2312"/>
          <w:bCs/>
          <w:sz w:val="32"/>
          <w:szCs w:val="32"/>
        </w:rPr>
        <w:t>供应商名称：</w:t>
      </w:r>
    </w:p>
    <w:p>
      <w:pPr>
        <w:snapToGrid w:val="0"/>
        <w:spacing w:before="120" w:beforeLines="50" w:after="50"/>
        <w:rPr>
          <w:rFonts w:ascii="宋体" w:hAnsi="宋体" w:cs="仿宋_GB2312"/>
          <w:bCs/>
          <w:sz w:val="32"/>
          <w:szCs w:val="32"/>
        </w:rPr>
      </w:pPr>
    </w:p>
    <w:p>
      <w:pPr>
        <w:snapToGrid w:val="0"/>
        <w:spacing w:before="120" w:beforeLines="50" w:after="50"/>
        <w:ind w:firstLine="480" w:firstLineChars="150"/>
        <w:jc w:val="center"/>
        <w:rPr>
          <w:rFonts w:ascii="宋体" w:hAnsi="宋体" w:cs="仿宋_GB2312"/>
          <w:bCs/>
          <w:sz w:val="32"/>
          <w:szCs w:val="32"/>
        </w:rPr>
      </w:pPr>
      <w:r>
        <w:rPr>
          <w:rFonts w:hint="eastAsia" w:ascii="宋体" w:hAnsi="宋体" w:cs="仿宋_GB2312"/>
          <w:bCs/>
          <w:sz w:val="32"/>
          <w:szCs w:val="32"/>
        </w:rPr>
        <w:t>首次响应文件提交截止时间前不得解密</w:t>
      </w:r>
    </w:p>
    <w:p>
      <w:pPr>
        <w:snapToGrid w:val="0"/>
        <w:spacing w:before="120" w:beforeLines="50" w:after="50"/>
        <w:ind w:firstLine="5440" w:firstLineChars="1700"/>
        <w:jc w:val="center"/>
        <w:rPr>
          <w:rFonts w:ascii="宋体" w:hAnsi="宋体" w:cs="仿宋_GB2312"/>
          <w:bCs/>
          <w:sz w:val="32"/>
          <w:szCs w:val="32"/>
        </w:rPr>
      </w:pPr>
    </w:p>
    <w:p>
      <w:pPr>
        <w:snapToGrid w:val="0"/>
        <w:spacing w:before="120" w:beforeLines="50" w:after="50"/>
        <w:ind w:firstLine="645"/>
        <w:jc w:val="center"/>
        <w:rPr>
          <w:rFonts w:ascii="宋体" w:hAnsi="宋体" w:cs="仿宋_GB2312"/>
          <w:bCs/>
          <w:sz w:val="32"/>
          <w:szCs w:val="32"/>
        </w:rPr>
      </w:pPr>
      <w:r>
        <w:rPr>
          <w:rFonts w:hint="eastAsia" w:ascii="宋体" w:hAnsi="宋体" w:cs="仿宋_GB2312"/>
          <w:bCs/>
          <w:sz w:val="32"/>
          <w:szCs w:val="32"/>
        </w:rPr>
        <w:t>年    月    日</w:t>
      </w:r>
    </w:p>
    <w:p>
      <w:pPr>
        <w:sectPr>
          <w:pgSz w:w="11910" w:h="16840"/>
          <w:pgMar w:top="1340" w:right="1500" w:bottom="280" w:left="1680" w:header="720" w:footer="720" w:gutter="0"/>
          <w:cols w:space="720" w:num="1"/>
        </w:sectPr>
      </w:pPr>
    </w:p>
    <w:p>
      <w:pPr>
        <w:pStyle w:val="4"/>
        <w:jc w:val="center"/>
        <w:rPr>
          <w:rFonts w:ascii="宋体" w:hAnsi="宋体"/>
          <w:bCs w:val="0"/>
        </w:rPr>
      </w:pPr>
      <w:r>
        <w:rPr>
          <w:rFonts w:hint="eastAsia" w:ascii="宋体" w:hAnsi="宋体"/>
          <w:bCs w:val="0"/>
        </w:rPr>
        <w:t>第二节 资格证明文件格式</w:t>
      </w:r>
    </w:p>
    <w:p>
      <w:pPr>
        <w:snapToGrid w:val="0"/>
        <w:spacing w:before="165" w:beforeLines="50" w:after="50"/>
        <w:rPr>
          <w:rFonts w:ascii="宋体" w:hAnsi="宋体"/>
          <w:bCs/>
          <w:sz w:val="32"/>
          <w:szCs w:val="20"/>
        </w:rPr>
      </w:pPr>
      <w:r>
        <w:rPr>
          <w:rFonts w:hint="eastAsia" w:ascii="宋体" w:hAnsi="宋体"/>
          <w:sz w:val="24"/>
        </w:rPr>
        <w:t xml:space="preserve">                                                    </w:t>
      </w:r>
      <w:r>
        <w:rPr>
          <w:rFonts w:hint="eastAsia" w:ascii="宋体" w:hAnsi="宋体"/>
          <w:bCs/>
        </w:rPr>
        <w:t>全流程电子文件</w:t>
      </w:r>
    </w:p>
    <w:p>
      <w:pPr>
        <w:snapToGrid w:val="0"/>
        <w:spacing w:before="165" w:beforeLines="50" w:after="50"/>
        <w:rPr>
          <w:rFonts w:ascii="宋体" w:hAnsi="宋体"/>
          <w:sz w:val="24"/>
          <w:szCs w:val="20"/>
        </w:rPr>
      </w:pPr>
    </w:p>
    <w:p>
      <w:pPr>
        <w:snapToGrid w:val="0"/>
        <w:spacing w:before="165" w:beforeLines="50" w:after="50"/>
        <w:rPr>
          <w:rFonts w:ascii="宋体" w:hAnsi="宋体"/>
          <w:sz w:val="24"/>
          <w:szCs w:val="20"/>
        </w:rPr>
      </w:pPr>
    </w:p>
    <w:p>
      <w:pPr>
        <w:snapToGrid w:val="0"/>
        <w:spacing w:before="165"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件（封面）</w:t>
      </w:r>
    </w:p>
    <w:p>
      <w:pPr>
        <w:snapToGrid w:val="0"/>
        <w:spacing w:before="165" w:beforeLines="50" w:after="50"/>
        <w:rPr>
          <w:rFonts w:ascii="宋体" w:hAnsi="宋体"/>
          <w:bCs/>
          <w:sz w:val="24"/>
          <w:szCs w:val="20"/>
        </w:rPr>
      </w:pPr>
    </w:p>
    <w:p>
      <w:pPr>
        <w:snapToGrid w:val="0"/>
        <w:spacing w:before="165" w:beforeLines="50" w:after="50"/>
        <w:rPr>
          <w:rFonts w:ascii="宋体" w:hAnsi="宋体"/>
          <w:bCs/>
          <w:sz w:val="24"/>
          <w:szCs w:val="20"/>
        </w:rPr>
      </w:pPr>
    </w:p>
    <w:p>
      <w:pPr>
        <w:snapToGrid w:val="0"/>
        <w:spacing w:before="165" w:beforeLines="50" w:after="50"/>
        <w:rPr>
          <w:rFonts w:ascii="宋体" w:hAnsi="宋体"/>
          <w:bCs/>
          <w:sz w:val="24"/>
          <w:szCs w:val="20"/>
        </w:rPr>
      </w:pPr>
    </w:p>
    <w:p>
      <w:pPr>
        <w:snapToGrid w:val="0"/>
        <w:spacing w:before="165" w:beforeLines="50" w:after="50"/>
        <w:rPr>
          <w:rFonts w:ascii="宋体" w:hAnsi="宋体"/>
          <w:bCs/>
          <w:sz w:val="24"/>
          <w:szCs w:val="20"/>
        </w:rPr>
      </w:pPr>
    </w:p>
    <w:p>
      <w:pPr>
        <w:snapToGrid w:val="0"/>
        <w:spacing w:before="165" w:beforeLines="50" w:after="50"/>
        <w:rPr>
          <w:rFonts w:ascii="宋体" w:hAnsi="宋体"/>
          <w:bCs/>
          <w:sz w:val="24"/>
          <w:szCs w:val="20"/>
        </w:rPr>
      </w:pPr>
    </w:p>
    <w:p>
      <w:pPr>
        <w:snapToGrid w:val="0"/>
        <w:spacing w:before="165" w:beforeLines="50" w:after="50"/>
        <w:ind w:firstLine="640" w:firstLineChars="200"/>
        <w:rPr>
          <w:rFonts w:ascii="宋体" w:hAnsi="宋体" w:cs="仿宋_GB2312"/>
          <w:bCs/>
          <w:sz w:val="32"/>
          <w:szCs w:val="32"/>
        </w:rPr>
      </w:pPr>
      <w:r>
        <w:rPr>
          <w:rFonts w:hint="eastAsia" w:ascii="宋体" w:hAnsi="宋体" w:cs="仿宋_GB2312"/>
          <w:bCs/>
          <w:sz w:val="32"/>
          <w:szCs w:val="32"/>
        </w:rPr>
        <w:t>项目名称：</w:t>
      </w:r>
    </w:p>
    <w:p>
      <w:pPr>
        <w:snapToGrid w:val="0"/>
        <w:spacing w:before="165" w:beforeLines="50" w:after="50"/>
        <w:ind w:firstLine="720" w:firstLineChars="225"/>
        <w:rPr>
          <w:rFonts w:ascii="宋体" w:hAnsi="宋体" w:cs="仿宋_GB2312"/>
          <w:bCs/>
          <w:sz w:val="32"/>
          <w:szCs w:val="32"/>
        </w:rPr>
      </w:pPr>
    </w:p>
    <w:p>
      <w:pPr>
        <w:snapToGrid w:val="0"/>
        <w:spacing w:before="165" w:beforeLines="50" w:after="50"/>
        <w:ind w:firstLine="720" w:firstLineChars="225"/>
        <w:rPr>
          <w:rFonts w:ascii="宋体" w:hAnsi="宋体" w:cs="仿宋_GB2312"/>
          <w:bCs/>
          <w:sz w:val="32"/>
          <w:szCs w:val="32"/>
        </w:rPr>
      </w:pPr>
      <w:r>
        <w:rPr>
          <w:rFonts w:hint="eastAsia" w:ascii="宋体" w:hAnsi="宋体" w:cs="仿宋_GB2312"/>
          <w:bCs/>
          <w:sz w:val="32"/>
          <w:szCs w:val="32"/>
        </w:rPr>
        <w:t>项目编号：</w:t>
      </w:r>
    </w:p>
    <w:p>
      <w:pPr>
        <w:snapToGrid w:val="0"/>
        <w:spacing w:before="165" w:beforeLines="50" w:after="50"/>
        <w:ind w:firstLine="720" w:firstLineChars="225"/>
        <w:rPr>
          <w:rFonts w:ascii="宋体" w:hAnsi="宋体" w:cs="仿宋_GB2312"/>
          <w:bCs/>
          <w:sz w:val="32"/>
          <w:szCs w:val="32"/>
        </w:rPr>
      </w:pPr>
      <w:r>
        <w:rPr>
          <w:rFonts w:hint="eastAsia" w:ascii="宋体" w:hAnsi="宋体" w:cs="仿宋_GB2312"/>
          <w:bCs/>
          <w:sz w:val="32"/>
          <w:szCs w:val="32"/>
        </w:rPr>
        <w:t xml:space="preserve"> </w:t>
      </w:r>
    </w:p>
    <w:p>
      <w:pPr>
        <w:snapToGrid w:val="0"/>
        <w:spacing w:before="165" w:beforeLines="50" w:after="50"/>
        <w:ind w:firstLine="720" w:firstLineChars="225"/>
        <w:rPr>
          <w:rFonts w:ascii="宋体" w:hAnsi="宋体" w:cs="仿宋_GB2312"/>
          <w:bCs/>
          <w:sz w:val="32"/>
          <w:szCs w:val="32"/>
        </w:rPr>
      </w:pPr>
      <w:r>
        <w:rPr>
          <w:rFonts w:hint="eastAsia" w:ascii="宋体" w:hAnsi="宋体" w:cs="仿宋_GB2312"/>
          <w:bCs/>
          <w:sz w:val="32"/>
          <w:szCs w:val="32"/>
        </w:rPr>
        <w:t>所竞分标（如有则填写，无分标时填写“无”或者留空）：</w:t>
      </w:r>
    </w:p>
    <w:p>
      <w:pPr>
        <w:snapToGrid w:val="0"/>
        <w:spacing w:before="165" w:beforeLines="50" w:after="50"/>
        <w:ind w:firstLine="720" w:firstLineChars="225"/>
        <w:rPr>
          <w:rFonts w:ascii="宋体" w:hAnsi="宋体" w:cs="仿宋_GB2312"/>
          <w:bCs/>
          <w:sz w:val="32"/>
          <w:szCs w:val="32"/>
        </w:rPr>
      </w:pPr>
    </w:p>
    <w:p>
      <w:pPr>
        <w:pStyle w:val="8"/>
        <w:snapToGrid w:val="0"/>
        <w:spacing w:before="50" w:after="50"/>
        <w:ind w:firstLine="720" w:firstLineChars="225"/>
        <w:rPr>
          <w:rFonts w:ascii="宋体" w:hAnsi="宋体" w:cs="仿宋_GB2312"/>
          <w:bCs/>
          <w:sz w:val="32"/>
          <w:szCs w:val="32"/>
        </w:rPr>
      </w:pPr>
      <w:r>
        <w:rPr>
          <w:rFonts w:hint="eastAsia" w:ascii="宋体" w:hAnsi="宋体" w:cs="仿宋_GB2312"/>
          <w:bCs/>
          <w:sz w:val="32"/>
          <w:szCs w:val="32"/>
        </w:rPr>
        <w:t>供应商名称：</w:t>
      </w:r>
    </w:p>
    <w:p>
      <w:pPr>
        <w:pStyle w:val="8"/>
        <w:snapToGrid w:val="0"/>
        <w:spacing w:before="50" w:after="50"/>
        <w:ind w:firstLine="720" w:firstLineChars="225"/>
        <w:rPr>
          <w:rFonts w:ascii="宋体" w:hAnsi="宋体" w:cs="仿宋_GB2312"/>
          <w:bCs/>
          <w:sz w:val="32"/>
          <w:szCs w:val="32"/>
        </w:rPr>
      </w:pPr>
    </w:p>
    <w:p>
      <w:pPr>
        <w:pStyle w:val="8"/>
        <w:snapToGrid w:val="0"/>
        <w:spacing w:before="50" w:after="50"/>
        <w:ind w:firstLine="720" w:firstLineChars="225"/>
        <w:rPr>
          <w:rFonts w:ascii="宋体" w:hAnsi="宋体" w:cs="仿宋_GB2312"/>
          <w:bCs/>
          <w:sz w:val="32"/>
          <w:szCs w:val="32"/>
        </w:rPr>
      </w:pPr>
    </w:p>
    <w:p>
      <w:pPr>
        <w:pStyle w:val="8"/>
        <w:snapToGrid w:val="0"/>
        <w:spacing w:before="50" w:after="50"/>
        <w:ind w:firstLine="720" w:firstLineChars="225"/>
        <w:rPr>
          <w:rFonts w:ascii="宋体" w:hAnsi="宋体" w:cs="仿宋_GB2312"/>
          <w:bCs/>
          <w:sz w:val="32"/>
          <w:szCs w:val="32"/>
        </w:rPr>
      </w:pPr>
    </w:p>
    <w:p>
      <w:pPr>
        <w:pStyle w:val="8"/>
        <w:snapToGrid w:val="0"/>
        <w:spacing w:before="50" w:after="50"/>
        <w:ind w:firstLine="1280" w:firstLineChars="400"/>
        <w:rPr>
          <w:rFonts w:ascii="宋体" w:hAnsi="宋体" w:cs="仿宋_GB2312"/>
          <w:bCs/>
          <w:sz w:val="32"/>
          <w:szCs w:val="32"/>
        </w:rPr>
      </w:pPr>
    </w:p>
    <w:p>
      <w:pPr>
        <w:snapToGrid w:val="0"/>
        <w:spacing w:before="165" w:beforeLines="50" w:after="50"/>
        <w:jc w:val="center"/>
        <w:rPr>
          <w:rFonts w:ascii="宋体" w:hAnsi="宋体" w:cs="仿宋_GB2312"/>
          <w:sz w:val="32"/>
          <w:szCs w:val="32"/>
        </w:rPr>
      </w:pPr>
      <w:r>
        <w:rPr>
          <w:rFonts w:hint="eastAsia" w:ascii="宋体" w:hAnsi="宋体" w:cs="仿宋_GB2312"/>
          <w:sz w:val="32"/>
          <w:szCs w:val="32"/>
        </w:rPr>
        <w:t>年    月    日</w:t>
      </w:r>
    </w:p>
    <w:p>
      <w:pPr>
        <w:pStyle w:val="21"/>
        <w:spacing w:line="360" w:lineRule="auto"/>
        <w:ind w:firstLine="0" w:firstLineChars="0"/>
        <w:rPr>
          <w:sz w:val="21"/>
          <w:szCs w:val="21"/>
        </w:rPr>
      </w:pPr>
      <w:r>
        <w:rPr>
          <w:rFonts w:ascii="宋体" w:hAnsi="宋体"/>
          <w:sz w:val="24"/>
        </w:rPr>
        <w:br w:type="page"/>
      </w:r>
    </w:p>
    <w:p>
      <w:pPr>
        <w:snapToGrid w:val="0"/>
        <w:spacing w:before="165" w:beforeLines="50" w:after="50"/>
        <w:jc w:val="left"/>
        <w:rPr>
          <w:rFonts w:ascii="宋体" w:hAnsi="宋体"/>
          <w:b/>
          <w:sz w:val="32"/>
          <w:szCs w:val="32"/>
        </w:rPr>
      </w:pPr>
    </w:p>
    <w:p>
      <w:pPr>
        <w:snapToGrid w:val="0"/>
        <w:spacing w:before="165" w:beforeLines="50" w:after="50"/>
        <w:jc w:val="center"/>
        <w:rPr>
          <w:rFonts w:ascii="宋体" w:hAnsi="宋体"/>
          <w:b/>
          <w:bCs/>
          <w:sz w:val="32"/>
          <w:szCs w:val="32"/>
        </w:rPr>
      </w:pPr>
      <w:r>
        <w:rPr>
          <w:rFonts w:hint="eastAsia" w:ascii="宋体" w:hAnsi="宋体"/>
          <w:b/>
          <w:bCs/>
          <w:sz w:val="32"/>
          <w:szCs w:val="32"/>
        </w:rPr>
        <w:t>资格证明文件目录</w:t>
      </w:r>
    </w:p>
    <w:p>
      <w:pPr>
        <w:pStyle w:val="61"/>
        <w:rPr>
          <w:color w:val="auto"/>
        </w:rPr>
      </w:pPr>
    </w:p>
    <w:p>
      <w:pPr>
        <w:spacing w:line="360" w:lineRule="auto"/>
        <w:jc w:val="distribute"/>
        <w:rPr>
          <w:rFonts w:ascii="宋体" w:hAnsi="宋体"/>
          <w:spacing w:val="2"/>
        </w:rPr>
      </w:pPr>
      <w:r>
        <w:rPr>
          <w:rFonts w:hint="eastAsia" w:ascii="宋体" w:hAnsi="宋体"/>
          <w:spacing w:val="2"/>
        </w:rPr>
        <w:t>一、</w:t>
      </w:r>
      <w:r>
        <w:rPr>
          <w:rFonts w:hint="eastAsia" w:asciiTheme="minorEastAsia" w:hAnsiTheme="minorEastAsia" w:eastAsiaTheme="minorEastAsia" w:cstheme="minorEastAsia"/>
        </w:rPr>
        <w:t>供应商为法人或者其他组织的提供其营业执照等证明文件（如营业执照或者事业单位法人证书或者执业许可证等），供应商为自然人的提供其身份证复印件</w:t>
      </w:r>
      <w:r>
        <w:rPr>
          <w:rFonts w:hint="eastAsia" w:ascii="宋体" w:hAnsi="宋体"/>
          <w:spacing w:val="2"/>
        </w:rPr>
        <w:t>………………………………………………（页码）</w:t>
      </w:r>
    </w:p>
    <w:p>
      <w:pPr>
        <w:spacing w:line="360" w:lineRule="auto"/>
        <w:jc w:val="distribute"/>
        <w:rPr>
          <w:rFonts w:ascii="宋体" w:hAnsi="宋体"/>
          <w:spacing w:val="2"/>
        </w:rPr>
      </w:pPr>
      <w:r>
        <w:rPr>
          <w:rFonts w:hint="eastAsia" w:ascii="宋体" w:hAnsi="宋体"/>
          <w:spacing w:val="2"/>
        </w:rPr>
        <w:t>二、有效的资质证书、安全生产许可证复印件</w:t>
      </w:r>
      <w:r>
        <w:rPr>
          <w:rFonts w:ascii="宋体" w:hAnsi="宋体"/>
          <w:spacing w:val="2"/>
        </w:rPr>
        <w:t>…………………………………………………………</w:t>
      </w:r>
      <w:r>
        <w:rPr>
          <w:rFonts w:hint="eastAsia" w:ascii="宋体" w:hAnsi="宋体"/>
          <w:spacing w:val="2"/>
        </w:rPr>
        <w:t>（页码）</w:t>
      </w:r>
    </w:p>
    <w:p>
      <w:pPr>
        <w:autoSpaceDE w:val="0"/>
        <w:autoSpaceDN w:val="0"/>
        <w:adjustRightInd w:val="0"/>
        <w:spacing w:line="360" w:lineRule="auto"/>
        <w:jc w:val="left"/>
        <w:rPr>
          <w:rFonts w:asciiTheme="minorEastAsia" w:hAnsiTheme="minorEastAsia" w:eastAsiaTheme="minorEastAsia" w:cstheme="minorEastAsia"/>
        </w:rPr>
      </w:pPr>
      <w:r>
        <w:rPr>
          <w:rFonts w:hint="eastAsia" w:ascii="宋体" w:hAnsi="宋体" w:cs="宋体"/>
          <w:kern w:val="0"/>
        </w:rPr>
        <w:t>三、</w:t>
      </w:r>
      <w:r>
        <w:rPr>
          <w:rFonts w:hint="eastAsia" w:asciiTheme="minorEastAsia" w:hAnsiTheme="minorEastAsia" w:eastAsiaTheme="minorEastAsia" w:cstheme="minorEastAsia"/>
        </w:rPr>
        <w:t>项目经理:有效的注册建造师资质证书、安全生产考核合格证书（B类）复印件</w:t>
      </w:r>
      <w:r>
        <w:rPr>
          <w:rFonts w:ascii="宋体" w:hAnsi="宋体"/>
          <w:spacing w:val="2"/>
        </w:rPr>
        <w:t>………………</w:t>
      </w:r>
      <w:r>
        <w:rPr>
          <w:rFonts w:hint="eastAsia" w:ascii="宋体" w:hAnsi="宋体"/>
          <w:spacing w:val="2"/>
        </w:rPr>
        <w:t>（页码）</w:t>
      </w:r>
    </w:p>
    <w:p>
      <w:pPr>
        <w:autoSpaceDE w:val="0"/>
        <w:autoSpaceDN w:val="0"/>
        <w:adjustRightInd w:val="0"/>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四、技术负责人：提供与本项目相关专业的工程师及以上职称证书复印件</w:t>
      </w:r>
      <w:r>
        <w:rPr>
          <w:rFonts w:ascii="宋体" w:hAnsi="宋体"/>
          <w:spacing w:val="2"/>
        </w:rPr>
        <w:t>…………………………</w:t>
      </w:r>
      <w:r>
        <w:rPr>
          <w:rFonts w:hint="eastAsia" w:ascii="宋体" w:hAnsi="宋体"/>
          <w:spacing w:val="2"/>
        </w:rPr>
        <w:t>（页码）</w:t>
      </w:r>
    </w:p>
    <w:p>
      <w:pPr>
        <w:autoSpaceDE w:val="0"/>
        <w:autoSpaceDN w:val="0"/>
        <w:adjustRightInd w:val="0"/>
        <w:spacing w:line="360" w:lineRule="auto"/>
        <w:jc w:val="left"/>
        <w:rPr>
          <w:rFonts w:hAnsi="宋体"/>
          <w:spacing w:val="2"/>
        </w:rPr>
      </w:pPr>
      <w:r>
        <w:rPr>
          <w:rFonts w:hint="eastAsia" w:asciiTheme="minorEastAsia" w:hAnsiTheme="minorEastAsia" w:eastAsiaTheme="minorEastAsia" w:cstheme="minorEastAsia"/>
        </w:rPr>
        <w:t>五、专职安全生产管理人员：有效的安全员证书及安全生产考核合格证书(C类)复印件</w:t>
      </w:r>
      <w:r>
        <w:rPr>
          <w:rFonts w:ascii="宋体" w:hAnsi="宋体"/>
          <w:spacing w:val="2"/>
        </w:rPr>
        <w:t>…………</w:t>
      </w:r>
      <w:r>
        <w:rPr>
          <w:rFonts w:hint="eastAsia" w:ascii="宋体" w:hAnsi="宋体"/>
          <w:spacing w:val="2"/>
        </w:rPr>
        <w:t>（页码）</w:t>
      </w:r>
    </w:p>
    <w:p>
      <w:pPr>
        <w:autoSpaceDE w:val="0"/>
        <w:autoSpaceDN w:val="0"/>
        <w:adjustRightInd w:val="0"/>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六、施工员、质量员、材料员：提供施工现场专业人员职业培训合格证书复印件</w:t>
      </w:r>
      <w:r>
        <w:rPr>
          <w:rFonts w:ascii="宋体" w:hAnsi="宋体"/>
          <w:spacing w:val="2"/>
        </w:rPr>
        <w:t>…………………</w:t>
      </w:r>
      <w:r>
        <w:rPr>
          <w:rFonts w:hint="eastAsia" w:ascii="宋体" w:hAnsi="宋体"/>
          <w:spacing w:val="2"/>
        </w:rPr>
        <w:t>（页码）</w:t>
      </w:r>
    </w:p>
    <w:p>
      <w:pPr>
        <w:spacing w:line="360" w:lineRule="auto"/>
        <w:jc w:val="distribute"/>
        <w:rPr>
          <w:rFonts w:ascii="宋体" w:hAnsi="宋体"/>
          <w:spacing w:val="2"/>
        </w:rPr>
      </w:pPr>
      <w:r>
        <w:rPr>
          <w:rFonts w:hint="eastAsia" w:ascii="宋体" w:hAnsi="宋体"/>
          <w:spacing w:val="2"/>
        </w:rPr>
        <w:t>七、</w:t>
      </w:r>
      <w:r>
        <w:rPr>
          <w:rFonts w:hint="eastAsia" w:ascii="宋体" w:hAnsi="宋体" w:cs="宋体"/>
        </w:rPr>
        <w:t>投标人依法缴纳税收的相关材料（开标截止之日起半年内任意连续1个月的依法缴纳税收的凭据复印件；依法免税的供应商，必须提供相应文件证明其依法免税。从成立之日起到投标文件提交截止时间止不足要求月数的，只需提供从成立之日起的依法缴纳税收相应证明文件）</w:t>
      </w:r>
      <w:r>
        <w:rPr>
          <w:rFonts w:ascii="宋体" w:hAnsi="宋体"/>
          <w:spacing w:val="2"/>
        </w:rPr>
        <w:t>…………</w:t>
      </w:r>
      <w:r>
        <w:rPr>
          <w:rFonts w:hint="eastAsia" w:ascii="宋体" w:hAnsi="宋体"/>
          <w:spacing w:val="2"/>
        </w:rPr>
        <w:t>（页码）</w:t>
      </w:r>
    </w:p>
    <w:p>
      <w:pPr>
        <w:spacing w:line="360" w:lineRule="auto"/>
        <w:jc w:val="distribute"/>
        <w:rPr>
          <w:rFonts w:ascii="宋体" w:hAnsi="宋体" w:cs="宋体"/>
        </w:rPr>
      </w:pPr>
      <w:r>
        <w:rPr>
          <w:rFonts w:hint="eastAsia" w:ascii="宋体" w:hAnsi="宋体" w:cs="宋体"/>
        </w:rPr>
        <w:t>八、投标人依法缴纳社会保障资金的相关材料[开标截止之日起半年内任意连续1个月的依法缴纳社会保障资金的缴费凭证（专用收据或者社会保险缴纳清单）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ascii="宋体" w:hAnsi="宋体"/>
          <w:spacing w:val="2"/>
        </w:rPr>
        <w:t>…………</w:t>
      </w:r>
      <w:r>
        <w:rPr>
          <w:rFonts w:hint="eastAsia" w:ascii="宋体" w:hAnsi="宋体"/>
          <w:spacing w:val="2"/>
        </w:rPr>
        <w:t>（页码）</w:t>
      </w:r>
    </w:p>
    <w:p>
      <w:pPr>
        <w:spacing w:line="360" w:lineRule="auto"/>
        <w:jc w:val="distribute"/>
        <w:rPr>
          <w:rFonts w:ascii="宋体" w:hAnsi="宋体" w:cs="宋体"/>
          <w:spacing w:val="2"/>
        </w:rPr>
      </w:pPr>
      <w:r>
        <w:rPr>
          <w:rFonts w:hint="eastAsia" w:ascii="宋体" w:hAnsi="宋体" w:cs="宋体"/>
        </w:rPr>
        <w:t>九、投标人财务状况报告（2022 年度财务报表复印件或者银行出具的资信证明；投标人属于成立时间在规定年度之后的法人或其他组织，需提供成立之日起至投标截止时间前的月报表或银行出具的资信证明；资信证明应在有效期内，未注明有效期的，银行出具时间至投标截止时间不超过一年）</w:t>
      </w:r>
      <w:r>
        <w:rPr>
          <w:rFonts w:ascii="宋体" w:hAnsi="宋体"/>
          <w:spacing w:val="2"/>
        </w:rPr>
        <w:t>…………</w:t>
      </w:r>
      <w:r>
        <w:rPr>
          <w:rFonts w:hint="eastAsia" w:ascii="宋体" w:hAnsi="宋体"/>
          <w:spacing w:val="2"/>
        </w:rPr>
        <w:t>（页码）</w:t>
      </w:r>
    </w:p>
    <w:p>
      <w:pPr>
        <w:spacing w:line="360" w:lineRule="auto"/>
        <w:jc w:val="left"/>
        <w:rPr>
          <w:rFonts w:ascii="宋体" w:hAnsi="宋体"/>
          <w:spacing w:val="2"/>
        </w:rPr>
      </w:pPr>
      <w:r>
        <w:rPr>
          <w:rFonts w:hint="eastAsia" w:asciiTheme="minorEastAsia" w:hAnsiTheme="minorEastAsia" w:eastAsiaTheme="minorEastAsia" w:cstheme="minorEastAsia"/>
        </w:rPr>
        <w:t>十、供应商应为中小微企业或监狱企业或残疾人福利性单位</w:t>
      </w:r>
    </w:p>
    <w:p>
      <w:pPr>
        <w:pStyle w:val="18"/>
        <w:spacing w:line="360" w:lineRule="auto"/>
        <w:ind w:firstLine="210" w:firstLineChars="100"/>
        <w:rPr>
          <w:rFonts w:ascii="宋体" w:hAnsi="宋体" w:cs="宋体"/>
        </w:rPr>
      </w:pPr>
      <w:r>
        <w:rPr>
          <w:rFonts w:hint="eastAsia" w:ascii="宋体" w:hAnsi="宋体" w:cs="宋体"/>
        </w:rPr>
        <w:t>1、《中小企业声明函》</w:t>
      </w:r>
      <w:r>
        <w:rPr>
          <w:rFonts w:hint="eastAsia" w:ascii="宋体" w:hAnsi="宋体" w:cs="宋体"/>
          <w:spacing w:val="2"/>
        </w:rPr>
        <w:t>………………………………………………………</w:t>
      </w:r>
      <w:r>
        <w:rPr>
          <w:rFonts w:ascii="宋体" w:hAnsi="宋体"/>
          <w:spacing w:val="2"/>
        </w:rPr>
        <w:t>……………</w:t>
      </w:r>
      <w:r>
        <w:rPr>
          <w:rFonts w:hint="eastAsia" w:ascii="宋体" w:hAnsi="宋体" w:cs="宋体"/>
          <w:spacing w:val="2"/>
        </w:rPr>
        <w:t>……………（页码）</w:t>
      </w:r>
    </w:p>
    <w:p>
      <w:pPr>
        <w:pStyle w:val="18"/>
        <w:spacing w:line="360" w:lineRule="auto"/>
        <w:ind w:firstLine="210" w:firstLineChars="100"/>
        <w:rPr>
          <w:rFonts w:ascii="宋体" w:hAnsi="宋体" w:cs="宋体"/>
        </w:rPr>
      </w:pPr>
      <w:r>
        <w:rPr>
          <w:rFonts w:hint="eastAsia" w:ascii="宋体" w:hAnsi="宋体" w:cs="宋体"/>
        </w:rPr>
        <w:t>2、供应商属于监狱企业的，应当提供由省级以上监狱管理局、戒毒管理局等（含新疆生产建设兵团）出具的属于监狱企业的证明文件</w:t>
      </w:r>
      <w:r>
        <w:rPr>
          <w:rFonts w:hint="eastAsia" w:ascii="宋体" w:hAnsi="宋体" w:cs="宋体"/>
          <w:spacing w:val="2"/>
        </w:rPr>
        <w:t>………………………………………………</w:t>
      </w:r>
      <w:r>
        <w:rPr>
          <w:rFonts w:ascii="宋体" w:hAnsi="宋体"/>
          <w:spacing w:val="2"/>
        </w:rPr>
        <w:t>………………………</w:t>
      </w:r>
      <w:r>
        <w:rPr>
          <w:rFonts w:hint="eastAsia" w:ascii="宋体" w:hAnsi="宋体" w:cs="宋体"/>
          <w:spacing w:val="2"/>
        </w:rPr>
        <w:t>…（页码）</w:t>
      </w:r>
    </w:p>
    <w:p>
      <w:pPr>
        <w:pStyle w:val="18"/>
        <w:spacing w:line="360" w:lineRule="auto"/>
        <w:ind w:firstLine="210" w:firstLineChars="100"/>
        <w:rPr>
          <w:rFonts w:asciiTheme="minorEastAsia" w:hAnsiTheme="minorEastAsia" w:eastAsiaTheme="minorEastAsia" w:cstheme="minorEastAsia"/>
        </w:rPr>
      </w:pPr>
      <w:r>
        <w:rPr>
          <w:rFonts w:hint="eastAsia" w:ascii="宋体" w:hAnsi="宋体" w:cs="宋体"/>
        </w:rPr>
        <w:t>3、</w:t>
      </w:r>
      <w:r>
        <w:rPr>
          <w:rFonts w:hint="eastAsia" w:asciiTheme="minorEastAsia" w:hAnsiTheme="minorEastAsia" w:eastAsiaTheme="minorEastAsia" w:cstheme="minorEastAsia"/>
        </w:rPr>
        <w:t>符合条件的残疾人福利性单位在参加政府采购活动时，应当提供《残疾人福利性单位声明函》</w:t>
      </w:r>
      <w:r>
        <w:rPr>
          <w:rFonts w:ascii="宋体" w:hAnsi="宋体"/>
          <w:spacing w:val="2"/>
        </w:rPr>
        <w:t>…………………………………………………………………………………………………………</w:t>
      </w:r>
      <w:r>
        <w:rPr>
          <w:rFonts w:hint="eastAsia" w:ascii="宋体" w:hAnsi="宋体"/>
          <w:spacing w:val="2"/>
        </w:rPr>
        <w:t>（页码）</w:t>
      </w:r>
    </w:p>
    <w:p>
      <w:pPr>
        <w:spacing w:line="360" w:lineRule="auto"/>
        <w:rPr>
          <w:rFonts w:ascii="仿宋_GB2312" w:hAnsi="仿宋_GB2312" w:eastAsia="仿宋_GB2312" w:cs="仿宋_GB2312"/>
          <w:b/>
          <w:bCs/>
          <w:sz w:val="24"/>
        </w:rPr>
      </w:pPr>
    </w:p>
    <w:p>
      <w:pPr>
        <w:spacing w:line="360" w:lineRule="auto"/>
        <w:rPr>
          <w:rFonts w:ascii="仿宋_GB2312" w:hAnsi="仿宋_GB2312" w:eastAsia="仿宋_GB2312" w:cs="仿宋_GB2312"/>
          <w:b/>
          <w:bCs/>
          <w:sz w:val="24"/>
        </w:rPr>
      </w:pPr>
    </w:p>
    <w:p>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注：以上目录是编制供应商响应文件的基本格式要求，各供应商可根据自身情况进一步细化。</w:t>
      </w:r>
    </w:p>
    <w:p>
      <w:pPr>
        <w:pStyle w:val="26"/>
        <w:spacing w:line="360" w:lineRule="auto"/>
        <w:ind w:firstLine="40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pStyle w:val="26"/>
        <w:spacing w:line="360" w:lineRule="auto"/>
        <w:ind w:firstLine="400" w:firstLineChars="200"/>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sz w:val="30"/>
          <w:szCs w:val="30"/>
        </w:rPr>
        <w:t>一、供应商为法人或者其他组织的提供其营业执照等证明文件（如营业执照或者事业单位法人证书或者执业许可证等），供应商为自然人的提供其身份证复印件</w:t>
      </w:r>
    </w:p>
    <w:p>
      <w:pPr>
        <w:pStyle w:val="26"/>
        <w:spacing w:line="360" w:lineRule="auto"/>
        <w:ind w:firstLine="602" w:firstLineChars="200"/>
        <w:rPr>
          <w:rFonts w:asciiTheme="minorEastAsia" w:hAnsiTheme="minorEastAsia" w:eastAsiaTheme="minorEastAsia" w:cstheme="minorEastAsia"/>
          <w:b/>
          <w:sz w:val="30"/>
          <w:szCs w:val="30"/>
        </w:rPr>
      </w:pPr>
    </w:p>
    <w:p>
      <w:pPr>
        <w:autoSpaceDE w:val="0"/>
        <w:autoSpaceDN w:val="0"/>
        <w:spacing w:line="360" w:lineRule="auto"/>
        <w:ind w:left="4365" w:leftChars="1850" w:hanging="480" w:hangingChars="200"/>
        <w:rPr>
          <w:rFonts w:asciiTheme="minorEastAsia" w:hAnsiTheme="minorEastAsia" w:eastAsiaTheme="minorEastAsia" w:cstheme="minorEastAsia"/>
          <w:kern w:val="0"/>
          <w:sz w:val="24"/>
        </w:rPr>
      </w:pPr>
    </w:p>
    <w:p>
      <w:pPr>
        <w:autoSpaceDE w:val="0"/>
        <w:autoSpaceDN w:val="0"/>
        <w:spacing w:line="360" w:lineRule="auto"/>
        <w:ind w:left="4365" w:leftChars="1850" w:hanging="480" w:hangingChars="200"/>
        <w:rPr>
          <w:rFonts w:asciiTheme="minorEastAsia" w:hAnsiTheme="minorEastAsia" w:eastAsiaTheme="minorEastAsia" w:cstheme="minorEastAsia"/>
          <w:kern w:val="0"/>
          <w:sz w:val="24"/>
        </w:rPr>
      </w:pPr>
    </w:p>
    <w:p>
      <w:pPr>
        <w:autoSpaceDE w:val="0"/>
        <w:autoSpaceDN w:val="0"/>
        <w:spacing w:line="360" w:lineRule="auto"/>
        <w:ind w:left="4365" w:leftChars="1850" w:hanging="480" w:hangingChars="200"/>
        <w:rPr>
          <w:rFonts w:asciiTheme="minorEastAsia" w:hAnsiTheme="minorEastAsia" w:eastAsiaTheme="minorEastAsia" w:cstheme="minorEastAsia"/>
          <w:kern w:val="0"/>
          <w:sz w:val="24"/>
        </w:rPr>
      </w:pPr>
    </w:p>
    <w:p>
      <w:pPr>
        <w:autoSpaceDE w:val="0"/>
        <w:autoSpaceDN w:val="0"/>
        <w:spacing w:line="360" w:lineRule="auto"/>
        <w:ind w:left="4365" w:leftChars="1850" w:hanging="480" w:hangingChars="200"/>
        <w:rPr>
          <w:rFonts w:asciiTheme="minorEastAsia" w:hAnsiTheme="minorEastAsia" w:eastAsiaTheme="minorEastAsia" w:cstheme="minorEastAsia"/>
          <w:kern w:val="0"/>
          <w:sz w:val="24"/>
        </w:rPr>
      </w:pPr>
    </w:p>
    <w:p>
      <w:pPr>
        <w:autoSpaceDE w:val="0"/>
        <w:autoSpaceDN w:val="0"/>
        <w:spacing w:line="360" w:lineRule="auto"/>
        <w:ind w:left="4365" w:leftChars="1850" w:hanging="480" w:hangingChars="200"/>
        <w:rPr>
          <w:rFonts w:asciiTheme="minorEastAsia" w:hAnsiTheme="minorEastAsia" w:eastAsiaTheme="minorEastAsia" w:cstheme="minorEastAsia"/>
          <w:kern w:val="0"/>
          <w:sz w:val="24"/>
        </w:rPr>
      </w:pPr>
    </w:p>
    <w:p>
      <w:pPr>
        <w:autoSpaceDE w:val="0"/>
        <w:autoSpaceDN w:val="0"/>
        <w:spacing w:line="360" w:lineRule="auto"/>
        <w:ind w:left="4365" w:leftChars="1850" w:hanging="480" w:hanging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供应商名称（电子签章）：</w:t>
      </w:r>
    </w:p>
    <w:p>
      <w:pPr>
        <w:pStyle w:val="21"/>
        <w:ind w:firstLine="240"/>
        <w:jc w:val="right"/>
        <w:rPr>
          <w:rFonts w:asciiTheme="minorEastAsia" w:hAnsiTheme="minorEastAsia" w:eastAsiaTheme="minorEastAsia" w:cstheme="minorEastAsia"/>
        </w:rPr>
      </w:pPr>
      <w:r>
        <w:rPr>
          <w:rFonts w:hint="eastAsia" w:asciiTheme="minorEastAsia" w:hAnsiTheme="minorEastAsia" w:eastAsiaTheme="minorEastAsia" w:cstheme="minorEastAsia"/>
          <w:b w:val="0"/>
          <w:bCs w:val="0"/>
          <w:sz w:val="24"/>
          <w:lang w:val="zh-CN"/>
        </w:rPr>
        <w:t>日期：  年  月</w:t>
      </w:r>
      <w:r>
        <w:rPr>
          <w:rFonts w:hint="eastAsia" w:asciiTheme="minorEastAsia" w:hAnsiTheme="minorEastAsia" w:eastAsiaTheme="minorEastAsia" w:cstheme="minorEastAsia"/>
          <w:sz w:val="24"/>
          <w:lang w:val="zh-CN"/>
        </w:rPr>
        <w:t xml:space="preserve"> </w:t>
      </w:r>
      <w:r>
        <w:rPr>
          <w:rFonts w:hint="eastAsia" w:asciiTheme="minorEastAsia" w:hAnsiTheme="minorEastAsia" w:eastAsiaTheme="minorEastAsia" w:cstheme="minorEastAsia"/>
          <w:b w:val="0"/>
          <w:bCs w:val="0"/>
          <w:sz w:val="24"/>
          <w:lang w:val="zh-CN"/>
        </w:rPr>
        <w:t xml:space="preserve">  日</w:t>
      </w:r>
    </w:p>
    <w:p>
      <w:pPr>
        <w:snapToGrid w:val="0"/>
        <w:spacing w:before="50" w:after="165" w:afterLines="50" w:line="440" w:lineRule="exact"/>
        <w:jc w:val="center"/>
        <w:rPr>
          <w:rFonts w:asciiTheme="minorEastAsia" w:hAnsiTheme="minorEastAsia" w:eastAsiaTheme="minorEastAsia" w:cstheme="minorEastAsia"/>
          <w:b/>
          <w:sz w:val="44"/>
          <w:szCs w:val="44"/>
        </w:rPr>
      </w:pPr>
    </w:p>
    <w:p>
      <w:pPr>
        <w:pStyle w:val="6"/>
        <w:rPr>
          <w:rFonts w:asciiTheme="minorEastAsia" w:hAnsiTheme="minorEastAsia" w:eastAsiaTheme="minorEastAsia" w:cstheme="minorEastAsia"/>
          <w:sz w:val="44"/>
          <w:szCs w:val="44"/>
        </w:rPr>
      </w:pPr>
    </w:p>
    <w:p>
      <w:pPr>
        <w:rPr>
          <w:rFonts w:asciiTheme="minorEastAsia" w:hAnsiTheme="minorEastAsia" w:eastAsiaTheme="minorEastAsia" w:cstheme="minorEastAsia"/>
          <w:b/>
          <w:sz w:val="44"/>
          <w:szCs w:val="44"/>
        </w:rPr>
      </w:pPr>
    </w:p>
    <w:p>
      <w:pPr>
        <w:pStyle w:val="6"/>
      </w:pPr>
    </w:p>
    <w:p>
      <w:pPr>
        <w:numPr>
          <w:ilvl w:val="0"/>
          <w:numId w:val="10"/>
        </w:numP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有效的资质证书、安全生产许可证复印件</w:t>
      </w:r>
    </w:p>
    <w:p>
      <w:pPr>
        <w:pStyle w:val="6"/>
      </w:pPr>
    </w:p>
    <w:p>
      <w:pPr>
        <w:pStyle w:val="26"/>
        <w:spacing w:line="360" w:lineRule="auto"/>
        <w:ind w:firstLine="602" w:firstLineChars="200"/>
        <w:rPr>
          <w:rFonts w:asciiTheme="minorEastAsia" w:hAnsiTheme="minorEastAsia" w:eastAsiaTheme="minorEastAsia" w:cstheme="minorEastAsia"/>
          <w:b/>
          <w:sz w:val="30"/>
          <w:szCs w:val="30"/>
        </w:rPr>
      </w:pPr>
    </w:p>
    <w:p>
      <w:pPr>
        <w:rPr>
          <w:rFonts w:asciiTheme="minorEastAsia" w:hAnsiTheme="minorEastAsia" w:eastAsiaTheme="minorEastAsia" w:cstheme="minorEastAsia"/>
          <w:b/>
          <w:sz w:val="30"/>
          <w:szCs w:val="30"/>
        </w:rPr>
      </w:pPr>
    </w:p>
    <w:p>
      <w:pPr>
        <w:pStyle w:val="61"/>
        <w:rPr>
          <w:color w:val="auto"/>
        </w:rPr>
      </w:pPr>
    </w:p>
    <w:p>
      <w:pPr>
        <w:autoSpaceDE w:val="0"/>
        <w:autoSpaceDN w:val="0"/>
        <w:spacing w:line="360" w:lineRule="auto"/>
        <w:ind w:left="4365" w:leftChars="1850" w:hanging="480" w:hanging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供应商名称（电子签章）：</w:t>
      </w:r>
    </w:p>
    <w:p>
      <w:pPr>
        <w:jc w:val="right"/>
      </w:pPr>
      <w:r>
        <w:rPr>
          <w:rFonts w:hint="eastAsia" w:asciiTheme="minorEastAsia" w:hAnsiTheme="minorEastAsia" w:eastAsiaTheme="minorEastAsia" w:cstheme="minorEastAsia"/>
          <w:kern w:val="0"/>
          <w:sz w:val="24"/>
          <w:lang w:val="zh-CN"/>
        </w:rPr>
        <w:t>日期：  年  月   日</w:t>
      </w:r>
    </w:p>
    <w:p>
      <w:pPr>
        <w:pStyle w:val="6"/>
      </w:pPr>
    </w:p>
    <w:p/>
    <w:p>
      <w:pPr>
        <w:pStyle w:val="61"/>
        <w:rPr>
          <w:color w:val="auto"/>
        </w:rPr>
      </w:pPr>
    </w:p>
    <w:p/>
    <w:p/>
    <w:p>
      <w:pPr>
        <w:pStyle w:val="21"/>
        <w:ind w:firstLine="301"/>
        <w:jc w:val="lef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kern w:val="2"/>
          <w:sz w:val="30"/>
          <w:szCs w:val="30"/>
        </w:rPr>
        <w:t>三、</w:t>
      </w:r>
      <w:r>
        <w:rPr>
          <w:rFonts w:hint="eastAsia" w:asciiTheme="minorEastAsia" w:hAnsiTheme="minorEastAsia" w:eastAsiaTheme="minorEastAsia" w:cstheme="minorEastAsia"/>
          <w:sz w:val="30"/>
          <w:szCs w:val="30"/>
        </w:rPr>
        <w:t>项目经理:有效的注册建造师资质证书、安全生产考核合格证书（B类）复印件；</w:t>
      </w:r>
    </w:p>
    <w:p>
      <w:pPr>
        <w:pStyle w:val="21"/>
        <w:ind w:firstLine="602" w:firstLineChars="200"/>
        <w:rPr>
          <w:rFonts w:asciiTheme="minorEastAsia" w:hAnsiTheme="minorEastAsia" w:eastAsiaTheme="minorEastAsia" w:cstheme="minorEastAsia"/>
          <w:sz w:val="30"/>
          <w:szCs w:val="30"/>
        </w:rPr>
      </w:pPr>
    </w:p>
    <w:p>
      <w:pPr>
        <w:autoSpaceDE w:val="0"/>
        <w:autoSpaceDN w:val="0"/>
        <w:spacing w:line="360" w:lineRule="auto"/>
        <w:ind w:left="4365" w:leftChars="1850" w:hanging="480" w:hangingChars="200"/>
        <w:rPr>
          <w:rFonts w:asciiTheme="minorEastAsia" w:hAnsiTheme="minorEastAsia" w:eastAsiaTheme="minorEastAsia" w:cstheme="minorEastAsia"/>
          <w:kern w:val="0"/>
          <w:sz w:val="24"/>
        </w:rPr>
      </w:pPr>
    </w:p>
    <w:p>
      <w:pPr>
        <w:pStyle w:val="61"/>
        <w:rPr>
          <w:color w:val="auto"/>
        </w:rPr>
      </w:pPr>
    </w:p>
    <w:p>
      <w:pPr>
        <w:autoSpaceDE w:val="0"/>
        <w:autoSpaceDN w:val="0"/>
        <w:spacing w:line="360" w:lineRule="auto"/>
        <w:ind w:left="4365" w:leftChars="1850" w:hanging="480" w:hangingChars="200"/>
        <w:rPr>
          <w:rFonts w:asciiTheme="minorEastAsia" w:hAnsiTheme="minorEastAsia" w:eastAsiaTheme="minorEastAsia" w:cstheme="minorEastAsia"/>
          <w:kern w:val="0"/>
          <w:sz w:val="24"/>
        </w:rPr>
      </w:pPr>
    </w:p>
    <w:p>
      <w:pPr>
        <w:autoSpaceDE w:val="0"/>
        <w:autoSpaceDN w:val="0"/>
        <w:spacing w:line="360" w:lineRule="auto"/>
        <w:ind w:left="4365" w:leftChars="1850" w:hanging="480" w:hangingChars="200"/>
        <w:rPr>
          <w:rFonts w:asciiTheme="minorEastAsia" w:hAnsiTheme="minorEastAsia" w:eastAsiaTheme="minorEastAsia" w:cstheme="minorEastAsia"/>
          <w:kern w:val="0"/>
          <w:sz w:val="24"/>
        </w:rPr>
      </w:pPr>
    </w:p>
    <w:p>
      <w:pPr>
        <w:autoSpaceDE w:val="0"/>
        <w:autoSpaceDN w:val="0"/>
        <w:spacing w:line="360" w:lineRule="auto"/>
        <w:ind w:left="4365" w:leftChars="1850" w:hanging="480" w:hanging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供应商名称（电子签章）：</w:t>
      </w:r>
    </w:p>
    <w:p>
      <w:pPr>
        <w:jc w:val="right"/>
      </w:pPr>
      <w:r>
        <w:rPr>
          <w:rFonts w:hint="eastAsia" w:asciiTheme="minorEastAsia" w:hAnsiTheme="minorEastAsia" w:eastAsiaTheme="minorEastAsia" w:cstheme="minorEastAsia"/>
          <w:kern w:val="0"/>
          <w:sz w:val="24"/>
          <w:lang w:val="zh-CN"/>
        </w:rPr>
        <w:t>日期：  年  月   日</w:t>
      </w:r>
    </w:p>
    <w:p>
      <w:pPr>
        <w:pStyle w:val="6"/>
      </w:pPr>
    </w:p>
    <w:p/>
    <w:p>
      <w:pPr>
        <w:pStyle w:val="61"/>
        <w:rPr>
          <w:color w:val="auto"/>
        </w:rPr>
      </w:pPr>
    </w:p>
    <w:p>
      <w:pPr>
        <w:autoSpaceDE w:val="0"/>
        <w:autoSpaceDN w:val="0"/>
        <w:adjustRightInd w:val="0"/>
        <w:spacing w:line="360" w:lineRule="auto"/>
        <w:jc w:val="left"/>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四、技术负责人：提供与本项目相关专业的工程师及以上职称证书复印件</w:t>
      </w:r>
    </w:p>
    <w:p>
      <w:pPr>
        <w:tabs>
          <w:tab w:val="left" w:pos="1501"/>
        </w:tabs>
        <w:rPr>
          <w:rFonts w:asciiTheme="minorEastAsia" w:hAnsiTheme="minorEastAsia" w:eastAsiaTheme="minorEastAsia" w:cstheme="minorEastAsia"/>
          <w:b/>
          <w:bCs/>
          <w:sz w:val="30"/>
          <w:szCs w:val="30"/>
        </w:rPr>
      </w:pPr>
    </w:p>
    <w:p>
      <w:pPr>
        <w:tabs>
          <w:tab w:val="left" w:pos="1501"/>
        </w:tabs>
        <w:rPr>
          <w:rFonts w:asciiTheme="minorEastAsia" w:hAnsiTheme="minorEastAsia" w:eastAsiaTheme="minorEastAsia" w:cstheme="minorEastAsia"/>
          <w:b/>
          <w:bCs/>
          <w:sz w:val="30"/>
          <w:szCs w:val="30"/>
        </w:rPr>
      </w:pPr>
    </w:p>
    <w:p>
      <w:pPr>
        <w:tabs>
          <w:tab w:val="left" w:pos="1501"/>
        </w:tabs>
        <w:rPr>
          <w:rFonts w:asciiTheme="minorEastAsia" w:hAnsiTheme="minorEastAsia" w:eastAsiaTheme="minorEastAsia" w:cstheme="minorEastAsia"/>
          <w:b/>
          <w:bCs/>
          <w:sz w:val="30"/>
          <w:szCs w:val="30"/>
        </w:rPr>
      </w:pPr>
    </w:p>
    <w:p>
      <w:pPr>
        <w:autoSpaceDE w:val="0"/>
        <w:autoSpaceDN w:val="0"/>
        <w:spacing w:line="360" w:lineRule="auto"/>
        <w:ind w:left="4365" w:leftChars="1850" w:hanging="480" w:hanging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供应商名称（电子签章）：</w:t>
      </w:r>
    </w:p>
    <w:p>
      <w:pPr>
        <w:jc w:val="right"/>
      </w:pPr>
      <w:r>
        <w:rPr>
          <w:rFonts w:hint="eastAsia" w:asciiTheme="minorEastAsia" w:hAnsiTheme="minorEastAsia" w:eastAsiaTheme="minorEastAsia" w:cstheme="minorEastAsia"/>
          <w:kern w:val="0"/>
          <w:sz w:val="24"/>
          <w:lang w:val="zh-CN"/>
        </w:rPr>
        <w:t>日期：  年  月   日</w:t>
      </w:r>
    </w:p>
    <w:p>
      <w:pPr>
        <w:tabs>
          <w:tab w:val="left" w:pos="1501"/>
        </w:tabs>
        <w:rPr>
          <w:rFonts w:asciiTheme="minorEastAsia" w:hAnsiTheme="minorEastAsia" w:eastAsiaTheme="minorEastAsia" w:cstheme="minorEastAsia"/>
          <w:b/>
          <w:bCs/>
          <w:sz w:val="30"/>
          <w:szCs w:val="30"/>
        </w:rPr>
      </w:pPr>
    </w:p>
    <w:p>
      <w:pPr>
        <w:tabs>
          <w:tab w:val="left" w:pos="1501"/>
        </w:tabs>
        <w:rPr>
          <w:rFonts w:asciiTheme="minorEastAsia" w:hAnsiTheme="minorEastAsia" w:eastAsiaTheme="minorEastAsia" w:cstheme="minorEastAsia"/>
          <w:b/>
          <w:bCs/>
          <w:sz w:val="30"/>
          <w:szCs w:val="30"/>
        </w:rPr>
      </w:pPr>
    </w:p>
    <w:p>
      <w:pPr>
        <w:ind w:left="451"/>
        <w:rPr>
          <w:rFonts w:asciiTheme="minorEastAsia" w:hAnsiTheme="minorEastAsia" w:eastAsiaTheme="minorEastAsia" w:cstheme="minorEastAsia"/>
          <w:b/>
          <w:sz w:val="30"/>
          <w:szCs w:val="30"/>
        </w:rPr>
      </w:pPr>
    </w:p>
    <w:p>
      <w:pPr>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br w:type="page"/>
      </w:r>
    </w:p>
    <w:p>
      <w:pPr>
        <w:pStyle w:val="21"/>
        <w:ind w:firstLine="301"/>
        <w:jc w:val="lef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kern w:val="2"/>
          <w:sz w:val="30"/>
          <w:szCs w:val="30"/>
        </w:rPr>
        <w:t>五、专职安全生产管理人员</w:t>
      </w:r>
      <w:r>
        <w:rPr>
          <w:rFonts w:hint="eastAsia" w:asciiTheme="minorEastAsia" w:hAnsiTheme="minorEastAsia" w:eastAsiaTheme="minorEastAsia" w:cstheme="minorEastAsia"/>
          <w:sz w:val="30"/>
          <w:szCs w:val="30"/>
        </w:rPr>
        <w:t>：有效的安全员证书及安全生产考核合格证书(C类)复印件</w:t>
      </w:r>
    </w:p>
    <w:p>
      <w:pPr>
        <w:pStyle w:val="21"/>
        <w:ind w:firstLine="602" w:firstLineChars="200"/>
        <w:rPr>
          <w:rFonts w:asciiTheme="minorEastAsia" w:hAnsiTheme="minorEastAsia" w:eastAsiaTheme="minorEastAsia" w:cstheme="minorEastAsia"/>
          <w:sz w:val="30"/>
          <w:szCs w:val="30"/>
        </w:rPr>
      </w:pPr>
    </w:p>
    <w:p>
      <w:pPr>
        <w:autoSpaceDE w:val="0"/>
        <w:autoSpaceDN w:val="0"/>
        <w:spacing w:line="360" w:lineRule="auto"/>
        <w:ind w:left="4365" w:leftChars="1850" w:hanging="480" w:hangingChars="200"/>
        <w:rPr>
          <w:rFonts w:asciiTheme="minorEastAsia" w:hAnsiTheme="minorEastAsia" w:eastAsiaTheme="minorEastAsia" w:cstheme="minorEastAsia"/>
          <w:kern w:val="0"/>
          <w:sz w:val="24"/>
        </w:rPr>
      </w:pPr>
    </w:p>
    <w:p>
      <w:pPr>
        <w:pStyle w:val="61"/>
        <w:rPr>
          <w:color w:val="auto"/>
        </w:rPr>
      </w:pPr>
    </w:p>
    <w:p>
      <w:pPr>
        <w:autoSpaceDE w:val="0"/>
        <w:autoSpaceDN w:val="0"/>
        <w:spacing w:line="360" w:lineRule="auto"/>
        <w:ind w:left="4365" w:leftChars="1850" w:hanging="480" w:hangingChars="200"/>
        <w:rPr>
          <w:rFonts w:asciiTheme="minorEastAsia" w:hAnsiTheme="minorEastAsia" w:eastAsiaTheme="minorEastAsia" w:cstheme="minorEastAsia"/>
          <w:kern w:val="0"/>
          <w:sz w:val="24"/>
        </w:rPr>
      </w:pPr>
    </w:p>
    <w:p>
      <w:pPr>
        <w:autoSpaceDE w:val="0"/>
        <w:autoSpaceDN w:val="0"/>
        <w:spacing w:line="360" w:lineRule="auto"/>
        <w:ind w:left="4365" w:leftChars="1850" w:hanging="480" w:hangingChars="200"/>
        <w:rPr>
          <w:rFonts w:asciiTheme="minorEastAsia" w:hAnsiTheme="minorEastAsia" w:eastAsiaTheme="minorEastAsia" w:cstheme="minorEastAsia"/>
          <w:kern w:val="0"/>
          <w:sz w:val="24"/>
        </w:rPr>
      </w:pPr>
    </w:p>
    <w:p>
      <w:pPr>
        <w:autoSpaceDE w:val="0"/>
        <w:autoSpaceDN w:val="0"/>
        <w:spacing w:line="360" w:lineRule="auto"/>
        <w:ind w:left="4365" w:leftChars="1850" w:hanging="480" w:hanging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供应商名称（电子签章）：</w:t>
      </w:r>
    </w:p>
    <w:p>
      <w:pPr>
        <w:jc w:val="right"/>
      </w:pPr>
      <w:r>
        <w:rPr>
          <w:rFonts w:hint="eastAsia" w:asciiTheme="minorEastAsia" w:hAnsiTheme="minorEastAsia" w:eastAsiaTheme="minorEastAsia" w:cstheme="minorEastAsia"/>
          <w:kern w:val="0"/>
          <w:sz w:val="24"/>
          <w:lang w:val="zh-CN"/>
        </w:rPr>
        <w:t>日期：  年  月   日</w:t>
      </w:r>
    </w:p>
    <w:p>
      <w:pPr>
        <w:pStyle w:val="6"/>
      </w:pPr>
    </w:p>
    <w:p>
      <w:pPr>
        <w:tabs>
          <w:tab w:val="left" w:pos="1501"/>
        </w:tabs>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六、施工员、质量员、材料员：提供施工现场专业人员职业培训合格证书复印件</w:t>
      </w:r>
    </w:p>
    <w:p>
      <w:pPr>
        <w:ind w:left="451"/>
        <w:rPr>
          <w:rFonts w:asciiTheme="minorEastAsia" w:hAnsiTheme="minorEastAsia" w:eastAsiaTheme="minorEastAsia" w:cstheme="minorEastAsia"/>
          <w:b/>
          <w:sz w:val="30"/>
          <w:szCs w:val="30"/>
        </w:rPr>
      </w:pPr>
    </w:p>
    <w:p>
      <w:pPr>
        <w:ind w:left="451"/>
        <w:rPr>
          <w:rFonts w:asciiTheme="minorEastAsia" w:hAnsiTheme="minorEastAsia" w:eastAsiaTheme="minorEastAsia" w:cstheme="minorEastAsia"/>
          <w:b/>
          <w:sz w:val="30"/>
          <w:szCs w:val="30"/>
        </w:rPr>
      </w:pPr>
    </w:p>
    <w:p>
      <w:pPr>
        <w:ind w:left="451"/>
        <w:rPr>
          <w:rFonts w:asciiTheme="minorEastAsia" w:hAnsiTheme="minorEastAsia" w:eastAsiaTheme="minorEastAsia" w:cstheme="minorEastAsia"/>
          <w:b/>
          <w:sz w:val="30"/>
          <w:szCs w:val="30"/>
        </w:rPr>
      </w:pPr>
    </w:p>
    <w:p>
      <w:pPr>
        <w:autoSpaceDE w:val="0"/>
        <w:autoSpaceDN w:val="0"/>
        <w:spacing w:line="360" w:lineRule="auto"/>
        <w:ind w:left="4365" w:leftChars="1850" w:hanging="480" w:hanging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供应商名称（电子签章）：</w:t>
      </w:r>
    </w:p>
    <w:p>
      <w:pPr>
        <w:jc w:val="right"/>
      </w:pPr>
      <w:r>
        <w:rPr>
          <w:rFonts w:hint="eastAsia" w:asciiTheme="minorEastAsia" w:hAnsiTheme="minorEastAsia" w:eastAsiaTheme="minorEastAsia" w:cstheme="minorEastAsia"/>
          <w:kern w:val="0"/>
          <w:sz w:val="24"/>
          <w:lang w:val="zh-CN"/>
        </w:rPr>
        <w:t>日期：  年  月   日</w:t>
      </w:r>
    </w:p>
    <w:p>
      <w:pPr>
        <w:ind w:left="451"/>
        <w:rPr>
          <w:rFonts w:asciiTheme="minorEastAsia" w:hAnsiTheme="minorEastAsia" w:eastAsiaTheme="minorEastAsia" w:cstheme="minorEastAsia"/>
          <w:b/>
          <w:sz w:val="30"/>
          <w:szCs w:val="30"/>
        </w:rPr>
      </w:pPr>
    </w:p>
    <w:p>
      <w:pPr>
        <w:rPr>
          <w:rFonts w:asciiTheme="minorEastAsia" w:hAnsiTheme="minorEastAsia" w:eastAsiaTheme="minorEastAsia" w:cstheme="minorEastAsia"/>
          <w:b/>
          <w:sz w:val="30"/>
          <w:szCs w:val="30"/>
        </w:rPr>
      </w:pPr>
    </w:p>
    <w:p>
      <w:pPr>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br w:type="page"/>
      </w:r>
    </w:p>
    <w:p>
      <w:pPr>
        <w:pStyle w:val="21"/>
        <w:ind w:firstLine="0" w:firstLineChars="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七、投标人依法缴纳税收的相关材料（开标截止之日起半年内任意连续1个月的依法缴纳税收的凭据复印件；依法免税的供应商，必须提供相应文件证明其依法免税。从成立之日起到投标文件提交截止时间止不足要求月数的，只需提供从成立之日起的依法缴纳税收相应证明文件）；（必须提供，否则按无效投标处理）</w:t>
      </w:r>
    </w:p>
    <w:p>
      <w:pPr>
        <w:pStyle w:val="21"/>
        <w:ind w:firstLine="301"/>
        <w:jc w:val="center"/>
        <w:rPr>
          <w:rFonts w:asciiTheme="minorEastAsia" w:hAnsiTheme="minorEastAsia" w:eastAsiaTheme="minorEastAsia" w:cstheme="minorEastAsia"/>
          <w:sz w:val="30"/>
          <w:szCs w:val="30"/>
        </w:rPr>
      </w:pPr>
    </w:p>
    <w:p>
      <w:pPr>
        <w:pStyle w:val="21"/>
        <w:ind w:firstLine="0" w:firstLineChars="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八、投标人依法缴纳社会保障资金的相关材料[开标截止之日起半年内任意连续1个月的依法缴纳社会保障资金的缴费凭证（专用收据或者社会保险缴纳清单）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必须提供，否则按无效投标处理）</w:t>
      </w:r>
    </w:p>
    <w:p>
      <w:pPr>
        <w:pStyle w:val="21"/>
        <w:ind w:firstLine="0" w:firstLineChars="0"/>
        <w:rPr>
          <w:rFonts w:asciiTheme="minorEastAsia" w:hAnsiTheme="minorEastAsia" w:eastAsiaTheme="minorEastAsia" w:cstheme="minorEastAsia"/>
          <w:sz w:val="30"/>
          <w:szCs w:val="30"/>
        </w:rPr>
      </w:pPr>
    </w:p>
    <w:p>
      <w:pPr>
        <w:pStyle w:val="21"/>
        <w:ind w:firstLine="0" w:firstLineChars="0"/>
        <w:rPr>
          <w:rFonts w:asciiTheme="minorEastAsia" w:hAnsiTheme="minorEastAsia" w:eastAsiaTheme="minorEastAsia" w:cstheme="minorEastAsia"/>
          <w:bCs w:val="0"/>
          <w:sz w:val="30"/>
          <w:szCs w:val="30"/>
        </w:rPr>
      </w:pPr>
      <w:r>
        <w:rPr>
          <w:rFonts w:hint="eastAsia" w:asciiTheme="minorEastAsia" w:hAnsiTheme="minorEastAsia" w:eastAsiaTheme="minorEastAsia" w:cstheme="minorEastAsia"/>
          <w:sz w:val="30"/>
          <w:szCs w:val="30"/>
        </w:rPr>
        <w:t>九、投标人财务状况报告（2022/2023年度财务报表复印件或者银行出具的资信证明；投标人属于成立时间在规定年度之后的法人或其他组织，需提供成立之日起至投标截止时间前的月报表或银行出具的资信证明；资信证明应在有效期内，未注明有效期的，银行出具时间至投标截止时间不超过一年）；（必须提供，否则按无效投标处理）</w:t>
      </w:r>
    </w:p>
    <w:p>
      <w:pPr>
        <w:pStyle w:val="21"/>
        <w:ind w:firstLine="482"/>
        <w:rPr>
          <w:rFonts w:asciiTheme="minorEastAsia" w:hAnsiTheme="minorEastAsia" w:eastAsiaTheme="minorEastAsia" w:cstheme="minorEastAsia"/>
        </w:rPr>
      </w:pPr>
    </w:p>
    <w:p>
      <w:pPr>
        <w:rPr>
          <w:rFonts w:asciiTheme="minorEastAsia" w:hAnsiTheme="minorEastAsia" w:eastAsiaTheme="minorEastAsia" w:cstheme="minorEastAsia"/>
          <w:b/>
          <w:bCs/>
          <w:kern w:val="0"/>
          <w:sz w:val="30"/>
          <w:szCs w:val="30"/>
        </w:rPr>
      </w:pPr>
      <w:r>
        <w:rPr>
          <w:rFonts w:hint="eastAsia" w:asciiTheme="minorEastAsia" w:hAnsiTheme="minorEastAsia" w:eastAsiaTheme="minorEastAsia" w:cstheme="minorEastAsia"/>
          <w:b/>
          <w:bCs/>
          <w:kern w:val="0"/>
          <w:sz w:val="30"/>
          <w:szCs w:val="30"/>
        </w:rPr>
        <w:br w:type="page"/>
      </w:r>
    </w:p>
    <w:p>
      <w:pPr>
        <w:spacing w:line="400" w:lineRule="exact"/>
        <w:jc w:val="center"/>
        <w:rPr>
          <w:rFonts w:asciiTheme="minorEastAsia" w:hAnsiTheme="minorEastAsia" w:eastAsiaTheme="minorEastAsia" w:cstheme="minorEastAsia"/>
          <w:b/>
          <w:bCs/>
          <w:kern w:val="0"/>
          <w:sz w:val="30"/>
          <w:szCs w:val="30"/>
        </w:rPr>
      </w:pPr>
      <w:r>
        <w:rPr>
          <w:rFonts w:hint="eastAsia" w:asciiTheme="minorEastAsia" w:hAnsiTheme="minorEastAsia" w:eastAsiaTheme="minorEastAsia" w:cstheme="minorEastAsia"/>
          <w:b/>
          <w:bCs/>
          <w:kern w:val="0"/>
          <w:sz w:val="30"/>
          <w:szCs w:val="30"/>
        </w:rPr>
        <w:t>十、供应商应为中小微企业或监狱企业或残疾人福利性单位</w:t>
      </w:r>
    </w:p>
    <w:p>
      <w:pPr>
        <w:spacing w:line="400" w:lineRule="exact"/>
        <w:jc w:val="center"/>
        <w:rPr>
          <w:rFonts w:asciiTheme="minorEastAsia" w:hAnsiTheme="minorEastAsia" w:eastAsiaTheme="minorEastAsia" w:cstheme="minorEastAsia"/>
          <w:b/>
          <w:bCs/>
          <w:kern w:val="0"/>
          <w:sz w:val="30"/>
          <w:szCs w:val="30"/>
        </w:rPr>
      </w:pPr>
    </w:p>
    <w:p>
      <w:pPr>
        <w:spacing w:line="400" w:lineRule="exact"/>
        <w:jc w:val="center"/>
        <w:rPr>
          <w:rFonts w:asciiTheme="minorEastAsia" w:hAnsiTheme="minorEastAsia" w:eastAsiaTheme="minorEastAsia" w:cstheme="minorEastAsia"/>
          <w:b/>
          <w:bCs/>
          <w:kern w:val="0"/>
          <w:sz w:val="30"/>
          <w:szCs w:val="30"/>
        </w:rPr>
      </w:pPr>
    </w:p>
    <w:p>
      <w:pPr>
        <w:spacing w:line="400" w:lineRule="exact"/>
        <w:jc w:val="center"/>
        <w:rPr>
          <w:rFonts w:asciiTheme="minorEastAsia" w:hAnsiTheme="minorEastAsia" w:eastAsiaTheme="minorEastAsia" w:cstheme="minorEastAsia"/>
          <w:b/>
          <w:bCs/>
          <w:kern w:val="0"/>
          <w:sz w:val="30"/>
          <w:szCs w:val="30"/>
        </w:rPr>
      </w:pPr>
    </w:p>
    <w:p>
      <w:pPr>
        <w:spacing w:line="400" w:lineRule="exact"/>
        <w:jc w:val="center"/>
        <w:rPr>
          <w:rFonts w:asciiTheme="minorEastAsia" w:hAnsiTheme="minorEastAsia" w:eastAsiaTheme="minorEastAsia" w:cstheme="minorEastAsia"/>
          <w:b/>
          <w:bCs/>
          <w:kern w:val="0"/>
          <w:sz w:val="30"/>
          <w:szCs w:val="30"/>
        </w:rPr>
      </w:pPr>
      <w:r>
        <w:rPr>
          <w:rFonts w:hint="eastAsia" w:asciiTheme="minorEastAsia" w:hAnsiTheme="minorEastAsia" w:eastAsiaTheme="minorEastAsia" w:cstheme="minorEastAsia"/>
          <w:b/>
          <w:bCs/>
          <w:kern w:val="0"/>
          <w:sz w:val="30"/>
          <w:szCs w:val="30"/>
        </w:rPr>
        <w:t>1、中小企业声明函</w:t>
      </w:r>
    </w:p>
    <w:p>
      <w:pPr>
        <w:spacing w:line="588" w:lineRule="exact"/>
        <w:jc w:val="center"/>
        <w:rPr>
          <w:rFonts w:asciiTheme="minorEastAsia" w:hAnsiTheme="minorEastAsia" w:eastAsiaTheme="minorEastAsia" w:cstheme="minorEastAsia"/>
          <w:b/>
          <w:spacing w:val="6"/>
          <w:sz w:val="32"/>
          <w:szCs w:val="32"/>
        </w:rPr>
      </w:pPr>
    </w:p>
    <w:p>
      <w:pPr>
        <w:spacing w:line="588" w:lineRule="exact"/>
        <w:ind w:firstLine="504" w:firstLineChars="200"/>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本公司郑重声明，根据《政府采购促进中小企业发展暂行办法》（财库[2020]46号）的规定，本公司参加</w:t>
      </w:r>
      <w:r>
        <w:rPr>
          <w:rFonts w:hint="eastAsia" w:asciiTheme="minorEastAsia" w:hAnsiTheme="minorEastAsia" w:eastAsiaTheme="minorEastAsia" w:cstheme="minorEastAsia"/>
          <w:spacing w:val="6"/>
          <w:sz w:val="24"/>
          <w:u w:val="single"/>
        </w:rPr>
        <w:t xml:space="preserve">        </w:t>
      </w:r>
      <w:r>
        <w:rPr>
          <w:rFonts w:hint="eastAsia" w:asciiTheme="minorEastAsia" w:hAnsiTheme="minorEastAsia" w:eastAsiaTheme="minorEastAsia" w:cstheme="minorEastAsia"/>
          <w:spacing w:val="6"/>
          <w:sz w:val="24"/>
        </w:rPr>
        <w:t>（采购人名称）的</w:t>
      </w:r>
      <w:r>
        <w:rPr>
          <w:rFonts w:hint="eastAsia" w:asciiTheme="minorEastAsia" w:hAnsiTheme="minorEastAsia" w:eastAsiaTheme="minorEastAsia" w:cstheme="minorEastAsia"/>
          <w:spacing w:val="6"/>
          <w:sz w:val="24"/>
          <w:u w:val="single"/>
        </w:rPr>
        <w:t xml:space="preserve">         </w:t>
      </w:r>
      <w:r>
        <w:rPr>
          <w:rFonts w:hint="eastAsia" w:asciiTheme="minorEastAsia" w:hAnsiTheme="minorEastAsia" w:eastAsiaTheme="minorEastAsia" w:cstheme="minorEastAsia"/>
          <w:spacing w:val="6"/>
          <w:sz w:val="24"/>
        </w:rPr>
        <w:t>（项目名称）采购活动，工程的施工单位全部为符合政策要求的中小企业（或者服务全部由符合政策要求的中小企业承接）。相关企业（</w:t>
      </w:r>
      <w:r>
        <w:rPr>
          <w:rFonts w:ascii="宋体" w:hAnsi="宋体" w:cs="宋体"/>
          <w:sz w:val="24"/>
          <w:szCs w:val="24"/>
        </w:rPr>
        <w:t>含联合体中的中小企业、签订分包意向协议的中小企业</w:t>
      </w:r>
      <w:r>
        <w:rPr>
          <w:rFonts w:hint="eastAsia" w:asciiTheme="minorEastAsia" w:hAnsiTheme="minorEastAsia" w:eastAsiaTheme="minorEastAsia" w:cstheme="minorEastAsia"/>
          <w:spacing w:val="6"/>
          <w:sz w:val="24"/>
        </w:rPr>
        <w:t>）</w:t>
      </w:r>
      <w:r>
        <w:rPr>
          <w:rFonts w:ascii="宋体" w:hAnsi="宋体" w:cs="宋体"/>
          <w:sz w:val="24"/>
          <w:szCs w:val="24"/>
        </w:rPr>
        <w:t>的具体情况如下：</w:t>
      </w:r>
    </w:p>
    <w:p>
      <w:pPr>
        <w:spacing w:line="588" w:lineRule="exact"/>
        <w:ind w:firstLine="480" w:firstLineChars="200"/>
        <w:jc w:val="left"/>
        <w:rPr>
          <w:rFonts w:ascii="宋体" w:hAnsi="宋体" w:cs="宋体"/>
          <w:sz w:val="24"/>
          <w:szCs w:val="24"/>
        </w:rPr>
      </w:pPr>
      <w:r>
        <w:rPr>
          <w:rFonts w:ascii="宋体" w:hAnsi="宋体" w:cs="宋体"/>
          <w:sz w:val="24"/>
          <w:szCs w:val="24"/>
          <w:u w:val="single"/>
        </w:rPr>
        <w:t xml:space="preserve">（标的名称） </w:t>
      </w:r>
      <w:r>
        <w:rPr>
          <w:rFonts w:ascii="宋体" w:hAnsi="宋体" w:cs="宋体"/>
          <w:sz w:val="24"/>
          <w:szCs w:val="24"/>
        </w:rPr>
        <w:t>，属于</w:t>
      </w:r>
      <w:r>
        <w:rPr>
          <w:rFonts w:hint="eastAsia" w:ascii="宋体" w:hAnsi="宋体" w:cs="宋体"/>
          <w:sz w:val="24"/>
          <w:szCs w:val="24"/>
        </w:rPr>
        <w:t xml:space="preserve"> </w:t>
      </w:r>
      <w:r>
        <w:rPr>
          <w:rFonts w:hint="eastAsia" w:ascii="宋体" w:hAnsi="宋体" w:cs="宋体"/>
          <w:sz w:val="24"/>
          <w:szCs w:val="24"/>
          <w:u w:val="single"/>
        </w:rPr>
        <w:t xml:space="preserve">建筑业 </w:t>
      </w:r>
      <w:r>
        <w:rPr>
          <w:rFonts w:ascii="宋体" w:hAnsi="宋体" w:cs="宋体"/>
          <w:sz w:val="24"/>
          <w:szCs w:val="24"/>
        </w:rPr>
        <w:t>； 承建（承接）企业为</w:t>
      </w:r>
      <w:r>
        <w:rPr>
          <w:rFonts w:ascii="宋体" w:hAnsi="宋体" w:cs="宋体"/>
          <w:sz w:val="24"/>
          <w:szCs w:val="24"/>
          <w:u w:val="single"/>
        </w:rPr>
        <w:t>（企业名称）</w:t>
      </w:r>
      <w:r>
        <w:rPr>
          <w:rFonts w:hint="eastAsia" w:ascii="宋体" w:hAnsi="宋体" w:cs="宋体"/>
          <w:sz w:val="24"/>
          <w:szCs w:val="24"/>
          <w:u w:val="single"/>
        </w:rPr>
        <w:t xml:space="preserve"> </w:t>
      </w:r>
      <w:r>
        <w:rPr>
          <w:rFonts w:ascii="宋体" w:hAnsi="宋体" w:cs="宋体"/>
          <w:sz w:val="24"/>
          <w:szCs w:val="24"/>
        </w:rPr>
        <w:t>，从业人员</w:t>
      </w:r>
      <w:r>
        <w:rPr>
          <w:rFonts w:hint="eastAsia" w:ascii="宋体" w:hAnsi="宋体" w:cs="宋体"/>
          <w:sz w:val="24"/>
          <w:szCs w:val="24"/>
          <w:u w:val="single"/>
        </w:rPr>
        <w:t xml:space="preserve">    </w:t>
      </w:r>
      <w:r>
        <w:rPr>
          <w:rFonts w:ascii="宋体" w:hAnsi="宋体" w:cs="宋体"/>
          <w:sz w:val="24"/>
          <w:szCs w:val="24"/>
        </w:rPr>
        <w:t>人，营业收入为</w:t>
      </w:r>
      <w:r>
        <w:rPr>
          <w:rFonts w:hint="eastAsia" w:ascii="宋体" w:hAnsi="宋体" w:cs="宋体"/>
          <w:sz w:val="24"/>
          <w:szCs w:val="24"/>
          <w:u w:val="single"/>
        </w:rPr>
        <w:t xml:space="preserve">     </w:t>
      </w:r>
      <w:r>
        <w:rPr>
          <w:rFonts w:ascii="宋体" w:hAnsi="宋体" w:cs="宋体"/>
          <w:sz w:val="24"/>
          <w:szCs w:val="24"/>
        </w:rPr>
        <w:t>万元，资产总额为</w:t>
      </w:r>
      <w:r>
        <w:rPr>
          <w:rFonts w:hint="eastAsia" w:ascii="宋体" w:hAnsi="宋体" w:cs="宋体"/>
          <w:sz w:val="24"/>
          <w:szCs w:val="24"/>
          <w:u w:val="single"/>
        </w:rPr>
        <w:t xml:space="preserve">     </w:t>
      </w:r>
      <w:r>
        <w:rPr>
          <w:rFonts w:ascii="宋体" w:hAnsi="宋体" w:cs="宋体"/>
          <w:sz w:val="24"/>
          <w:szCs w:val="24"/>
        </w:rPr>
        <w:t>万元，属于</w:t>
      </w:r>
      <w:r>
        <w:rPr>
          <w:rFonts w:hint="eastAsia" w:ascii="宋体" w:hAnsi="宋体" w:cs="宋体"/>
          <w:sz w:val="24"/>
          <w:szCs w:val="24"/>
          <w:u w:val="single"/>
        </w:rPr>
        <w:t xml:space="preserve">            </w:t>
      </w:r>
      <w:r>
        <w:rPr>
          <w:rFonts w:ascii="宋体" w:hAnsi="宋体" w:cs="宋体"/>
          <w:sz w:val="24"/>
          <w:szCs w:val="24"/>
          <w:u w:val="single"/>
        </w:rPr>
        <w:t>（中型企业、小型企业、微型企业）</w:t>
      </w:r>
      <w:r>
        <w:rPr>
          <w:rFonts w:ascii="宋体" w:hAnsi="宋体" w:cs="宋体"/>
          <w:sz w:val="24"/>
          <w:szCs w:val="24"/>
        </w:rPr>
        <w:t>；</w:t>
      </w:r>
    </w:p>
    <w:p>
      <w:pPr>
        <w:spacing w:line="588" w:lineRule="exact"/>
        <w:ind w:firstLine="504" w:firstLineChars="200"/>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本公司对上述声明的真实性负责。如有虚假，将依法承担相应责任。</w:t>
      </w:r>
    </w:p>
    <w:p>
      <w:pPr>
        <w:spacing w:line="588" w:lineRule="exact"/>
        <w:ind w:firstLine="504" w:firstLineChars="200"/>
        <w:rPr>
          <w:rFonts w:asciiTheme="minorEastAsia" w:hAnsiTheme="minorEastAsia" w:eastAsiaTheme="minorEastAsia" w:cstheme="minorEastAsia"/>
          <w:spacing w:val="6"/>
          <w:sz w:val="24"/>
        </w:rPr>
      </w:pPr>
    </w:p>
    <w:p>
      <w:pPr>
        <w:tabs>
          <w:tab w:val="left" w:pos="4860"/>
        </w:tabs>
        <w:spacing w:line="588" w:lineRule="exact"/>
        <w:ind w:right="1560" w:firstLine="504" w:firstLineChars="200"/>
        <w:jc w:val="center"/>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 xml:space="preserve">                                      </w:t>
      </w:r>
    </w:p>
    <w:p>
      <w:pPr>
        <w:tabs>
          <w:tab w:val="left" w:pos="4860"/>
        </w:tabs>
        <w:spacing w:line="588" w:lineRule="exact"/>
        <w:ind w:right="1560" w:firstLine="504" w:firstLineChars="200"/>
        <w:jc w:val="center"/>
        <w:rPr>
          <w:rFonts w:asciiTheme="minorEastAsia" w:hAnsiTheme="minorEastAsia" w:eastAsiaTheme="minorEastAsia" w:cstheme="minorEastAsia"/>
          <w:spacing w:val="6"/>
          <w:sz w:val="24"/>
        </w:rPr>
      </w:pPr>
    </w:p>
    <w:p>
      <w:pPr>
        <w:tabs>
          <w:tab w:val="left" w:pos="4860"/>
        </w:tabs>
        <w:spacing w:line="588" w:lineRule="exact"/>
        <w:ind w:right="1560" w:firstLine="504" w:firstLineChars="200"/>
        <w:jc w:val="center"/>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 xml:space="preserve">                               企业名称（盖章）： </w:t>
      </w:r>
    </w:p>
    <w:p>
      <w:pPr>
        <w:snapToGrid w:val="0"/>
        <w:spacing w:before="165" w:beforeLines="50" w:line="500" w:lineRule="exact"/>
        <w:ind w:left="1480" w:leftChars="650" w:hanging="115" w:hangingChars="46"/>
        <w:jc w:val="left"/>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 xml:space="preserve">                                 日  期：</w:t>
      </w:r>
    </w:p>
    <w:p>
      <w:pPr>
        <w:pStyle w:val="18"/>
      </w:pPr>
    </w:p>
    <w:p>
      <w:pPr>
        <w:pStyle w:val="61"/>
        <w:rPr>
          <w:color w:val="auto"/>
        </w:rPr>
      </w:pPr>
    </w:p>
    <w:p>
      <w:pPr>
        <w:spacing w:line="360" w:lineRule="auto"/>
        <w:contextualSpacing/>
        <w:jc w:val="left"/>
        <w:rPr>
          <w:rFonts w:ascii="宋体" w:hAnsi="宋体" w:cs="宋体"/>
          <w:b/>
          <w:sz w:val="24"/>
          <w:szCs w:val="24"/>
        </w:rPr>
      </w:pPr>
      <w:r>
        <w:rPr>
          <w:rFonts w:hint="eastAsia" w:ascii="宋体" w:hAnsi="宋体" w:cs="宋体"/>
          <w:sz w:val="24"/>
          <w:szCs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jc w:val="left"/>
        <w:rPr>
          <w:rFonts w:ascii="宋体" w:hAnsi="宋体" w:cs="宋体"/>
          <w:kern w:val="0"/>
          <w:sz w:val="32"/>
          <w:szCs w:val="32"/>
        </w:rPr>
      </w:pPr>
    </w:p>
    <w:p>
      <w:pPr>
        <w:jc w:val="left"/>
        <w:rPr>
          <w:rFonts w:ascii="宋体" w:hAnsi="宋体" w:cs="宋体"/>
          <w:b/>
          <w:bCs/>
          <w:kern w:val="0"/>
          <w:sz w:val="32"/>
          <w:szCs w:val="32"/>
        </w:rPr>
      </w:pPr>
      <w:r>
        <w:rPr>
          <w:rFonts w:hint="eastAsia" w:ascii="宋体" w:hAnsi="宋体" w:cs="宋体"/>
          <w:b/>
          <w:bCs/>
          <w:kern w:val="0"/>
          <w:sz w:val="32"/>
          <w:szCs w:val="32"/>
        </w:rPr>
        <w:t>附：</w:t>
      </w:r>
    </w:p>
    <w:p>
      <w:pPr>
        <w:spacing w:line="528" w:lineRule="exact"/>
        <w:jc w:val="center"/>
        <w:rPr>
          <w:rFonts w:ascii="宋体" w:hAnsi="宋体" w:cs="宋体"/>
          <w:sz w:val="32"/>
          <w:szCs w:val="32"/>
        </w:rPr>
      </w:pPr>
      <w:r>
        <w:rPr>
          <w:rFonts w:hint="eastAsia" w:ascii="宋体" w:hAnsi="宋体" w:cs="宋体"/>
          <w:sz w:val="32"/>
          <w:szCs w:val="32"/>
        </w:rPr>
        <w:t>中小微企业划型标准</w:t>
      </w:r>
    </w:p>
    <w:tbl>
      <w:tblPr>
        <w:tblStyle w:val="45"/>
        <w:tblW w:w="9052" w:type="dxa"/>
        <w:jc w:val="center"/>
        <w:tblLayout w:type="fixed"/>
        <w:tblCellMar>
          <w:top w:w="0" w:type="dxa"/>
          <w:left w:w="108" w:type="dxa"/>
          <w:bottom w:w="0" w:type="dxa"/>
          <w:right w:w="108" w:type="dxa"/>
        </w:tblCellMar>
      </w:tblPr>
      <w:tblGrid>
        <w:gridCol w:w="1904"/>
        <w:gridCol w:w="1384"/>
        <w:gridCol w:w="913"/>
        <w:gridCol w:w="1966"/>
        <w:gridCol w:w="1743"/>
        <w:gridCol w:w="1142"/>
      </w:tblGrid>
      <w:tr>
        <w:tblPrEx>
          <w:tblCellMar>
            <w:top w:w="0" w:type="dxa"/>
            <w:left w:w="108" w:type="dxa"/>
            <w:bottom w:w="0" w:type="dxa"/>
            <w:right w:w="108" w:type="dxa"/>
          </w:tblCellMar>
        </w:tblPrEx>
        <w:trPr>
          <w:trHeight w:val="285" w:hRule="atLeast"/>
          <w:jc w:val="center"/>
        </w:trPr>
        <w:tc>
          <w:tcPr>
            <w:tcW w:w="19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行业名称</w:t>
            </w:r>
          </w:p>
        </w:tc>
        <w:tc>
          <w:tcPr>
            <w:tcW w:w="138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指标名称</w:t>
            </w:r>
          </w:p>
        </w:tc>
        <w:tc>
          <w:tcPr>
            <w:tcW w:w="91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计量单位</w:t>
            </w:r>
          </w:p>
        </w:tc>
        <w:tc>
          <w:tcPr>
            <w:tcW w:w="196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中型</w:t>
            </w:r>
          </w:p>
        </w:tc>
        <w:tc>
          <w:tcPr>
            <w:tcW w:w="17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小型</w:t>
            </w:r>
          </w:p>
        </w:tc>
        <w:tc>
          <w:tcPr>
            <w:tcW w:w="114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微型</w:t>
            </w:r>
          </w:p>
        </w:tc>
      </w:tr>
      <w:tr>
        <w:tblPrEx>
          <w:tblCellMar>
            <w:top w:w="0" w:type="dxa"/>
            <w:left w:w="108" w:type="dxa"/>
            <w:bottom w:w="0" w:type="dxa"/>
            <w:right w:w="108" w:type="dxa"/>
          </w:tblCellMar>
        </w:tblPrEx>
        <w:trPr>
          <w:trHeight w:val="225" w:hRule="atLeast"/>
          <w:jc w:val="center"/>
        </w:trPr>
        <w:tc>
          <w:tcPr>
            <w:tcW w:w="190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农、林、牧、渔</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营业收入（Y）</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万元</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500≤Y＜20000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50≤Y＜500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Y＜50</w:t>
            </w:r>
          </w:p>
        </w:tc>
      </w:tr>
      <w:tr>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工业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从业人员（X）</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人</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300≤X＜1000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20≤X＜300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X＜20</w:t>
            </w:r>
          </w:p>
        </w:tc>
      </w:tr>
      <w:tr>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营业收入（Y）</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万元</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2000≤Y＜40000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300≤Y＜2000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Y＜300</w:t>
            </w:r>
          </w:p>
        </w:tc>
      </w:tr>
      <w:tr>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建筑业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营业收入（Y）</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万元</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6000≤Y＜80000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300≤Y＜6000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Y＜300</w:t>
            </w:r>
          </w:p>
        </w:tc>
      </w:tr>
      <w:tr>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资产总额（Z）</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万元</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5000≤Z＜80000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300≤Z＜5000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Z＜300</w:t>
            </w:r>
          </w:p>
        </w:tc>
      </w:tr>
      <w:tr>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批发业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从业人员（X）</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人</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20≤X＜200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5≤X＜20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X＜5</w:t>
            </w:r>
          </w:p>
        </w:tc>
      </w:tr>
      <w:tr>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营业收入（Y）</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万元</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5000≤Y＜40000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1000≤Y＜5000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Y＜1000</w:t>
            </w:r>
          </w:p>
        </w:tc>
      </w:tr>
      <w:tr>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零售业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从业人员（X）</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人</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50≤X＜300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10≤X＜50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X＜10</w:t>
            </w:r>
          </w:p>
        </w:tc>
      </w:tr>
      <w:tr>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营业收入（Y）</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万元</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500≤Y＜20000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100≤Y＜500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Y＜100</w:t>
            </w:r>
          </w:p>
        </w:tc>
      </w:tr>
      <w:tr>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交通运输业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从业人员（X）</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人</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300≤X＜1000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20≤X＜300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X＜20</w:t>
            </w:r>
          </w:p>
        </w:tc>
      </w:tr>
      <w:tr>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营业收入（Y）</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万元</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3000≤Y＜30000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200≤Y＜3000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Y＜200</w:t>
            </w:r>
          </w:p>
        </w:tc>
      </w:tr>
      <w:tr>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仓储业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从业人员（X）</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人</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100≤X＜200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20≤X＜100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X＜20</w:t>
            </w:r>
          </w:p>
        </w:tc>
      </w:tr>
      <w:tr>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营业收入（Y）</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万元</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1000≤Y＜30000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100≤Y＜1000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Y＜100</w:t>
            </w:r>
          </w:p>
        </w:tc>
      </w:tr>
      <w:tr>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邮政业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从业人员（X）</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人</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300≤X＜1000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20≤X＜300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X＜20</w:t>
            </w:r>
          </w:p>
        </w:tc>
      </w:tr>
      <w:tr>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营业收入（Y）</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万元</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2000≤Y＜30000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100≤Y＜2000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Y＜100</w:t>
            </w:r>
          </w:p>
        </w:tc>
      </w:tr>
      <w:tr>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住宿业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从业人员（X）</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人</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100≤X＜300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10≤X＜100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X＜10</w:t>
            </w:r>
          </w:p>
        </w:tc>
      </w:tr>
      <w:tr>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营业收入（Y）</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万元</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2000≤Y＜10000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100≤Y＜2000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Y＜100</w:t>
            </w:r>
          </w:p>
        </w:tc>
      </w:tr>
      <w:tr>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餐饮业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从业人员（X）</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人</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100≤X＜300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10≤X＜100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X＜10</w:t>
            </w:r>
          </w:p>
        </w:tc>
      </w:tr>
      <w:tr>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营业收入（Y）</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万元</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2000≤Y＜10000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100≤Y＜2000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Y＜100</w:t>
            </w:r>
          </w:p>
        </w:tc>
      </w:tr>
      <w:tr>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信息传输业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从业人员（X）</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人</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100≤X＜2000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10≤X＜100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X＜10</w:t>
            </w:r>
          </w:p>
        </w:tc>
      </w:tr>
      <w:tr>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营业收入（Y）</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万元</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1000≤Y＜100000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100≤Y＜1000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Y＜100</w:t>
            </w:r>
          </w:p>
        </w:tc>
      </w:tr>
      <w:tr>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软件和信息技术服务业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从业人员（X）</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人</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100≤X＜300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10≤X＜100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X＜10</w:t>
            </w:r>
          </w:p>
        </w:tc>
      </w:tr>
      <w:tr>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营业收入（Y）</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万元</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1000≤Y＜10000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50≤Y＜1000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Y＜50</w:t>
            </w:r>
          </w:p>
        </w:tc>
      </w:tr>
      <w:tr>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房地产开发经营</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营业收入（Y）</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万元</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1000≤Y＜200000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100≤X＜1000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X＜100</w:t>
            </w:r>
          </w:p>
        </w:tc>
      </w:tr>
      <w:tr>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资产总额（Z）</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万元</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5000≤Z＜10000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2000≤Y＜5000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Y＜2000</w:t>
            </w:r>
          </w:p>
        </w:tc>
      </w:tr>
      <w:tr>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物业管理</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从业人员（X）</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人</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300≤X＜1000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100≤X＜300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X＜100</w:t>
            </w:r>
          </w:p>
        </w:tc>
      </w:tr>
      <w:tr>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营业收入（Y）</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万元</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1000≤Y＜5000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500≤Y＜1000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Y＜500</w:t>
            </w:r>
          </w:p>
        </w:tc>
      </w:tr>
      <w:tr>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租赁和商务服务业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从业人员（X）</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人</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100≤X＜300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10≤X＜100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X＜10</w:t>
            </w:r>
          </w:p>
        </w:tc>
      </w:tr>
      <w:tr>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rPr>
            </w:pP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资产总额（Z）</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万元</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8000≤Z＜120000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100≤Z＜8000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Y＜100</w:t>
            </w:r>
          </w:p>
        </w:tc>
      </w:tr>
      <w:tr>
        <w:tblPrEx>
          <w:tblCellMar>
            <w:top w:w="0" w:type="dxa"/>
            <w:left w:w="108" w:type="dxa"/>
            <w:bottom w:w="0" w:type="dxa"/>
            <w:right w:w="108" w:type="dxa"/>
          </w:tblCellMar>
        </w:tblPrEx>
        <w:trPr>
          <w:trHeight w:val="225" w:hRule="atLeast"/>
          <w:jc w:val="center"/>
        </w:trPr>
        <w:tc>
          <w:tcPr>
            <w:tcW w:w="190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其他未列明行业</w:t>
            </w:r>
          </w:p>
        </w:tc>
        <w:tc>
          <w:tcPr>
            <w:tcW w:w="1384"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从业人员（X）</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人</w:t>
            </w:r>
          </w:p>
        </w:tc>
        <w:tc>
          <w:tcPr>
            <w:tcW w:w="1966"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100≤X＜300</w:t>
            </w:r>
          </w:p>
        </w:tc>
        <w:tc>
          <w:tcPr>
            <w:tcW w:w="1743"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10≤X＜100</w:t>
            </w:r>
          </w:p>
        </w:tc>
        <w:tc>
          <w:tcPr>
            <w:tcW w:w="1142"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X＜10</w:t>
            </w:r>
          </w:p>
        </w:tc>
      </w:tr>
    </w:tbl>
    <w:p>
      <w:pPr>
        <w:spacing w:line="360" w:lineRule="auto"/>
        <w:ind w:firstLine="525" w:firstLineChars="250"/>
        <w:rPr>
          <w:rFonts w:ascii="宋体" w:hAnsi="宋体" w:cs="宋体"/>
        </w:rPr>
      </w:pPr>
      <w:r>
        <w:rPr>
          <w:rFonts w:hint="eastAsia" w:ascii="宋体" w:hAnsi="宋体" w:cs="宋体"/>
        </w:rPr>
        <w:t>说明：上述标准参照《关于印发中小企业划型标准规定的通知》（工信部联企业[2011]300号），大型、中型和小型企业须同时满足所列指标的下限，否则下划一档；微型企业只须满足所列指标中的一项即可。</w:t>
      </w:r>
    </w:p>
    <w:p>
      <w:pPr>
        <w:spacing w:line="560" w:lineRule="exact"/>
        <w:ind w:firstLine="500" w:firstLineChars="250"/>
        <w:rPr>
          <w:rFonts w:ascii="宋体" w:hAnsi="宋体" w:cs="宋体"/>
          <w:kern w:val="0"/>
          <w:sz w:val="20"/>
        </w:rPr>
        <w:sectPr>
          <w:pgSz w:w="11906" w:h="16838"/>
          <w:pgMar w:top="1134" w:right="1134" w:bottom="1134" w:left="1134" w:header="720" w:footer="720" w:gutter="0"/>
          <w:cols w:space="720" w:num="1"/>
          <w:docGrid w:type="lines" w:linePitch="331" w:charSpace="0"/>
        </w:sectPr>
      </w:pPr>
    </w:p>
    <w:p>
      <w:pPr>
        <w:pStyle w:val="26"/>
        <w:ind w:firstLine="482"/>
        <w:jc w:val="center"/>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2、监狱企业证明文件</w:t>
      </w:r>
    </w:p>
    <w:p>
      <w:pPr>
        <w:pStyle w:val="28"/>
        <w:ind w:left="5250" w:firstLine="480"/>
        <w:rPr>
          <w:rFonts w:ascii="Times New Roman" w:hAnsi="Times New Roman"/>
          <w:kern w:val="0"/>
        </w:rPr>
      </w:pPr>
    </w:p>
    <w:p>
      <w:pPr>
        <w:pStyle w:val="26"/>
        <w:spacing w:line="460" w:lineRule="exact"/>
        <w:ind w:firstLine="882" w:firstLineChars="350"/>
        <w:jc w:val="left"/>
        <w:rPr>
          <w:rFonts w:hAnsi="宋体" w:cs="Times New Roman"/>
          <w:spacing w:val="6"/>
          <w:kern w:val="2"/>
          <w:sz w:val="24"/>
          <w:szCs w:val="24"/>
        </w:rPr>
      </w:pPr>
      <w:r>
        <w:rPr>
          <w:rFonts w:hint="eastAsia" w:hAnsi="宋体" w:cs="Times New Roman"/>
          <w:spacing w:val="6"/>
          <w:kern w:val="2"/>
          <w:sz w:val="24"/>
          <w:szCs w:val="24"/>
        </w:rPr>
        <w:t>按《关于政府采购支持监狱企业发展有关问题的通知》(财库[2014]68 号)认定为监狱企业的，在政府采购活动中，监狱企业视同小型、微型企业。监狱企业参加政府采购活动时，应当提供由省级以上监狱管理局、戒毒管理局(含新疆生产建设兵团)出具的属于监狱企业的证明文件。</w:t>
      </w:r>
    </w:p>
    <w:p>
      <w:pPr>
        <w:spacing w:line="360" w:lineRule="auto"/>
        <w:ind w:firstLine="2400" w:firstLineChars="1000"/>
        <w:contextualSpacing/>
        <w:rPr>
          <w:rFonts w:ascii="宋体" w:hAnsi="宋体" w:cs="宋体"/>
          <w:sz w:val="24"/>
        </w:rPr>
      </w:pPr>
    </w:p>
    <w:p>
      <w:pPr>
        <w:autoSpaceDE w:val="0"/>
        <w:autoSpaceDN w:val="0"/>
        <w:spacing w:line="360" w:lineRule="auto"/>
        <w:ind w:left="4335" w:leftChars="1950" w:hanging="240" w:hangingChars="100"/>
        <w:rPr>
          <w:rFonts w:ascii="宋体" w:hAnsi="宋体" w:cs="宋体"/>
          <w:kern w:val="0"/>
          <w:sz w:val="24"/>
          <w:szCs w:val="24"/>
        </w:rPr>
      </w:pPr>
      <w:r>
        <w:rPr>
          <w:rFonts w:hint="eastAsia" w:ascii="宋体" w:hAnsi="宋体" w:cs="宋体"/>
          <w:kern w:val="0"/>
          <w:sz w:val="24"/>
          <w:szCs w:val="24"/>
        </w:rPr>
        <w:t>供应商名称（电子签章）：</w:t>
      </w:r>
    </w:p>
    <w:p>
      <w:pPr>
        <w:autoSpaceDE w:val="0"/>
        <w:autoSpaceDN w:val="0"/>
        <w:spacing w:line="360" w:lineRule="auto"/>
        <w:ind w:firstLine="6480" w:firstLineChars="2700"/>
        <w:rPr>
          <w:rFonts w:ascii="宋体" w:hAnsi="宋体" w:cs="宋体"/>
          <w:kern w:val="0"/>
          <w:sz w:val="24"/>
          <w:szCs w:val="24"/>
          <w:lang w:val="zh-CN"/>
        </w:rPr>
      </w:pPr>
      <w:r>
        <w:rPr>
          <w:rFonts w:hint="eastAsia" w:ascii="宋体" w:hAnsi="宋体" w:cs="宋体"/>
          <w:kern w:val="0"/>
          <w:sz w:val="24"/>
          <w:szCs w:val="24"/>
          <w:lang w:val="zh-CN"/>
        </w:rPr>
        <w:t>日期：  年  月   日</w:t>
      </w:r>
    </w:p>
    <w:p>
      <w:pPr>
        <w:pStyle w:val="26"/>
        <w:spacing w:line="460" w:lineRule="exact"/>
        <w:ind w:firstLine="420"/>
        <w:jc w:val="left"/>
        <w:rPr>
          <w:rFonts w:hAnsi="宋体" w:cs="Times New Roman"/>
          <w:spacing w:val="6"/>
          <w:kern w:val="2"/>
          <w:sz w:val="24"/>
          <w:szCs w:val="24"/>
        </w:rPr>
      </w:pPr>
    </w:p>
    <w:p>
      <w:pPr>
        <w:pStyle w:val="26"/>
        <w:spacing w:line="460" w:lineRule="exact"/>
        <w:jc w:val="left"/>
        <w:rPr>
          <w:rFonts w:hAnsi="宋体" w:cs="Times New Roman"/>
          <w:spacing w:val="6"/>
          <w:kern w:val="2"/>
          <w:sz w:val="24"/>
          <w:szCs w:val="24"/>
        </w:rPr>
      </w:pPr>
      <w:r>
        <w:rPr>
          <w:rFonts w:hint="eastAsia" w:hAnsi="宋体" w:cs="Times New Roman"/>
          <w:spacing w:val="6"/>
          <w:kern w:val="2"/>
          <w:sz w:val="24"/>
          <w:szCs w:val="24"/>
        </w:rPr>
        <w:t>说明：</w:t>
      </w:r>
      <w:r>
        <w:rPr>
          <w:rFonts w:hint="eastAsia" w:hAnsi="宋体" w:cs="Times New Roman"/>
          <w:spacing w:val="-4"/>
          <w:kern w:val="2"/>
          <w:sz w:val="24"/>
          <w:szCs w:val="24"/>
        </w:rPr>
        <w:t>采购人或者采购代理机构在公告成交结果时，</w:t>
      </w:r>
      <w:r>
        <w:rPr>
          <w:rFonts w:hint="eastAsia" w:hAnsi="宋体" w:cs="Times New Roman"/>
          <w:spacing w:val="6"/>
          <w:kern w:val="2"/>
          <w:sz w:val="24"/>
          <w:szCs w:val="24"/>
        </w:rPr>
        <w:t xml:space="preserve">同时公告其监狱企业证明文件。 </w:t>
      </w:r>
    </w:p>
    <w:p>
      <w:pPr>
        <w:spacing w:line="520" w:lineRule="exact"/>
        <w:jc w:val="center"/>
        <w:rPr>
          <w:rFonts w:ascii="宋体" w:hAnsi="宋体" w:cs="宋体"/>
          <w:sz w:val="44"/>
          <w:szCs w:val="44"/>
        </w:rPr>
      </w:pPr>
    </w:p>
    <w:p>
      <w:pPr>
        <w:spacing w:line="520" w:lineRule="exact"/>
        <w:jc w:val="center"/>
        <w:rPr>
          <w:rFonts w:ascii="宋体" w:hAnsi="宋体" w:cs="宋体"/>
          <w:sz w:val="44"/>
          <w:szCs w:val="44"/>
        </w:rPr>
      </w:pPr>
    </w:p>
    <w:p>
      <w:pPr>
        <w:pStyle w:val="61"/>
        <w:rPr>
          <w:rFonts w:hAnsi="宋体"/>
          <w:color w:val="auto"/>
          <w:sz w:val="44"/>
          <w:szCs w:val="44"/>
        </w:rPr>
      </w:pPr>
    </w:p>
    <w:p>
      <w:pPr>
        <w:pStyle w:val="26"/>
        <w:ind w:firstLine="482"/>
        <w:jc w:val="center"/>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3、残疾人福利性单位声明函</w:t>
      </w:r>
    </w:p>
    <w:p>
      <w:pPr>
        <w:spacing w:line="520" w:lineRule="exact"/>
        <w:rPr>
          <w:rFonts w:ascii="宋体" w:hAnsi="宋体" w:cs="宋体"/>
          <w:sz w:val="32"/>
          <w:szCs w:val="32"/>
        </w:rPr>
      </w:pPr>
    </w:p>
    <w:p>
      <w:pPr>
        <w:spacing w:line="360" w:lineRule="auto"/>
        <w:ind w:firstLine="480" w:firstLineChars="200"/>
        <w:contextualSpacing/>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contextualSpacing/>
        <w:rPr>
          <w:rFonts w:ascii="宋体" w:hAnsi="宋体" w:cs="宋体"/>
          <w:sz w:val="24"/>
        </w:rPr>
      </w:pPr>
    </w:p>
    <w:p>
      <w:pPr>
        <w:autoSpaceDE w:val="0"/>
        <w:autoSpaceDN w:val="0"/>
        <w:spacing w:line="360" w:lineRule="auto"/>
        <w:ind w:left="4335" w:leftChars="1950" w:hanging="240" w:hangingChars="100"/>
        <w:rPr>
          <w:rFonts w:ascii="宋体" w:hAnsi="宋体" w:cs="宋体"/>
          <w:kern w:val="0"/>
          <w:sz w:val="24"/>
          <w:szCs w:val="24"/>
        </w:rPr>
      </w:pPr>
    </w:p>
    <w:p>
      <w:pPr>
        <w:autoSpaceDE w:val="0"/>
        <w:autoSpaceDN w:val="0"/>
        <w:spacing w:line="360" w:lineRule="auto"/>
        <w:ind w:left="4335" w:leftChars="1950" w:hanging="240" w:hangingChars="100"/>
        <w:rPr>
          <w:rFonts w:ascii="宋体" w:hAnsi="宋体" w:cs="宋体"/>
          <w:kern w:val="0"/>
          <w:sz w:val="24"/>
          <w:szCs w:val="24"/>
        </w:rPr>
      </w:pPr>
      <w:r>
        <w:rPr>
          <w:rFonts w:hint="eastAsia" w:ascii="宋体" w:hAnsi="宋体" w:cs="宋体"/>
          <w:kern w:val="0"/>
          <w:sz w:val="24"/>
          <w:szCs w:val="24"/>
        </w:rPr>
        <w:t>供应商名称（电子签章）：</w:t>
      </w:r>
    </w:p>
    <w:p>
      <w:pPr>
        <w:autoSpaceDE w:val="0"/>
        <w:autoSpaceDN w:val="0"/>
        <w:spacing w:line="360" w:lineRule="auto"/>
        <w:ind w:firstLine="6480" w:firstLineChars="2700"/>
        <w:rPr>
          <w:rFonts w:ascii="宋体" w:hAnsi="宋体" w:cs="宋体"/>
          <w:kern w:val="0"/>
          <w:sz w:val="24"/>
          <w:szCs w:val="24"/>
          <w:lang w:val="zh-CN"/>
        </w:rPr>
      </w:pPr>
      <w:r>
        <w:rPr>
          <w:rFonts w:hint="eastAsia" w:ascii="宋体" w:hAnsi="宋体" w:cs="宋体"/>
          <w:kern w:val="0"/>
          <w:sz w:val="24"/>
          <w:szCs w:val="24"/>
          <w:lang w:val="zh-CN"/>
        </w:rPr>
        <w:t>日期：  年  月   日</w:t>
      </w:r>
    </w:p>
    <w:p>
      <w:pPr>
        <w:spacing w:line="360" w:lineRule="auto"/>
        <w:contextualSpacing/>
        <w:rPr>
          <w:rFonts w:ascii="宋体" w:hAnsi="宋体" w:cs="宋体"/>
          <w:sz w:val="24"/>
        </w:rPr>
      </w:pPr>
    </w:p>
    <w:p>
      <w:pPr>
        <w:spacing w:line="360" w:lineRule="auto"/>
        <w:contextualSpacing/>
        <w:rPr>
          <w:rFonts w:ascii="宋体" w:hAnsi="宋体" w:cs="宋体"/>
          <w:sz w:val="24"/>
        </w:rPr>
      </w:pPr>
      <w:r>
        <w:rPr>
          <w:rFonts w:hint="eastAsia" w:ascii="宋体" w:hAnsi="宋体" w:cs="宋体"/>
          <w:sz w:val="24"/>
        </w:rPr>
        <w:t>注：请根据自己的真实情况出具《残疾人福利性单位声明函》。依法享受中小企业优惠政策的，采购人或者采购代理机构在公告</w:t>
      </w:r>
      <w:r>
        <w:rPr>
          <w:rFonts w:hint="eastAsia" w:ascii="宋体" w:hAnsi="宋体"/>
          <w:spacing w:val="-4"/>
          <w:sz w:val="24"/>
          <w:szCs w:val="24"/>
        </w:rPr>
        <w:t>成交</w:t>
      </w:r>
      <w:r>
        <w:rPr>
          <w:rFonts w:hint="eastAsia" w:ascii="宋体" w:hAnsi="宋体" w:cs="宋体"/>
          <w:sz w:val="24"/>
        </w:rPr>
        <w:t>结果时，同时公告其《残疾人福利性单位声明函》，接受社会监督。</w:t>
      </w:r>
    </w:p>
    <w:p>
      <w:pPr>
        <w:pStyle w:val="4"/>
        <w:jc w:val="center"/>
        <w:rPr>
          <w:rFonts w:ascii="宋体" w:hAnsi="宋体"/>
          <w:b w:val="0"/>
        </w:rPr>
      </w:pPr>
      <w:r>
        <w:rPr>
          <w:rFonts w:hint="eastAsia" w:ascii="宋体" w:hAnsi="宋体"/>
          <w:b w:val="0"/>
          <w:bCs w:val="0"/>
        </w:rPr>
        <w:t xml:space="preserve">第三节 </w:t>
      </w:r>
      <w:r>
        <w:rPr>
          <w:rFonts w:hint="eastAsia" w:ascii="宋体" w:hAnsi="宋体"/>
          <w:b w:val="0"/>
        </w:rPr>
        <w:t>商务技术文件格式</w:t>
      </w:r>
    </w:p>
    <w:p>
      <w:pPr>
        <w:snapToGrid w:val="0"/>
        <w:spacing w:before="120" w:beforeLines="50" w:after="50"/>
        <w:rPr>
          <w:rFonts w:ascii="宋体" w:hAnsi="宋体"/>
          <w:bCs/>
          <w:sz w:val="32"/>
          <w:szCs w:val="20"/>
        </w:rPr>
      </w:pPr>
      <w:r>
        <w:rPr>
          <w:rFonts w:hint="eastAsia" w:ascii="宋体" w:hAnsi="宋体"/>
          <w:sz w:val="24"/>
        </w:rPr>
        <w:t xml:space="preserve">                                                    </w:t>
      </w:r>
      <w:r>
        <w:rPr>
          <w:rFonts w:hint="eastAsia" w:ascii="宋体" w:hAnsi="宋体"/>
          <w:bCs/>
        </w:rPr>
        <w:t>全流程电子文件</w:t>
      </w:r>
    </w:p>
    <w:p>
      <w:pPr>
        <w:snapToGrid w:val="0"/>
        <w:spacing w:before="120" w:beforeLines="50" w:after="50"/>
        <w:rPr>
          <w:rFonts w:ascii="宋体" w:hAnsi="宋体"/>
          <w:sz w:val="24"/>
          <w:szCs w:val="20"/>
        </w:rPr>
      </w:pPr>
    </w:p>
    <w:p>
      <w:pPr>
        <w:snapToGrid w:val="0"/>
        <w:spacing w:before="120" w:beforeLines="50" w:after="50"/>
        <w:rPr>
          <w:rFonts w:ascii="宋体" w:hAnsi="宋体"/>
          <w:sz w:val="24"/>
          <w:szCs w:val="20"/>
        </w:rPr>
      </w:pPr>
    </w:p>
    <w:p>
      <w:pPr>
        <w:snapToGrid w:val="0"/>
        <w:spacing w:before="120" w:beforeLines="50" w:after="50"/>
        <w:rPr>
          <w:rFonts w:ascii="宋体" w:hAnsi="宋体"/>
          <w:sz w:val="24"/>
          <w:szCs w:val="20"/>
        </w:rPr>
      </w:pPr>
    </w:p>
    <w:p>
      <w:pPr>
        <w:snapToGrid w:val="0"/>
        <w:spacing w:before="120"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  务  技  术  文  件（封面）</w:t>
      </w: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rPr>
          <w:rFonts w:ascii="宋体" w:hAnsi="宋体"/>
          <w:bCs/>
          <w:sz w:val="24"/>
          <w:szCs w:val="20"/>
        </w:rPr>
      </w:pPr>
    </w:p>
    <w:p>
      <w:pPr>
        <w:snapToGrid w:val="0"/>
        <w:spacing w:before="120" w:beforeLines="50" w:after="50"/>
        <w:ind w:firstLine="640" w:firstLineChars="200"/>
        <w:rPr>
          <w:rFonts w:ascii="宋体" w:hAnsi="宋体" w:cs="仿宋_GB2312"/>
          <w:bCs/>
          <w:sz w:val="32"/>
          <w:szCs w:val="32"/>
        </w:rPr>
      </w:pPr>
      <w:r>
        <w:rPr>
          <w:rFonts w:hint="eastAsia" w:ascii="宋体" w:hAnsi="宋体" w:cs="仿宋_GB2312"/>
          <w:bCs/>
          <w:sz w:val="32"/>
          <w:szCs w:val="32"/>
        </w:rPr>
        <w:t>项目名称：</w:t>
      </w:r>
    </w:p>
    <w:p>
      <w:pPr>
        <w:snapToGrid w:val="0"/>
        <w:spacing w:before="120" w:beforeLines="50" w:after="50"/>
        <w:ind w:firstLine="720" w:firstLineChars="225"/>
        <w:rPr>
          <w:rFonts w:ascii="宋体" w:hAnsi="宋体" w:cs="仿宋_GB2312"/>
          <w:bCs/>
          <w:sz w:val="32"/>
          <w:szCs w:val="32"/>
        </w:rPr>
      </w:pPr>
    </w:p>
    <w:p>
      <w:pPr>
        <w:snapToGrid w:val="0"/>
        <w:spacing w:before="120" w:beforeLines="50" w:after="50"/>
        <w:ind w:firstLine="640" w:firstLineChars="200"/>
        <w:rPr>
          <w:rFonts w:ascii="宋体" w:hAnsi="宋体" w:cs="仿宋_GB2312"/>
          <w:bCs/>
          <w:sz w:val="32"/>
          <w:szCs w:val="32"/>
        </w:rPr>
      </w:pPr>
      <w:r>
        <w:rPr>
          <w:rFonts w:hint="eastAsia" w:ascii="宋体" w:hAnsi="宋体" w:cs="仿宋_GB2312"/>
          <w:bCs/>
          <w:sz w:val="32"/>
          <w:szCs w:val="32"/>
        </w:rPr>
        <w:t>项目编号：</w:t>
      </w:r>
    </w:p>
    <w:p>
      <w:pPr>
        <w:snapToGrid w:val="0"/>
        <w:spacing w:before="120" w:beforeLines="50" w:after="50"/>
        <w:ind w:firstLine="720" w:firstLineChars="225"/>
        <w:rPr>
          <w:rFonts w:ascii="宋体" w:hAnsi="宋体" w:cs="仿宋_GB2312"/>
          <w:bCs/>
          <w:sz w:val="32"/>
          <w:szCs w:val="32"/>
        </w:rPr>
      </w:pPr>
      <w:r>
        <w:rPr>
          <w:rFonts w:hint="eastAsia" w:ascii="宋体" w:hAnsi="宋体" w:cs="仿宋_GB2312"/>
          <w:bCs/>
          <w:sz w:val="32"/>
          <w:szCs w:val="32"/>
        </w:rPr>
        <w:t xml:space="preserve"> </w:t>
      </w:r>
    </w:p>
    <w:p>
      <w:pPr>
        <w:snapToGrid w:val="0"/>
        <w:spacing w:before="120" w:beforeLines="50" w:after="50"/>
        <w:ind w:firstLine="640" w:firstLineChars="200"/>
        <w:rPr>
          <w:rFonts w:ascii="宋体" w:hAnsi="宋体" w:cs="仿宋_GB2312"/>
          <w:bCs/>
          <w:sz w:val="32"/>
          <w:szCs w:val="32"/>
        </w:rPr>
      </w:pPr>
      <w:r>
        <w:rPr>
          <w:rFonts w:hint="eastAsia" w:ascii="宋体" w:hAnsi="宋体" w:cs="仿宋_GB2312"/>
          <w:bCs/>
          <w:sz w:val="32"/>
          <w:szCs w:val="32"/>
        </w:rPr>
        <w:t>所竞分标（如有则填写，无分标时填写“无”或者留空）：</w:t>
      </w:r>
    </w:p>
    <w:p>
      <w:pPr>
        <w:snapToGrid w:val="0"/>
        <w:spacing w:before="120" w:beforeLines="50" w:after="50"/>
        <w:ind w:firstLine="720" w:firstLineChars="225"/>
        <w:rPr>
          <w:rFonts w:ascii="宋体" w:hAnsi="宋体" w:cs="仿宋_GB2312"/>
          <w:bCs/>
          <w:sz w:val="32"/>
          <w:szCs w:val="32"/>
        </w:rPr>
      </w:pPr>
    </w:p>
    <w:p>
      <w:pPr>
        <w:pStyle w:val="8"/>
        <w:snapToGrid w:val="0"/>
        <w:spacing w:before="50" w:after="50"/>
        <w:ind w:firstLine="640" w:firstLineChars="200"/>
        <w:rPr>
          <w:rFonts w:ascii="宋体" w:hAnsi="宋体" w:cs="仿宋_GB2312"/>
          <w:bCs/>
          <w:sz w:val="32"/>
          <w:szCs w:val="32"/>
        </w:rPr>
      </w:pPr>
      <w:r>
        <w:rPr>
          <w:rFonts w:hint="eastAsia" w:ascii="宋体" w:hAnsi="宋体" w:cs="仿宋_GB2312"/>
          <w:bCs/>
          <w:sz w:val="32"/>
          <w:szCs w:val="32"/>
        </w:rPr>
        <w:t>供应商名称：</w:t>
      </w:r>
    </w:p>
    <w:p>
      <w:pPr>
        <w:pStyle w:val="8"/>
        <w:snapToGrid w:val="0"/>
        <w:spacing w:before="50" w:after="50"/>
        <w:ind w:firstLine="720" w:firstLineChars="225"/>
        <w:rPr>
          <w:rFonts w:ascii="宋体" w:hAnsi="宋体" w:cs="仿宋_GB2312"/>
          <w:bCs/>
          <w:sz w:val="32"/>
          <w:szCs w:val="32"/>
        </w:rPr>
      </w:pPr>
    </w:p>
    <w:p>
      <w:pPr>
        <w:pStyle w:val="8"/>
        <w:snapToGrid w:val="0"/>
        <w:spacing w:before="50" w:after="50"/>
        <w:ind w:firstLine="720" w:firstLineChars="225"/>
        <w:rPr>
          <w:rFonts w:ascii="宋体" w:hAnsi="宋体" w:cs="仿宋_GB2312"/>
          <w:bCs/>
          <w:sz w:val="32"/>
          <w:szCs w:val="32"/>
        </w:rPr>
      </w:pPr>
    </w:p>
    <w:p>
      <w:pPr>
        <w:pStyle w:val="8"/>
        <w:snapToGrid w:val="0"/>
        <w:spacing w:before="50" w:after="50"/>
        <w:ind w:firstLine="1280" w:firstLineChars="400"/>
        <w:rPr>
          <w:rFonts w:ascii="宋体" w:hAnsi="宋体" w:cs="仿宋_GB2312"/>
          <w:bCs/>
          <w:sz w:val="32"/>
          <w:szCs w:val="32"/>
        </w:rPr>
      </w:pPr>
    </w:p>
    <w:p>
      <w:pPr>
        <w:snapToGrid w:val="0"/>
        <w:spacing w:before="120" w:beforeLines="50" w:after="50"/>
        <w:jc w:val="center"/>
        <w:rPr>
          <w:rFonts w:ascii="宋体" w:hAnsi="宋体" w:cs="仿宋_GB2312"/>
          <w:sz w:val="32"/>
          <w:szCs w:val="32"/>
        </w:rPr>
      </w:pPr>
      <w:r>
        <w:rPr>
          <w:rFonts w:hint="eastAsia" w:ascii="宋体" w:hAnsi="宋体" w:cs="仿宋_GB2312"/>
          <w:sz w:val="32"/>
          <w:szCs w:val="32"/>
        </w:rPr>
        <w:t>年    月    日</w:t>
      </w:r>
    </w:p>
    <w:p>
      <w:pPr>
        <w:snapToGrid w:val="0"/>
        <w:spacing w:before="120" w:beforeLines="50" w:after="50" w:line="360" w:lineRule="auto"/>
        <w:ind w:left="142" w:firstLine="643" w:firstLineChars="200"/>
        <w:jc w:val="left"/>
        <w:rPr>
          <w:rFonts w:ascii="宋体" w:hAnsi="宋体"/>
          <w:b/>
          <w:bCs/>
          <w:sz w:val="32"/>
          <w:szCs w:val="32"/>
        </w:rPr>
        <w:sectPr>
          <w:pgSz w:w="11910" w:h="16840"/>
          <w:pgMar w:top="1340" w:right="1500" w:bottom="280" w:left="1680" w:header="720" w:footer="720" w:gutter="0"/>
          <w:cols w:space="720" w:num="1"/>
        </w:sectPr>
      </w:pPr>
    </w:p>
    <w:p>
      <w:pPr>
        <w:pStyle w:val="21"/>
        <w:spacing w:line="360" w:lineRule="auto"/>
        <w:ind w:firstLine="321"/>
        <w:rPr>
          <w:rFonts w:ascii="宋体" w:hAnsi="宋体" w:eastAsia="宋体" w:cs="Times New Roman"/>
          <w:kern w:val="2"/>
          <w:sz w:val="32"/>
          <w:szCs w:val="32"/>
        </w:rPr>
      </w:pPr>
    </w:p>
    <w:p>
      <w:pPr>
        <w:pStyle w:val="21"/>
        <w:spacing w:line="360" w:lineRule="auto"/>
        <w:ind w:firstLine="321"/>
        <w:jc w:val="center"/>
        <w:rPr>
          <w:rFonts w:ascii="宋体" w:hAnsi="宋体" w:eastAsia="宋体" w:cs="Times New Roman"/>
          <w:kern w:val="2"/>
          <w:sz w:val="32"/>
          <w:szCs w:val="32"/>
        </w:rPr>
      </w:pPr>
      <w:r>
        <w:rPr>
          <w:rFonts w:hint="eastAsia" w:ascii="宋体" w:hAnsi="宋体" w:eastAsia="宋体" w:cs="Times New Roman"/>
          <w:kern w:val="2"/>
          <w:sz w:val="32"/>
          <w:szCs w:val="32"/>
        </w:rPr>
        <w:t>商务技术文件目录</w:t>
      </w:r>
    </w:p>
    <w:p>
      <w:pPr>
        <w:pStyle w:val="21"/>
        <w:spacing w:line="360" w:lineRule="auto"/>
        <w:ind w:firstLine="321"/>
        <w:jc w:val="center"/>
        <w:rPr>
          <w:rFonts w:ascii="宋体" w:hAnsi="宋体" w:eastAsia="宋体" w:cs="Times New Roman"/>
          <w:kern w:val="2"/>
          <w:sz w:val="32"/>
          <w:szCs w:val="32"/>
        </w:rPr>
      </w:pPr>
    </w:p>
    <w:p>
      <w:pPr>
        <w:spacing w:line="360" w:lineRule="auto"/>
        <w:jc w:val="distribute"/>
        <w:rPr>
          <w:rFonts w:ascii="宋体" w:hAnsi="宋体"/>
          <w:spacing w:val="2"/>
        </w:rPr>
      </w:pPr>
      <w:r>
        <w:rPr>
          <w:rFonts w:hint="eastAsia" w:ascii="宋体" w:hAnsi="宋体"/>
          <w:spacing w:val="2"/>
        </w:rPr>
        <w:t>一、法定代表人身份证明书……………………………………………………………（页码）</w:t>
      </w:r>
    </w:p>
    <w:p>
      <w:pPr>
        <w:spacing w:line="360" w:lineRule="auto"/>
        <w:jc w:val="distribute"/>
        <w:rPr>
          <w:rFonts w:ascii="宋体" w:hAnsi="宋体"/>
          <w:spacing w:val="2"/>
        </w:rPr>
      </w:pPr>
      <w:r>
        <w:rPr>
          <w:rFonts w:hint="eastAsia" w:ascii="宋体" w:hAnsi="宋体"/>
          <w:spacing w:val="2"/>
        </w:rPr>
        <w:t>二、响应文件签署授权委托书原件及委托代理人身份证正反面复印件……………（页码）</w:t>
      </w:r>
    </w:p>
    <w:p>
      <w:pPr>
        <w:spacing w:line="360" w:lineRule="auto"/>
        <w:jc w:val="distribute"/>
        <w:rPr>
          <w:rFonts w:ascii="宋体" w:hAnsi="宋体"/>
          <w:spacing w:val="2"/>
        </w:rPr>
      </w:pPr>
      <w:r>
        <w:rPr>
          <w:rFonts w:hint="eastAsia" w:ascii="宋体" w:hAnsi="宋体"/>
          <w:spacing w:val="2"/>
        </w:rPr>
        <w:t>三、谈判保证金提交凭证……………………………………………………………（页码）</w:t>
      </w:r>
    </w:p>
    <w:p>
      <w:pPr>
        <w:spacing w:line="360" w:lineRule="auto"/>
        <w:jc w:val="distribute"/>
        <w:rPr>
          <w:rFonts w:ascii="宋体" w:hAnsi="宋体"/>
          <w:spacing w:val="2"/>
        </w:rPr>
      </w:pPr>
      <w:r>
        <w:rPr>
          <w:rFonts w:hint="eastAsia" w:ascii="宋体" w:hAnsi="宋体"/>
          <w:spacing w:val="2"/>
        </w:rPr>
        <w:t>四、农民工工资保障金的交纳与使用承诺书…………………………………………（页码）</w:t>
      </w:r>
    </w:p>
    <w:p>
      <w:pPr>
        <w:spacing w:line="360" w:lineRule="auto"/>
        <w:jc w:val="distribute"/>
        <w:rPr>
          <w:rFonts w:ascii="宋体" w:hAnsi="宋体"/>
          <w:spacing w:val="2"/>
        </w:rPr>
      </w:pPr>
      <w:r>
        <w:rPr>
          <w:rFonts w:hint="eastAsia" w:ascii="宋体" w:hAnsi="宋体"/>
          <w:spacing w:val="2"/>
        </w:rPr>
        <w:t>五、建设工程项目管理承诺书…………………………………………………………（页码）</w:t>
      </w:r>
    </w:p>
    <w:p>
      <w:pPr>
        <w:spacing w:line="360" w:lineRule="auto"/>
        <w:jc w:val="distribute"/>
        <w:rPr>
          <w:rFonts w:ascii="宋体" w:hAnsi="宋体"/>
          <w:spacing w:val="2"/>
        </w:rPr>
      </w:pPr>
      <w:r>
        <w:rPr>
          <w:rFonts w:hint="eastAsia" w:ascii="宋体" w:hAnsi="宋体"/>
          <w:spacing w:val="2"/>
        </w:rPr>
        <w:t>六、供应商认为需要提供的其他有关资料……………………………………………（页码）</w:t>
      </w:r>
    </w:p>
    <w:p>
      <w:pPr>
        <w:spacing w:line="360" w:lineRule="auto"/>
        <w:jc w:val="distribute"/>
        <w:rPr>
          <w:rFonts w:ascii="宋体" w:hAnsi="宋体"/>
          <w:spacing w:val="2"/>
        </w:rPr>
      </w:pPr>
      <w:r>
        <w:rPr>
          <w:rFonts w:hint="eastAsia" w:ascii="宋体" w:hAnsi="宋体"/>
          <w:spacing w:val="2"/>
        </w:rPr>
        <w:t>七、施工组织设计……………………………………………………………………（页码）</w:t>
      </w:r>
    </w:p>
    <w:p>
      <w:pPr>
        <w:spacing w:line="360" w:lineRule="auto"/>
        <w:jc w:val="distribute"/>
        <w:rPr>
          <w:rFonts w:ascii="宋体" w:hAnsi="宋体"/>
          <w:spacing w:val="2"/>
        </w:rPr>
      </w:pPr>
      <w:r>
        <w:rPr>
          <w:rFonts w:hint="eastAsia" w:ascii="宋体" w:hAnsi="宋体"/>
          <w:spacing w:val="2"/>
        </w:rPr>
        <w:t>八、项目管理机构………………………………………………………………………（页码）</w:t>
      </w:r>
    </w:p>
    <w:p>
      <w:pPr>
        <w:spacing w:line="360" w:lineRule="auto"/>
        <w:jc w:val="distribute"/>
        <w:rPr>
          <w:rFonts w:ascii="宋体" w:hAnsi="宋体"/>
          <w:spacing w:val="2"/>
        </w:rPr>
      </w:pPr>
      <w:r>
        <w:rPr>
          <w:rFonts w:hint="eastAsia" w:ascii="宋体" w:hAnsi="宋体"/>
          <w:spacing w:val="2"/>
        </w:rPr>
        <w:t xml:space="preserve">  1、项目管理机构配备情况表………………………………………………………（页码）</w:t>
      </w:r>
    </w:p>
    <w:p>
      <w:pPr>
        <w:spacing w:line="360" w:lineRule="auto"/>
        <w:jc w:val="distribute"/>
        <w:rPr>
          <w:rFonts w:ascii="宋体" w:hAnsi="宋体"/>
          <w:spacing w:val="2"/>
        </w:rPr>
      </w:pPr>
      <w:r>
        <w:rPr>
          <w:rFonts w:hint="eastAsia" w:ascii="宋体" w:hAnsi="宋体"/>
          <w:spacing w:val="2"/>
        </w:rPr>
        <w:t xml:space="preserve">  2、项目经理（注册建造师）简历表………………………………………………（页码）</w:t>
      </w:r>
    </w:p>
    <w:p>
      <w:pPr>
        <w:spacing w:line="360" w:lineRule="auto"/>
        <w:jc w:val="distribute"/>
        <w:rPr>
          <w:rFonts w:ascii="宋体" w:hAnsi="宋体"/>
          <w:spacing w:val="2"/>
        </w:rPr>
      </w:pPr>
      <w:r>
        <w:rPr>
          <w:rFonts w:hint="eastAsia" w:ascii="宋体" w:hAnsi="宋体"/>
          <w:spacing w:val="2"/>
        </w:rPr>
        <w:t xml:space="preserve">  3、项目技术负责人简历表…………………………………………………………（页码）</w:t>
      </w:r>
    </w:p>
    <w:p>
      <w:pPr>
        <w:spacing w:line="360" w:lineRule="auto"/>
        <w:jc w:val="distribute"/>
        <w:rPr>
          <w:rFonts w:ascii="宋体" w:hAnsi="宋体"/>
          <w:spacing w:val="2"/>
        </w:rPr>
      </w:pPr>
      <w:r>
        <w:rPr>
          <w:rFonts w:hint="eastAsia" w:ascii="宋体" w:hAnsi="宋体"/>
          <w:spacing w:val="2"/>
        </w:rPr>
        <w:t>九、企业业绩（如有）…………………………………………………………………（页码）</w:t>
      </w:r>
    </w:p>
    <w:p>
      <w:pPr>
        <w:pStyle w:val="21"/>
        <w:ind w:firstLine="482"/>
      </w:pPr>
    </w:p>
    <w:p>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注：以上目录是编制供应商响应文件的基本格式要求，各供应商可根据自身情况进一步细化。</w:t>
      </w:r>
    </w:p>
    <w:p>
      <w:pPr>
        <w:pStyle w:val="61"/>
        <w:rPr>
          <w:color w:val="auto"/>
        </w:rPr>
      </w:pPr>
    </w:p>
    <w:p>
      <w:pPr>
        <w:pStyle w:val="21"/>
        <w:ind w:firstLine="482"/>
      </w:pPr>
    </w:p>
    <w:p>
      <w:pPr>
        <w:pStyle w:val="21"/>
        <w:ind w:firstLine="482"/>
      </w:pPr>
    </w:p>
    <w:p>
      <w:pPr>
        <w:pStyle w:val="21"/>
        <w:ind w:firstLine="482"/>
      </w:pPr>
    </w:p>
    <w:p>
      <w:pPr>
        <w:pStyle w:val="21"/>
        <w:ind w:firstLine="482"/>
      </w:pPr>
    </w:p>
    <w:p>
      <w:pPr>
        <w:pStyle w:val="21"/>
        <w:ind w:firstLine="482"/>
      </w:pPr>
    </w:p>
    <w:p>
      <w:pPr>
        <w:pStyle w:val="21"/>
        <w:ind w:firstLine="301"/>
        <w:jc w:val="center"/>
        <w:rPr>
          <w:rFonts w:asciiTheme="minorEastAsia" w:hAnsiTheme="minorEastAsia" w:eastAsiaTheme="minorEastAsia" w:cstheme="minorEastAsia"/>
          <w:sz w:val="30"/>
          <w:szCs w:val="30"/>
        </w:rPr>
      </w:pPr>
    </w:p>
    <w:p>
      <w:pP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pPr>
        <w:pStyle w:val="21"/>
        <w:ind w:firstLine="301"/>
        <w:jc w:val="center"/>
      </w:pPr>
      <w:r>
        <w:rPr>
          <w:rFonts w:hint="eastAsia" w:asciiTheme="minorEastAsia" w:hAnsiTheme="minorEastAsia" w:eastAsiaTheme="minorEastAsia" w:cstheme="minorEastAsia"/>
          <w:sz w:val="30"/>
          <w:szCs w:val="30"/>
        </w:rPr>
        <w:t>一、法定代表人身份证明书</w:t>
      </w:r>
    </w:p>
    <w:p>
      <w:pPr>
        <w:jc w:val="center"/>
        <w:rPr>
          <w:rFonts w:asciiTheme="minorEastAsia" w:hAnsiTheme="minorEastAsia" w:eastAsiaTheme="minorEastAsia" w:cstheme="minorEastAsia"/>
          <w:b/>
        </w:rPr>
      </w:pPr>
    </w:p>
    <w:p>
      <w:pPr>
        <w:rPr>
          <w:rFonts w:asciiTheme="minorEastAsia" w:hAnsiTheme="minorEastAsia" w:eastAsiaTheme="minorEastAsia" w:cstheme="minorEastAsia"/>
          <w:b/>
        </w:rPr>
      </w:pPr>
    </w:p>
    <w:p>
      <w:pPr>
        <w:pStyle w:val="61"/>
        <w:rPr>
          <w:color w:val="auto"/>
        </w:rPr>
      </w:pPr>
    </w:p>
    <w:p>
      <w:pPr>
        <w:spacing w:line="360" w:lineRule="auto"/>
        <w:ind w:firstLine="612"/>
        <w:rPr>
          <w:rFonts w:asciiTheme="minorEastAsia" w:hAnsiTheme="minorEastAsia" w:eastAsiaTheme="minorEastAsia" w:cstheme="minorEastAsia"/>
        </w:rPr>
      </w:pPr>
      <w:r>
        <w:rPr>
          <w:rFonts w:hint="eastAsia" w:asciiTheme="minorEastAsia" w:hAnsiTheme="minorEastAsia" w:eastAsiaTheme="minorEastAsia" w:cstheme="minorEastAsia"/>
        </w:rPr>
        <w:t>单位名称：</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p>
    <w:p>
      <w:pPr>
        <w:spacing w:line="360" w:lineRule="auto"/>
        <w:ind w:firstLine="612"/>
        <w:rPr>
          <w:rFonts w:asciiTheme="minorEastAsia" w:hAnsiTheme="minorEastAsia" w:eastAsiaTheme="minorEastAsia" w:cstheme="minorEastAsia"/>
        </w:rPr>
      </w:pPr>
    </w:p>
    <w:p>
      <w:pPr>
        <w:spacing w:line="360" w:lineRule="auto"/>
        <w:ind w:firstLine="610"/>
        <w:rPr>
          <w:rFonts w:asciiTheme="minorEastAsia" w:hAnsiTheme="minorEastAsia" w:eastAsiaTheme="minorEastAsia" w:cstheme="minorEastAsia"/>
          <w:u w:val="single"/>
        </w:rPr>
      </w:pPr>
      <w:r>
        <w:rPr>
          <w:rFonts w:hint="eastAsia" w:asciiTheme="minorEastAsia" w:hAnsiTheme="minorEastAsia" w:eastAsiaTheme="minorEastAsia" w:cstheme="minorEastAsia"/>
        </w:rPr>
        <w:t>单位性质：</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p>
    <w:p>
      <w:pPr>
        <w:spacing w:line="360" w:lineRule="auto"/>
        <w:ind w:firstLine="610"/>
        <w:rPr>
          <w:rFonts w:asciiTheme="minorEastAsia" w:hAnsiTheme="minorEastAsia" w:eastAsiaTheme="minorEastAsia" w:cstheme="minorEastAsia"/>
        </w:rPr>
      </w:pPr>
    </w:p>
    <w:p>
      <w:pPr>
        <w:spacing w:line="360" w:lineRule="auto"/>
        <w:ind w:firstLine="610"/>
        <w:rPr>
          <w:rFonts w:asciiTheme="minorEastAsia" w:hAnsiTheme="minorEastAsia" w:eastAsiaTheme="minorEastAsia" w:cstheme="minorEastAsia"/>
          <w:u w:val="single"/>
        </w:rPr>
      </w:pP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p>
    <w:p>
      <w:pPr>
        <w:spacing w:line="360" w:lineRule="auto"/>
        <w:ind w:firstLine="610"/>
        <w:rPr>
          <w:rFonts w:asciiTheme="minorEastAsia" w:hAnsiTheme="minorEastAsia" w:eastAsiaTheme="minorEastAsia" w:cstheme="minorEastAsia"/>
        </w:rPr>
      </w:pPr>
    </w:p>
    <w:p>
      <w:pPr>
        <w:spacing w:line="360" w:lineRule="auto"/>
        <w:ind w:firstLine="610"/>
        <w:rPr>
          <w:rFonts w:asciiTheme="minorEastAsia" w:hAnsiTheme="minorEastAsia" w:eastAsiaTheme="minorEastAsia" w:cstheme="minorEastAsia"/>
        </w:rPr>
      </w:pPr>
      <w:r>
        <w:rPr>
          <w:rFonts w:hint="eastAsia" w:asciiTheme="minorEastAsia" w:hAnsiTheme="minorEastAsia" w:eastAsiaTheme="minorEastAsia" w:cstheme="minorEastAsia"/>
        </w:rPr>
        <w:t>成立时间：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spacing w:line="360" w:lineRule="auto"/>
        <w:ind w:firstLine="610"/>
        <w:rPr>
          <w:rFonts w:asciiTheme="minorEastAsia" w:hAnsiTheme="minorEastAsia" w:eastAsiaTheme="minorEastAsia" w:cstheme="minorEastAsia"/>
          <w:u w:val="single"/>
        </w:rPr>
      </w:pPr>
    </w:p>
    <w:p>
      <w:pPr>
        <w:spacing w:line="360" w:lineRule="auto"/>
        <w:ind w:firstLine="610"/>
        <w:rPr>
          <w:rFonts w:asciiTheme="minorEastAsia" w:hAnsiTheme="minorEastAsia" w:eastAsiaTheme="minorEastAsia" w:cstheme="minorEastAsia"/>
        </w:rPr>
      </w:pPr>
    </w:p>
    <w:p>
      <w:pPr>
        <w:spacing w:line="360" w:lineRule="auto"/>
        <w:ind w:firstLine="610"/>
        <w:rPr>
          <w:rFonts w:asciiTheme="minorEastAsia" w:hAnsiTheme="minorEastAsia" w:eastAsiaTheme="minorEastAsia" w:cstheme="minorEastAsia"/>
          <w:u w:val="single"/>
        </w:rPr>
      </w:pPr>
      <w:r>
        <w:rPr>
          <w:rFonts w:hint="eastAsia" w:asciiTheme="minorEastAsia" w:hAnsiTheme="minorEastAsia" w:eastAsiaTheme="minorEastAsia" w:cstheme="minorEastAsia"/>
        </w:rPr>
        <w:t>姓    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性别：</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年龄：</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职务：</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 xml:space="preserve"> </w:t>
      </w:r>
    </w:p>
    <w:p>
      <w:pPr>
        <w:spacing w:line="360" w:lineRule="auto"/>
        <w:ind w:firstLine="610"/>
      </w:pPr>
      <w:r>
        <w:rPr>
          <w:rFonts w:hint="eastAsia" w:asciiTheme="minorEastAsia" w:hAnsiTheme="minorEastAsia" w:eastAsiaTheme="minorEastAsia" w:cstheme="minorEastAsia"/>
        </w:rPr>
        <w:t>身份证号码：</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w:t>
      </w:r>
    </w:p>
    <w:p>
      <w:pPr>
        <w:spacing w:line="360" w:lineRule="auto"/>
        <w:ind w:firstLine="610"/>
        <w:rPr>
          <w:rFonts w:asciiTheme="minorEastAsia" w:hAnsiTheme="minorEastAsia" w:eastAsiaTheme="minorEastAsia" w:cstheme="minorEastAsia"/>
        </w:rPr>
      </w:pPr>
    </w:p>
    <w:p>
      <w:pPr>
        <w:spacing w:line="360" w:lineRule="auto"/>
        <w:ind w:firstLine="610"/>
        <w:rPr>
          <w:rFonts w:asciiTheme="minorEastAsia" w:hAnsiTheme="minorEastAsia" w:eastAsiaTheme="minorEastAsia" w:cstheme="minorEastAsia"/>
        </w:rPr>
      </w:pPr>
      <w:r>
        <w:rPr>
          <w:rFonts w:hint="eastAsia" w:asciiTheme="minorEastAsia" w:hAnsiTheme="minorEastAsia" w:eastAsiaTheme="minorEastAsia" w:cstheme="minorEastAsia"/>
        </w:rPr>
        <w:t>系</w:t>
      </w:r>
      <w:r>
        <w:rPr>
          <w:rFonts w:hint="eastAsia" w:asciiTheme="minorEastAsia" w:hAnsiTheme="minorEastAsia" w:eastAsiaTheme="minorEastAsia" w:cstheme="minorEastAsia"/>
          <w:u w:val="single"/>
        </w:rPr>
        <w:t xml:space="preserve">          （磋商供应商单位名称）         </w:t>
      </w:r>
      <w:r>
        <w:rPr>
          <w:rFonts w:hint="eastAsia" w:asciiTheme="minorEastAsia" w:hAnsiTheme="minorEastAsia" w:eastAsiaTheme="minorEastAsia" w:cstheme="minorEastAsia"/>
        </w:rPr>
        <w:t>的法定代表人。</w:t>
      </w:r>
    </w:p>
    <w:p>
      <w:pPr>
        <w:spacing w:line="360" w:lineRule="auto"/>
        <w:ind w:firstLine="610"/>
        <w:rPr>
          <w:rFonts w:asciiTheme="minorEastAsia" w:hAnsiTheme="minorEastAsia" w:eastAsiaTheme="minorEastAsia" w:cstheme="minorEastAsia"/>
        </w:rPr>
      </w:pPr>
    </w:p>
    <w:p>
      <w:pPr>
        <w:spacing w:line="360" w:lineRule="auto"/>
        <w:ind w:firstLine="610"/>
        <w:rPr>
          <w:rFonts w:asciiTheme="minorEastAsia" w:hAnsiTheme="minorEastAsia" w:eastAsiaTheme="minorEastAsia" w:cstheme="minorEastAsia"/>
        </w:rPr>
      </w:pPr>
      <w:r>
        <w:rPr>
          <w:rFonts w:hint="eastAsia" w:asciiTheme="minorEastAsia" w:hAnsiTheme="minorEastAsia" w:eastAsiaTheme="minorEastAsia" w:cstheme="minorEastAsia"/>
        </w:rPr>
        <w:t>特此证明。</w:t>
      </w:r>
    </w:p>
    <w:p>
      <w:pPr>
        <w:tabs>
          <w:tab w:val="left" w:pos="720"/>
          <w:tab w:val="left" w:pos="900"/>
        </w:tabs>
        <w:spacing w:line="360" w:lineRule="auto"/>
        <w:ind w:firstLine="420" w:firstLineChars="200"/>
        <w:rPr>
          <w:rFonts w:asciiTheme="minorEastAsia" w:hAnsiTheme="minorEastAsia" w:eastAsiaTheme="minorEastAsia" w:cstheme="minorEastAsia"/>
        </w:rPr>
      </w:pPr>
    </w:p>
    <w:p>
      <w:pPr>
        <w:tabs>
          <w:tab w:val="left" w:pos="720"/>
          <w:tab w:val="left" w:pos="900"/>
        </w:tabs>
        <w:spacing w:line="360" w:lineRule="auto"/>
        <w:ind w:firstLine="420" w:firstLineChars="200"/>
        <w:rPr>
          <w:rFonts w:asciiTheme="minorEastAsia" w:hAnsiTheme="minorEastAsia" w:eastAsiaTheme="minorEastAsia" w:cstheme="minorEastAsia"/>
        </w:rPr>
      </w:pPr>
    </w:p>
    <w:p>
      <w:pPr>
        <w:tabs>
          <w:tab w:val="left" w:pos="720"/>
          <w:tab w:val="left" w:pos="900"/>
        </w:tabs>
        <w:spacing w:line="360" w:lineRule="auto"/>
        <w:ind w:firstLine="3990" w:firstLineChars="1900"/>
        <w:rPr>
          <w:rFonts w:asciiTheme="minorEastAsia" w:hAnsiTheme="minorEastAsia" w:eastAsiaTheme="minorEastAsia" w:cstheme="minorEastAsia"/>
        </w:rPr>
      </w:pPr>
    </w:p>
    <w:p>
      <w:pPr>
        <w:tabs>
          <w:tab w:val="left" w:pos="720"/>
          <w:tab w:val="left" w:pos="900"/>
        </w:tabs>
        <w:spacing w:line="360" w:lineRule="auto"/>
        <w:ind w:firstLine="4410" w:firstLineChars="2100"/>
        <w:rPr>
          <w:rFonts w:asciiTheme="minorEastAsia" w:hAnsiTheme="minorEastAsia" w:eastAsiaTheme="minorEastAsia" w:cstheme="minorEastAsia"/>
        </w:rPr>
      </w:pPr>
      <w:r>
        <w:rPr>
          <w:rFonts w:hint="eastAsia" w:asciiTheme="minorEastAsia" w:hAnsiTheme="minorEastAsia" w:eastAsiaTheme="minorEastAsia" w:cstheme="minorEastAsia"/>
        </w:rPr>
        <w:t>磋商供应商：</w:t>
      </w:r>
      <w:r>
        <w:rPr>
          <w:rFonts w:hint="eastAsia" w:asciiTheme="minorEastAsia" w:hAnsiTheme="minorEastAsia" w:eastAsiaTheme="minorEastAsia" w:cstheme="minorEastAsia"/>
          <w:u w:val="single"/>
        </w:rPr>
        <w:t xml:space="preserve">             （盖公章）</w:t>
      </w:r>
    </w:p>
    <w:p>
      <w:pPr>
        <w:ind w:firstLine="4410" w:firstLineChars="2100"/>
        <w:rPr>
          <w:rFonts w:asciiTheme="minorEastAsia" w:hAnsiTheme="minorEastAsia" w:eastAsiaTheme="minorEastAsia" w:cstheme="minorEastAsia"/>
        </w:rPr>
      </w:pPr>
      <w:r>
        <w:rPr>
          <w:rFonts w:hint="eastAsia" w:asciiTheme="minorEastAsia" w:hAnsiTheme="minorEastAsia" w:eastAsiaTheme="minorEastAsia" w:cstheme="minorEastAsia"/>
        </w:rPr>
        <w:t>日  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ind w:firstLine="4410" w:firstLineChars="2100"/>
        <w:rPr>
          <w:rFonts w:asciiTheme="minorEastAsia" w:hAnsiTheme="minorEastAsia" w:eastAsiaTheme="minorEastAsia" w:cstheme="minorEastAsia"/>
        </w:rPr>
      </w:pPr>
    </w:p>
    <w:p>
      <w:pPr>
        <w:pStyle w:val="21"/>
        <w:ind w:firstLine="301"/>
        <w:rPr>
          <w:rFonts w:asciiTheme="minorEastAsia" w:hAnsiTheme="minorEastAsia" w:eastAsiaTheme="minorEastAsia" w:cstheme="minorEastAsia"/>
          <w:sz w:val="30"/>
          <w:szCs w:val="30"/>
        </w:rPr>
      </w:pPr>
    </w:p>
    <w:p>
      <w:pPr>
        <w:pStyle w:val="21"/>
        <w:ind w:firstLine="301"/>
        <w:rPr>
          <w:rFonts w:asciiTheme="minorEastAsia" w:hAnsiTheme="minorEastAsia" w:eastAsiaTheme="minorEastAsia" w:cstheme="minorEastAsia"/>
          <w:sz w:val="30"/>
          <w:szCs w:val="30"/>
        </w:rPr>
      </w:pPr>
    </w:p>
    <w:p>
      <w:pPr>
        <w:pStyle w:val="21"/>
        <w:ind w:firstLine="301"/>
        <w:rPr>
          <w:rFonts w:asciiTheme="minorEastAsia" w:hAnsiTheme="minorEastAsia" w:eastAsiaTheme="minorEastAsia" w:cstheme="minorEastAsia"/>
          <w:sz w:val="30"/>
          <w:szCs w:val="30"/>
        </w:rPr>
      </w:pPr>
    </w:p>
    <w:p>
      <w:pPr>
        <w:snapToGrid w:val="0"/>
        <w:ind w:firstLine="472" w:firstLineChars="196"/>
        <w:jc w:val="center"/>
        <w:rPr>
          <w:rFonts w:ascii="宋体" w:hAnsi="宋体"/>
          <w:b/>
          <w:sz w:val="24"/>
        </w:rPr>
      </w:pPr>
    </w:p>
    <w:p>
      <w:pPr>
        <w:snapToGrid w:val="0"/>
        <w:ind w:firstLine="472" w:firstLineChars="196"/>
        <w:jc w:val="center"/>
        <w:rPr>
          <w:rFonts w:ascii="宋体" w:hAnsi="宋体"/>
          <w:b/>
          <w:sz w:val="24"/>
        </w:rPr>
      </w:pPr>
      <w:r>
        <w:rPr>
          <w:rFonts w:hint="eastAsia" w:ascii="宋体" w:hAnsi="宋体"/>
          <w:b/>
          <w:sz w:val="24"/>
        </w:rPr>
        <w:t>法定代表人身份证复印件</w:t>
      </w:r>
    </w:p>
    <w:p>
      <w:pPr>
        <w:rPr>
          <w:rFonts w:ascii="宋体" w:hAnsi="宋体"/>
        </w:rPr>
      </w:pPr>
    </w:p>
    <w:p>
      <w:pPr>
        <w:rPr>
          <w:rFonts w:ascii="宋体" w:hAnsi="宋体"/>
        </w:rPr>
      </w:pPr>
      <w:r>
        <w:rPr>
          <w:rFonts w:hint="eastAsia" w:ascii="宋体" w:hAnsi="宋体"/>
        </w:rPr>
        <w:t>投标人法定代表人身份证复印件：</w:t>
      </w:r>
    </w:p>
    <w:p>
      <w:pPr>
        <w:rPr>
          <w:rFonts w:ascii="宋体" w:hAnsi="宋体"/>
        </w:rPr>
      </w:pPr>
    </w:p>
    <w:tbl>
      <w:tblPr>
        <w:tblStyle w:val="45"/>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rPr>
            </w:pPr>
            <w:r>
              <w:rPr>
                <w:rFonts w:hint="eastAsia" w:ascii="宋体" w:hAnsi="宋体"/>
              </w:rPr>
              <w:t>身份证（正面）</w:t>
            </w:r>
          </w:p>
        </w:tc>
      </w:tr>
    </w:tbl>
    <w:p>
      <w:pPr>
        <w:rPr>
          <w:rFonts w:ascii="宋体" w:hAnsi="宋体"/>
        </w:rPr>
      </w:pPr>
    </w:p>
    <w:tbl>
      <w:tblPr>
        <w:tblStyle w:val="45"/>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rPr>
            </w:pPr>
            <w:r>
              <w:rPr>
                <w:rFonts w:hint="eastAsia" w:ascii="宋体" w:hAnsi="宋体"/>
              </w:rPr>
              <w:t>身份证（反面）</w:t>
            </w:r>
          </w:p>
          <w:p>
            <w:pPr>
              <w:jc w:val="center"/>
              <w:rPr>
                <w:rFonts w:ascii="宋体" w:hAnsi="宋体"/>
              </w:rPr>
            </w:pPr>
          </w:p>
        </w:tc>
      </w:tr>
    </w:tbl>
    <w:p>
      <w:pPr>
        <w:rPr>
          <w:rFonts w:ascii="宋体" w:hAnsi="宋体"/>
        </w:rPr>
      </w:pPr>
    </w:p>
    <w:p>
      <w:pPr>
        <w:rPr>
          <w:rFonts w:ascii="宋体" w:hAnsi="宋体"/>
        </w:rPr>
      </w:pPr>
    </w:p>
    <w:p>
      <w:pPr>
        <w:spacing w:line="360" w:lineRule="auto"/>
        <w:jc w:val="center"/>
        <w:rPr>
          <w:rFonts w:ascii="宋体" w:hAnsi="宋体"/>
        </w:rPr>
      </w:pPr>
      <w:r>
        <w:rPr>
          <w:rFonts w:hint="eastAsia" w:ascii="宋体" w:hAnsi="宋体"/>
        </w:rPr>
        <w:t xml:space="preserve">                 </w:t>
      </w:r>
    </w:p>
    <w:p>
      <w:pPr>
        <w:spacing w:line="360" w:lineRule="auto"/>
        <w:jc w:val="center"/>
        <w:rPr>
          <w:rFonts w:ascii="宋体" w:hAnsi="宋体"/>
        </w:rPr>
      </w:pPr>
    </w:p>
    <w:p>
      <w:pPr>
        <w:spacing w:line="360" w:lineRule="auto"/>
        <w:jc w:val="center"/>
        <w:rPr>
          <w:rFonts w:ascii="宋体" w:hAnsi="宋体"/>
          <w:u w:val="single"/>
        </w:rPr>
      </w:pPr>
      <w:r>
        <w:rPr>
          <w:rFonts w:hint="eastAsia" w:ascii="宋体" w:hAnsi="宋体"/>
        </w:rPr>
        <w:t xml:space="preserve">                 法定代表人（签字或盖章）：</w:t>
      </w:r>
      <w:r>
        <w:rPr>
          <w:rFonts w:hint="eastAsia" w:ascii="宋体" w:hAnsi="宋体"/>
          <w:u w:val="single"/>
        </w:rPr>
        <w:t xml:space="preserve">               </w:t>
      </w:r>
    </w:p>
    <w:p>
      <w:pPr>
        <w:tabs>
          <w:tab w:val="left" w:pos="720"/>
          <w:tab w:val="left" w:pos="900"/>
        </w:tabs>
        <w:spacing w:line="360" w:lineRule="auto"/>
        <w:ind w:firstLine="4410" w:firstLineChars="2100"/>
        <w:rPr>
          <w:rFonts w:asciiTheme="minorEastAsia" w:hAnsiTheme="minorEastAsia" w:eastAsiaTheme="minorEastAsia" w:cstheme="minorEastAsia"/>
        </w:rPr>
      </w:pPr>
      <w:r>
        <w:rPr>
          <w:rFonts w:hint="eastAsia" w:asciiTheme="minorEastAsia" w:hAnsiTheme="minorEastAsia" w:eastAsiaTheme="minorEastAsia" w:cstheme="minorEastAsia"/>
        </w:rPr>
        <w:t>磋商供应商（盖公章）：</w:t>
      </w:r>
      <w:r>
        <w:rPr>
          <w:rFonts w:hint="eastAsia" w:asciiTheme="minorEastAsia" w:hAnsiTheme="minorEastAsia" w:eastAsiaTheme="minorEastAsia" w:cstheme="minorEastAsia"/>
          <w:u w:val="single"/>
        </w:rPr>
        <w:t xml:space="preserve">             </w:t>
      </w:r>
    </w:p>
    <w:p>
      <w:pPr>
        <w:spacing w:line="360" w:lineRule="auto"/>
        <w:ind w:firstLine="4410" w:firstLineChars="2100"/>
        <w:rPr>
          <w:rFonts w:asciiTheme="minorEastAsia" w:hAnsiTheme="minorEastAsia" w:eastAsiaTheme="minorEastAsia" w:cstheme="minorEastAsia"/>
        </w:rPr>
      </w:pPr>
      <w:r>
        <w:rPr>
          <w:rFonts w:hint="eastAsia" w:asciiTheme="minorEastAsia" w:hAnsiTheme="minorEastAsia" w:eastAsiaTheme="minorEastAsia" w:cstheme="minorEastAsia"/>
        </w:rPr>
        <w:t>日  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pStyle w:val="21"/>
        <w:ind w:firstLine="482"/>
        <w:rPr>
          <w:rFonts w:asciiTheme="minorEastAsia" w:hAnsiTheme="minorEastAsia" w:eastAsiaTheme="minorEastAsia" w:cstheme="minorEastAsia"/>
          <w:sz w:val="30"/>
          <w:szCs w:val="30"/>
        </w:rPr>
      </w:pPr>
      <w:r>
        <w:rPr>
          <w:rFonts w:ascii="宋体" w:hAnsi="宋体"/>
        </w:rPr>
        <w:br w:type="page"/>
      </w:r>
    </w:p>
    <w:p>
      <w:pPr>
        <w:pStyle w:val="21"/>
        <w:ind w:firstLine="301"/>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二、响应文件签署授权委托书原件及委托代理人身份证正反面复印件</w:t>
      </w:r>
    </w:p>
    <w:p>
      <w:pPr>
        <w:pStyle w:val="5"/>
        <w:spacing w:line="5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（委托代理时必须提供）</w:t>
      </w:r>
    </w:p>
    <w:p>
      <w:pPr>
        <w:spacing w:after="156"/>
        <w:rPr>
          <w:rFonts w:asciiTheme="minorEastAsia" w:hAnsiTheme="minorEastAsia" w:eastAsiaTheme="minorEastAsia" w:cstheme="minorEastAsia"/>
          <w:b/>
        </w:rPr>
      </w:pPr>
    </w:p>
    <w:p>
      <w:pPr>
        <w:spacing w:line="360" w:lineRule="auto"/>
        <w:ind w:firstLine="610"/>
        <w:rPr>
          <w:rFonts w:asciiTheme="minorEastAsia" w:hAnsiTheme="minorEastAsia" w:eastAsiaTheme="minorEastAsia" w:cstheme="minorEastAsia"/>
        </w:rPr>
      </w:pPr>
      <w:r>
        <w:rPr>
          <w:rFonts w:hint="eastAsia" w:asciiTheme="minorEastAsia" w:hAnsiTheme="minorEastAsia" w:eastAsiaTheme="minorEastAsia" w:cstheme="minorEastAsia"/>
        </w:rPr>
        <w:t>本授权委托书声明：我</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（姓名）系</w:t>
      </w:r>
      <w:r>
        <w:rPr>
          <w:rFonts w:hint="eastAsia" w:asciiTheme="minorEastAsia" w:hAnsiTheme="minorEastAsia" w:eastAsiaTheme="minorEastAsia" w:cstheme="minorEastAsia"/>
          <w:u w:val="single"/>
        </w:rPr>
        <w:t xml:space="preserve">        （竞 标 人 名 称）</w:t>
      </w:r>
      <w:r>
        <w:rPr>
          <w:rFonts w:hint="eastAsia" w:asciiTheme="minorEastAsia" w:hAnsiTheme="minorEastAsia" w:eastAsiaTheme="minorEastAsia" w:cstheme="minorEastAsia"/>
        </w:rPr>
        <w:t>的法定代表人，现授权委托</w:t>
      </w:r>
      <w:r>
        <w:rPr>
          <w:rFonts w:hint="eastAsia" w:asciiTheme="minorEastAsia" w:hAnsiTheme="minorEastAsia" w:eastAsiaTheme="minorEastAsia" w:cstheme="minorEastAsia"/>
          <w:u w:val="single"/>
        </w:rPr>
        <w:t xml:space="preserve">      （单 位 名 称）     </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u w:val="single"/>
        </w:rPr>
        <w:t xml:space="preserve">    （姓名）    </w:t>
      </w:r>
      <w:r>
        <w:rPr>
          <w:rFonts w:hint="eastAsia" w:asciiTheme="minorEastAsia" w:hAnsiTheme="minorEastAsia" w:eastAsiaTheme="minorEastAsia" w:cstheme="minorEastAsia"/>
        </w:rPr>
        <w:t>为我公司签署本工程的响应文件的法定代表人授权委托代理人，我承认代理人全权代表我所签署的本工程的响应文件的内容。</w:t>
      </w:r>
    </w:p>
    <w:p>
      <w:pPr>
        <w:spacing w:line="360" w:lineRule="auto"/>
        <w:ind w:firstLine="610"/>
        <w:rPr>
          <w:rFonts w:asciiTheme="minorEastAsia" w:hAnsiTheme="minorEastAsia" w:eastAsiaTheme="minorEastAsia" w:cstheme="minorEastAsia"/>
        </w:rPr>
      </w:pPr>
    </w:p>
    <w:p>
      <w:pPr>
        <w:spacing w:line="360" w:lineRule="auto"/>
        <w:ind w:firstLine="697"/>
        <w:rPr>
          <w:rFonts w:asciiTheme="minorEastAsia" w:hAnsiTheme="minorEastAsia" w:eastAsiaTheme="minorEastAsia" w:cstheme="minorEastAsia"/>
        </w:rPr>
      </w:pPr>
      <w:r>
        <w:rPr>
          <w:rFonts w:hint="eastAsia" w:asciiTheme="minorEastAsia" w:hAnsiTheme="minorEastAsia" w:eastAsiaTheme="minorEastAsia" w:cstheme="minorEastAsia"/>
        </w:rPr>
        <w:t>代理人无转委托权，特此委托。</w:t>
      </w:r>
    </w:p>
    <w:p>
      <w:pPr>
        <w:ind w:left="1260"/>
        <w:rPr>
          <w:rFonts w:asciiTheme="minorEastAsia" w:hAnsiTheme="minorEastAsia" w:eastAsiaTheme="minorEastAsia" w:cstheme="minorEastAsia"/>
        </w:rPr>
      </w:pPr>
    </w:p>
    <w:p>
      <w:pPr>
        <w:ind w:left="1260"/>
        <w:rPr>
          <w:rFonts w:asciiTheme="minorEastAsia" w:hAnsiTheme="minorEastAsia" w:eastAsiaTheme="minorEastAsia" w:cstheme="minorEastAsia"/>
        </w:rPr>
      </w:pPr>
    </w:p>
    <w:p>
      <w:pPr>
        <w:ind w:left="1260"/>
        <w:rPr>
          <w:rFonts w:asciiTheme="minorEastAsia" w:hAnsiTheme="minorEastAsia" w:eastAsiaTheme="minorEastAsia" w:cstheme="minorEastAsia"/>
        </w:rPr>
      </w:pPr>
    </w:p>
    <w:p>
      <w:pPr>
        <w:ind w:left="1260"/>
        <w:rPr>
          <w:rFonts w:asciiTheme="minorEastAsia" w:hAnsiTheme="minorEastAsia" w:eastAsiaTheme="minorEastAsia" w:cstheme="minorEastAsia"/>
        </w:rPr>
      </w:pPr>
    </w:p>
    <w:p>
      <w:pPr>
        <w:ind w:left="1260"/>
        <w:rPr>
          <w:rFonts w:asciiTheme="minorEastAsia" w:hAnsiTheme="minorEastAsia" w:eastAsiaTheme="minorEastAsia" w:cstheme="minorEastAsia"/>
        </w:rPr>
      </w:pPr>
    </w:p>
    <w:p>
      <w:pPr>
        <w:ind w:left="1260"/>
        <w:rPr>
          <w:rFonts w:asciiTheme="minorEastAsia" w:hAnsiTheme="minorEastAsia" w:eastAsiaTheme="minorEastAsia" w:cstheme="minorEastAsia"/>
        </w:rPr>
      </w:pPr>
    </w:p>
    <w:p>
      <w:pPr>
        <w:ind w:left="1260"/>
        <w:rPr>
          <w:rFonts w:asciiTheme="minorEastAsia" w:hAnsiTheme="minorEastAsia" w:eastAsiaTheme="minorEastAsia" w:cstheme="minorEastAsia"/>
        </w:rPr>
      </w:pPr>
    </w:p>
    <w:p>
      <w:pPr>
        <w:ind w:left="1260"/>
        <w:rPr>
          <w:rFonts w:asciiTheme="minorEastAsia" w:hAnsiTheme="minorEastAsia" w:eastAsiaTheme="minorEastAsia" w:cstheme="minorEastAsia"/>
        </w:rPr>
      </w:pPr>
    </w:p>
    <w:p>
      <w:pPr>
        <w:ind w:left="1260"/>
        <w:rPr>
          <w:rFonts w:asciiTheme="minorEastAsia" w:hAnsiTheme="minorEastAsia" w:eastAsiaTheme="minorEastAsia" w:cstheme="minorEastAsia"/>
        </w:rPr>
      </w:pPr>
    </w:p>
    <w:p>
      <w:pPr>
        <w:ind w:left="1260"/>
        <w:rPr>
          <w:rFonts w:asciiTheme="minorEastAsia" w:hAnsiTheme="minorEastAsia" w:eastAsiaTheme="minorEastAsia" w:cstheme="minorEastAsia"/>
        </w:rPr>
      </w:pPr>
    </w:p>
    <w:p>
      <w:pPr>
        <w:ind w:left="1260"/>
        <w:rPr>
          <w:rFonts w:asciiTheme="minorEastAsia" w:hAnsiTheme="minorEastAsia" w:eastAsiaTheme="minorEastAsia" w:cstheme="minorEastAsia"/>
        </w:rPr>
      </w:pPr>
    </w:p>
    <w:p>
      <w:pPr>
        <w:ind w:left="1260"/>
        <w:rPr>
          <w:rFonts w:asciiTheme="minorEastAsia" w:hAnsiTheme="minorEastAsia" w:eastAsiaTheme="minorEastAsia" w:cstheme="minorEastAsia"/>
        </w:rPr>
      </w:pPr>
    </w:p>
    <w:p>
      <w:pPr>
        <w:ind w:left="1260"/>
        <w:rPr>
          <w:rFonts w:asciiTheme="minorEastAsia" w:hAnsiTheme="minorEastAsia" w:eastAsiaTheme="minorEastAsia" w:cstheme="minorEastAsia"/>
        </w:rPr>
      </w:pPr>
    </w:p>
    <w:p>
      <w:pPr>
        <w:spacing w:line="360" w:lineRule="auto"/>
        <w:ind w:left="2699"/>
        <w:rPr>
          <w:rFonts w:asciiTheme="minorEastAsia" w:hAnsiTheme="minorEastAsia" w:eastAsiaTheme="minorEastAsia" w:cstheme="minorEastAsia"/>
          <w:u w:val="single"/>
        </w:rPr>
      </w:pPr>
      <w:r>
        <w:rPr>
          <w:rFonts w:hint="eastAsia" w:asciiTheme="minorEastAsia" w:hAnsiTheme="minorEastAsia" w:eastAsiaTheme="minorEastAsia" w:cstheme="minorEastAsia"/>
        </w:rPr>
        <w:t>代理人（签字或盖章）：</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性别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年龄：</w:t>
      </w:r>
      <w:r>
        <w:rPr>
          <w:rFonts w:hint="eastAsia" w:asciiTheme="minorEastAsia" w:hAnsiTheme="minorEastAsia" w:eastAsiaTheme="minorEastAsia" w:cstheme="minorEastAsia"/>
          <w:u w:val="single"/>
        </w:rPr>
        <w:t xml:space="preserve">        </w:t>
      </w:r>
    </w:p>
    <w:p>
      <w:pPr>
        <w:spacing w:line="360" w:lineRule="auto"/>
        <w:ind w:left="2699"/>
        <w:rPr>
          <w:rFonts w:asciiTheme="minorEastAsia" w:hAnsiTheme="minorEastAsia" w:eastAsiaTheme="minorEastAsia" w:cstheme="minorEastAsia"/>
          <w:u w:val="single"/>
        </w:rPr>
      </w:pPr>
      <w:r>
        <w:rPr>
          <w:rFonts w:hint="eastAsia" w:asciiTheme="minorEastAsia" w:hAnsiTheme="minorEastAsia" w:eastAsiaTheme="minorEastAsia" w:cstheme="minorEastAsia"/>
        </w:rPr>
        <w:t>身份证号码：</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p>
    <w:p>
      <w:pPr>
        <w:spacing w:line="360" w:lineRule="auto"/>
        <w:ind w:left="2699"/>
        <w:rPr>
          <w:rFonts w:asciiTheme="minorEastAsia" w:hAnsiTheme="minorEastAsia" w:eastAsiaTheme="minorEastAsia" w:cstheme="minorEastAsia"/>
        </w:rPr>
      </w:pPr>
      <w:r>
        <w:rPr>
          <w:rFonts w:hint="eastAsia" w:asciiTheme="minorEastAsia" w:hAnsiTheme="minorEastAsia" w:eastAsiaTheme="minorEastAsia" w:cstheme="minorEastAsia"/>
        </w:rPr>
        <w:t>磋商供应商（盖章）：</w:t>
      </w:r>
      <w:r>
        <w:rPr>
          <w:rFonts w:hint="eastAsia" w:asciiTheme="minorEastAsia" w:hAnsiTheme="minorEastAsia" w:eastAsiaTheme="minorEastAsia" w:cstheme="minorEastAsia"/>
          <w:u w:val="single"/>
        </w:rPr>
        <w:t xml:space="preserve">                                    </w:t>
      </w:r>
    </w:p>
    <w:p>
      <w:pPr>
        <w:spacing w:line="360" w:lineRule="auto"/>
        <w:ind w:left="2699"/>
        <w:rPr>
          <w:rFonts w:asciiTheme="minorEastAsia" w:hAnsiTheme="minorEastAsia" w:eastAsiaTheme="minorEastAsia" w:cstheme="minorEastAsia"/>
          <w:u w:val="single"/>
        </w:rPr>
      </w:pPr>
      <w:r>
        <w:rPr>
          <w:rFonts w:hint="eastAsia" w:asciiTheme="minorEastAsia" w:hAnsiTheme="minorEastAsia" w:eastAsiaTheme="minorEastAsia" w:cstheme="minorEastAsia"/>
        </w:rPr>
        <w:t>法定代表人（签字或盖章）：</w:t>
      </w:r>
      <w:r>
        <w:rPr>
          <w:rFonts w:hint="eastAsia" w:asciiTheme="minorEastAsia" w:hAnsiTheme="minorEastAsia" w:eastAsiaTheme="minorEastAsia" w:cstheme="minorEastAsia"/>
          <w:u w:val="single"/>
        </w:rPr>
        <w:t xml:space="preserve">                            </w:t>
      </w:r>
    </w:p>
    <w:p>
      <w:pPr>
        <w:pStyle w:val="18"/>
      </w:pPr>
    </w:p>
    <w:p>
      <w:pPr>
        <w:pStyle w:val="21"/>
        <w:ind w:firstLine="482"/>
      </w:pPr>
    </w:p>
    <w:p>
      <w:pPr>
        <w:pStyle w:val="21"/>
        <w:ind w:firstLine="482"/>
      </w:pPr>
    </w:p>
    <w:p>
      <w:pPr>
        <w:pStyle w:val="21"/>
        <w:ind w:firstLine="482"/>
      </w:pPr>
    </w:p>
    <w:p>
      <w:pPr>
        <w:rPr>
          <w:rFonts w:asciiTheme="minorEastAsia" w:hAnsiTheme="minorEastAsia" w:eastAsiaTheme="minorEastAsia" w:cstheme="minorEastAsia"/>
          <w:b/>
          <w:bCs/>
          <w:kern w:val="0"/>
          <w:sz w:val="30"/>
          <w:szCs w:val="30"/>
        </w:rPr>
      </w:pPr>
      <w:r>
        <w:rPr>
          <w:rFonts w:hint="eastAsia" w:asciiTheme="minorEastAsia" w:hAnsiTheme="minorEastAsia" w:eastAsiaTheme="minorEastAsia" w:cstheme="minorEastAsia"/>
          <w:b/>
          <w:bCs/>
          <w:kern w:val="0"/>
          <w:sz w:val="30"/>
          <w:szCs w:val="30"/>
        </w:rPr>
        <w:br w:type="page"/>
      </w:r>
    </w:p>
    <w:p>
      <w:pPr>
        <w:spacing w:line="400" w:lineRule="exact"/>
        <w:jc w:val="center"/>
        <w:rPr>
          <w:rFonts w:asciiTheme="minorEastAsia" w:hAnsiTheme="minorEastAsia" w:eastAsiaTheme="minorEastAsia" w:cstheme="minorEastAsia"/>
          <w:b/>
          <w:bCs/>
          <w:kern w:val="0"/>
          <w:sz w:val="30"/>
          <w:szCs w:val="30"/>
        </w:rPr>
      </w:pPr>
      <w:r>
        <w:rPr>
          <w:rFonts w:hint="eastAsia" w:asciiTheme="minorEastAsia" w:hAnsiTheme="minorEastAsia" w:eastAsiaTheme="minorEastAsia" w:cstheme="minorEastAsia"/>
          <w:b/>
          <w:bCs/>
          <w:kern w:val="0"/>
          <w:sz w:val="30"/>
          <w:szCs w:val="30"/>
        </w:rPr>
        <w:t>三、谈判保证金提交凭证</w:t>
      </w:r>
    </w:p>
    <w:p>
      <w:pPr>
        <w:pStyle w:val="2"/>
      </w:pPr>
    </w:p>
    <w:p>
      <w:pPr>
        <w:spacing w:line="400" w:lineRule="exact"/>
        <w:jc w:val="center"/>
        <w:rPr>
          <w:rFonts w:asciiTheme="minorEastAsia" w:hAnsiTheme="minorEastAsia" w:eastAsiaTheme="minorEastAsia" w:cstheme="minorEastAsia"/>
          <w:b/>
          <w:bCs/>
          <w:kern w:val="0"/>
          <w:sz w:val="30"/>
          <w:szCs w:val="30"/>
        </w:rPr>
      </w:pPr>
      <w:r>
        <w:rPr>
          <w:rFonts w:hint="eastAsia" w:asciiTheme="minorEastAsia" w:hAnsiTheme="minorEastAsia" w:eastAsiaTheme="minorEastAsia" w:cstheme="minorEastAsia"/>
          <w:b/>
          <w:bCs/>
          <w:kern w:val="0"/>
          <w:sz w:val="30"/>
          <w:szCs w:val="30"/>
        </w:rPr>
        <w:t>四、农民工工资保障金的交纳与使用承诺书</w:t>
      </w:r>
    </w:p>
    <w:p>
      <w:pPr>
        <w:pStyle w:val="8"/>
        <w:spacing w:line="480" w:lineRule="auto"/>
        <w:ind w:firstLine="400" w:firstLineChars="167"/>
        <w:rPr>
          <w:rFonts w:asciiTheme="minorEastAsia" w:hAnsiTheme="minorEastAsia" w:eastAsiaTheme="minorEastAsia" w:cstheme="minorEastAsia"/>
          <w:sz w:val="24"/>
          <w:szCs w:val="24"/>
        </w:rPr>
      </w:pPr>
    </w:p>
    <w:p>
      <w:pPr>
        <w:pStyle w:val="8"/>
        <w:spacing w:line="480" w:lineRule="auto"/>
        <w:ind w:firstLine="400" w:firstLineChars="16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sz w:val="24"/>
          <w:szCs w:val="24"/>
        </w:rPr>
        <w:t>（采购单位名称）</w:t>
      </w:r>
    </w:p>
    <w:p>
      <w:pPr>
        <w:pStyle w:val="8"/>
        <w:spacing w:line="480" w:lineRule="auto"/>
        <w:ind w:firstLine="400" w:firstLineChars="16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如我公司在贵单位的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项目成交，根据广西壮族自治区劳动和社会保障厅、广西壮族自治区建设厅桂劳社发[2009]50号规定，我方在此向采购人承诺： </w:t>
      </w:r>
    </w:p>
    <w:p>
      <w:pPr>
        <w:pStyle w:val="8"/>
        <w:spacing w:line="480" w:lineRule="auto"/>
        <w:ind w:firstLine="880" w:firstLineChars="36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1、我方保证在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项目的磋商文件中，如实反映我方以前所承建工程中工资支付的情况，并特别注明至提交磋商文件截止之日止，不存在拖欠或克扣农民工工资的行为。 </w:t>
      </w:r>
    </w:p>
    <w:p>
      <w:pPr>
        <w:pStyle w:val="8"/>
        <w:spacing w:line="480" w:lineRule="auto"/>
        <w:ind w:firstLine="880" w:firstLineChars="36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2、我方参与磋商的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项目，一旦成交，我方保证在收到成交通知书之日起 7个工作日内，及时并足额将农民工工资保证金存入指定帐户，作为本项目农民工工资保证金。 </w:t>
      </w:r>
    </w:p>
    <w:p>
      <w:pPr>
        <w:pStyle w:val="8"/>
        <w:spacing w:line="480" w:lineRule="auto"/>
        <w:ind w:firstLine="880" w:firstLineChars="36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3、如我方在承包</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项目中出现欠或克扣农民工工资和其它职工工资情况的，由建设行政主管部门从本企业缴纳的农民工工资保证金中先予划支。 </w:t>
      </w:r>
    </w:p>
    <w:p>
      <w:pPr>
        <w:pStyle w:val="8"/>
        <w:spacing w:line="480" w:lineRule="auto"/>
        <w:ind w:firstLine="880" w:firstLineChars="36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4、如我方不按时、足额存入农民工工资保证金，采购人有权取消我方成交资格。 </w:t>
      </w:r>
    </w:p>
    <w:p>
      <w:pPr>
        <w:pStyle w:val="8"/>
        <w:spacing w:line="360" w:lineRule="auto"/>
        <w:ind w:firstLine="400" w:firstLineChars="167"/>
        <w:rPr>
          <w:rFonts w:asciiTheme="minorEastAsia" w:hAnsiTheme="minorEastAsia" w:eastAsiaTheme="minorEastAsia" w:cstheme="minorEastAsia"/>
          <w:sz w:val="24"/>
          <w:szCs w:val="24"/>
        </w:rPr>
      </w:pPr>
    </w:p>
    <w:p>
      <w:pPr>
        <w:pStyle w:val="8"/>
        <w:spacing w:line="360" w:lineRule="auto"/>
        <w:ind w:firstLine="400" w:firstLineChars="167"/>
        <w:rPr>
          <w:rFonts w:asciiTheme="minorEastAsia" w:hAnsiTheme="minorEastAsia" w:eastAsiaTheme="minorEastAsia" w:cstheme="minorEastAsia"/>
          <w:sz w:val="24"/>
          <w:szCs w:val="24"/>
        </w:rPr>
      </w:pPr>
    </w:p>
    <w:p>
      <w:pPr>
        <w:spacing w:line="360" w:lineRule="auto"/>
        <w:jc w:val="center"/>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磋商供应商（盖章）：</w:t>
      </w:r>
      <w:r>
        <w:rPr>
          <w:rFonts w:hint="eastAsia" w:asciiTheme="minorEastAsia" w:hAnsiTheme="minorEastAsia" w:eastAsiaTheme="minorEastAsia" w:cstheme="minorEastAsia"/>
          <w:sz w:val="24"/>
          <w:szCs w:val="24"/>
          <w:u w:val="single"/>
        </w:rPr>
        <w:t xml:space="preserve">                     </w:t>
      </w:r>
    </w:p>
    <w:p>
      <w:pPr>
        <w:spacing w:line="360" w:lineRule="auto"/>
        <w:jc w:val="center"/>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法定代表人或授权代理人（签字或盖章）：</w:t>
      </w:r>
      <w:r>
        <w:rPr>
          <w:rFonts w:hint="eastAsia" w:asciiTheme="minorEastAsia" w:hAnsiTheme="minorEastAsia" w:eastAsiaTheme="minorEastAsia" w:cstheme="minorEastAsia"/>
          <w:sz w:val="24"/>
          <w:szCs w:val="24"/>
          <w:u w:val="single"/>
        </w:rPr>
        <w:t xml:space="preserve">              </w:t>
      </w:r>
    </w:p>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spacing w:line="400" w:lineRule="exact"/>
        <w:jc w:val="center"/>
        <w:rPr>
          <w:rFonts w:asciiTheme="minorEastAsia" w:hAnsiTheme="minorEastAsia" w:eastAsiaTheme="minorEastAsia" w:cstheme="minorEastAsia"/>
        </w:rPr>
      </w:pPr>
    </w:p>
    <w:p>
      <w:pPr>
        <w:spacing w:line="400" w:lineRule="exact"/>
        <w:jc w:val="center"/>
        <w:rPr>
          <w:rFonts w:asciiTheme="minorEastAsia" w:hAnsiTheme="minorEastAsia" w:eastAsiaTheme="minorEastAsia" w:cstheme="minorEastAsia"/>
        </w:rPr>
      </w:pPr>
    </w:p>
    <w:p>
      <w:pPr>
        <w:spacing w:line="400" w:lineRule="exact"/>
        <w:jc w:val="center"/>
        <w:rPr>
          <w:rFonts w:asciiTheme="minorEastAsia" w:hAnsiTheme="minorEastAsia" w:eastAsiaTheme="minorEastAsia" w:cstheme="minorEastAsia"/>
        </w:rPr>
      </w:pPr>
    </w:p>
    <w:p>
      <w:pPr>
        <w:rPr>
          <w:rFonts w:asciiTheme="minorEastAsia" w:hAnsiTheme="minorEastAsia" w:eastAsiaTheme="minorEastAsia" w:cstheme="minorEastAsia"/>
          <w:b/>
          <w:bCs/>
          <w:kern w:val="0"/>
          <w:sz w:val="30"/>
          <w:szCs w:val="30"/>
        </w:rPr>
      </w:pPr>
      <w:r>
        <w:rPr>
          <w:rFonts w:hint="eastAsia" w:asciiTheme="minorEastAsia" w:hAnsiTheme="minorEastAsia" w:eastAsiaTheme="minorEastAsia" w:cstheme="minorEastAsia"/>
          <w:b/>
          <w:bCs/>
          <w:kern w:val="0"/>
          <w:sz w:val="30"/>
          <w:szCs w:val="30"/>
        </w:rPr>
        <w:br w:type="page"/>
      </w:r>
    </w:p>
    <w:p>
      <w:pPr>
        <w:spacing w:line="400" w:lineRule="exact"/>
        <w:jc w:val="center"/>
        <w:rPr>
          <w:rFonts w:asciiTheme="minorEastAsia" w:hAnsiTheme="minorEastAsia" w:eastAsiaTheme="minorEastAsia" w:cstheme="minorEastAsia"/>
          <w:b/>
          <w:bCs/>
          <w:kern w:val="0"/>
          <w:sz w:val="30"/>
          <w:szCs w:val="30"/>
        </w:rPr>
      </w:pPr>
      <w:r>
        <w:rPr>
          <w:rFonts w:hint="eastAsia" w:asciiTheme="minorEastAsia" w:hAnsiTheme="minorEastAsia" w:eastAsiaTheme="minorEastAsia" w:cstheme="minorEastAsia"/>
          <w:b/>
          <w:bCs/>
          <w:kern w:val="0"/>
          <w:sz w:val="30"/>
          <w:szCs w:val="30"/>
        </w:rPr>
        <w:t>五、建设工程项目管理承诺书</w:t>
      </w:r>
    </w:p>
    <w:p>
      <w:pPr>
        <w:spacing w:line="360" w:lineRule="auto"/>
        <w:jc w:val="left"/>
        <w:rPr>
          <w:rFonts w:asciiTheme="minorEastAsia" w:hAnsiTheme="minorEastAsia" w:eastAsiaTheme="minorEastAsia" w:cstheme="minorEastAsia"/>
        </w:rPr>
      </w:pP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（采购单位名称）：</w:t>
      </w:r>
    </w:p>
    <w:p>
      <w:pPr>
        <w:spacing w:line="360" w:lineRule="auto"/>
        <w:ind w:left="-10" w:firstLine="455" w:firstLineChars="217"/>
        <w:jc w:val="left"/>
        <w:rPr>
          <w:rFonts w:asciiTheme="minorEastAsia" w:hAnsiTheme="minorEastAsia" w:eastAsiaTheme="minorEastAsia" w:cstheme="minorEastAsia"/>
        </w:rPr>
      </w:pPr>
      <w:r>
        <w:rPr>
          <w:rFonts w:hint="eastAsia" w:asciiTheme="minorEastAsia" w:hAnsiTheme="minorEastAsia" w:eastAsiaTheme="minorEastAsia" w:cstheme="minorEastAsia"/>
        </w:rPr>
        <w:t>作为参与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（工程名称）项目的投标方，根据国家、自治区相关文件规定，我方在此向招标人承诺：</w:t>
      </w:r>
    </w:p>
    <w:p>
      <w:pPr>
        <w:spacing w:line="520" w:lineRule="exact"/>
        <w:ind w:left="-10" w:firstLine="455" w:firstLineChars="217"/>
        <w:jc w:val="left"/>
        <w:rPr>
          <w:rFonts w:asciiTheme="minorEastAsia" w:hAnsiTheme="minorEastAsia" w:eastAsiaTheme="minorEastAsia" w:cstheme="minorEastAsia"/>
        </w:rPr>
      </w:pPr>
      <w:r>
        <w:rPr>
          <w:rFonts w:hint="eastAsia" w:asciiTheme="minorEastAsia" w:hAnsiTheme="minorEastAsia" w:eastAsiaTheme="minorEastAsia" w:cstheme="minorEastAsia"/>
        </w:rPr>
        <w:t>1、一旦中标，我方保证按照政府相关部门的规定，在发出中标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pPr>
        <w:spacing w:line="520" w:lineRule="exact"/>
        <w:ind w:left="-10" w:firstLine="455" w:firstLineChars="217"/>
        <w:jc w:val="left"/>
        <w:rPr>
          <w:rFonts w:asciiTheme="minorEastAsia" w:hAnsiTheme="minorEastAsia" w:eastAsiaTheme="minorEastAsia" w:cstheme="minorEastAsia"/>
        </w:rPr>
      </w:pPr>
      <w:r>
        <w:rPr>
          <w:rFonts w:hint="eastAsia" w:asciiTheme="minorEastAsia" w:hAnsiTheme="minorEastAsia" w:eastAsiaTheme="minorEastAsia" w:cstheme="minorEastAsia"/>
        </w:rPr>
        <w:t>2、一旦中标，我方保证在施工过程中，严格执行《广西壮族自治区建筑工程安全文明施工费使用管理细则》（桂建质〔2015〕16号）的有关规定，确保建设工程各项安全防护、文明施工措施落实到位。如我方在该项目的承包中出现未按桂建质〔2006〕22号文附件一规定执行的情形，我方愿意按照相关规定接受建设单位及有关主管部门的处罚。</w:t>
      </w:r>
    </w:p>
    <w:p>
      <w:pPr>
        <w:spacing w:line="520" w:lineRule="exact"/>
        <w:ind w:left="-2" w:leftChars="-1" w:firstLine="449" w:firstLineChars="214"/>
        <w:jc w:val="left"/>
        <w:rPr>
          <w:rFonts w:asciiTheme="minorEastAsia" w:hAnsiTheme="minorEastAsia" w:eastAsiaTheme="minorEastAsia" w:cstheme="minorEastAsia"/>
        </w:rPr>
      </w:pPr>
      <w:r>
        <w:rPr>
          <w:rFonts w:hint="eastAsia" w:asciiTheme="minorEastAsia" w:hAnsiTheme="minorEastAsia" w:eastAsiaTheme="minorEastAsia" w:cstheme="minorEastAsia"/>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520" w:lineRule="exact"/>
        <w:ind w:left="-10" w:firstLine="455" w:firstLineChars="217"/>
        <w:jc w:val="left"/>
        <w:rPr>
          <w:rFonts w:asciiTheme="minorEastAsia" w:hAnsiTheme="minorEastAsia" w:eastAsiaTheme="minorEastAsia" w:cstheme="minorEastAsia"/>
        </w:rPr>
      </w:pPr>
      <w:r>
        <w:rPr>
          <w:rFonts w:hint="eastAsia" w:asciiTheme="minorEastAsia" w:hAnsiTheme="minorEastAsia" w:eastAsiaTheme="minorEastAsia" w:cstheme="minorEastAsia"/>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pPr>
        <w:spacing w:line="520" w:lineRule="exact"/>
        <w:ind w:left="-10" w:firstLine="455" w:firstLineChars="217"/>
        <w:jc w:val="left"/>
        <w:rPr>
          <w:rFonts w:asciiTheme="minorEastAsia" w:hAnsiTheme="minorEastAsia" w:eastAsiaTheme="minorEastAsia" w:cstheme="minorEastAsia"/>
        </w:rPr>
      </w:pPr>
      <w:r>
        <w:rPr>
          <w:rFonts w:hint="eastAsia" w:asciiTheme="minorEastAsia" w:hAnsiTheme="minorEastAsia" w:eastAsiaTheme="minorEastAsia" w:cstheme="minorEastAsia"/>
        </w:rPr>
        <w:t>5、一旦中标，我方保证严格执行《危险性较大的分部分项工程安全管理办法》（建质〔2009〕87号）的规定，强化对深基坑、高切坡、高大模板、人工挖孔桩、起重吊装、临时活动板房等重大危险源的专项施工方案的编制、论证、审批、实施、检测的风险管理。</w:t>
      </w:r>
    </w:p>
    <w:p>
      <w:pPr>
        <w:spacing w:line="360" w:lineRule="auto"/>
        <w:ind w:firstLine="4410" w:firstLineChars="2100"/>
        <w:jc w:val="left"/>
        <w:rPr>
          <w:rFonts w:asciiTheme="minorEastAsia" w:hAnsiTheme="minorEastAsia" w:eastAsiaTheme="minorEastAsia" w:cstheme="minorEastAsia"/>
        </w:rPr>
      </w:pPr>
    </w:p>
    <w:p>
      <w:pPr>
        <w:spacing w:line="360" w:lineRule="auto"/>
        <w:jc w:val="center"/>
        <w:rPr>
          <w:rFonts w:asciiTheme="minorEastAsia" w:hAnsiTheme="minorEastAsia" w:eastAsiaTheme="minorEastAsia" w:cstheme="minorEastAsia"/>
          <w:u w:val="single"/>
        </w:rPr>
      </w:pPr>
      <w:r>
        <w:rPr>
          <w:rFonts w:hint="eastAsia" w:asciiTheme="minorEastAsia" w:hAnsiTheme="minorEastAsia" w:eastAsiaTheme="minorEastAsia" w:cstheme="minorEastAsia"/>
        </w:rPr>
        <w:t>磋商供应商（盖章）：</w:t>
      </w:r>
      <w:r>
        <w:rPr>
          <w:rFonts w:hint="eastAsia" w:asciiTheme="minorEastAsia" w:hAnsiTheme="minorEastAsia" w:eastAsiaTheme="minorEastAsia" w:cstheme="minorEastAsia"/>
          <w:u w:val="single"/>
        </w:rPr>
        <w:t xml:space="preserve">                     </w:t>
      </w:r>
    </w:p>
    <w:p>
      <w:pPr>
        <w:spacing w:line="360" w:lineRule="auto"/>
        <w:jc w:val="center"/>
        <w:rPr>
          <w:rFonts w:asciiTheme="minorEastAsia" w:hAnsiTheme="minorEastAsia" w:eastAsiaTheme="minorEastAsia" w:cstheme="minorEastAsia"/>
          <w:u w:val="single"/>
        </w:rPr>
      </w:pPr>
      <w:r>
        <w:rPr>
          <w:rFonts w:hint="eastAsia" w:asciiTheme="minorEastAsia" w:hAnsiTheme="minorEastAsia" w:eastAsiaTheme="minorEastAsia" w:cstheme="minorEastAsia"/>
        </w:rPr>
        <w:t>法定代表人或授权代理人（签字或盖章）：</w:t>
      </w:r>
      <w:r>
        <w:rPr>
          <w:rFonts w:hint="eastAsia" w:asciiTheme="minorEastAsia" w:hAnsiTheme="minorEastAsia" w:eastAsiaTheme="minorEastAsia" w:cstheme="minorEastAsia"/>
          <w:u w:val="single"/>
        </w:rPr>
        <w:t xml:space="preserve">              </w:t>
      </w:r>
    </w:p>
    <w:p>
      <w:pPr>
        <w:spacing w:line="4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pStyle w:val="20"/>
      </w:pPr>
      <w:r>
        <w:rPr>
          <w:rFonts w:hint="eastAsia" w:asciiTheme="minorEastAsia" w:hAnsiTheme="minorEastAsia" w:eastAsiaTheme="minorEastAsia" w:cstheme="minorEastAsia"/>
        </w:rPr>
        <w:br w:type="page"/>
      </w:r>
    </w:p>
    <w:p>
      <w:pPr>
        <w:spacing w:line="400" w:lineRule="exact"/>
        <w:jc w:val="center"/>
        <w:rPr>
          <w:rFonts w:asciiTheme="minorEastAsia" w:hAnsiTheme="minorEastAsia" w:eastAsiaTheme="minorEastAsia" w:cstheme="minorEastAsia"/>
          <w:b/>
          <w:bCs/>
          <w:kern w:val="0"/>
          <w:sz w:val="30"/>
          <w:szCs w:val="30"/>
        </w:rPr>
      </w:pPr>
      <w:r>
        <w:rPr>
          <w:rFonts w:hint="eastAsia" w:asciiTheme="minorEastAsia" w:hAnsiTheme="minorEastAsia" w:eastAsiaTheme="minorEastAsia" w:cstheme="minorEastAsia"/>
          <w:b/>
          <w:bCs/>
          <w:kern w:val="0"/>
          <w:sz w:val="30"/>
          <w:szCs w:val="30"/>
        </w:rPr>
        <w:t>六、供应商认为需要提供的其他有关资料</w:t>
      </w:r>
    </w:p>
    <w:p>
      <w:pPr>
        <w:spacing w:line="400" w:lineRule="exact"/>
        <w:jc w:val="left"/>
        <w:rPr>
          <w:rFonts w:asciiTheme="minorEastAsia" w:hAnsiTheme="minorEastAsia" w:eastAsiaTheme="minorEastAsia" w:cstheme="minorEastAsia"/>
          <w:b/>
          <w:bCs/>
          <w:kern w:val="0"/>
          <w:sz w:val="30"/>
          <w:szCs w:val="30"/>
        </w:rPr>
      </w:pPr>
    </w:p>
    <w:p>
      <w:pPr>
        <w:spacing w:line="400" w:lineRule="exact"/>
        <w:jc w:val="left"/>
        <w:rPr>
          <w:rFonts w:asciiTheme="minorEastAsia" w:hAnsiTheme="minorEastAsia" w:eastAsiaTheme="minorEastAsia" w:cstheme="minorEastAsia"/>
          <w:b/>
          <w:bCs/>
          <w:kern w:val="0"/>
          <w:sz w:val="30"/>
          <w:szCs w:val="30"/>
        </w:rPr>
      </w:pPr>
    </w:p>
    <w:p>
      <w:pPr>
        <w:spacing w:line="400" w:lineRule="exact"/>
        <w:jc w:val="left"/>
        <w:rPr>
          <w:rFonts w:asciiTheme="minorEastAsia" w:hAnsiTheme="minorEastAsia" w:eastAsiaTheme="minorEastAsia" w:cstheme="minorEastAsia"/>
          <w:b/>
          <w:bCs/>
          <w:kern w:val="0"/>
          <w:sz w:val="30"/>
          <w:szCs w:val="30"/>
        </w:rPr>
      </w:pPr>
    </w:p>
    <w:p>
      <w:pPr>
        <w:spacing w:line="400" w:lineRule="exact"/>
        <w:jc w:val="left"/>
        <w:rPr>
          <w:rFonts w:asciiTheme="minorEastAsia" w:hAnsiTheme="minorEastAsia" w:eastAsiaTheme="minorEastAsia" w:cstheme="minorEastAsia"/>
          <w:b/>
          <w:bCs/>
          <w:kern w:val="0"/>
          <w:sz w:val="30"/>
          <w:szCs w:val="30"/>
        </w:rPr>
      </w:pPr>
    </w:p>
    <w:p>
      <w:pPr>
        <w:spacing w:line="400" w:lineRule="exact"/>
        <w:jc w:val="left"/>
        <w:rPr>
          <w:rFonts w:asciiTheme="minorEastAsia" w:hAnsiTheme="minorEastAsia" w:eastAsiaTheme="minorEastAsia" w:cstheme="minorEastAsia"/>
          <w:b/>
          <w:bCs/>
          <w:kern w:val="0"/>
          <w:sz w:val="30"/>
          <w:szCs w:val="30"/>
        </w:rPr>
      </w:pPr>
    </w:p>
    <w:p>
      <w:pPr>
        <w:spacing w:line="400" w:lineRule="exact"/>
        <w:jc w:val="left"/>
        <w:rPr>
          <w:rFonts w:asciiTheme="minorEastAsia" w:hAnsiTheme="minorEastAsia" w:eastAsiaTheme="minorEastAsia" w:cstheme="minorEastAsia"/>
          <w:b/>
          <w:bCs/>
          <w:kern w:val="0"/>
          <w:sz w:val="30"/>
          <w:szCs w:val="30"/>
        </w:rPr>
      </w:pPr>
    </w:p>
    <w:p>
      <w:pPr>
        <w:spacing w:line="400" w:lineRule="exact"/>
        <w:jc w:val="left"/>
        <w:rPr>
          <w:rFonts w:asciiTheme="minorEastAsia" w:hAnsiTheme="minorEastAsia" w:eastAsiaTheme="minorEastAsia" w:cstheme="minorEastAsia"/>
          <w:b/>
          <w:bCs/>
          <w:kern w:val="0"/>
          <w:sz w:val="30"/>
          <w:szCs w:val="30"/>
        </w:rPr>
      </w:pPr>
    </w:p>
    <w:p>
      <w:pPr>
        <w:spacing w:line="400" w:lineRule="exact"/>
        <w:jc w:val="left"/>
        <w:rPr>
          <w:rFonts w:asciiTheme="minorEastAsia" w:hAnsiTheme="minorEastAsia" w:eastAsiaTheme="minorEastAsia" w:cstheme="minorEastAsia"/>
          <w:b/>
          <w:bCs/>
          <w:kern w:val="0"/>
          <w:sz w:val="30"/>
          <w:szCs w:val="30"/>
        </w:rPr>
      </w:pPr>
    </w:p>
    <w:p>
      <w:pPr>
        <w:spacing w:line="400" w:lineRule="exact"/>
        <w:jc w:val="left"/>
        <w:rPr>
          <w:rFonts w:asciiTheme="minorEastAsia" w:hAnsiTheme="minorEastAsia" w:eastAsiaTheme="minorEastAsia" w:cstheme="minorEastAsia"/>
          <w:b/>
          <w:bCs/>
          <w:kern w:val="0"/>
          <w:sz w:val="30"/>
          <w:szCs w:val="30"/>
        </w:rPr>
      </w:pPr>
    </w:p>
    <w:p>
      <w:pPr>
        <w:spacing w:line="400" w:lineRule="exact"/>
        <w:jc w:val="left"/>
        <w:rPr>
          <w:rFonts w:asciiTheme="minorEastAsia" w:hAnsiTheme="minorEastAsia" w:eastAsiaTheme="minorEastAsia" w:cstheme="minorEastAsia"/>
          <w:b/>
          <w:bCs/>
          <w:kern w:val="0"/>
          <w:sz w:val="30"/>
          <w:szCs w:val="30"/>
        </w:rPr>
      </w:pPr>
    </w:p>
    <w:p>
      <w:pPr>
        <w:pStyle w:val="61"/>
        <w:rPr>
          <w:color w:val="auto"/>
        </w:rPr>
      </w:pPr>
    </w:p>
    <w:p>
      <w:pPr>
        <w:spacing w:line="400" w:lineRule="exact"/>
        <w:jc w:val="left"/>
        <w:rPr>
          <w:rFonts w:asciiTheme="minorEastAsia" w:hAnsiTheme="minorEastAsia" w:eastAsiaTheme="minorEastAsia" w:cstheme="minorEastAsia"/>
          <w:b/>
          <w:bCs/>
          <w:kern w:val="0"/>
          <w:sz w:val="30"/>
          <w:szCs w:val="30"/>
        </w:rPr>
      </w:pPr>
    </w:p>
    <w:p>
      <w:pPr>
        <w:spacing w:line="400" w:lineRule="exact"/>
        <w:jc w:val="left"/>
        <w:rPr>
          <w:rFonts w:asciiTheme="minorEastAsia" w:hAnsiTheme="minorEastAsia" w:eastAsiaTheme="minorEastAsia" w:cstheme="minorEastAsia"/>
          <w:b/>
          <w:bCs/>
          <w:kern w:val="0"/>
          <w:sz w:val="30"/>
          <w:szCs w:val="30"/>
        </w:rPr>
      </w:pPr>
    </w:p>
    <w:p>
      <w:pPr>
        <w:spacing w:line="400" w:lineRule="exact"/>
        <w:jc w:val="left"/>
        <w:rPr>
          <w:rFonts w:asciiTheme="minorEastAsia" w:hAnsiTheme="minorEastAsia" w:eastAsiaTheme="minorEastAsia" w:cstheme="minorEastAsia"/>
          <w:b/>
          <w:bCs/>
          <w:kern w:val="0"/>
          <w:sz w:val="30"/>
          <w:szCs w:val="30"/>
        </w:rPr>
      </w:pPr>
    </w:p>
    <w:p>
      <w:pPr>
        <w:spacing w:line="400" w:lineRule="exact"/>
        <w:jc w:val="left"/>
        <w:rPr>
          <w:rFonts w:asciiTheme="minorEastAsia" w:hAnsiTheme="minorEastAsia" w:eastAsiaTheme="minorEastAsia" w:cstheme="minorEastAsia"/>
          <w:b/>
          <w:bCs/>
          <w:kern w:val="0"/>
          <w:sz w:val="30"/>
          <w:szCs w:val="30"/>
        </w:rPr>
      </w:pPr>
    </w:p>
    <w:p>
      <w:pPr>
        <w:spacing w:line="400" w:lineRule="exact"/>
        <w:jc w:val="left"/>
        <w:rPr>
          <w:rFonts w:asciiTheme="minorEastAsia" w:hAnsiTheme="minorEastAsia" w:eastAsiaTheme="minorEastAsia" w:cstheme="minorEastAsia"/>
          <w:b/>
          <w:bCs/>
          <w:kern w:val="0"/>
          <w:sz w:val="30"/>
          <w:szCs w:val="30"/>
        </w:rPr>
      </w:pPr>
    </w:p>
    <w:p>
      <w:pPr>
        <w:spacing w:line="400" w:lineRule="exact"/>
        <w:jc w:val="left"/>
        <w:rPr>
          <w:rFonts w:asciiTheme="minorEastAsia" w:hAnsiTheme="minorEastAsia" w:eastAsiaTheme="minorEastAsia" w:cstheme="minorEastAsia"/>
          <w:b/>
          <w:bCs/>
          <w:kern w:val="0"/>
          <w:sz w:val="30"/>
          <w:szCs w:val="30"/>
        </w:rPr>
      </w:pPr>
    </w:p>
    <w:p>
      <w:pPr>
        <w:spacing w:line="400" w:lineRule="exact"/>
        <w:jc w:val="left"/>
        <w:rPr>
          <w:rFonts w:asciiTheme="minorEastAsia" w:hAnsiTheme="minorEastAsia" w:eastAsiaTheme="minorEastAsia" w:cstheme="minorEastAsia"/>
          <w:b/>
          <w:bCs/>
          <w:kern w:val="0"/>
          <w:sz w:val="30"/>
          <w:szCs w:val="30"/>
        </w:rPr>
      </w:pPr>
    </w:p>
    <w:p>
      <w:pPr>
        <w:spacing w:line="400" w:lineRule="exact"/>
        <w:jc w:val="left"/>
        <w:rPr>
          <w:rFonts w:asciiTheme="minorEastAsia" w:hAnsiTheme="minorEastAsia" w:eastAsiaTheme="minorEastAsia" w:cstheme="minorEastAsia"/>
          <w:b/>
          <w:bCs/>
          <w:kern w:val="0"/>
          <w:sz w:val="30"/>
          <w:szCs w:val="30"/>
        </w:rPr>
      </w:pPr>
    </w:p>
    <w:p>
      <w:pPr>
        <w:spacing w:line="400" w:lineRule="exact"/>
        <w:jc w:val="left"/>
        <w:rPr>
          <w:rFonts w:asciiTheme="minorEastAsia" w:hAnsiTheme="minorEastAsia" w:eastAsiaTheme="minorEastAsia" w:cstheme="minorEastAsia"/>
          <w:b/>
          <w:bCs/>
          <w:kern w:val="0"/>
          <w:sz w:val="30"/>
          <w:szCs w:val="30"/>
        </w:rPr>
      </w:pPr>
    </w:p>
    <w:p>
      <w:pPr>
        <w:spacing w:line="400" w:lineRule="exact"/>
        <w:jc w:val="left"/>
        <w:rPr>
          <w:rFonts w:asciiTheme="minorEastAsia" w:hAnsiTheme="minorEastAsia" w:eastAsiaTheme="minorEastAsia" w:cstheme="minorEastAsia"/>
          <w:b/>
          <w:bCs/>
          <w:kern w:val="0"/>
          <w:sz w:val="30"/>
          <w:szCs w:val="30"/>
        </w:rPr>
      </w:pPr>
    </w:p>
    <w:p>
      <w:pPr>
        <w:spacing w:line="400" w:lineRule="exact"/>
        <w:jc w:val="left"/>
        <w:rPr>
          <w:rFonts w:asciiTheme="minorEastAsia" w:hAnsiTheme="minorEastAsia" w:eastAsiaTheme="minorEastAsia" w:cstheme="minorEastAsia"/>
          <w:b/>
          <w:bCs/>
          <w:kern w:val="0"/>
          <w:sz w:val="30"/>
          <w:szCs w:val="30"/>
        </w:rPr>
      </w:pPr>
    </w:p>
    <w:p>
      <w:pPr>
        <w:spacing w:line="400" w:lineRule="exact"/>
        <w:jc w:val="left"/>
        <w:rPr>
          <w:rFonts w:asciiTheme="minorEastAsia" w:hAnsiTheme="minorEastAsia" w:eastAsiaTheme="minorEastAsia" w:cstheme="minorEastAsia"/>
          <w:b/>
          <w:bCs/>
          <w:kern w:val="0"/>
          <w:sz w:val="30"/>
          <w:szCs w:val="30"/>
        </w:rPr>
      </w:pPr>
    </w:p>
    <w:p>
      <w:pPr>
        <w:spacing w:line="400" w:lineRule="exact"/>
        <w:jc w:val="left"/>
        <w:rPr>
          <w:rFonts w:asciiTheme="minorEastAsia" w:hAnsiTheme="minorEastAsia" w:eastAsiaTheme="minorEastAsia" w:cstheme="minorEastAsia"/>
          <w:b/>
          <w:bCs/>
          <w:kern w:val="0"/>
          <w:sz w:val="30"/>
          <w:szCs w:val="30"/>
        </w:rPr>
      </w:pPr>
    </w:p>
    <w:p>
      <w:pPr>
        <w:spacing w:line="400" w:lineRule="exact"/>
        <w:jc w:val="left"/>
        <w:rPr>
          <w:rFonts w:asciiTheme="minorEastAsia" w:hAnsiTheme="minorEastAsia" w:eastAsiaTheme="minorEastAsia" w:cstheme="minorEastAsia"/>
          <w:b/>
          <w:bCs/>
          <w:kern w:val="0"/>
          <w:sz w:val="30"/>
          <w:szCs w:val="30"/>
        </w:rPr>
      </w:pPr>
    </w:p>
    <w:p>
      <w:pPr>
        <w:spacing w:line="400" w:lineRule="exact"/>
        <w:jc w:val="left"/>
        <w:rPr>
          <w:rFonts w:asciiTheme="minorEastAsia" w:hAnsiTheme="minorEastAsia" w:eastAsiaTheme="minorEastAsia" w:cstheme="minorEastAsia"/>
          <w:b/>
          <w:bCs/>
          <w:kern w:val="0"/>
          <w:sz w:val="30"/>
          <w:szCs w:val="30"/>
        </w:rPr>
      </w:pPr>
    </w:p>
    <w:p>
      <w:pPr>
        <w:spacing w:line="400" w:lineRule="exact"/>
        <w:jc w:val="left"/>
        <w:rPr>
          <w:rFonts w:asciiTheme="minorEastAsia" w:hAnsiTheme="minorEastAsia" w:eastAsiaTheme="minorEastAsia" w:cstheme="minorEastAsia"/>
          <w:b/>
          <w:bCs/>
          <w:kern w:val="0"/>
          <w:sz w:val="30"/>
          <w:szCs w:val="30"/>
        </w:rPr>
      </w:pPr>
    </w:p>
    <w:p>
      <w:pPr>
        <w:spacing w:line="400" w:lineRule="exact"/>
        <w:jc w:val="left"/>
        <w:rPr>
          <w:rFonts w:asciiTheme="minorEastAsia" w:hAnsiTheme="minorEastAsia" w:eastAsiaTheme="minorEastAsia" w:cstheme="minorEastAsia"/>
          <w:b/>
          <w:bCs/>
          <w:kern w:val="0"/>
          <w:sz w:val="30"/>
          <w:szCs w:val="30"/>
        </w:rPr>
      </w:pPr>
    </w:p>
    <w:p>
      <w:pPr>
        <w:spacing w:line="400" w:lineRule="exact"/>
        <w:jc w:val="left"/>
        <w:rPr>
          <w:rFonts w:asciiTheme="minorEastAsia" w:hAnsiTheme="minorEastAsia" w:eastAsiaTheme="minorEastAsia" w:cstheme="minorEastAsia"/>
          <w:b/>
          <w:bCs/>
          <w:kern w:val="0"/>
          <w:sz w:val="30"/>
          <w:szCs w:val="30"/>
        </w:rPr>
      </w:pPr>
    </w:p>
    <w:p>
      <w:pPr>
        <w:spacing w:line="400" w:lineRule="exact"/>
        <w:jc w:val="left"/>
        <w:rPr>
          <w:rFonts w:asciiTheme="minorEastAsia" w:hAnsiTheme="minorEastAsia" w:eastAsiaTheme="minorEastAsia" w:cstheme="minorEastAsia"/>
          <w:b/>
          <w:bCs/>
          <w:kern w:val="0"/>
          <w:sz w:val="30"/>
          <w:szCs w:val="30"/>
        </w:rPr>
      </w:pPr>
    </w:p>
    <w:p>
      <w:pPr>
        <w:spacing w:line="400" w:lineRule="exact"/>
        <w:jc w:val="left"/>
        <w:rPr>
          <w:rFonts w:asciiTheme="minorEastAsia" w:hAnsiTheme="minorEastAsia" w:eastAsiaTheme="minorEastAsia" w:cstheme="minorEastAsia"/>
          <w:b/>
          <w:bCs/>
          <w:kern w:val="0"/>
          <w:sz w:val="30"/>
          <w:szCs w:val="30"/>
        </w:rPr>
      </w:pPr>
    </w:p>
    <w:p>
      <w:pPr>
        <w:spacing w:line="400" w:lineRule="exact"/>
        <w:jc w:val="left"/>
        <w:rPr>
          <w:rFonts w:asciiTheme="minorEastAsia" w:hAnsiTheme="minorEastAsia" w:eastAsiaTheme="minorEastAsia" w:cstheme="minorEastAsia"/>
          <w:b/>
          <w:bCs/>
          <w:kern w:val="0"/>
          <w:sz w:val="30"/>
          <w:szCs w:val="30"/>
        </w:rPr>
      </w:pPr>
    </w:p>
    <w:p>
      <w:pPr>
        <w:spacing w:line="400" w:lineRule="exact"/>
        <w:jc w:val="center"/>
        <w:rPr>
          <w:rFonts w:asciiTheme="minorEastAsia" w:hAnsiTheme="minorEastAsia" w:eastAsiaTheme="minorEastAsia" w:cstheme="minorEastAsia"/>
          <w:b/>
          <w:bCs/>
          <w:kern w:val="0"/>
          <w:sz w:val="30"/>
          <w:szCs w:val="30"/>
        </w:rPr>
      </w:pPr>
    </w:p>
    <w:p>
      <w:pPr>
        <w:rPr>
          <w:rFonts w:asciiTheme="minorEastAsia" w:hAnsiTheme="minorEastAsia" w:eastAsiaTheme="minorEastAsia" w:cstheme="minorEastAsia"/>
          <w:b/>
          <w:bCs/>
          <w:kern w:val="0"/>
          <w:sz w:val="30"/>
          <w:szCs w:val="30"/>
        </w:rPr>
      </w:pPr>
      <w:r>
        <w:rPr>
          <w:rFonts w:hint="eastAsia" w:asciiTheme="minorEastAsia" w:hAnsiTheme="minorEastAsia" w:eastAsiaTheme="minorEastAsia" w:cstheme="minorEastAsia"/>
          <w:b/>
          <w:bCs/>
          <w:kern w:val="0"/>
          <w:sz w:val="30"/>
          <w:szCs w:val="30"/>
        </w:rPr>
        <w:br w:type="page"/>
      </w:r>
    </w:p>
    <w:p>
      <w:pPr>
        <w:spacing w:line="400" w:lineRule="exact"/>
        <w:jc w:val="center"/>
        <w:rPr>
          <w:rFonts w:asciiTheme="minorEastAsia" w:hAnsiTheme="minorEastAsia" w:eastAsiaTheme="minorEastAsia" w:cstheme="minorEastAsia"/>
          <w:b/>
          <w:bCs/>
          <w:kern w:val="0"/>
          <w:sz w:val="30"/>
          <w:szCs w:val="30"/>
        </w:rPr>
      </w:pPr>
      <w:r>
        <w:rPr>
          <w:rFonts w:hint="eastAsia" w:asciiTheme="minorEastAsia" w:hAnsiTheme="minorEastAsia" w:eastAsiaTheme="minorEastAsia" w:cstheme="minorEastAsia"/>
          <w:b/>
          <w:bCs/>
          <w:kern w:val="0"/>
          <w:sz w:val="30"/>
          <w:szCs w:val="30"/>
        </w:rPr>
        <w:t>七、施工组织设计</w:t>
      </w:r>
    </w:p>
    <w:p>
      <w:pPr>
        <w:spacing w:line="460" w:lineRule="exact"/>
        <w:ind w:firstLine="420" w:firstLineChars="200"/>
        <w:rPr>
          <w:rFonts w:asciiTheme="minorEastAsia" w:hAnsiTheme="minorEastAsia" w:eastAsiaTheme="minorEastAsia" w:cstheme="minorEastAsia"/>
        </w:rPr>
      </w:pPr>
    </w:p>
    <w:p>
      <w:pPr>
        <w:spacing w:line="46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46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2．施工组织设计除采用文字表述外可附下列图表，图表及格式要求附后。</w:t>
      </w:r>
    </w:p>
    <w:p>
      <w:pPr>
        <w:spacing w:line="46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附表一  拟投入本工程的主要施工设备表</w:t>
      </w:r>
    </w:p>
    <w:p>
      <w:pPr>
        <w:spacing w:line="46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附表二  拟配备本工程的试验和检测仪器设备表</w:t>
      </w:r>
    </w:p>
    <w:p>
      <w:pPr>
        <w:spacing w:line="46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附表三  劳动力计划表</w:t>
      </w:r>
    </w:p>
    <w:p>
      <w:pPr>
        <w:spacing w:line="46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附表四  计划开、竣工日期和施工进度网络图</w:t>
      </w:r>
    </w:p>
    <w:p>
      <w:pPr>
        <w:spacing w:line="46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附表五  施工总平面图</w:t>
      </w:r>
    </w:p>
    <w:p>
      <w:pPr>
        <w:spacing w:line="46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附表六  临时用地表</w:t>
      </w:r>
    </w:p>
    <w:p>
      <w:pPr>
        <w:spacing w:line="460" w:lineRule="exact"/>
        <w:ind w:firstLine="420" w:firstLineChars="200"/>
        <w:rPr>
          <w:rFonts w:asciiTheme="minorEastAsia" w:hAnsiTheme="minorEastAsia" w:eastAsiaTheme="minorEastAsia" w:cstheme="minorEastAsia"/>
        </w:rPr>
      </w:pPr>
    </w:p>
    <w:p>
      <w:pPr>
        <w:rPr>
          <w:rFonts w:asciiTheme="minorEastAsia" w:hAnsiTheme="minorEastAsia" w:eastAsiaTheme="minorEastAsia" w:cstheme="minorEastAsia"/>
        </w:rPr>
      </w:pPr>
      <w:r>
        <w:rPr>
          <w:rFonts w:hint="eastAsia" w:asciiTheme="minorEastAsia" w:hAnsiTheme="minorEastAsia" w:eastAsiaTheme="minorEastAsia" w:cstheme="minorEastAsia"/>
        </w:rPr>
        <w:t>附表一：拟投入本工程的主要施工设备表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122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设备名称</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型号</w:t>
            </w:r>
          </w:p>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规格</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国别</w:t>
            </w:r>
          </w:p>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产地</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制造</w:t>
            </w:r>
          </w:p>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年份</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额定功率</w:t>
            </w:r>
          </w:p>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（KW）</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生产</w:t>
            </w:r>
          </w:p>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能力</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用于施</w:t>
            </w:r>
          </w:p>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工部位</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1226"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Theme="minorEastAsia" w:hAnsiTheme="minorEastAsia" w:eastAsiaTheme="minorEastAsia" w:cstheme="minorEastAsia"/>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122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122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122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122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rPr>
            </w:pPr>
          </w:p>
        </w:tc>
      </w:tr>
    </w:tbl>
    <w:p>
      <w:pPr>
        <w:rPr>
          <w:rFonts w:asciiTheme="minorEastAsia" w:hAnsiTheme="minorEastAsia" w:eastAsiaTheme="minorEastAsia" w:cstheme="minorEastAsia"/>
        </w:rPr>
      </w:pPr>
    </w:p>
    <w:p>
      <w:pPr>
        <w:rPr>
          <w:rFonts w:asciiTheme="minorEastAsia" w:hAnsiTheme="minorEastAsia" w:eastAsiaTheme="minorEastAsia" w:cstheme="minorEastAsia"/>
        </w:rPr>
      </w:pPr>
      <w:r>
        <w:rPr>
          <w:rFonts w:hint="eastAsia" w:asciiTheme="minorEastAsia" w:hAnsiTheme="minorEastAsia" w:eastAsiaTheme="minorEastAsia" w:cstheme="minorEastAsia"/>
        </w:rPr>
        <w:t>附表二：拟配备本工程的试验和检测仪器设备表</w:t>
      </w:r>
    </w:p>
    <w:tbl>
      <w:tblPr>
        <w:tblStyle w:val="45"/>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122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仪器设备名称</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型号</w:t>
            </w:r>
          </w:p>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规格</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国别</w:t>
            </w:r>
          </w:p>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产地</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制造年份</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已使用</w:t>
            </w:r>
          </w:p>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台时数</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用途</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inorEastAsia" w:hAnsiTheme="minorEastAsia" w:eastAsiaTheme="minorEastAsia" w:cstheme="minorEastAsia"/>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inorEastAsia" w:hAnsiTheme="minorEastAsia" w:eastAsiaTheme="minorEastAsia" w:cs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inorEastAsia" w:hAnsiTheme="minorEastAsia" w:eastAsiaTheme="minorEastAsia" w:cstheme="minorEastAsia"/>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inorEastAsia" w:hAnsiTheme="minorEastAsia" w:eastAsiaTheme="minorEastAsia" w:cstheme="minorEastAsia"/>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inorEastAsia" w:hAnsiTheme="minorEastAsia" w:eastAsiaTheme="minorEastAsia" w:cstheme="minorEastAsia"/>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inorEastAsia" w:hAnsiTheme="minorEastAsia" w:eastAsiaTheme="minorEastAsia" w:cstheme="minorEastAsia"/>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inorEastAsia" w:hAnsiTheme="minorEastAsia" w:eastAsiaTheme="minorEastAsia" w:cstheme="minorEastAsia"/>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inorEastAsia" w:hAnsiTheme="minorEastAsia" w:eastAsiaTheme="minorEastAsia" w:cstheme="minorEastAsia"/>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inorEastAsia" w:hAnsiTheme="minorEastAsia" w:eastAsiaTheme="minorEastAsia" w:cstheme="minorEastAsia"/>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inorEastAsia" w:hAnsiTheme="minorEastAsia" w:eastAsiaTheme="minorEastAsia" w:cs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inorEastAsia" w:hAnsiTheme="minorEastAsia" w:eastAsiaTheme="minorEastAsia" w:cstheme="minorEastAsia"/>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inorEastAsia" w:hAnsiTheme="minorEastAsia" w:eastAsiaTheme="minorEastAsia" w:cstheme="minorEastAsia"/>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inorEastAsia" w:hAnsiTheme="minorEastAsia" w:eastAsiaTheme="minorEastAsia" w:cstheme="minorEastAsia"/>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inorEastAsia" w:hAnsiTheme="minorEastAsia" w:eastAsiaTheme="minorEastAsia" w:cstheme="minorEastAsia"/>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inorEastAsia" w:hAnsiTheme="minorEastAsia" w:eastAsiaTheme="minorEastAsia" w:cstheme="minorEastAsia"/>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inorEastAsia" w:hAnsiTheme="minorEastAsia" w:eastAsiaTheme="minorEastAsia" w:cstheme="minorEastAsia"/>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inorEastAsia" w:hAnsiTheme="minorEastAsia" w:eastAsiaTheme="minorEastAsia" w:cstheme="minorEastAsia"/>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inorEastAsia" w:hAnsiTheme="minorEastAsia" w:eastAsiaTheme="minorEastAsia" w:cs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inorEastAsia" w:hAnsiTheme="minorEastAsia" w:eastAsiaTheme="minorEastAsia" w:cstheme="minorEastAsia"/>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inorEastAsia" w:hAnsiTheme="minorEastAsia" w:eastAsiaTheme="minorEastAsia" w:cstheme="minorEastAsia"/>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inorEastAsia" w:hAnsiTheme="minorEastAsia" w:eastAsiaTheme="minorEastAsia" w:cstheme="minorEastAsia"/>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inorEastAsia" w:hAnsiTheme="minorEastAsia" w:eastAsiaTheme="minorEastAsia" w:cstheme="minorEastAsia"/>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inorEastAsia" w:hAnsiTheme="minorEastAsia" w:eastAsiaTheme="minorEastAsia" w:cstheme="minorEastAsia"/>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inorEastAsia" w:hAnsiTheme="minorEastAsia" w:eastAsiaTheme="minorEastAsia" w:cstheme="minorEastAsia"/>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inorEastAsia" w:hAnsiTheme="minorEastAsia" w:eastAsiaTheme="minorEastAsia" w:cstheme="minorEastAsia"/>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inorEastAsia" w:hAnsiTheme="minorEastAsia" w:eastAsiaTheme="minorEastAsia" w:cstheme="minorEastAsia"/>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inorEastAsia" w:hAnsiTheme="minorEastAsia" w:eastAsiaTheme="minorEastAsia" w:cstheme="minorEastAsia"/>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inorEastAsia" w:hAnsiTheme="minorEastAsia" w:eastAsiaTheme="minorEastAsia" w:cstheme="minorEastAsia"/>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inorEastAsia" w:hAnsiTheme="minorEastAsia" w:eastAsiaTheme="minorEastAsia" w:cstheme="minorEastAsia"/>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inorEastAsia" w:hAnsiTheme="minorEastAsia" w:eastAsiaTheme="minorEastAsia" w:cstheme="minorEastAsia"/>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inorEastAsia" w:hAnsiTheme="minorEastAsia" w:eastAsiaTheme="minorEastAsia" w:cstheme="minorEastAsia"/>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inorEastAsia" w:hAnsiTheme="minorEastAsia" w:eastAsiaTheme="minorEastAsia" w:cstheme="minorEastAsia"/>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inorEastAsia" w:hAnsiTheme="minorEastAsia" w:eastAsiaTheme="minorEastAsia" w:cstheme="minorEastAsia"/>
              </w:rPr>
            </w:pPr>
          </w:p>
        </w:tc>
      </w:tr>
    </w:tbl>
    <w:p>
      <w:pPr>
        <w:rPr>
          <w:rFonts w:asciiTheme="minorEastAsia" w:hAnsiTheme="minorEastAsia" w:eastAsiaTheme="minorEastAsia" w:cstheme="minorEastAsia"/>
        </w:rPr>
      </w:pPr>
    </w:p>
    <w:p>
      <w:pPr>
        <w:rPr>
          <w:rFonts w:asciiTheme="minorEastAsia" w:hAnsiTheme="minorEastAsia" w:eastAsiaTheme="minorEastAsia" w:cstheme="minorEastAsia"/>
        </w:rPr>
      </w:pPr>
      <w:r>
        <w:rPr>
          <w:rFonts w:hint="eastAsia" w:asciiTheme="minorEastAsia" w:hAnsiTheme="minorEastAsia" w:eastAsiaTheme="minorEastAsia" w:cstheme="minorEastAsia"/>
        </w:rPr>
        <w:t>附表三：劳动力计划表</w:t>
      </w:r>
    </w:p>
    <w:p>
      <w:pPr>
        <w:ind w:firstLine="7245" w:firstLineChars="345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单位：人</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工种</w:t>
            </w:r>
          </w:p>
        </w:tc>
        <w:tc>
          <w:tcPr>
            <w:tcW w:w="850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rPr>
            </w:pPr>
          </w:p>
        </w:tc>
      </w:tr>
    </w:tbl>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r>
        <w:rPr>
          <w:rFonts w:hint="eastAsia" w:asciiTheme="minorEastAsia" w:hAnsiTheme="minorEastAsia" w:eastAsiaTheme="minorEastAsia" w:cstheme="minorEastAsia"/>
        </w:rPr>
        <w:t>附表四：计划开、竣工日期和施工进度计划（网络图或横道图）</w:t>
      </w:r>
    </w:p>
    <w:p>
      <w:pPr>
        <w:spacing w:line="460" w:lineRule="exact"/>
        <w:ind w:left="-6" w:firstLine="420"/>
        <w:rPr>
          <w:rFonts w:asciiTheme="minorEastAsia" w:hAnsiTheme="minorEastAsia" w:eastAsiaTheme="minorEastAsia" w:cstheme="minorEastAsia"/>
        </w:rPr>
      </w:pPr>
      <w:r>
        <w:rPr>
          <w:rFonts w:hint="eastAsia" w:asciiTheme="minorEastAsia" w:hAnsiTheme="minorEastAsia" w:eastAsiaTheme="minorEastAsia" w:cstheme="minorEastAsia"/>
        </w:rPr>
        <w:t>1. 供应商应提交施工进度计划，说明按招标文件要求的工期进行施工的各个关键日期。中标的投标人还应按合同条件有关条款的要求提交详细的施工进度计划。</w:t>
      </w:r>
    </w:p>
    <w:p>
      <w:pPr>
        <w:spacing w:line="460" w:lineRule="exact"/>
        <w:ind w:left="-6" w:firstLine="420"/>
        <w:rPr>
          <w:rFonts w:asciiTheme="minorEastAsia" w:hAnsiTheme="minorEastAsia" w:eastAsiaTheme="minorEastAsia" w:cstheme="minorEastAsia"/>
        </w:rPr>
      </w:pPr>
      <w:r>
        <w:rPr>
          <w:rFonts w:hint="eastAsia" w:asciiTheme="minorEastAsia" w:hAnsiTheme="minorEastAsia" w:eastAsiaTheme="minorEastAsia" w:cstheme="minorEastAsia"/>
        </w:rPr>
        <w:t>2. 施工进度计划可采用网络图（或横道图）表示，说明计划开工日期和各分项工程各阶段的完工日期和分包合同签订的日期。</w:t>
      </w:r>
    </w:p>
    <w:p>
      <w:pPr>
        <w:spacing w:line="460" w:lineRule="exact"/>
        <w:ind w:left="-6" w:firstLine="420"/>
        <w:rPr>
          <w:rFonts w:asciiTheme="minorEastAsia" w:hAnsiTheme="minorEastAsia" w:eastAsiaTheme="minorEastAsia" w:cstheme="minorEastAsia"/>
        </w:rPr>
      </w:pPr>
      <w:r>
        <w:rPr>
          <w:rFonts w:hint="eastAsia" w:asciiTheme="minorEastAsia" w:hAnsiTheme="minorEastAsia" w:eastAsiaTheme="minorEastAsia" w:cstheme="minorEastAsia"/>
        </w:rPr>
        <w:t>3. 施工进度计划应与施工组织设计相适应。</w:t>
      </w:r>
    </w:p>
    <w:p>
      <w:pPr>
        <w:spacing w:line="360" w:lineRule="auto"/>
        <w:ind w:left="-6" w:firstLine="420"/>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r>
        <w:rPr>
          <w:rFonts w:hint="eastAsia" w:asciiTheme="minorEastAsia" w:hAnsiTheme="minorEastAsia" w:eastAsiaTheme="minorEastAsia" w:cstheme="minorEastAsia"/>
        </w:rPr>
        <w:t>附表五：施工总平面图</w:t>
      </w:r>
    </w:p>
    <w:p>
      <w:pPr>
        <w:spacing w:line="46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供应商应递交一份施工总平面图，绘出现场临时设施布置图表并附文字说明，说明临时设施、加工车间、现场办公、设备及仓储、供电、供水、卫生、生活、道路、消防等设施的情况和布置。</w:t>
      </w:r>
    </w:p>
    <w:p>
      <w:pPr>
        <w:rPr>
          <w:rFonts w:asciiTheme="minorEastAsia" w:hAnsiTheme="minorEastAsia" w:eastAsiaTheme="minorEastAsia" w:cstheme="minorEastAsia"/>
        </w:rPr>
      </w:pPr>
    </w:p>
    <w:p>
      <w:pPr>
        <w:rPr>
          <w:rFonts w:asciiTheme="minorEastAsia" w:hAnsiTheme="minorEastAsia" w:eastAsiaTheme="minorEastAsia" w:cstheme="minorEastAsia"/>
        </w:rPr>
      </w:pPr>
      <w:r>
        <w:rPr>
          <w:rFonts w:hint="eastAsia" w:asciiTheme="minorEastAsia" w:hAnsiTheme="minorEastAsia" w:eastAsiaTheme="minorEastAsia" w:cstheme="minorEastAsia"/>
        </w:rPr>
        <w:t>附表六：临时用地表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用途</w:t>
            </w:r>
          </w:p>
        </w:tc>
        <w:tc>
          <w:tcPr>
            <w:tcW w:w="235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面积（平方米）</w:t>
            </w:r>
          </w:p>
        </w:tc>
        <w:tc>
          <w:tcPr>
            <w:tcW w:w="235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位置</w:t>
            </w:r>
          </w:p>
        </w:tc>
        <w:tc>
          <w:tcPr>
            <w:tcW w:w="235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rPr>
            </w:pPr>
          </w:p>
        </w:tc>
        <w:tc>
          <w:tcPr>
            <w:tcW w:w="235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rPr>
            </w:pPr>
          </w:p>
        </w:tc>
        <w:tc>
          <w:tcPr>
            <w:tcW w:w="235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rPr>
            </w:pPr>
          </w:p>
        </w:tc>
        <w:tc>
          <w:tcPr>
            <w:tcW w:w="235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rPr>
            </w:pPr>
          </w:p>
        </w:tc>
        <w:tc>
          <w:tcPr>
            <w:tcW w:w="235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rPr>
            </w:pPr>
          </w:p>
        </w:tc>
        <w:tc>
          <w:tcPr>
            <w:tcW w:w="235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rPr>
            </w:pPr>
          </w:p>
        </w:tc>
        <w:tc>
          <w:tcPr>
            <w:tcW w:w="235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rPr>
            </w:pPr>
          </w:p>
        </w:tc>
        <w:tc>
          <w:tcPr>
            <w:tcW w:w="235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rPr>
            </w:pPr>
          </w:p>
        </w:tc>
        <w:tc>
          <w:tcPr>
            <w:tcW w:w="235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rPr>
            </w:pPr>
          </w:p>
        </w:tc>
        <w:tc>
          <w:tcPr>
            <w:tcW w:w="235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rPr>
            </w:pPr>
          </w:p>
        </w:tc>
        <w:tc>
          <w:tcPr>
            <w:tcW w:w="235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rPr>
            </w:pPr>
          </w:p>
        </w:tc>
        <w:tc>
          <w:tcPr>
            <w:tcW w:w="235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rPr>
            </w:pPr>
          </w:p>
        </w:tc>
        <w:tc>
          <w:tcPr>
            <w:tcW w:w="235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rPr>
            </w:pPr>
          </w:p>
        </w:tc>
      </w:tr>
    </w:tbl>
    <w:p>
      <w:pPr>
        <w:pStyle w:val="18"/>
        <w:rPr>
          <w:rFonts w:asciiTheme="minorEastAsia" w:hAnsiTheme="minorEastAsia" w:eastAsiaTheme="minorEastAsia" w:cstheme="minorEastAsia"/>
        </w:rPr>
      </w:pPr>
    </w:p>
    <w:p>
      <w:pPr>
        <w:rPr>
          <w:rFonts w:asciiTheme="minorEastAsia" w:hAnsiTheme="minorEastAsia" w:eastAsiaTheme="minorEastAsia" w:cstheme="minorEastAsia"/>
          <w:b/>
          <w:bCs/>
          <w:kern w:val="0"/>
          <w:sz w:val="30"/>
          <w:szCs w:val="30"/>
        </w:rPr>
      </w:pPr>
      <w:r>
        <w:rPr>
          <w:rFonts w:hint="eastAsia" w:asciiTheme="minorEastAsia" w:hAnsiTheme="minorEastAsia" w:eastAsiaTheme="minorEastAsia" w:cstheme="minorEastAsia"/>
          <w:b/>
          <w:bCs/>
          <w:kern w:val="0"/>
          <w:sz w:val="30"/>
          <w:szCs w:val="30"/>
        </w:rPr>
        <w:br w:type="page"/>
      </w:r>
    </w:p>
    <w:p>
      <w:pPr>
        <w:spacing w:line="400" w:lineRule="exact"/>
        <w:jc w:val="center"/>
        <w:rPr>
          <w:rFonts w:asciiTheme="minorEastAsia" w:hAnsiTheme="minorEastAsia" w:eastAsiaTheme="minorEastAsia" w:cstheme="minorEastAsia"/>
          <w:b/>
          <w:bCs/>
          <w:kern w:val="0"/>
          <w:sz w:val="30"/>
          <w:szCs w:val="30"/>
        </w:rPr>
      </w:pPr>
      <w:r>
        <w:rPr>
          <w:rFonts w:hint="eastAsia" w:asciiTheme="minorEastAsia" w:hAnsiTheme="minorEastAsia" w:eastAsiaTheme="minorEastAsia" w:cstheme="minorEastAsia"/>
          <w:b/>
          <w:bCs/>
          <w:kern w:val="0"/>
          <w:sz w:val="30"/>
          <w:szCs w:val="30"/>
        </w:rPr>
        <w:t>八、项目管理机构</w:t>
      </w:r>
    </w:p>
    <w:p>
      <w:pPr>
        <w:pStyle w:val="61"/>
        <w:rPr>
          <w:color w:val="auto"/>
        </w:rPr>
      </w:pPr>
    </w:p>
    <w:p>
      <w:pPr>
        <w:spacing w:line="400" w:lineRule="exact"/>
        <w:jc w:val="left"/>
        <w:rPr>
          <w:rFonts w:asciiTheme="minorEastAsia" w:hAnsiTheme="minorEastAsia" w:eastAsiaTheme="minorEastAsia" w:cstheme="minorEastAsia"/>
          <w:b/>
          <w:bCs/>
          <w:kern w:val="0"/>
          <w:sz w:val="30"/>
          <w:szCs w:val="30"/>
        </w:rPr>
      </w:pPr>
      <w:r>
        <w:rPr>
          <w:rFonts w:hint="eastAsia" w:asciiTheme="minorEastAsia" w:hAnsiTheme="minorEastAsia" w:eastAsiaTheme="minorEastAsia" w:cstheme="minorEastAsia"/>
          <w:b/>
          <w:bCs/>
          <w:kern w:val="0"/>
          <w:sz w:val="30"/>
          <w:szCs w:val="30"/>
        </w:rPr>
        <w:t>1、项目管理机构配备情况表</w:t>
      </w:r>
    </w:p>
    <w:p>
      <w:pPr>
        <w:pStyle w:val="2"/>
        <w:rPr>
          <w:rFonts w:asciiTheme="minorEastAsia" w:hAnsiTheme="minorEastAsia" w:eastAsiaTheme="minorEastAsia" w:cstheme="minorEastAsia"/>
          <w:u w:val="single"/>
        </w:rPr>
      </w:pPr>
    </w:p>
    <w:p>
      <w:pPr>
        <w:pStyle w:val="2"/>
        <w:rPr>
          <w:rFonts w:asciiTheme="minorEastAsia" w:hAnsiTheme="minorEastAsia" w:eastAsiaTheme="minorEastAsia" w:cstheme="minorEastAsia"/>
          <w:u w:val="single"/>
        </w:rPr>
      </w:pP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u w:val="single"/>
        </w:rPr>
        <w:t xml:space="preserve">            （工程项目名称）        </w:t>
      </w:r>
      <w:r>
        <w:rPr>
          <w:rFonts w:hint="eastAsia" w:asciiTheme="minorEastAsia" w:hAnsiTheme="minorEastAsia" w:eastAsiaTheme="minorEastAsia" w:cstheme="minorEastAsia"/>
        </w:rPr>
        <w:t xml:space="preserve"> 工程 </w:t>
      </w:r>
    </w:p>
    <w:tbl>
      <w:tblPr>
        <w:tblStyle w:val="45"/>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ind w:left="223" w:hanging="222" w:hangingChars="106"/>
              <w:jc w:val="center"/>
              <w:rPr>
                <w:rFonts w:asciiTheme="minorEastAsia" w:hAnsiTheme="minorEastAsia" w:eastAsiaTheme="minorEastAsia" w:cstheme="minorEastAsia"/>
              </w:rPr>
            </w:pPr>
            <w:r>
              <w:rPr>
                <w:rFonts w:hint="eastAsia" w:asciiTheme="minorEastAsia" w:hAnsiTheme="minorEastAsia" w:eastAsiaTheme="minorEastAsia" w:cstheme="minorEastAsia"/>
              </w:rPr>
              <w:t>岗位</w:t>
            </w:r>
          </w:p>
        </w:tc>
        <w:tc>
          <w:tcPr>
            <w:tcW w:w="829" w:type="dxa"/>
            <w:vMerge w:val="restart"/>
            <w:vAlign w:val="center"/>
          </w:tcPr>
          <w:p>
            <w:pPr>
              <w:ind w:left="223" w:hanging="222" w:hangingChars="106"/>
              <w:jc w:val="center"/>
              <w:rPr>
                <w:rFonts w:asciiTheme="minorEastAsia" w:hAnsiTheme="minorEastAsia" w:eastAsiaTheme="minorEastAsia" w:cstheme="minorEastAsia"/>
              </w:rPr>
            </w:pPr>
            <w:r>
              <w:rPr>
                <w:rFonts w:hint="eastAsia" w:asciiTheme="minorEastAsia" w:hAnsiTheme="minorEastAsia" w:eastAsiaTheme="minorEastAsia" w:cstheme="minorEastAsia"/>
              </w:rPr>
              <w:t>姓名</w:t>
            </w:r>
          </w:p>
        </w:tc>
        <w:tc>
          <w:tcPr>
            <w:tcW w:w="816" w:type="dxa"/>
            <w:vMerge w:val="restart"/>
            <w:vAlign w:val="center"/>
          </w:tcPr>
          <w:p>
            <w:pPr>
              <w:ind w:left="223" w:hanging="222" w:hangingChars="106"/>
              <w:jc w:val="center"/>
              <w:rPr>
                <w:rFonts w:asciiTheme="minorEastAsia" w:hAnsiTheme="minorEastAsia" w:eastAsiaTheme="minorEastAsia" w:cstheme="minorEastAsia"/>
              </w:rPr>
            </w:pPr>
            <w:r>
              <w:rPr>
                <w:rFonts w:hint="eastAsia" w:asciiTheme="minorEastAsia" w:hAnsiTheme="minorEastAsia" w:eastAsiaTheme="minorEastAsia" w:cstheme="minorEastAsia"/>
              </w:rPr>
              <w:t>职称</w:t>
            </w:r>
          </w:p>
        </w:tc>
        <w:tc>
          <w:tcPr>
            <w:tcW w:w="4592" w:type="dxa"/>
            <w:gridSpan w:val="4"/>
            <w:vAlign w:val="center"/>
          </w:tcPr>
          <w:p>
            <w:pPr>
              <w:ind w:left="223" w:hanging="222" w:hangingChars="106"/>
              <w:jc w:val="center"/>
              <w:rPr>
                <w:rFonts w:asciiTheme="minorEastAsia" w:hAnsiTheme="minorEastAsia" w:eastAsiaTheme="minorEastAsia" w:cstheme="minorEastAsia"/>
              </w:rPr>
            </w:pPr>
            <w:r>
              <w:rPr>
                <w:rFonts w:hint="eastAsia" w:asciiTheme="minorEastAsia" w:hAnsiTheme="minorEastAsia" w:eastAsiaTheme="minorEastAsia" w:cstheme="minorEastAsia"/>
              </w:rPr>
              <w:t>执业或职业资格证明</w:t>
            </w:r>
          </w:p>
        </w:tc>
        <w:tc>
          <w:tcPr>
            <w:tcW w:w="2126" w:type="dxa"/>
            <w:gridSpan w:val="2"/>
            <w:vAlign w:val="center"/>
          </w:tcPr>
          <w:p>
            <w:pPr>
              <w:ind w:left="223" w:hanging="222" w:hangingChars="106"/>
              <w:jc w:val="center"/>
              <w:rPr>
                <w:rFonts w:asciiTheme="minorEastAsia" w:hAnsiTheme="minorEastAsia" w:eastAsiaTheme="minorEastAsia" w:cstheme="minorEastAsia"/>
              </w:rPr>
            </w:pPr>
            <w:r>
              <w:rPr>
                <w:rFonts w:hint="eastAsia" w:asciiTheme="minorEastAsia" w:hAnsiTheme="minorEastAsia" w:eastAsiaTheme="minorEastAsia" w:cstheme="minorEastAsia"/>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pPr>
              <w:ind w:left="223" w:hanging="222" w:hangingChars="106"/>
              <w:jc w:val="center"/>
              <w:rPr>
                <w:rFonts w:asciiTheme="minorEastAsia" w:hAnsiTheme="minorEastAsia" w:eastAsiaTheme="minorEastAsia" w:cstheme="minorEastAsia"/>
              </w:rPr>
            </w:pPr>
          </w:p>
        </w:tc>
        <w:tc>
          <w:tcPr>
            <w:tcW w:w="829" w:type="dxa"/>
            <w:vMerge w:val="continue"/>
            <w:vAlign w:val="center"/>
          </w:tcPr>
          <w:p>
            <w:pPr>
              <w:ind w:left="223" w:hanging="222" w:hangingChars="106"/>
              <w:jc w:val="center"/>
              <w:rPr>
                <w:rFonts w:asciiTheme="minorEastAsia" w:hAnsiTheme="minorEastAsia" w:eastAsiaTheme="minorEastAsia" w:cstheme="minorEastAsia"/>
              </w:rPr>
            </w:pPr>
          </w:p>
        </w:tc>
        <w:tc>
          <w:tcPr>
            <w:tcW w:w="816" w:type="dxa"/>
            <w:vMerge w:val="continue"/>
            <w:vAlign w:val="center"/>
          </w:tcPr>
          <w:p>
            <w:pPr>
              <w:ind w:left="223" w:hanging="222" w:hangingChars="106"/>
              <w:jc w:val="center"/>
              <w:rPr>
                <w:rFonts w:asciiTheme="minorEastAsia" w:hAnsiTheme="minorEastAsia" w:eastAsiaTheme="minorEastAsia" w:cstheme="minorEastAsia"/>
              </w:rPr>
            </w:pPr>
          </w:p>
        </w:tc>
        <w:tc>
          <w:tcPr>
            <w:tcW w:w="1148" w:type="dxa"/>
            <w:vAlign w:val="center"/>
          </w:tcPr>
          <w:p>
            <w:pPr>
              <w:ind w:left="223" w:hanging="222" w:hangingChars="106"/>
              <w:jc w:val="center"/>
              <w:rPr>
                <w:rFonts w:asciiTheme="minorEastAsia" w:hAnsiTheme="minorEastAsia" w:eastAsiaTheme="minorEastAsia" w:cstheme="minorEastAsia"/>
              </w:rPr>
            </w:pPr>
            <w:r>
              <w:rPr>
                <w:rFonts w:hint="eastAsia" w:asciiTheme="minorEastAsia" w:hAnsiTheme="minorEastAsia" w:eastAsiaTheme="minorEastAsia" w:cstheme="minorEastAsia"/>
              </w:rPr>
              <w:t>证书名称</w:t>
            </w:r>
          </w:p>
        </w:tc>
        <w:tc>
          <w:tcPr>
            <w:tcW w:w="1148" w:type="dxa"/>
            <w:vAlign w:val="center"/>
          </w:tcPr>
          <w:p>
            <w:pPr>
              <w:ind w:left="223" w:hanging="222" w:hangingChars="106"/>
              <w:jc w:val="center"/>
              <w:rPr>
                <w:rFonts w:asciiTheme="minorEastAsia" w:hAnsiTheme="minorEastAsia" w:eastAsiaTheme="minorEastAsia" w:cstheme="minorEastAsia"/>
              </w:rPr>
            </w:pPr>
            <w:r>
              <w:rPr>
                <w:rFonts w:hint="eastAsia" w:asciiTheme="minorEastAsia" w:hAnsiTheme="minorEastAsia" w:eastAsiaTheme="minorEastAsia" w:cstheme="minorEastAsia"/>
              </w:rPr>
              <w:t>级别</w:t>
            </w:r>
          </w:p>
        </w:tc>
        <w:tc>
          <w:tcPr>
            <w:tcW w:w="1148" w:type="dxa"/>
            <w:vAlign w:val="center"/>
          </w:tcPr>
          <w:p>
            <w:pPr>
              <w:ind w:left="223" w:hanging="222" w:hangingChars="106"/>
              <w:jc w:val="center"/>
              <w:rPr>
                <w:rFonts w:asciiTheme="minorEastAsia" w:hAnsiTheme="minorEastAsia" w:eastAsiaTheme="minorEastAsia" w:cstheme="minorEastAsia"/>
              </w:rPr>
            </w:pPr>
            <w:r>
              <w:rPr>
                <w:rFonts w:hint="eastAsia" w:asciiTheme="minorEastAsia" w:hAnsiTheme="minorEastAsia" w:eastAsiaTheme="minorEastAsia" w:cstheme="minorEastAsia"/>
              </w:rPr>
              <w:t>证号</w:t>
            </w:r>
          </w:p>
        </w:tc>
        <w:tc>
          <w:tcPr>
            <w:tcW w:w="1148" w:type="dxa"/>
            <w:vAlign w:val="center"/>
          </w:tcPr>
          <w:p>
            <w:pPr>
              <w:ind w:left="223" w:hanging="222" w:hangingChars="106"/>
              <w:jc w:val="center"/>
              <w:rPr>
                <w:rFonts w:asciiTheme="minorEastAsia" w:hAnsiTheme="minorEastAsia" w:eastAsiaTheme="minorEastAsia" w:cstheme="minorEastAsia"/>
              </w:rPr>
            </w:pPr>
            <w:r>
              <w:rPr>
                <w:rFonts w:hint="eastAsia" w:asciiTheme="minorEastAsia" w:hAnsiTheme="minorEastAsia" w:eastAsiaTheme="minorEastAsia" w:cstheme="minorEastAsia"/>
              </w:rPr>
              <w:t>专业</w:t>
            </w:r>
          </w:p>
        </w:tc>
        <w:tc>
          <w:tcPr>
            <w:tcW w:w="850" w:type="dxa"/>
            <w:vAlign w:val="center"/>
          </w:tcPr>
          <w:p>
            <w:pPr>
              <w:ind w:left="223" w:hanging="222" w:hangingChars="106"/>
              <w:jc w:val="center"/>
              <w:rPr>
                <w:rFonts w:asciiTheme="minorEastAsia" w:hAnsiTheme="minorEastAsia" w:eastAsiaTheme="minorEastAsia" w:cstheme="minorEastAsia"/>
              </w:rPr>
            </w:pPr>
            <w:r>
              <w:rPr>
                <w:rFonts w:hint="eastAsia" w:asciiTheme="minorEastAsia" w:hAnsiTheme="minorEastAsia" w:eastAsiaTheme="minorEastAsia" w:cstheme="minorEastAsia"/>
              </w:rPr>
              <w:t>项目数</w:t>
            </w:r>
          </w:p>
        </w:tc>
        <w:tc>
          <w:tcPr>
            <w:tcW w:w="1276" w:type="dxa"/>
            <w:vAlign w:val="center"/>
          </w:tcPr>
          <w:p>
            <w:pPr>
              <w:ind w:left="223" w:hanging="222" w:hangingChars="106"/>
              <w:jc w:val="center"/>
              <w:rPr>
                <w:rFonts w:asciiTheme="minorEastAsia" w:hAnsiTheme="minorEastAsia" w:eastAsiaTheme="minorEastAsia" w:cstheme="minorEastAsia"/>
              </w:rPr>
            </w:pPr>
            <w:r>
              <w:rPr>
                <w:rFonts w:hint="eastAsia" w:asciiTheme="minorEastAsia" w:hAnsiTheme="minorEastAsia" w:eastAsiaTheme="minorEastAsia" w:cstheme="minorEastAsia"/>
              </w:rPr>
              <w:t>主要项目</w:t>
            </w:r>
          </w:p>
          <w:p>
            <w:pPr>
              <w:ind w:left="223" w:hanging="222" w:hangingChars="106"/>
              <w:jc w:val="center"/>
              <w:rPr>
                <w:rFonts w:asciiTheme="minorEastAsia" w:hAnsiTheme="minorEastAsia" w:eastAsiaTheme="minorEastAsia" w:cstheme="minorEastAsia"/>
              </w:rPr>
            </w:pPr>
            <w:r>
              <w:rPr>
                <w:rFonts w:hint="eastAsia" w:asciiTheme="minorEastAsia" w:hAnsiTheme="minorEastAsia" w:eastAsiaTheme="minorEastAsia" w:cstheme="minorEastAsia"/>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Theme="minorEastAsia" w:hAnsiTheme="minorEastAsia" w:eastAsiaTheme="minorEastAsia" w:cstheme="minorEastAsia"/>
              </w:rPr>
            </w:pPr>
            <w:r>
              <w:rPr>
                <w:rFonts w:hint="eastAsia" w:asciiTheme="minorEastAsia" w:hAnsiTheme="minorEastAsia" w:eastAsiaTheme="minorEastAsia" w:cstheme="minorEastAsia"/>
              </w:rPr>
              <w:t>施工员</w:t>
            </w:r>
          </w:p>
        </w:tc>
        <w:tc>
          <w:tcPr>
            <w:tcW w:w="829" w:type="dxa"/>
            <w:vAlign w:val="center"/>
          </w:tcPr>
          <w:p>
            <w:pPr>
              <w:ind w:left="223" w:hanging="222" w:hangingChars="106"/>
              <w:jc w:val="center"/>
              <w:rPr>
                <w:rFonts w:asciiTheme="minorEastAsia" w:hAnsiTheme="minorEastAsia" w:eastAsiaTheme="minorEastAsia" w:cstheme="minorEastAsia"/>
              </w:rPr>
            </w:pPr>
          </w:p>
        </w:tc>
        <w:tc>
          <w:tcPr>
            <w:tcW w:w="816" w:type="dxa"/>
            <w:vAlign w:val="center"/>
          </w:tcPr>
          <w:p>
            <w:pPr>
              <w:ind w:left="223" w:hanging="222" w:hangingChars="106"/>
              <w:jc w:val="center"/>
              <w:rPr>
                <w:rFonts w:asciiTheme="minorEastAsia" w:hAnsiTheme="minorEastAsia" w:eastAsiaTheme="minorEastAsia" w:cstheme="minorEastAsia"/>
              </w:rPr>
            </w:pPr>
          </w:p>
        </w:tc>
        <w:tc>
          <w:tcPr>
            <w:tcW w:w="1148" w:type="dxa"/>
            <w:vAlign w:val="center"/>
          </w:tcPr>
          <w:p>
            <w:pPr>
              <w:ind w:left="223" w:hanging="222" w:hangingChars="106"/>
              <w:jc w:val="center"/>
              <w:rPr>
                <w:rFonts w:asciiTheme="minorEastAsia" w:hAnsiTheme="minorEastAsia" w:eastAsiaTheme="minorEastAsia" w:cstheme="minorEastAsia"/>
              </w:rPr>
            </w:pPr>
          </w:p>
        </w:tc>
        <w:tc>
          <w:tcPr>
            <w:tcW w:w="1148" w:type="dxa"/>
            <w:vAlign w:val="center"/>
          </w:tcPr>
          <w:p>
            <w:pPr>
              <w:ind w:left="223" w:hanging="222" w:hangingChars="106"/>
              <w:jc w:val="center"/>
              <w:rPr>
                <w:rFonts w:asciiTheme="minorEastAsia" w:hAnsiTheme="minorEastAsia" w:eastAsiaTheme="minorEastAsia" w:cstheme="minorEastAsia"/>
              </w:rPr>
            </w:pPr>
          </w:p>
        </w:tc>
        <w:tc>
          <w:tcPr>
            <w:tcW w:w="1148" w:type="dxa"/>
            <w:vAlign w:val="center"/>
          </w:tcPr>
          <w:p>
            <w:pPr>
              <w:ind w:left="223" w:hanging="222" w:hangingChars="106"/>
              <w:jc w:val="center"/>
              <w:rPr>
                <w:rFonts w:asciiTheme="minorEastAsia" w:hAnsiTheme="minorEastAsia" w:eastAsiaTheme="minorEastAsia" w:cstheme="minorEastAsia"/>
              </w:rPr>
            </w:pPr>
          </w:p>
        </w:tc>
        <w:tc>
          <w:tcPr>
            <w:tcW w:w="1148" w:type="dxa"/>
            <w:vAlign w:val="center"/>
          </w:tcPr>
          <w:p>
            <w:pPr>
              <w:ind w:left="223" w:hanging="222" w:hangingChars="106"/>
              <w:jc w:val="center"/>
              <w:rPr>
                <w:rFonts w:asciiTheme="minorEastAsia" w:hAnsiTheme="minorEastAsia" w:eastAsiaTheme="minorEastAsia" w:cstheme="minorEastAsia"/>
              </w:rPr>
            </w:pPr>
          </w:p>
        </w:tc>
        <w:tc>
          <w:tcPr>
            <w:tcW w:w="850" w:type="dxa"/>
            <w:vAlign w:val="center"/>
          </w:tcPr>
          <w:p>
            <w:pPr>
              <w:ind w:left="223" w:hanging="222" w:hangingChars="106"/>
              <w:jc w:val="center"/>
              <w:rPr>
                <w:rFonts w:asciiTheme="minorEastAsia" w:hAnsiTheme="minorEastAsia" w:eastAsiaTheme="minorEastAsia" w:cstheme="minorEastAsia"/>
              </w:rPr>
            </w:pPr>
          </w:p>
        </w:tc>
        <w:tc>
          <w:tcPr>
            <w:tcW w:w="1276" w:type="dxa"/>
            <w:vAlign w:val="center"/>
          </w:tcPr>
          <w:p>
            <w:pPr>
              <w:ind w:left="223" w:hanging="222" w:hangingChars="106"/>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Theme="minorEastAsia" w:hAnsiTheme="minorEastAsia" w:eastAsiaTheme="minorEastAsia" w:cstheme="minorEastAsia"/>
              </w:rPr>
            </w:pPr>
            <w:r>
              <w:rPr>
                <w:rFonts w:hint="eastAsia" w:asciiTheme="minorEastAsia" w:hAnsiTheme="minorEastAsia" w:eastAsiaTheme="minorEastAsia" w:cstheme="minorEastAsia"/>
              </w:rPr>
              <w:t>质量员</w:t>
            </w:r>
          </w:p>
        </w:tc>
        <w:tc>
          <w:tcPr>
            <w:tcW w:w="829" w:type="dxa"/>
            <w:vAlign w:val="center"/>
          </w:tcPr>
          <w:p>
            <w:pPr>
              <w:ind w:left="223" w:hanging="222" w:hangingChars="106"/>
              <w:jc w:val="center"/>
              <w:rPr>
                <w:rFonts w:asciiTheme="minorEastAsia" w:hAnsiTheme="minorEastAsia" w:eastAsiaTheme="minorEastAsia" w:cstheme="minorEastAsia"/>
              </w:rPr>
            </w:pPr>
          </w:p>
        </w:tc>
        <w:tc>
          <w:tcPr>
            <w:tcW w:w="816" w:type="dxa"/>
            <w:vAlign w:val="center"/>
          </w:tcPr>
          <w:p>
            <w:pPr>
              <w:ind w:left="223" w:hanging="222" w:hangingChars="106"/>
              <w:jc w:val="center"/>
              <w:rPr>
                <w:rFonts w:asciiTheme="minorEastAsia" w:hAnsiTheme="minorEastAsia" w:eastAsiaTheme="minorEastAsia" w:cstheme="minorEastAsia"/>
              </w:rPr>
            </w:pPr>
          </w:p>
        </w:tc>
        <w:tc>
          <w:tcPr>
            <w:tcW w:w="1148" w:type="dxa"/>
            <w:vAlign w:val="center"/>
          </w:tcPr>
          <w:p>
            <w:pPr>
              <w:ind w:left="223" w:hanging="222" w:hangingChars="106"/>
              <w:jc w:val="center"/>
              <w:rPr>
                <w:rFonts w:asciiTheme="minorEastAsia" w:hAnsiTheme="minorEastAsia" w:eastAsiaTheme="minorEastAsia" w:cstheme="minorEastAsia"/>
              </w:rPr>
            </w:pPr>
          </w:p>
        </w:tc>
        <w:tc>
          <w:tcPr>
            <w:tcW w:w="1148" w:type="dxa"/>
            <w:vAlign w:val="center"/>
          </w:tcPr>
          <w:p>
            <w:pPr>
              <w:ind w:left="223" w:hanging="222" w:hangingChars="106"/>
              <w:jc w:val="center"/>
              <w:rPr>
                <w:rFonts w:asciiTheme="minorEastAsia" w:hAnsiTheme="minorEastAsia" w:eastAsiaTheme="minorEastAsia" w:cstheme="minorEastAsia"/>
              </w:rPr>
            </w:pPr>
          </w:p>
        </w:tc>
        <w:tc>
          <w:tcPr>
            <w:tcW w:w="1148" w:type="dxa"/>
            <w:vAlign w:val="center"/>
          </w:tcPr>
          <w:p>
            <w:pPr>
              <w:ind w:left="223" w:hanging="222" w:hangingChars="106"/>
              <w:jc w:val="center"/>
              <w:rPr>
                <w:rFonts w:asciiTheme="minorEastAsia" w:hAnsiTheme="minorEastAsia" w:eastAsiaTheme="minorEastAsia" w:cstheme="minorEastAsia"/>
              </w:rPr>
            </w:pPr>
          </w:p>
        </w:tc>
        <w:tc>
          <w:tcPr>
            <w:tcW w:w="1148" w:type="dxa"/>
            <w:vAlign w:val="center"/>
          </w:tcPr>
          <w:p>
            <w:pPr>
              <w:ind w:left="223" w:hanging="222" w:hangingChars="106"/>
              <w:jc w:val="center"/>
              <w:rPr>
                <w:rFonts w:asciiTheme="minorEastAsia" w:hAnsiTheme="minorEastAsia" w:eastAsiaTheme="minorEastAsia" w:cstheme="minorEastAsia"/>
              </w:rPr>
            </w:pPr>
          </w:p>
        </w:tc>
        <w:tc>
          <w:tcPr>
            <w:tcW w:w="850" w:type="dxa"/>
            <w:vAlign w:val="center"/>
          </w:tcPr>
          <w:p>
            <w:pPr>
              <w:ind w:left="223" w:hanging="222" w:hangingChars="106"/>
              <w:jc w:val="center"/>
              <w:rPr>
                <w:rFonts w:asciiTheme="minorEastAsia" w:hAnsiTheme="minorEastAsia" w:eastAsiaTheme="minorEastAsia" w:cstheme="minorEastAsia"/>
              </w:rPr>
            </w:pPr>
          </w:p>
        </w:tc>
        <w:tc>
          <w:tcPr>
            <w:tcW w:w="1276" w:type="dxa"/>
            <w:vAlign w:val="center"/>
          </w:tcPr>
          <w:p>
            <w:pPr>
              <w:ind w:left="223" w:hanging="222" w:hangingChars="106"/>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restart"/>
            <w:vAlign w:val="center"/>
          </w:tcPr>
          <w:p>
            <w:pPr>
              <w:ind w:left="223" w:hanging="222" w:hangingChars="106"/>
              <w:jc w:val="left"/>
              <w:rPr>
                <w:rFonts w:asciiTheme="minorEastAsia" w:hAnsiTheme="minorEastAsia" w:eastAsiaTheme="minorEastAsia" w:cstheme="minorEastAsia"/>
              </w:rPr>
            </w:pPr>
            <w:r>
              <w:rPr>
                <w:rFonts w:hint="eastAsia" w:asciiTheme="minorEastAsia" w:hAnsiTheme="minorEastAsia" w:eastAsiaTheme="minorEastAsia" w:cstheme="minorEastAsia"/>
              </w:rPr>
              <w:t>专职安全生产管理人员</w:t>
            </w:r>
          </w:p>
        </w:tc>
        <w:tc>
          <w:tcPr>
            <w:tcW w:w="829" w:type="dxa"/>
            <w:vAlign w:val="center"/>
          </w:tcPr>
          <w:p>
            <w:pPr>
              <w:ind w:left="223" w:hanging="222" w:hangingChars="106"/>
              <w:jc w:val="center"/>
              <w:rPr>
                <w:rFonts w:asciiTheme="minorEastAsia" w:hAnsiTheme="minorEastAsia" w:eastAsiaTheme="minorEastAsia" w:cstheme="minorEastAsia"/>
              </w:rPr>
            </w:pPr>
          </w:p>
        </w:tc>
        <w:tc>
          <w:tcPr>
            <w:tcW w:w="816" w:type="dxa"/>
            <w:vAlign w:val="center"/>
          </w:tcPr>
          <w:p>
            <w:pPr>
              <w:ind w:left="223" w:hanging="222" w:hangingChars="106"/>
              <w:jc w:val="center"/>
              <w:rPr>
                <w:rFonts w:asciiTheme="minorEastAsia" w:hAnsiTheme="minorEastAsia" w:eastAsiaTheme="minorEastAsia" w:cstheme="minorEastAsia"/>
              </w:rPr>
            </w:pPr>
          </w:p>
        </w:tc>
        <w:tc>
          <w:tcPr>
            <w:tcW w:w="1148" w:type="dxa"/>
            <w:vAlign w:val="center"/>
          </w:tcPr>
          <w:p>
            <w:pPr>
              <w:ind w:left="223" w:hanging="222" w:hangingChars="106"/>
              <w:jc w:val="center"/>
              <w:rPr>
                <w:rFonts w:asciiTheme="minorEastAsia" w:hAnsiTheme="minorEastAsia" w:eastAsiaTheme="minorEastAsia" w:cstheme="minorEastAsia"/>
              </w:rPr>
            </w:pPr>
          </w:p>
        </w:tc>
        <w:tc>
          <w:tcPr>
            <w:tcW w:w="1148" w:type="dxa"/>
            <w:vAlign w:val="center"/>
          </w:tcPr>
          <w:p>
            <w:pPr>
              <w:ind w:left="223" w:hanging="222" w:hangingChars="106"/>
              <w:jc w:val="center"/>
              <w:rPr>
                <w:rFonts w:asciiTheme="minorEastAsia" w:hAnsiTheme="minorEastAsia" w:eastAsiaTheme="minorEastAsia" w:cstheme="minorEastAsia"/>
              </w:rPr>
            </w:pPr>
          </w:p>
        </w:tc>
        <w:tc>
          <w:tcPr>
            <w:tcW w:w="1148" w:type="dxa"/>
            <w:vAlign w:val="center"/>
          </w:tcPr>
          <w:p>
            <w:pPr>
              <w:ind w:left="223" w:hanging="222" w:hangingChars="106"/>
              <w:jc w:val="center"/>
              <w:rPr>
                <w:rFonts w:asciiTheme="minorEastAsia" w:hAnsiTheme="minorEastAsia" w:eastAsiaTheme="minorEastAsia" w:cstheme="minorEastAsia"/>
              </w:rPr>
            </w:pPr>
          </w:p>
        </w:tc>
        <w:tc>
          <w:tcPr>
            <w:tcW w:w="1148" w:type="dxa"/>
            <w:vAlign w:val="center"/>
          </w:tcPr>
          <w:p>
            <w:pPr>
              <w:ind w:left="223" w:hanging="222" w:hangingChars="106"/>
              <w:jc w:val="center"/>
              <w:rPr>
                <w:rFonts w:asciiTheme="minorEastAsia" w:hAnsiTheme="minorEastAsia" w:eastAsiaTheme="minorEastAsia" w:cstheme="minorEastAsia"/>
              </w:rPr>
            </w:pPr>
          </w:p>
        </w:tc>
        <w:tc>
          <w:tcPr>
            <w:tcW w:w="850" w:type="dxa"/>
            <w:vAlign w:val="center"/>
          </w:tcPr>
          <w:p>
            <w:pPr>
              <w:ind w:left="223" w:hanging="222" w:hangingChars="106"/>
              <w:jc w:val="center"/>
              <w:rPr>
                <w:rFonts w:asciiTheme="minorEastAsia" w:hAnsiTheme="minorEastAsia" w:eastAsiaTheme="minorEastAsia" w:cstheme="minorEastAsia"/>
              </w:rPr>
            </w:pPr>
          </w:p>
        </w:tc>
        <w:tc>
          <w:tcPr>
            <w:tcW w:w="1276" w:type="dxa"/>
            <w:vAlign w:val="center"/>
          </w:tcPr>
          <w:p>
            <w:pPr>
              <w:ind w:left="223" w:hanging="222" w:hangingChars="106"/>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pPr>
              <w:ind w:left="223" w:hanging="222" w:hangingChars="106"/>
              <w:jc w:val="center"/>
              <w:rPr>
                <w:rFonts w:asciiTheme="minorEastAsia" w:hAnsiTheme="minorEastAsia" w:eastAsiaTheme="minorEastAsia" w:cstheme="minorEastAsia"/>
              </w:rPr>
            </w:pPr>
          </w:p>
        </w:tc>
        <w:tc>
          <w:tcPr>
            <w:tcW w:w="829" w:type="dxa"/>
            <w:vAlign w:val="center"/>
          </w:tcPr>
          <w:p>
            <w:pPr>
              <w:ind w:left="223" w:hanging="222" w:hangingChars="106"/>
              <w:jc w:val="center"/>
              <w:rPr>
                <w:rFonts w:asciiTheme="minorEastAsia" w:hAnsiTheme="minorEastAsia" w:eastAsiaTheme="minorEastAsia" w:cstheme="minorEastAsia"/>
              </w:rPr>
            </w:pPr>
          </w:p>
        </w:tc>
        <w:tc>
          <w:tcPr>
            <w:tcW w:w="816" w:type="dxa"/>
            <w:vAlign w:val="center"/>
          </w:tcPr>
          <w:p>
            <w:pPr>
              <w:ind w:left="223" w:hanging="222" w:hangingChars="106"/>
              <w:jc w:val="center"/>
              <w:rPr>
                <w:rFonts w:asciiTheme="minorEastAsia" w:hAnsiTheme="minorEastAsia" w:eastAsiaTheme="minorEastAsia" w:cstheme="minorEastAsia"/>
              </w:rPr>
            </w:pPr>
          </w:p>
        </w:tc>
        <w:tc>
          <w:tcPr>
            <w:tcW w:w="1148" w:type="dxa"/>
            <w:vAlign w:val="center"/>
          </w:tcPr>
          <w:p>
            <w:pPr>
              <w:ind w:left="223" w:hanging="222" w:hangingChars="106"/>
              <w:jc w:val="center"/>
              <w:rPr>
                <w:rFonts w:asciiTheme="minorEastAsia" w:hAnsiTheme="minorEastAsia" w:eastAsiaTheme="minorEastAsia" w:cstheme="minorEastAsia"/>
              </w:rPr>
            </w:pPr>
          </w:p>
        </w:tc>
        <w:tc>
          <w:tcPr>
            <w:tcW w:w="1148" w:type="dxa"/>
            <w:vAlign w:val="center"/>
          </w:tcPr>
          <w:p>
            <w:pPr>
              <w:ind w:left="223" w:hanging="222" w:hangingChars="106"/>
              <w:jc w:val="center"/>
              <w:rPr>
                <w:rFonts w:asciiTheme="minorEastAsia" w:hAnsiTheme="minorEastAsia" w:eastAsiaTheme="minorEastAsia" w:cstheme="minorEastAsia"/>
              </w:rPr>
            </w:pPr>
          </w:p>
        </w:tc>
        <w:tc>
          <w:tcPr>
            <w:tcW w:w="1148" w:type="dxa"/>
            <w:vAlign w:val="center"/>
          </w:tcPr>
          <w:p>
            <w:pPr>
              <w:ind w:left="223" w:hanging="222" w:hangingChars="106"/>
              <w:jc w:val="center"/>
              <w:rPr>
                <w:rFonts w:asciiTheme="minorEastAsia" w:hAnsiTheme="minorEastAsia" w:eastAsiaTheme="minorEastAsia" w:cstheme="minorEastAsia"/>
              </w:rPr>
            </w:pPr>
          </w:p>
        </w:tc>
        <w:tc>
          <w:tcPr>
            <w:tcW w:w="1148" w:type="dxa"/>
            <w:vAlign w:val="center"/>
          </w:tcPr>
          <w:p>
            <w:pPr>
              <w:ind w:left="223" w:hanging="222" w:hangingChars="106"/>
              <w:jc w:val="center"/>
              <w:rPr>
                <w:rFonts w:asciiTheme="minorEastAsia" w:hAnsiTheme="minorEastAsia" w:eastAsiaTheme="minorEastAsia" w:cstheme="minorEastAsia"/>
              </w:rPr>
            </w:pPr>
          </w:p>
        </w:tc>
        <w:tc>
          <w:tcPr>
            <w:tcW w:w="850" w:type="dxa"/>
            <w:vAlign w:val="center"/>
          </w:tcPr>
          <w:p>
            <w:pPr>
              <w:ind w:left="223" w:hanging="222" w:hangingChars="106"/>
              <w:jc w:val="center"/>
              <w:rPr>
                <w:rFonts w:asciiTheme="minorEastAsia" w:hAnsiTheme="minorEastAsia" w:eastAsiaTheme="minorEastAsia" w:cstheme="minorEastAsia"/>
              </w:rPr>
            </w:pPr>
          </w:p>
        </w:tc>
        <w:tc>
          <w:tcPr>
            <w:tcW w:w="1276" w:type="dxa"/>
            <w:vAlign w:val="center"/>
          </w:tcPr>
          <w:p>
            <w:pPr>
              <w:ind w:left="223" w:hanging="222" w:hangingChars="106"/>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pPr>
              <w:ind w:left="223" w:hanging="222" w:hangingChars="106"/>
              <w:jc w:val="center"/>
              <w:rPr>
                <w:rFonts w:asciiTheme="minorEastAsia" w:hAnsiTheme="minorEastAsia" w:eastAsiaTheme="minorEastAsia" w:cstheme="minorEastAsia"/>
              </w:rPr>
            </w:pPr>
          </w:p>
        </w:tc>
        <w:tc>
          <w:tcPr>
            <w:tcW w:w="829" w:type="dxa"/>
            <w:vAlign w:val="center"/>
          </w:tcPr>
          <w:p>
            <w:pPr>
              <w:ind w:left="223" w:hanging="222" w:hangingChars="106"/>
              <w:jc w:val="center"/>
              <w:rPr>
                <w:rFonts w:asciiTheme="minorEastAsia" w:hAnsiTheme="minorEastAsia" w:eastAsiaTheme="minorEastAsia" w:cstheme="minorEastAsia"/>
              </w:rPr>
            </w:pPr>
          </w:p>
        </w:tc>
        <w:tc>
          <w:tcPr>
            <w:tcW w:w="816" w:type="dxa"/>
            <w:vAlign w:val="center"/>
          </w:tcPr>
          <w:p>
            <w:pPr>
              <w:ind w:left="223" w:hanging="222" w:hangingChars="106"/>
              <w:jc w:val="center"/>
              <w:rPr>
                <w:rFonts w:asciiTheme="minorEastAsia" w:hAnsiTheme="minorEastAsia" w:eastAsiaTheme="minorEastAsia" w:cstheme="minorEastAsia"/>
              </w:rPr>
            </w:pPr>
          </w:p>
        </w:tc>
        <w:tc>
          <w:tcPr>
            <w:tcW w:w="1148" w:type="dxa"/>
            <w:vAlign w:val="center"/>
          </w:tcPr>
          <w:p>
            <w:pPr>
              <w:ind w:left="223" w:hanging="222" w:hangingChars="106"/>
              <w:jc w:val="center"/>
              <w:rPr>
                <w:rFonts w:asciiTheme="minorEastAsia" w:hAnsiTheme="minorEastAsia" w:eastAsiaTheme="minorEastAsia" w:cstheme="minorEastAsia"/>
              </w:rPr>
            </w:pPr>
          </w:p>
        </w:tc>
        <w:tc>
          <w:tcPr>
            <w:tcW w:w="1148" w:type="dxa"/>
            <w:vAlign w:val="center"/>
          </w:tcPr>
          <w:p>
            <w:pPr>
              <w:ind w:left="223" w:hanging="222" w:hangingChars="106"/>
              <w:jc w:val="center"/>
              <w:rPr>
                <w:rFonts w:asciiTheme="minorEastAsia" w:hAnsiTheme="minorEastAsia" w:eastAsiaTheme="minorEastAsia" w:cstheme="minorEastAsia"/>
              </w:rPr>
            </w:pPr>
          </w:p>
        </w:tc>
        <w:tc>
          <w:tcPr>
            <w:tcW w:w="1148" w:type="dxa"/>
            <w:vAlign w:val="center"/>
          </w:tcPr>
          <w:p>
            <w:pPr>
              <w:ind w:left="223" w:hanging="222" w:hangingChars="106"/>
              <w:jc w:val="center"/>
              <w:rPr>
                <w:rFonts w:asciiTheme="minorEastAsia" w:hAnsiTheme="minorEastAsia" w:eastAsiaTheme="minorEastAsia" w:cstheme="minorEastAsia"/>
              </w:rPr>
            </w:pPr>
          </w:p>
        </w:tc>
        <w:tc>
          <w:tcPr>
            <w:tcW w:w="1148" w:type="dxa"/>
            <w:vAlign w:val="center"/>
          </w:tcPr>
          <w:p>
            <w:pPr>
              <w:ind w:left="223" w:hanging="222" w:hangingChars="106"/>
              <w:jc w:val="center"/>
              <w:rPr>
                <w:rFonts w:asciiTheme="minorEastAsia" w:hAnsiTheme="minorEastAsia" w:eastAsiaTheme="minorEastAsia" w:cstheme="minorEastAsia"/>
              </w:rPr>
            </w:pPr>
          </w:p>
        </w:tc>
        <w:tc>
          <w:tcPr>
            <w:tcW w:w="850" w:type="dxa"/>
            <w:vAlign w:val="center"/>
          </w:tcPr>
          <w:p>
            <w:pPr>
              <w:ind w:left="223" w:hanging="222" w:hangingChars="106"/>
              <w:jc w:val="center"/>
              <w:rPr>
                <w:rFonts w:asciiTheme="minorEastAsia" w:hAnsiTheme="minorEastAsia" w:eastAsiaTheme="minorEastAsia" w:cstheme="minorEastAsia"/>
              </w:rPr>
            </w:pPr>
          </w:p>
        </w:tc>
        <w:tc>
          <w:tcPr>
            <w:tcW w:w="1276" w:type="dxa"/>
            <w:vAlign w:val="center"/>
          </w:tcPr>
          <w:p>
            <w:pPr>
              <w:ind w:left="223" w:hanging="222" w:hangingChars="106"/>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Theme="minorEastAsia" w:hAnsiTheme="minorEastAsia" w:eastAsiaTheme="minorEastAsia" w:cstheme="minorEastAsia"/>
              </w:rPr>
            </w:pPr>
            <w:r>
              <w:rPr>
                <w:rFonts w:hint="eastAsia" w:asciiTheme="minorEastAsia" w:hAnsiTheme="minorEastAsia" w:eastAsiaTheme="minorEastAsia" w:cstheme="minorEastAsia"/>
              </w:rPr>
              <w:t>材料员</w:t>
            </w:r>
          </w:p>
        </w:tc>
        <w:tc>
          <w:tcPr>
            <w:tcW w:w="829" w:type="dxa"/>
            <w:vAlign w:val="center"/>
          </w:tcPr>
          <w:p>
            <w:pPr>
              <w:ind w:left="223" w:hanging="222" w:hangingChars="106"/>
              <w:jc w:val="center"/>
              <w:rPr>
                <w:rFonts w:asciiTheme="minorEastAsia" w:hAnsiTheme="minorEastAsia" w:eastAsiaTheme="minorEastAsia" w:cstheme="minorEastAsia"/>
              </w:rPr>
            </w:pPr>
          </w:p>
        </w:tc>
        <w:tc>
          <w:tcPr>
            <w:tcW w:w="816" w:type="dxa"/>
            <w:vAlign w:val="center"/>
          </w:tcPr>
          <w:p>
            <w:pPr>
              <w:ind w:left="223" w:hanging="222" w:hangingChars="106"/>
              <w:jc w:val="center"/>
              <w:rPr>
                <w:rFonts w:asciiTheme="minorEastAsia" w:hAnsiTheme="minorEastAsia" w:eastAsiaTheme="minorEastAsia" w:cstheme="minorEastAsia"/>
              </w:rPr>
            </w:pPr>
          </w:p>
        </w:tc>
        <w:tc>
          <w:tcPr>
            <w:tcW w:w="1148" w:type="dxa"/>
            <w:vAlign w:val="center"/>
          </w:tcPr>
          <w:p>
            <w:pPr>
              <w:ind w:left="223" w:hanging="222" w:hangingChars="106"/>
              <w:jc w:val="center"/>
              <w:rPr>
                <w:rFonts w:asciiTheme="minorEastAsia" w:hAnsiTheme="minorEastAsia" w:eastAsiaTheme="minorEastAsia" w:cstheme="minorEastAsia"/>
              </w:rPr>
            </w:pPr>
          </w:p>
        </w:tc>
        <w:tc>
          <w:tcPr>
            <w:tcW w:w="1148" w:type="dxa"/>
            <w:vAlign w:val="center"/>
          </w:tcPr>
          <w:p>
            <w:pPr>
              <w:ind w:left="223" w:hanging="222" w:hangingChars="106"/>
              <w:jc w:val="center"/>
              <w:rPr>
                <w:rFonts w:asciiTheme="minorEastAsia" w:hAnsiTheme="minorEastAsia" w:eastAsiaTheme="minorEastAsia" w:cstheme="minorEastAsia"/>
              </w:rPr>
            </w:pPr>
          </w:p>
        </w:tc>
        <w:tc>
          <w:tcPr>
            <w:tcW w:w="1148" w:type="dxa"/>
            <w:vAlign w:val="center"/>
          </w:tcPr>
          <w:p>
            <w:pPr>
              <w:ind w:left="223" w:hanging="222" w:hangingChars="106"/>
              <w:jc w:val="center"/>
              <w:rPr>
                <w:rFonts w:asciiTheme="minorEastAsia" w:hAnsiTheme="minorEastAsia" w:eastAsiaTheme="minorEastAsia" w:cstheme="minorEastAsia"/>
              </w:rPr>
            </w:pPr>
          </w:p>
        </w:tc>
        <w:tc>
          <w:tcPr>
            <w:tcW w:w="1148" w:type="dxa"/>
            <w:vAlign w:val="center"/>
          </w:tcPr>
          <w:p>
            <w:pPr>
              <w:ind w:left="223" w:hanging="222" w:hangingChars="106"/>
              <w:jc w:val="center"/>
              <w:rPr>
                <w:rFonts w:asciiTheme="minorEastAsia" w:hAnsiTheme="minorEastAsia" w:eastAsiaTheme="minorEastAsia" w:cstheme="minorEastAsia"/>
              </w:rPr>
            </w:pPr>
          </w:p>
        </w:tc>
        <w:tc>
          <w:tcPr>
            <w:tcW w:w="850" w:type="dxa"/>
            <w:vAlign w:val="center"/>
          </w:tcPr>
          <w:p>
            <w:pPr>
              <w:ind w:left="223" w:hanging="222" w:hangingChars="106"/>
              <w:jc w:val="center"/>
              <w:rPr>
                <w:rFonts w:asciiTheme="minorEastAsia" w:hAnsiTheme="minorEastAsia" w:eastAsiaTheme="minorEastAsia" w:cstheme="minorEastAsia"/>
              </w:rPr>
            </w:pPr>
          </w:p>
        </w:tc>
        <w:tc>
          <w:tcPr>
            <w:tcW w:w="1276" w:type="dxa"/>
            <w:vAlign w:val="center"/>
          </w:tcPr>
          <w:p>
            <w:pPr>
              <w:ind w:left="223" w:hanging="222" w:hangingChars="106"/>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Theme="minorEastAsia" w:hAnsiTheme="minorEastAsia" w:eastAsiaTheme="minorEastAsia" w:cstheme="minorEastAsia"/>
              </w:rPr>
            </w:pPr>
          </w:p>
        </w:tc>
        <w:tc>
          <w:tcPr>
            <w:tcW w:w="829" w:type="dxa"/>
            <w:vAlign w:val="center"/>
          </w:tcPr>
          <w:p>
            <w:pPr>
              <w:ind w:left="223" w:hanging="222" w:hangingChars="106"/>
              <w:jc w:val="center"/>
              <w:rPr>
                <w:rFonts w:asciiTheme="minorEastAsia" w:hAnsiTheme="minorEastAsia" w:eastAsiaTheme="minorEastAsia" w:cstheme="minorEastAsia"/>
              </w:rPr>
            </w:pPr>
          </w:p>
        </w:tc>
        <w:tc>
          <w:tcPr>
            <w:tcW w:w="816" w:type="dxa"/>
            <w:vAlign w:val="center"/>
          </w:tcPr>
          <w:p>
            <w:pPr>
              <w:ind w:left="223" w:hanging="222" w:hangingChars="106"/>
              <w:jc w:val="center"/>
              <w:rPr>
                <w:rFonts w:asciiTheme="minorEastAsia" w:hAnsiTheme="minorEastAsia" w:eastAsiaTheme="minorEastAsia" w:cstheme="minorEastAsia"/>
              </w:rPr>
            </w:pPr>
          </w:p>
        </w:tc>
        <w:tc>
          <w:tcPr>
            <w:tcW w:w="1148" w:type="dxa"/>
            <w:vAlign w:val="center"/>
          </w:tcPr>
          <w:p>
            <w:pPr>
              <w:ind w:left="223" w:hanging="222" w:hangingChars="106"/>
              <w:jc w:val="center"/>
              <w:rPr>
                <w:rFonts w:asciiTheme="minorEastAsia" w:hAnsiTheme="minorEastAsia" w:eastAsiaTheme="minorEastAsia" w:cstheme="minorEastAsia"/>
              </w:rPr>
            </w:pPr>
          </w:p>
        </w:tc>
        <w:tc>
          <w:tcPr>
            <w:tcW w:w="1148" w:type="dxa"/>
            <w:vAlign w:val="center"/>
          </w:tcPr>
          <w:p>
            <w:pPr>
              <w:ind w:left="223" w:hanging="222" w:hangingChars="106"/>
              <w:jc w:val="center"/>
              <w:rPr>
                <w:rFonts w:asciiTheme="minorEastAsia" w:hAnsiTheme="minorEastAsia" w:eastAsiaTheme="minorEastAsia" w:cstheme="minorEastAsia"/>
              </w:rPr>
            </w:pPr>
          </w:p>
        </w:tc>
        <w:tc>
          <w:tcPr>
            <w:tcW w:w="1148" w:type="dxa"/>
            <w:vAlign w:val="center"/>
          </w:tcPr>
          <w:p>
            <w:pPr>
              <w:ind w:left="223" w:hanging="222" w:hangingChars="106"/>
              <w:jc w:val="center"/>
              <w:rPr>
                <w:rFonts w:asciiTheme="minorEastAsia" w:hAnsiTheme="minorEastAsia" w:eastAsiaTheme="minorEastAsia" w:cstheme="minorEastAsia"/>
              </w:rPr>
            </w:pPr>
          </w:p>
        </w:tc>
        <w:tc>
          <w:tcPr>
            <w:tcW w:w="1148" w:type="dxa"/>
            <w:vAlign w:val="center"/>
          </w:tcPr>
          <w:p>
            <w:pPr>
              <w:ind w:left="223" w:hanging="222" w:hangingChars="106"/>
              <w:jc w:val="center"/>
              <w:rPr>
                <w:rFonts w:asciiTheme="minorEastAsia" w:hAnsiTheme="minorEastAsia" w:eastAsiaTheme="minorEastAsia" w:cstheme="minorEastAsia"/>
              </w:rPr>
            </w:pPr>
          </w:p>
        </w:tc>
        <w:tc>
          <w:tcPr>
            <w:tcW w:w="850" w:type="dxa"/>
            <w:vAlign w:val="center"/>
          </w:tcPr>
          <w:p>
            <w:pPr>
              <w:ind w:left="223" w:hanging="222" w:hangingChars="106"/>
              <w:jc w:val="center"/>
              <w:rPr>
                <w:rFonts w:asciiTheme="minorEastAsia" w:hAnsiTheme="minorEastAsia" w:eastAsiaTheme="minorEastAsia" w:cstheme="minorEastAsia"/>
              </w:rPr>
            </w:pPr>
          </w:p>
        </w:tc>
        <w:tc>
          <w:tcPr>
            <w:tcW w:w="1276" w:type="dxa"/>
            <w:vAlign w:val="center"/>
          </w:tcPr>
          <w:p>
            <w:pPr>
              <w:ind w:left="223" w:hanging="222" w:hangingChars="106"/>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p>
        </w:tc>
        <w:tc>
          <w:tcPr>
            <w:tcW w:w="829" w:type="dxa"/>
            <w:vAlign w:val="center"/>
          </w:tcPr>
          <w:p>
            <w:pPr>
              <w:ind w:left="223" w:hanging="222" w:hangingChars="106"/>
              <w:jc w:val="center"/>
              <w:rPr>
                <w:rFonts w:asciiTheme="minorEastAsia" w:hAnsiTheme="minorEastAsia" w:eastAsiaTheme="minorEastAsia" w:cstheme="minorEastAsia"/>
              </w:rPr>
            </w:pPr>
          </w:p>
        </w:tc>
        <w:tc>
          <w:tcPr>
            <w:tcW w:w="816" w:type="dxa"/>
            <w:vAlign w:val="center"/>
          </w:tcPr>
          <w:p>
            <w:pPr>
              <w:ind w:left="223" w:hanging="222" w:hangingChars="106"/>
              <w:jc w:val="center"/>
              <w:rPr>
                <w:rFonts w:asciiTheme="minorEastAsia" w:hAnsiTheme="minorEastAsia" w:eastAsiaTheme="minorEastAsia" w:cstheme="minorEastAsia"/>
              </w:rPr>
            </w:pPr>
          </w:p>
        </w:tc>
        <w:tc>
          <w:tcPr>
            <w:tcW w:w="1148" w:type="dxa"/>
            <w:vAlign w:val="center"/>
          </w:tcPr>
          <w:p>
            <w:pPr>
              <w:ind w:left="223" w:hanging="222" w:hangingChars="106"/>
              <w:jc w:val="center"/>
              <w:rPr>
                <w:rFonts w:asciiTheme="minorEastAsia" w:hAnsiTheme="minorEastAsia" w:eastAsiaTheme="minorEastAsia" w:cstheme="minorEastAsia"/>
              </w:rPr>
            </w:pPr>
          </w:p>
        </w:tc>
        <w:tc>
          <w:tcPr>
            <w:tcW w:w="1148" w:type="dxa"/>
            <w:vAlign w:val="center"/>
          </w:tcPr>
          <w:p>
            <w:pPr>
              <w:ind w:left="223" w:hanging="222" w:hangingChars="106"/>
              <w:jc w:val="center"/>
              <w:rPr>
                <w:rFonts w:asciiTheme="minorEastAsia" w:hAnsiTheme="minorEastAsia" w:eastAsiaTheme="minorEastAsia" w:cstheme="minorEastAsia"/>
              </w:rPr>
            </w:pPr>
          </w:p>
        </w:tc>
        <w:tc>
          <w:tcPr>
            <w:tcW w:w="1148" w:type="dxa"/>
            <w:vAlign w:val="center"/>
          </w:tcPr>
          <w:p>
            <w:pPr>
              <w:ind w:left="223" w:hanging="222" w:hangingChars="106"/>
              <w:jc w:val="center"/>
              <w:rPr>
                <w:rFonts w:asciiTheme="minorEastAsia" w:hAnsiTheme="minorEastAsia" w:eastAsiaTheme="minorEastAsia" w:cstheme="minorEastAsia"/>
              </w:rPr>
            </w:pPr>
          </w:p>
        </w:tc>
        <w:tc>
          <w:tcPr>
            <w:tcW w:w="1148" w:type="dxa"/>
            <w:vAlign w:val="center"/>
          </w:tcPr>
          <w:p>
            <w:pPr>
              <w:ind w:left="223" w:hanging="222" w:hangingChars="106"/>
              <w:jc w:val="center"/>
              <w:rPr>
                <w:rFonts w:asciiTheme="minorEastAsia" w:hAnsiTheme="minorEastAsia" w:eastAsiaTheme="minorEastAsia" w:cstheme="minorEastAsia"/>
              </w:rPr>
            </w:pPr>
          </w:p>
        </w:tc>
        <w:tc>
          <w:tcPr>
            <w:tcW w:w="850" w:type="dxa"/>
            <w:vAlign w:val="center"/>
          </w:tcPr>
          <w:p>
            <w:pPr>
              <w:ind w:left="223" w:hanging="222" w:hangingChars="106"/>
              <w:jc w:val="center"/>
              <w:rPr>
                <w:rFonts w:asciiTheme="minorEastAsia" w:hAnsiTheme="minorEastAsia" w:eastAsiaTheme="minorEastAsia" w:cstheme="minorEastAsia"/>
              </w:rPr>
            </w:pPr>
          </w:p>
        </w:tc>
        <w:tc>
          <w:tcPr>
            <w:tcW w:w="1276" w:type="dxa"/>
            <w:vAlign w:val="center"/>
          </w:tcPr>
          <w:p>
            <w:pPr>
              <w:ind w:left="223" w:hanging="222" w:hangingChars="106"/>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一旦我单位中标，将实行项目经理负责制，我方保证并配备上述项目管理机构。上述填报内容真实，若不真实，愿按有关规定接受处理。项目管理班子机构设置、职责分工等情况另附资料说明。</w:t>
            </w:r>
          </w:p>
        </w:tc>
      </w:tr>
    </w:tbl>
    <w:p>
      <w:pPr>
        <w:tabs>
          <w:tab w:val="left" w:pos="0"/>
        </w:tabs>
        <w:spacing w:line="360" w:lineRule="auto"/>
        <w:ind w:right="-210"/>
        <w:rPr>
          <w:rFonts w:asciiTheme="minorEastAsia" w:hAnsiTheme="minorEastAsia" w:eastAsiaTheme="minorEastAsia" w:cstheme="minorEastAsia"/>
        </w:rPr>
      </w:pP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【备注：附各岗位人员资格证件（如有）的复印件。】</w:t>
      </w:r>
    </w:p>
    <w:p>
      <w:pPr>
        <w:pStyle w:val="172"/>
        <w:spacing w:line="360" w:lineRule="auto"/>
        <w:rPr>
          <w:rFonts w:ascii="Times New Roman" w:hAnsi="Times New Roman" w:eastAsia="楷体_GB2312" w:cs="楷体_GB2312"/>
          <w:szCs w:val="21"/>
        </w:rPr>
      </w:pPr>
    </w:p>
    <w:p>
      <w:pPr>
        <w:pStyle w:val="172"/>
        <w:spacing w:line="360" w:lineRule="auto"/>
        <w:rPr>
          <w:rFonts w:ascii="Times New Roman" w:hAnsi="Times New Roman" w:eastAsia="楷体_GB2312" w:cs="楷体_GB2312"/>
          <w:szCs w:val="21"/>
        </w:rPr>
      </w:pPr>
    </w:p>
    <w:p>
      <w:pPr>
        <w:pStyle w:val="20"/>
      </w:pPr>
    </w:p>
    <w:p>
      <w:pPr>
        <w:pStyle w:val="21"/>
        <w:ind w:firstLine="482"/>
      </w:pPr>
    </w:p>
    <w:p>
      <w:pPr>
        <w:pStyle w:val="21"/>
        <w:ind w:firstLine="482"/>
      </w:pPr>
    </w:p>
    <w:p>
      <w:pPr>
        <w:rPr>
          <w:rFonts w:asciiTheme="minorEastAsia" w:hAnsiTheme="minorEastAsia" w:eastAsiaTheme="minorEastAsia" w:cstheme="minorEastAsia"/>
          <w:b/>
          <w:bCs/>
          <w:kern w:val="0"/>
          <w:sz w:val="30"/>
          <w:szCs w:val="30"/>
        </w:rPr>
      </w:pPr>
      <w:r>
        <w:rPr>
          <w:rFonts w:hint="eastAsia" w:asciiTheme="minorEastAsia" w:hAnsiTheme="minorEastAsia" w:eastAsiaTheme="minorEastAsia" w:cstheme="minorEastAsia"/>
          <w:b/>
          <w:bCs/>
          <w:kern w:val="0"/>
          <w:sz w:val="30"/>
          <w:szCs w:val="30"/>
        </w:rPr>
        <w:br w:type="page"/>
      </w:r>
    </w:p>
    <w:p>
      <w:pPr>
        <w:spacing w:line="400" w:lineRule="exact"/>
        <w:jc w:val="left"/>
        <w:rPr>
          <w:rFonts w:asciiTheme="minorEastAsia" w:hAnsiTheme="minorEastAsia" w:eastAsiaTheme="minorEastAsia" w:cstheme="minorEastAsia"/>
          <w:b/>
          <w:bCs/>
          <w:kern w:val="0"/>
          <w:sz w:val="30"/>
          <w:szCs w:val="30"/>
        </w:rPr>
      </w:pPr>
      <w:r>
        <w:rPr>
          <w:rFonts w:hint="eastAsia" w:asciiTheme="minorEastAsia" w:hAnsiTheme="minorEastAsia" w:eastAsiaTheme="minorEastAsia" w:cstheme="minorEastAsia"/>
          <w:b/>
          <w:bCs/>
          <w:kern w:val="0"/>
          <w:sz w:val="30"/>
          <w:szCs w:val="30"/>
        </w:rPr>
        <w:t>2、项目经理（注册建造师）简历表</w:t>
      </w:r>
    </w:p>
    <w:p>
      <w:pPr>
        <w:pStyle w:val="2"/>
        <w:rPr>
          <w:rFonts w:asciiTheme="minorEastAsia" w:hAnsiTheme="minorEastAsia" w:eastAsiaTheme="minorEastAsia" w:cstheme="minorEastAsia"/>
          <w:u w:val="single"/>
        </w:rPr>
      </w:pPr>
    </w:p>
    <w:p>
      <w:pPr>
        <w:pStyle w:val="2"/>
        <w:rPr>
          <w:rFonts w:asciiTheme="minorEastAsia" w:hAnsiTheme="minorEastAsia" w:eastAsiaTheme="minorEastAsia" w:cstheme="minorEastAsia"/>
          <w:u w:val="single"/>
        </w:rPr>
      </w:pPr>
    </w:p>
    <w:p>
      <w:pPr>
        <w:pStyle w:val="2"/>
        <w:rPr>
          <w:rFonts w:asciiTheme="minorEastAsia" w:hAnsiTheme="minorEastAsia" w:eastAsiaTheme="minorEastAsia" w:cstheme="minorEastAsia"/>
          <w:u w:val="single"/>
        </w:rPr>
      </w:pP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u w:val="single"/>
        </w:rPr>
        <w:t xml:space="preserve">            （工程项目名称）        </w:t>
      </w:r>
      <w:r>
        <w:rPr>
          <w:rFonts w:hint="eastAsia" w:asciiTheme="minorEastAsia" w:hAnsiTheme="minorEastAsia" w:eastAsiaTheme="minorEastAsia" w:cstheme="minorEastAsia"/>
        </w:rPr>
        <w:t xml:space="preserve"> 工程</w:t>
      </w:r>
    </w:p>
    <w:p>
      <w:pPr>
        <w:pStyle w:val="2"/>
        <w:rPr>
          <w:rFonts w:asciiTheme="minorEastAsia" w:hAnsiTheme="minorEastAsia" w:eastAsiaTheme="minorEastAsia" w:cstheme="minorEastAsia"/>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姓名</w:t>
            </w:r>
          </w:p>
        </w:tc>
        <w:tc>
          <w:tcPr>
            <w:tcW w:w="2340" w:type="dxa"/>
            <w:gridSpan w:val="3"/>
            <w:vAlign w:val="center"/>
          </w:tcPr>
          <w:p>
            <w:pPr>
              <w:jc w:val="center"/>
              <w:rPr>
                <w:rFonts w:asciiTheme="minorEastAsia" w:hAnsiTheme="minorEastAsia" w:eastAsiaTheme="minorEastAsia" w:cstheme="minorEastAsia"/>
              </w:rPr>
            </w:pPr>
          </w:p>
        </w:tc>
        <w:tc>
          <w:tcPr>
            <w:tcW w:w="1893" w:type="dxa"/>
            <w:gridSpan w:val="2"/>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性别</w:t>
            </w:r>
          </w:p>
        </w:tc>
        <w:tc>
          <w:tcPr>
            <w:tcW w:w="1585" w:type="dxa"/>
            <w:gridSpan w:val="2"/>
            <w:vAlign w:val="center"/>
          </w:tcPr>
          <w:p>
            <w:pPr>
              <w:jc w:val="center"/>
              <w:rPr>
                <w:rFonts w:asciiTheme="minorEastAsia" w:hAnsiTheme="minorEastAsia" w:eastAsiaTheme="minorEastAsia" w:cstheme="minorEastAsia"/>
              </w:rPr>
            </w:pPr>
          </w:p>
        </w:tc>
        <w:tc>
          <w:tcPr>
            <w:tcW w:w="1108" w:type="dxa"/>
            <w:gridSpan w:val="2"/>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年龄</w:t>
            </w:r>
          </w:p>
        </w:tc>
        <w:tc>
          <w:tcPr>
            <w:tcW w:w="1276"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职务</w:t>
            </w:r>
          </w:p>
        </w:tc>
        <w:tc>
          <w:tcPr>
            <w:tcW w:w="2340" w:type="dxa"/>
            <w:gridSpan w:val="3"/>
            <w:vAlign w:val="center"/>
          </w:tcPr>
          <w:p>
            <w:pPr>
              <w:jc w:val="center"/>
              <w:rPr>
                <w:rFonts w:asciiTheme="minorEastAsia" w:hAnsiTheme="minorEastAsia" w:eastAsiaTheme="minorEastAsia" w:cstheme="minorEastAsia"/>
              </w:rPr>
            </w:pPr>
          </w:p>
        </w:tc>
        <w:tc>
          <w:tcPr>
            <w:tcW w:w="1893" w:type="dxa"/>
            <w:gridSpan w:val="2"/>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职称</w:t>
            </w:r>
          </w:p>
        </w:tc>
        <w:tc>
          <w:tcPr>
            <w:tcW w:w="1585" w:type="dxa"/>
            <w:gridSpan w:val="2"/>
            <w:vAlign w:val="center"/>
          </w:tcPr>
          <w:p>
            <w:pPr>
              <w:jc w:val="center"/>
              <w:rPr>
                <w:rFonts w:asciiTheme="minorEastAsia" w:hAnsiTheme="minorEastAsia" w:eastAsiaTheme="minorEastAsia" w:cstheme="minorEastAsia"/>
              </w:rPr>
            </w:pPr>
          </w:p>
        </w:tc>
        <w:tc>
          <w:tcPr>
            <w:tcW w:w="1108" w:type="dxa"/>
            <w:gridSpan w:val="2"/>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学历</w:t>
            </w:r>
          </w:p>
        </w:tc>
        <w:tc>
          <w:tcPr>
            <w:tcW w:w="1276"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参加工作时间</w:t>
            </w:r>
          </w:p>
        </w:tc>
        <w:tc>
          <w:tcPr>
            <w:tcW w:w="1893" w:type="dxa"/>
            <w:gridSpan w:val="2"/>
            <w:vAlign w:val="center"/>
          </w:tcPr>
          <w:p>
            <w:pPr>
              <w:jc w:val="center"/>
              <w:rPr>
                <w:rFonts w:asciiTheme="minorEastAsia" w:hAnsiTheme="minorEastAsia" w:eastAsiaTheme="minorEastAsia" w:cstheme="minorEastAsia"/>
              </w:rPr>
            </w:pPr>
          </w:p>
        </w:tc>
        <w:tc>
          <w:tcPr>
            <w:tcW w:w="2693" w:type="dxa"/>
            <w:gridSpan w:val="4"/>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担任项目经理年限</w:t>
            </w:r>
          </w:p>
        </w:tc>
        <w:tc>
          <w:tcPr>
            <w:tcW w:w="1276"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建造师注册证书编号</w:t>
            </w:r>
          </w:p>
        </w:tc>
        <w:tc>
          <w:tcPr>
            <w:tcW w:w="5862" w:type="dxa"/>
            <w:gridSpan w:val="7"/>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建设单位</w:t>
            </w:r>
          </w:p>
        </w:tc>
        <w:tc>
          <w:tcPr>
            <w:tcW w:w="1548"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1547" w:type="dxa"/>
            <w:gridSpan w:val="2"/>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建设规模</w:t>
            </w:r>
          </w:p>
        </w:tc>
        <w:tc>
          <w:tcPr>
            <w:tcW w:w="1548" w:type="dxa"/>
            <w:gridSpan w:val="2"/>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开、竣工日期</w:t>
            </w:r>
          </w:p>
        </w:tc>
        <w:tc>
          <w:tcPr>
            <w:tcW w:w="1547" w:type="dxa"/>
            <w:gridSpan w:val="2"/>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在建或已完</w:t>
            </w:r>
          </w:p>
        </w:tc>
        <w:tc>
          <w:tcPr>
            <w:tcW w:w="1548" w:type="dxa"/>
            <w:gridSpan w:val="2"/>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rFonts w:asciiTheme="minorEastAsia" w:hAnsiTheme="minorEastAsia" w:eastAsiaTheme="minorEastAsia" w:cstheme="minorEastAsia"/>
              </w:rPr>
            </w:pPr>
          </w:p>
        </w:tc>
        <w:tc>
          <w:tcPr>
            <w:tcW w:w="1548" w:type="dxa"/>
            <w:vAlign w:val="center"/>
          </w:tcPr>
          <w:p>
            <w:pPr>
              <w:jc w:val="center"/>
              <w:rPr>
                <w:rFonts w:asciiTheme="minorEastAsia" w:hAnsiTheme="minorEastAsia" w:eastAsiaTheme="minorEastAsia" w:cstheme="minorEastAsia"/>
              </w:rPr>
            </w:pPr>
          </w:p>
        </w:tc>
        <w:tc>
          <w:tcPr>
            <w:tcW w:w="1547" w:type="dxa"/>
            <w:gridSpan w:val="2"/>
            <w:vAlign w:val="center"/>
          </w:tcPr>
          <w:p>
            <w:pPr>
              <w:jc w:val="center"/>
              <w:rPr>
                <w:rFonts w:asciiTheme="minorEastAsia" w:hAnsiTheme="minorEastAsia" w:eastAsiaTheme="minorEastAsia" w:cstheme="minorEastAsia"/>
              </w:rPr>
            </w:pPr>
          </w:p>
        </w:tc>
        <w:tc>
          <w:tcPr>
            <w:tcW w:w="1548" w:type="dxa"/>
            <w:gridSpan w:val="2"/>
            <w:vAlign w:val="center"/>
          </w:tcPr>
          <w:p>
            <w:pPr>
              <w:jc w:val="center"/>
              <w:rPr>
                <w:rFonts w:asciiTheme="minorEastAsia" w:hAnsiTheme="minorEastAsia" w:eastAsiaTheme="minorEastAsia" w:cstheme="minorEastAsia"/>
              </w:rPr>
            </w:pPr>
          </w:p>
        </w:tc>
        <w:tc>
          <w:tcPr>
            <w:tcW w:w="1547" w:type="dxa"/>
            <w:gridSpan w:val="2"/>
            <w:vAlign w:val="center"/>
          </w:tcPr>
          <w:p>
            <w:pPr>
              <w:jc w:val="center"/>
              <w:rPr>
                <w:rFonts w:asciiTheme="minorEastAsia" w:hAnsiTheme="minorEastAsia" w:eastAsiaTheme="minorEastAsia" w:cstheme="minorEastAsia"/>
              </w:rPr>
            </w:pPr>
          </w:p>
        </w:tc>
        <w:tc>
          <w:tcPr>
            <w:tcW w:w="1548" w:type="dxa"/>
            <w:gridSpan w:val="2"/>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rFonts w:asciiTheme="minorEastAsia" w:hAnsiTheme="minorEastAsia" w:eastAsiaTheme="minorEastAsia" w:cstheme="minorEastAsia"/>
              </w:rPr>
            </w:pPr>
          </w:p>
        </w:tc>
        <w:tc>
          <w:tcPr>
            <w:tcW w:w="1548" w:type="dxa"/>
            <w:vAlign w:val="center"/>
          </w:tcPr>
          <w:p>
            <w:pPr>
              <w:jc w:val="center"/>
              <w:rPr>
                <w:rFonts w:asciiTheme="minorEastAsia" w:hAnsiTheme="minorEastAsia" w:eastAsiaTheme="minorEastAsia" w:cstheme="minorEastAsia"/>
              </w:rPr>
            </w:pPr>
          </w:p>
        </w:tc>
        <w:tc>
          <w:tcPr>
            <w:tcW w:w="1547" w:type="dxa"/>
            <w:gridSpan w:val="2"/>
            <w:vAlign w:val="center"/>
          </w:tcPr>
          <w:p>
            <w:pPr>
              <w:jc w:val="center"/>
              <w:rPr>
                <w:rFonts w:asciiTheme="minorEastAsia" w:hAnsiTheme="minorEastAsia" w:eastAsiaTheme="minorEastAsia" w:cstheme="minorEastAsia"/>
              </w:rPr>
            </w:pPr>
          </w:p>
        </w:tc>
        <w:tc>
          <w:tcPr>
            <w:tcW w:w="1548" w:type="dxa"/>
            <w:gridSpan w:val="2"/>
            <w:vAlign w:val="center"/>
          </w:tcPr>
          <w:p>
            <w:pPr>
              <w:jc w:val="center"/>
              <w:rPr>
                <w:rFonts w:asciiTheme="minorEastAsia" w:hAnsiTheme="minorEastAsia" w:eastAsiaTheme="minorEastAsia" w:cstheme="minorEastAsia"/>
              </w:rPr>
            </w:pPr>
          </w:p>
        </w:tc>
        <w:tc>
          <w:tcPr>
            <w:tcW w:w="1547" w:type="dxa"/>
            <w:gridSpan w:val="2"/>
            <w:vAlign w:val="center"/>
          </w:tcPr>
          <w:p>
            <w:pPr>
              <w:jc w:val="center"/>
              <w:rPr>
                <w:rFonts w:asciiTheme="minorEastAsia" w:hAnsiTheme="minorEastAsia" w:eastAsiaTheme="minorEastAsia" w:cstheme="minorEastAsia"/>
              </w:rPr>
            </w:pPr>
          </w:p>
        </w:tc>
        <w:tc>
          <w:tcPr>
            <w:tcW w:w="1548" w:type="dxa"/>
            <w:gridSpan w:val="2"/>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rFonts w:asciiTheme="minorEastAsia" w:hAnsiTheme="minorEastAsia" w:eastAsiaTheme="minorEastAsia" w:cstheme="minorEastAsia"/>
              </w:rPr>
            </w:pPr>
          </w:p>
        </w:tc>
        <w:tc>
          <w:tcPr>
            <w:tcW w:w="1548" w:type="dxa"/>
            <w:vAlign w:val="center"/>
          </w:tcPr>
          <w:p>
            <w:pPr>
              <w:jc w:val="center"/>
              <w:rPr>
                <w:rFonts w:asciiTheme="minorEastAsia" w:hAnsiTheme="minorEastAsia" w:eastAsiaTheme="minorEastAsia" w:cstheme="minorEastAsia"/>
              </w:rPr>
            </w:pPr>
          </w:p>
        </w:tc>
        <w:tc>
          <w:tcPr>
            <w:tcW w:w="1547" w:type="dxa"/>
            <w:gridSpan w:val="2"/>
            <w:vAlign w:val="center"/>
          </w:tcPr>
          <w:p>
            <w:pPr>
              <w:jc w:val="center"/>
              <w:rPr>
                <w:rFonts w:asciiTheme="minorEastAsia" w:hAnsiTheme="minorEastAsia" w:eastAsiaTheme="minorEastAsia" w:cstheme="minorEastAsia"/>
              </w:rPr>
            </w:pPr>
          </w:p>
        </w:tc>
        <w:tc>
          <w:tcPr>
            <w:tcW w:w="1548" w:type="dxa"/>
            <w:gridSpan w:val="2"/>
            <w:vAlign w:val="center"/>
          </w:tcPr>
          <w:p>
            <w:pPr>
              <w:jc w:val="center"/>
              <w:rPr>
                <w:rFonts w:asciiTheme="minorEastAsia" w:hAnsiTheme="minorEastAsia" w:eastAsiaTheme="minorEastAsia" w:cstheme="minorEastAsia"/>
              </w:rPr>
            </w:pPr>
          </w:p>
        </w:tc>
        <w:tc>
          <w:tcPr>
            <w:tcW w:w="1547" w:type="dxa"/>
            <w:gridSpan w:val="2"/>
            <w:vAlign w:val="center"/>
          </w:tcPr>
          <w:p>
            <w:pPr>
              <w:jc w:val="center"/>
              <w:rPr>
                <w:rFonts w:asciiTheme="minorEastAsia" w:hAnsiTheme="minorEastAsia" w:eastAsiaTheme="minorEastAsia" w:cstheme="minorEastAsia"/>
              </w:rPr>
            </w:pPr>
          </w:p>
        </w:tc>
        <w:tc>
          <w:tcPr>
            <w:tcW w:w="1548" w:type="dxa"/>
            <w:gridSpan w:val="2"/>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jc w:val="center"/>
              <w:rPr>
                <w:rFonts w:asciiTheme="minorEastAsia" w:hAnsiTheme="minorEastAsia" w:eastAsiaTheme="minorEastAsia" w:cstheme="minorEastAsia"/>
              </w:rPr>
            </w:pPr>
          </w:p>
        </w:tc>
        <w:tc>
          <w:tcPr>
            <w:tcW w:w="1548" w:type="dxa"/>
            <w:vAlign w:val="center"/>
          </w:tcPr>
          <w:p>
            <w:pPr>
              <w:jc w:val="center"/>
              <w:rPr>
                <w:rFonts w:asciiTheme="minorEastAsia" w:hAnsiTheme="minorEastAsia" w:eastAsiaTheme="minorEastAsia" w:cstheme="minorEastAsia"/>
              </w:rPr>
            </w:pPr>
          </w:p>
        </w:tc>
        <w:tc>
          <w:tcPr>
            <w:tcW w:w="1547" w:type="dxa"/>
            <w:gridSpan w:val="2"/>
            <w:vAlign w:val="center"/>
          </w:tcPr>
          <w:p>
            <w:pPr>
              <w:jc w:val="center"/>
              <w:rPr>
                <w:rFonts w:asciiTheme="minorEastAsia" w:hAnsiTheme="minorEastAsia" w:eastAsiaTheme="minorEastAsia" w:cstheme="minorEastAsia"/>
              </w:rPr>
            </w:pPr>
          </w:p>
        </w:tc>
        <w:tc>
          <w:tcPr>
            <w:tcW w:w="1548" w:type="dxa"/>
            <w:gridSpan w:val="2"/>
            <w:vAlign w:val="center"/>
          </w:tcPr>
          <w:p>
            <w:pPr>
              <w:jc w:val="center"/>
              <w:rPr>
                <w:rFonts w:asciiTheme="minorEastAsia" w:hAnsiTheme="minorEastAsia" w:eastAsiaTheme="minorEastAsia" w:cstheme="minorEastAsia"/>
              </w:rPr>
            </w:pPr>
          </w:p>
        </w:tc>
        <w:tc>
          <w:tcPr>
            <w:tcW w:w="1547" w:type="dxa"/>
            <w:gridSpan w:val="2"/>
            <w:vAlign w:val="center"/>
          </w:tcPr>
          <w:p>
            <w:pPr>
              <w:jc w:val="center"/>
              <w:rPr>
                <w:rFonts w:asciiTheme="minorEastAsia" w:hAnsiTheme="minorEastAsia" w:eastAsiaTheme="minorEastAsia" w:cstheme="minorEastAsia"/>
              </w:rPr>
            </w:pPr>
          </w:p>
        </w:tc>
        <w:tc>
          <w:tcPr>
            <w:tcW w:w="1548" w:type="dxa"/>
            <w:gridSpan w:val="2"/>
            <w:vAlign w:val="center"/>
          </w:tcPr>
          <w:p>
            <w:pPr>
              <w:jc w:val="center"/>
              <w:rPr>
                <w:rFonts w:asciiTheme="minorEastAsia" w:hAnsiTheme="minorEastAsia" w:eastAsiaTheme="minorEastAsia" w:cstheme="minorEastAsia"/>
              </w:rPr>
            </w:pPr>
          </w:p>
        </w:tc>
      </w:tr>
    </w:tbl>
    <w:p>
      <w:pPr>
        <w:spacing w:line="360" w:lineRule="auto"/>
        <w:rPr>
          <w:rFonts w:asciiTheme="minorEastAsia" w:hAnsiTheme="minorEastAsia" w:eastAsiaTheme="minorEastAsia" w:cstheme="minorEastAsia"/>
        </w:rPr>
      </w:pP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附：</w:t>
      </w:r>
    </w:p>
    <w:p>
      <w:pPr>
        <w:numPr>
          <w:ilvl w:val="0"/>
          <w:numId w:val="11"/>
        </w:num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资格证件复印件；</w:t>
      </w:r>
    </w:p>
    <w:p>
      <w:pPr>
        <w:numPr>
          <w:ilvl w:val="0"/>
          <w:numId w:val="11"/>
        </w:num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已完成的工程应附中标通知书（如有）、合同协议书有关页面、工程竣工验收证明材料复印件</w:t>
      </w:r>
      <w:r>
        <w:rPr>
          <w:rFonts w:hint="eastAsia" w:ascii="宋体" w:hAnsi="宋体" w:cs="Arial"/>
          <w:kern w:val="0"/>
        </w:rPr>
        <w:t>，并加盖单位电子公章；</w:t>
      </w:r>
    </w:p>
    <w:p>
      <w:pPr>
        <w:numPr>
          <w:ilvl w:val="0"/>
          <w:numId w:val="11"/>
        </w:num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在建工程应附中标通知书（如有）、合同协议书有关页面复印件</w:t>
      </w:r>
      <w:r>
        <w:rPr>
          <w:rFonts w:hint="eastAsia" w:ascii="宋体" w:hAnsi="宋体" w:cs="Arial"/>
          <w:kern w:val="0"/>
        </w:rPr>
        <w:t>，并加盖单位电子公章。</w:t>
      </w:r>
    </w:p>
    <w:p>
      <w:pPr>
        <w:pStyle w:val="20"/>
      </w:pPr>
    </w:p>
    <w:p>
      <w:pPr>
        <w:pStyle w:val="21"/>
        <w:ind w:firstLine="482"/>
      </w:pPr>
    </w:p>
    <w:p>
      <w:pPr>
        <w:pStyle w:val="21"/>
        <w:ind w:firstLine="482"/>
      </w:pPr>
    </w:p>
    <w:p>
      <w:pPr>
        <w:pStyle w:val="21"/>
        <w:ind w:firstLine="482"/>
      </w:pPr>
    </w:p>
    <w:p>
      <w:pPr>
        <w:rPr>
          <w:rFonts w:asciiTheme="minorEastAsia" w:hAnsiTheme="minorEastAsia" w:eastAsiaTheme="minorEastAsia" w:cstheme="minorEastAsia"/>
          <w:b/>
          <w:bCs/>
          <w:kern w:val="0"/>
          <w:sz w:val="30"/>
          <w:szCs w:val="30"/>
        </w:rPr>
      </w:pPr>
      <w:r>
        <w:rPr>
          <w:rFonts w:hint="eastAsia" w:asciiTheme="minorEastAsia" w:hAnsiTheme="minorEastAsia" w:eastAsiaTheme="minorEastAsia" w:cstheme="minorEastAsia"/>
          <w:b/>
          <w:bCs/>
          <w:kern w:val="0"/>
          <w:sz w:val="30"/>
          <w:szCs w:val="30"/>
        </w:rPr>
        <w:br w:type="page"/>
      </w:r>
    </w:p>
    <w:p>
      <w:pPr>
        <w:spacing w:line="400" w:lineRule="exact"/>
        <w:jc w:val="left"/>
        <w:rPr>
          <w:rFonts w:asciiTheme="minorEastAsia" w:hAnsiTheme="minorEastAsia" w:eastAsiaTheme="minorEastAsia" w:cstheme="minorEastAsia"/>
          <w:b/>
          <w:bCs/>
          <w:kern w:val="0"/>
          <w:sz w:val="30"/>
          <w:szCs w:val="30"/>
        </w:rPr>
      </w:pPr>
      <w:r>
        <w:rPr>
          <w:rFonts w:hint="eastAsia" w:asciiTheme="minorEastAsia" w:hAnsiTheme="minorEastAsia" w:eastAsiaTheme="minorEastAsia" w:cstheme="minorEastAsia"/>
          <w:b/>
          <w:bCs/>
          <w:kern w:val="0"/>
          <w:sz w:val="30"/>
          <w:szCs w:val="30"/>
        </w:rPr>
        <w:t>3、项目技术负责人简历表</w:t>
      </w:r>
    </w:p>
    <w:p>
      <w:pPr>
        <w:pStyle w:val="2"/>
        <w:rPr>
          <w:rFonts w:asciiTheme="minorEastAsia" w:hAnsiTheme="minorEastAsia" w:eastAsiaTheme="minorEastAsia" w:cstheme="minorEastAsia"/>
          <w:u w:val="single"/>
        </w:rPr>
      </w:pPr>
    </w:p>
    <w:p>
      <w:pPr>
        <w:pStyle w:val="2"/>
        <w:rPr>
          <w:rFonts w:asciiTheme="minorEastAsia" w:hAnsiTheme="minorEastAsia" w:eastAsiaTheme="minorEastAsia" w:cstheme="minorEastAsia"/>
          <w:u w:val="single"/>
        </w:rPr>
      </w:pP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u w:val="single"/>
        </w:rPr>
        <w:t xml:space="preserve">            （工程项目名称）        </w:t>
      </w:r>
      <w:r>
        <w:rPr>
          <w:rFonts w:hint="eastAsia" w:asciiTheme="minorEastAsia" w:hAnsiTheme="minorEastAsia" w:eastAsiaTheme="minorEastAsia" w:cstheme="minorEastAsia"/>
        </w:rPr>
        <w:t xml:space="preserve"> 工程</w:t>
      </w:r>
    </w:p>
    <w:p>
      <w:pPr>
        <w:pStyle w:val="2"/>
        <w:rPr>
          <w:rFonts w:asciiTheme="minorEastAsia" w:hAnsiTheme="minorEastAsia" w:eastAsiaTheme="minorEastAsia" w:cstheme="minorEastAsia"/>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姓名</w:t>
            </w:r>
          </w:p>
        </w:tc>
        <w:tc>
          <w:tcPr>
            <w:tcW w:w="2340" w:type="dxa"/>
            <w:gridSpan w:val="3"/>
            <w:vAlign w:val="center"/>
          </w:tcPr>
          <w:p>
            <w:pPr>
              <w:jc w:val="center"/>
              <w:rPr>
                <w:rFonts w:asciiTheme="minorEastAsia" w:hAnsiTheme="minorEastAsia" w:eastAsiaTheme="minorEastAsia" w:cstheme="minorEastAsia"/>
              </w:rPr>
            </w:pPr>
          </w:p>
        </w:tc>
        <w:tc>
          <w:tcPr>
            <w:tcW w:w="1893" w:type="dxa"/>
            <w:gridSpan w:val="2"/>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性别</w:t>
            </w:r>
          </w:p>
        </w:tc>
        <w:tc>
          <w:tcPr>
            <w:tcW w:w="1585" w:type="dxa"/>
            <w:gridSpan w:val="2"/>
            <w:vAlign w:val="center"/>
          </w:tcPr>
          <w:p>
            <w:pPr>
              <w:jc w:val="center"/>
              <w:rPr>
                <w:rFonts w:asciiTheme="minorEastAsia" w:hAnsiTheme="minorEastAsia" w:eastAsiaTheme="minorEastAsia" w:cstheme="minorEastAsia"/>
              </w:rPr>
            </w:pPr>
          </w:p>
        </w:tc>
        <w:tc>
          <w:tcPr>
            <w:tcW w:w="1108" w:type="dxa"/>
            <w:gridSpan w:val="2"/>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年龄</w:t>
            </w:r>
          </w:p>
        </w:tc>
        <w:tc>
          <w:tcPr>
            <w:tcW w:w="1276"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职务</w:t>
            </w:r>
          </w:p>
        </w:tc>
        <w:tc>
          <w:tcPr>
            <w:tcW w:w="2340" w:type="dxa"/>
            <w:gridSpan w:val="3"/>
            <w:vAlign w:val="center"/>
          </w:tcPr>
          <w:p>
            <w:pPr>
              <w:jc w:val="center"/>
              <w:rPr>
                <w:rFonts w:asciiTheme="minorEastAsia" w:hAnsiTheme="minorEastAsia" w:eastAsiaTheme="minorEastAsia" w:cstheme="minorEastAsia"/>
              </w:rPr>
            </w:pPr>
          </w:p>
        </w:tc>
        <w:tc>
          <w:tcPr>
            <w:tcW w:w="1893" w:type="dxa"/>
            <w:gridSpan w:val="2"/>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职称</w:t>
            </w:r>
          </w:p>
        </w:tc>
        <w:tc>
          <w:tcPr>
            <w:tcW w:w="1585" w:type="dxa"/>
            <w:gridSpan w:val="2"/>
            <w:vAlign w:val="center"/>
          </w:tcPr>
          <w:p>
            <w:pPr>
              <w:jc w:val="center"/>
              <w:rPr>
                <w:rFonts w:asciiTheme="minorEastAsia" w:hAnsiTheme="minorEastAsia" w:eastAsiaTheme="minorEastAsia" w:cstheme="minorEastAsia"/>
              </w:rPr>
            </w:pPr>
          </w:p>
        </w:tc>
        <w:tc>
          <w:tcPr>
            <w:tcW w:w="1108" w:type="dxa"/>
            <w:gridSpan w:val="2"/>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学历</w:t>
            </w:r>
          </w:p>
        </w:tc>
        <w:tc>
          <w:tcPr>
            <w:tcW w:w="1276"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参加工作时间</w:t>
            </w:r>
          </w:p>
        </w:tc>
        <w:tc>
          <w:tcPr>
            <w:tcW w:w="1893" w:type="dxa"/>
            <w:gridSpan w:val="2"/>
            <w:vAlign w:val="center"/>
          </w:tcPr>
          <w:p>
            <w:pPr>
              <w:jc w:val="center"/>
              <w:rPr>
                <w:rFonts w:asciiTheme="minorEastAsia" w:hAnsiTheme="minorEastAsia" w:eastAsiaTheme="minorEastAsia" w:cstheme="minorEastAsia"/>
              </w:rPr>
            </w:pPr>
          </w:p>
        </w:tc>
        <w:tc>
          <w:tcPr>
            <w:tcW w:w="2693" w:type="dxa"/>
            <w:gridSpan w:val="4"/>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担任技术负责人年限</w:t>
            </w:r>
          </w:p>
        </w:tc>
        <w:tc>
          <w:tcPr>
            <w:tcW w:w="1276"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建设单位</w:t>
            </w:r>
          </w:p>
        </w:tc>
        <w:tc>
          <w:tcPr>
            <w:tcW w:w="1548"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1547" w:type="dxa"/>
            <w:gridSpan w:val="2"/>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建设规模</w:t>
            </w:r>
          </w:p>
        </w:tc>
        <w:tc>
          <w:tcPr>
            <w:tcW w:w="1548" w:type="dxa"/>
            <w:gridSpan w:val="2"/>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开、竣工日期</w:t>
            </w:r>
          </w:p>
        </w:tc>
        <w:tc>
          <w:tcPr>
            <w:tcW w:w="1547" w:type="dxa"/>
            <w:gridSpan w:val="2"/>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在建或已完</w:t>
            </w:r>
          </w:p>
        </w:tc>
        <w:tc>
          <w:tcPr>
            <w:tcW w:w="1548" w:type="dxa"/>
            <w:gridSpan w:val="2"/>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rFonts w:asciiTheme="minorEastAsia" w:hAnsiTheme="minorEastAsia" w:eastAsiaTheme="minorEastAsia" w:cstheme="minorEastAsia"/>
              </w:rPr>
            </w:pPr>
          </w:p>
        </w:tc>
        <w:tc>
          <w:tcPr>
            <w:tcW w:w="1548" w:type="dxa"/>
            <w:vAlign w:val="center"/>
          </w:tcPr>
          <w:p>
            <w:pPr>
              <w:jc w:val="center"/>
              <w:rPr>
                <w:rFonts w:asciiTheme="minorEastAsia" w:hAnsiTheme="minorEastAsia" w:eastAsiaTheme="minorEastAsia" w:cstheme="minorEastAsia"/>
              </w:rPr>
            </w:pPr>
          </w:p>
        </w:tc>
        <w:tc>
          <w:tcPr>
            <w:tcW w:w="1547" w:type="dxa"/>
            <w:gridSpan w:val="2"/>
            <w:vAlign w:val="center"/>
          </w:tcPr>
          <w:p>
            <w:pPr>
              <w:jc w:val="center"/>
              <w:rPr>
                <w:rFonts w:asciiTheme="minorEastAsia" w:hAnsiTheme="minorEastAsia" w:eastAsiaTheme="minorEastAsia" w:cstheme="minorEastAsia"/>
              </w:rPr>
            </w:pPr>
          </w:p>
        </w:tc>
        <w:tc>
          <w:tcPr>
            <w:tcW w:w="1548" w:type="dxa"/>
            <w:gridSpan w:val="2"/>
            <w:vAlign w:val="center"/>
          </w:tcPr>
          <w:p>
            <w:pPr>
              <w:jc w:val="center"/>
              <w:rPr>
                <w:rFonts w:asciiTheme="minorEastAsia" w:hAnsiTheme="minorEastAsia" w:eastAsiaTheme="minorEastAsia" w:cstheme="minorEastAsia"/>
              </w:rPr>
            </w:pPr>
          </w:p>
        </w:tc>
        <w:tc>
          <w:tcPr>
            <w:tcW w:w="1547" w:type="dxa"/>
            <w:gridSpan w:val="2"/>
            <w:vAlign w:val="center"/>
          </w:tcPr>
          <w:p>
            <w:pPr>
              <w:jc w:val="center"/>
              <w:rPr>
                <w:rFonts w:asciiTheme="minorEastAsia" w:hAnsiTheme="minorEastAsia" w:eastAsiaTheme="minorEastAsia" w:cstheme="minorEastAsia"/>
              </w:rPr>
            </w:pPr>
          </w:p>
        </w:tc>
        <w:tc>
          <w:tcPr>
            <w:tcW w:w="1548" w:type="dxa"/>
            <w:gridSpan w:val="2"/>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rFonts w:asciiTheme="minorEastAsia" w:hAnsiTheme="minorEastAsia" w:eastAsiaTheme="minorEastAsia" w:cstheme="minorEastAsia"/>
              </w:rPr>
            </w:pPr>
          </w:p>
        </w:tc>
        <w:tc>
          <w:tcPr>
            <w:tcW w:w="1548" w:type="dxa"/>
            <w:vAlign w:val="center"/>
          </w:tcPr>
          <w:p>
            <w:pPr>
              <w:jc w:val="center"/>
              <w:rPr>
                <w:rFonts w:asciiTheme="minorEastAsia" w:hAnsiTheme="minorEastAsia" w:eastAsiaTheme="minorEastAsia" w:cstheme="minorEastAsia"/>
              </w:rPr>
            </w:pPr>
          </w:p>
        </w:tc>
        <w:tc>
          <w:tcPr>
            <w:tcW w:w="1547" w:type="dxa"/>
            <w:gridSpan w:val="2"/>
            <w:vAlign w:val="center"/>
          </w:tcPr>
          <w:p>
            <w:pPr>
              <w:jc w:val="center"/>
              <w:rPr>
                <w:rFonts w:asciiTheme="minorEastAsia" w:hAnsiTheme="minorEastAsia" w:eastAsiaTheme="minorEastAsia" w:cstheme="minorEastAsia"/>
              </w:rPr>
            </w:pPr>
          </w:p>
        </w:tc>
        <w:tc>
          <w:tcPr>
            <w:tcW w:w="1548" w:type="dxa"/>
            <w:gridSpan w:val="2"/>
            <w:vAlign w:val="center"/>
          </w:tcPr>
          <w:p>
            <w:pPr>
              <w:jc w:val="center"/>
              <w:rPr>
                <w:rFonts w:asciiTheme="minorEastAsia" w:hAnsiTheme="minorEastAsia" w:eastAsiaTheme="minorEastAsia" w:cstheme="minorEastAsia"/>
              </w:rPr>
            </w:pPr>
          </w:p>
        </w:tc>
        <w:tc>
          <w:tcPr>
            <w:tcW w:w="1547" w:type="dxa"/>
            <w:gridSpan w:val="2"/>
            <w:vAlign w:val="center"/>
          </w:tcPr>
          <w:p>
            <w:pPr>
              <w:jc w:val="center"/>
              <w:rPr>
                <w:rFonts w:asciiTheme="minorEastAsia" w:hAnsiTheme="minorEastAsia" w:eastAsiaTheme="minorEastAsia" w:cstheme="minorEastAsia"/>
              </w:rPr>
            </w:pPr>
          </w:p>
        </w:tc>
        <w:tc>
          <w:tcPr>
            <w:tcW w:w="1548" w:type="dxa"/>
            <w:gridSpan w:val="2"/>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rFonts w:asciiTheme="minorEastAsia" w:hAnsiTheme="minorEastAsia" w:eastAsiaTheme="minorEastAsia" w:cstheme="minorEastAsia"/>
              </w:rPr>
            </w:pPr>
          </w:p>
        </w:tc>
        <w:tc>
          <w:tcPr>
            <w:tcW w:w="1548" w:type="dxa"/>
            <w:vAlign w:val="center"/>
          </w:tcPr>
          <w:p>
            <w:pPr>
              <w:jc w:val="center"/>
              <w:rPr>
                <w:rFonts w:asciiTheme="minorEastAsia" w:hAnsiTheme="minorEastAsia" w:eastAsiaTheme="minorEastAsia" w:cstheme="minorEastAsia"/>
              </w:rPr>
            </w:pPr>
          </w:p>
        </w:tc>
        <w:tc>
          <w:tcPr>
            <w:tcW w:w="1547" w:type="dxa"/>
            <w:gridSpan w:val="2"/>
            <w:vAlign w:val="center"/>
          </w:tcPr>
          <w:p>
            <w:pPr>
              <w:jc w:val="center"/>
              <w:rPr>
                <w:rFonts w:asciiTheme="minorEastAsia" w:hAnsiTheme="minorEastAsia" w:eastAsiaTheme="minorEastAsia" w:cstheme="minorEastAsia"/>
              </w:rPr>
            </w:pPr>
          </w:p>
        </w:tc>
        <w:tc>
          <w:tcPr>
            <w:tcW w:w="1548" w:type="dxa"/>
            <w:gridSpan w:val="2"/>
            <w:vAlign w:val="center"/>
          </w:tcPr>
          <w:p>
            <w:pPr>
              <w:jc w:val="center"/>
              <w:rPr>
                <w:rFonts w:asciiTheme="minorEastAsia" w:hAnsiTheme="minorEastAsia" w:eastAsiaTheme="minorEastAsia" w:cstheme="minorEastAsia"/>
              </w:rPr>
            </w:pPr>
          </w:p>
        </w:tc>
        <w:tc>
          <w:tcPr>
            <w:tcW w:w="1547" w:type="dxa"/>
            <w:gridSpan w:val="2"/>
            <w:vAlign w:val="center"/>
          </w:tcPr>
          <w:p>
            <w:pPr>
              <w:jc w:val="center"/>
              <w:rPr>
                <w:rFonts w:asciiTheme="minorEastAsia" w:hAnsiTheme="minorEastAsia" w:eastAsiaTheme="minorEastAsia" w:cstheme="minorEastAsia"/>
              </w:rPr>
            </w:pPr>
          </w:p>
        </w:tc>
        <w:tc>
          <w:tcPr>
            <w:tcW w:w="1548" w:type="dxa"/>
            <w:gridSpan w:val="2"/>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jc w:val="center"/>
              <w:rPr>
                <w:rFonts w:asciiTheme="minorEastAsia" w:hAnsiTheme="minorEastAsia" w:eastAsiaTheme="minorEastAsia" w:cstheme="minorEastAsia"/>
              </w:rPr>
            </w:pPr>
          </w:p>
        </w:tc>
        <w:tc>
          <w:tcPr>
            <w:tcW w:w="1548" w:type="dxa"/>
            <w:vAlign w:val="center"/>
          </w:tcPr>
          <w:p>
            <w:pPr>
              <w:jc w:val="center"/>
              <w:rPr>
                <w:rFonts w:asciiTheme="minorEastAsia" w:hAnsiTheme="minorEastAsia" w:eastAsiaTheme="minorEastAsia" w:cstheme="minorEastAsia"/>
              </w:rPr>
            </w:pPr>
          </w:p>
        </w:tc>
        <w:tc>
          <w:tcPr>
            <w:tcW w:w="1547" w:type="dxa"/>
            <w:gridSpan w:val="2"/>
            <w:vAlign w:val="center"/>
          </w:tcPr>
          <w:p>
            <w:pPr>
              <w:jc w:val="center"/>
              <w:rPr>
                <w:rFonts w:asciiTheme="minorEastAsia" w:hAnsiTheme="minorEastAsia" w:eastAsiaTheme="minorEastAsia" w:cstheme="minorEastAsia"/>
              </w:rPr>
            </w:pPr>
          </w:p>
        </w:tc>
        <w:tc>
          <w:tcPr>
            <w:tcW w:w="1548" w:type="dxa"/>
            <w:gridSpan w:val="2"/>
            <w:vAlign w:val="center"/>
          </w:tcPr>
          <w:p>
            <w:pPr>
              <w:jc w:val="center"/>
              <w:rPr>
                <w:rFonts w:asciiTheme="minorEastAsia" w:hAnsiTheme="minorEastAsia" w:eastAsiaTheme="minorEastAsia" w:cstheme="minorEastAsia"/>
              </w:rPr>
            </w:pPr>
          </w:p>
        </w:tc>
        <w:tc>
          <w:tcPr>
            <w:tcW w:w="1547" w:type="dxa"/>
            <w:gridSpan w:val="2"/>
            <w:vAlign w:val="center"/>
          </w:tcPr>
          <w:p>
            <w:pPr>
              <w:jc w:val="center"/>
              <w:rPr>
                <w:rFonts w:asciiTheme="minorEastAsia" w:hAnsiTheme="minorEastAsia" w:eastAsiaTheme="minorEastAsia" w:cstheme="minorEastAsia"/>
              </w:rPr>
            </w:pPr>
          </w:p>
        </w:tc>
        <w:tc>
          <w:tcPr>
            <w:tcW w:w="1548" w:type="dxa"/>
            <w:gridSpan w:val="2"/>
            <w:vAlign w:val="center"/>
          </w:tcPr>
          <w:p>
            <w:pPr>
              <w:jc w:val="center"/>
              <w:rPr>
                <w:rFonts w:asciiTheme="minorEastAsia" w:hAnsiTheme="minorEastAsia" w:eastAsiaTheme="minorEastAsia" w:cstheme="minorEastAsia"/>
              </w:rPr>
            </w:pPr>
          </w:p>
        </w:tc>
      </w:tr>
    </w:tbl>
    <w:p>
      <w:pPr>
        <w:spacing w:line="360" w:lineRule="auto"/>
        <w:rPr>
          <w:rFonts w:asciiTheme="minorEastAsia" w:hAnsiTheme="minorEastAsia" w:eastAsiaTheme="minorEastAsia" w:cstheme="minorEastAsia"/>
        </w:rPr>
      </w:pP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附：</w:t>
      </w:r>
    </w:p>
    <w:p>
      <w:pPr>
        <w:numPr>
          <w:ilvl w:val="0"/>
          <w:numId w:val="12"/>
        </w:num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资格证件复印件；</w:t>
      </w:r>
    </w:p>
    <w:p>
      <w:pPr>
        <w:numPr>
          <w:ilvl w:val="0"/>
          <w:numId w:val="12"/>
        </w:num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已完成的工程应附中标通知书（如有）、合同协议书有关页面、工程竣工验收证明材料复印件</w:t>
      </w:r>
      <w:r>
        <w:rPr>
          <w:rFonts w:hint="eastAsia" w:ascii="宋体" w:hAnsi="宋体" w:cs="Arial"/>
          <w:kern w:val="0"/>
        </w:rPr>
        <w:t>，并加盖单位电子公章；</w:t>
      </w:r>
    </w:p>
    <w:p>
      <w:pPr>
        <w:numPr>
          <w:ilvl w:val="0"/>
          <w:numId w:val="12"/>
        </w:num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在建工程应附中标通知书（如有）、合同协议书有关页面复印件</w:t>
      </w:r>
      <w:r>
        <w:rPr>
          <w:rFonts w:hint="eastAsia" w:ascii="宋体" w:hAnsi="宋体" w:cs="Arial"/>
          <w:kern w:val="0"/>
        </w:rPr>
        <w:t>，并加盖单位电子公章。</w:t>
      </w:r>
    </w:p>
    <w:p>
      <w:pPr>
        <w:spacing w:line="360" w:lineRule="auto"/>
        <w:ind w:firstLine="420" w:firstLineChars="200"/>
        <w:rPr>
          <w:rFonts w:asciiTheme="minorEastAsia" w:hAnsiTheme="minorEastAsia" w:eastAsiaTheme="minorEastAsia" w:cstheme="minorEastAsia"/>
        </w:rPr>
      </w:pPr>
    </w:p>
    <w:p>
      <w:pPr>
        <w:jc w:val="center"/>
        <w:rPr>
          <w:rFonts w:asciiTheme="minorEastAsia" w:hAnsiTheme="minorEastAsia" w:eastAsiaTheme="minorEastAsia" w:cstheme="minorEastAsia"/>
          <w:sz w:val="32"/>
          <w:szCs w:val="32"/>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spacing w:line="360" w:lineRule="auto"/>
        <w:rPr>
          <w:rFonts w:asciiTheme="minorEastAsia" w:hAnsiTheme="minorEastAsia" w:eastAsiaTheme="minorEastAsia" w:cstheme="minorEastAsia"/>
        </w:rPr>
      </w:pPr>
    </w:p>
    <w:p>
      <w:pPr>
        <w:pStyle w:val="20"/>
      </w:pPr>
      <w:r>
        <w:rPr>
          <w:rFonts w:hint="eastAsia" w:asciiTheme="minorEastAsia" w:hAnsiTheme="minorEastAsia" w:eastAsiaTheme="minorEastAsia" w:cstheme="minorEastAsia"/>
          <w:szCs w:val="21"/>
        </w:rPr>
        <w:br w:type="page"/>
      </w:r>
    </w:p>
    <w:p>
      <w:pPr>
        <w:spacing w:line="400" w:lineRule="exact"/>
        <w:jc w:val="center"/>
        <w:rPr>
          <w:rFonts w:asciiTheme="minorEastAsia" w:hAnsiTheme="minorEastAsia" w:eastAsiaTheme="minorEastAsia" w:cstheme="minorEastAsia"/>
          <w:b/>
          <w:bCs/>
          <w:kern w:val="0"/>
          <w:sz w:val="30"/>
          <w:szCs w:val="30"/>
        </w:rPr>
      </w:pPr>
      <w:r>
        <w:rPr>
          <w:rFonts w:hint="eastAsia" w:asciiTheme="minorEastAsia" w:hAnsiTheme="minorEastAsia" w:eastAsiaTheme="minorEastAsia" w:cstheme="minorEastAsia"/>
          <w:b/>
          <w:bCs/>
          <w:kern w:val="0"/>
          <w:sz w:val="30"/>
          <w:szCs w:val="30"/>
        </w:rPr>
        <w:t>九、企业业绩（如有）</w:t>
      </w:r>
    </w:p>
    <w:p>
      <w:pPr>
        <w:pStyle w:val="172"/>
        <w:rPr>
          <w:rFonts w:ascii="Times New Roman" w:hAnsi="Times New Roman" w:cs="宋体"/>
          <w:b/>
          <w:bCs/>
          <w:sz w:val="24"/>
          <w:szCs w:val="24"/>
        </w:rPr>
      </w:pPr>
    </w:p>
    <w:p>
      <w:pPr>
        <w:pStyle w:val="172"/>
        <w:jc w:val="center"/>
        <w:rPr>
          <w:rFonts w:ascii="Times New Roman" w:hAnsi="Times New Roman" w:cs="宋体"/>
          <w:b/>
          <w:bCs/>
          <w:sz w:val="24"/>
          <w:szCs w:val="24"/>
        </w:rPr>
      </w:pPr>
      <w:r>
        <w:rPr>
          <w:rFonts w:hint="eastAsia" w:ascii="Times New Roman" w:hAnsi="Times New Roman" w:cs="宋体"/>
          <w:b/>
          <w:bCs/>
          <w:sz w:val="24"/>
          <w:szCs w:val="24"/>
        </w:rPr>
        <w:t>企业2020</w:t>
      </w:r>
      <w:r>
        <w:rPr>
          <w:rFonts w:ascii="Times New Roman" w:hAnsi="Times New Roman" w:cs="宋体"/>
          <w:b/>
          <w:bCs/>
          <w:sz w:val="24"/>
          <w:szCs w:val="24"/>
        </w:rPr>
        <w:t>年</w:t>
      </w:r>
      <w:r>
        <w:rPr>
          <w:rFonts w:hint="eastAsia" w:ascii="Times New Roman" w:hAnsi="Times New Roman" w:cs="宋体"/>
          <w:b/>
          <w:bCs/>
          <w:sz w:val="24"/>
          <w:szCs w:val="24"/>
        </w:rPr>
        <w:t>以来在建或已完成房建类工程项目一览表</w:t>
      </w:r>
    </w:p>
    <w:tbl>
      <w:tblPr>
        <w:tblStyle w:val="45"/>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417"/>
        <w:gridCol w:w="851"/>
        <w:gridCol w:w="992"/>
        <w:gridCol w:w="1134"/>
        <w:gridCol w:w="790"/>
        <w:gridCol w:w="95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1" w:type="dxa"/>
            <w:vAlign w:val="center"/>
          </w:tcPr>
          <w:p>
            <w:pPr>
              <w:pStyle w:val="172"/>
              <w:jc w:val="center"/>
              <w:rPr>
                <w:rFonts w:ascii="Times New Roman" w:hAnsi="Times New Roman"/>
                <w:szCs w:val="21"/>
              </w:rPr>
            </w:pPr>
            <w:r>
              <w:rPr>
                <w:rFonts w:hint="eastAsia" w:ascii="Times New Roman" w:hAnsi="Times New Roman" w:cs="宋体"/>
                <w:szCs w:val="21"/>
              </w:rPr>
              <w:t>序号</w:t>
            </w:r>
          </w:p>
        </w:tc>
        <w:tc>
          <w:tcPr>
            <w:tcW w:w="1701" w:type="dxa"/>
            <w:vAlign w:val="center"/>
          </w:tcPr>
          <w:p>
            <w:pPr>
              <w:pStyle w:val="172"/>
              <w:jc w:val="center"/>
              <w:rPr>
                <w:rFonts w:ascii="Times New Roman" w:hAnsi="Times New Roman"/>
                <w:szCs w:val="21"/>
              </w:rPr>
            </w:pPr>
            <w:r>
              <w:rPr>
                <w:rFonts w:hint="eastAsia" w:ascii="Times New Roman" w:hAnsi="Times New Roman" w:cs="宋体"/>
                <w:szCs w:val="21"/>
              </w:rPr>
              <w:t>发包人名称</w:t>
            </w:r>
          </w:p>
        </w:tc>
        <w:tc>
          <w:tcPr>
            <w:tcW w:w="1417" w:type="dxa"/>
            <w:vAlign w:val="center"/>
          </w:tcPr>
          <w:p>
            <w:pPr>
              <w:pStyle w:val="172"/>
              <w:jc w:val="center"/>
              <w:rPr>
                <w:rFonts w:ascii="Times New Roman" w:hAnsi="Times New Roman"/>
                <w:szCs w:val="21"/>
              </w:rPr>
            </w:pPr>
            <w:r>
              <w:rPr>
                <w:rFonts w:hint="eastAsia" w:ascii="Times New Roman" w:hAnsi="Times New Roman" w:cs="宋体"/>
                <w:szCs w:val="21"/>
              </w:rPr>
              <w:t>工程名称</w:t>
            </w:r>
          </w:p>
          <w:p>
            <w:pPr>
              <w:pStyle w:val="172"/>
              <w:jc w:val="center"/>
              <w:rPr>
                <w:rFonts w:ascii="Times New Roman" w:hAnsi="Times New Roman"/>
                <w:szCs w:val="21"/>
              </w:rPr>
            </w:pPr>
            <w:r>
              <w:rPr>
                <w:rFonts w:hint="eastAsia" w:ascii="Times New Roman" w:hAnsi="Times New Roman" w:cs="宋体"/>
                <w:szCs w:val="21"/>
              </w:rPr>
              <w:t>及建设地点</w:t>
            </w:r>
          </w:p>
        </w:tc>
        <w:tc>
          <w:tcPr>
            <w:tcW w:w="851" w:type="dxa"/>
            <w:vAlign w:val="center"/>
          </w:tcPr>
          <w:p>
            <w:pPr>
              <w:pStyle w:val="172"/>
              <w:jc w:val="center"/>
              <w:rPr>
                <w:rFonts w:ascii="Times New Roman" w:hAnsi="Times New Roman"/>
                <w:szCs w:val="21"/>
              </w:rPr>
            </w:pPr>
            <w:r>
              <w:rPr>
                <w:rFonts w:hint="eastAsia" w:ascii="Times New Roman" w:hAnsi="Times New Roman" w:cs="宋体"/>
                <w:szCs w:val="21"/>
              </w:rPr>
              <w:t>结构</w:t>
            </w:r>
          </w:p>
          <w:p>
            <w:pPr>
              <w:pStyle w:val="172"/>
              <w:jc w:val="center"/>
              <w:rPr>
                <w:rFonts w:ascii="Times New Roman" w:hAnsi="Times New Roman"/>
                <w:szCs w:val="21"/>
              </w:rPr>
            </w:pPr>
            <w:r>
              <w:rPr>
                <w:rFonts w:hint="eastAsia" w:ascii="Times New Roman" w:hAnsi="Times New Roman" w:cs="宋体"/>
                <w:szCs w:val="21"/>
              </w:rPr>
              <w:t>类型</w:t>
            </w:r>
          </w:p>
        </w:tc>
        <w:tc>
          <w:tcPr>
            <w:tcW w:w="992" w:type="dxa"/>
            <w:vAlign w:val="center"/>
          </w:tcPr>
          <w:p>
            <w:pPr>
              <w:pStyle w:val="172"/>
              <w:jc w:val="center"/>
              <w:rPr>
                <w:rFonts w:ascii="Times New Roman" w:hAnsi="Times New Roman"/>
                <w:szCs w:val="21"/>
              </w:rPr>
            </w:pPr>
            <w:r>
              <w:rPr>
                <w:rFonts w:hint="eastAsia" w:ascii="Times New Roman" w:hAnsi="Times New Roman" w:cs="宋体"/>
                <w:szCs w:val="21"/>
              </w:rPr>
              <w:t>建设</w:t>
            </w:r>
          </w:p>
          <w:p>
            <w:pPr>
              <w:pStyle w:val="172"/>
              <w:jc w:val="center"/>
              <w:rPr>
                <w:rFonts w:ascii="Times New Roman" w:hAnsi="Times New Roman"/>
                <w:szCs w:val="21"/>
              </w:rPr>
            </w:pPr>
            <w:r>
              <w:rPr>
                <w:rFonts w:hint="eastAsia" w:ascii="Times New Roman" w:hAnsi="Times New Roman" w:cs="宋体"/>
                <w:szCs w:val="21"/>
              </w:rPr>
              <w:t>规模</w:t>
            </w:r>
          </w:p>
        </w:tc>
        <w:tc>
          <w:tcPr>
            <w:tcW w:w="1134" w:type="dxa"/>
            <w:vAlign w:val="center"/>
          </w:tcPr>
          <w:p>
            <w:pPr>
              <w:pStyle w:val="172"/>
              <w:jc w:val="center"/>
              <w:rPr>
                <w:rFonts w:ascii="Times New Roman" w:hAnsi="Times New Roman"/>
                <w:szCs w:val="21"/>
              </w:rPr>
            </w:pPr>
            <w:r>
              <w:rPr>
                <w:rFonts w:hint="eastAsia" w:ascii="Times New Roman" w:hAnsi="Times New Roman" w:cs="宋体"/>
                <w:szCs w:val="21"/>
              </w:rPr>
              <w:t>合同金额</w:t>
            </w:r>
          </w:p>
          <w:p>
            <w:pPr>
              <w:pStyle w:val="172"/>
              <w:jc w:val="center"/>
              <w:rPr>
                <w:rFonts w:ascii="Times New Roman" w:hAnsi="Times New Roman"/>
                <w:szCs w:val="21"/>
              </w:rPr>
            </w:pPr>
            <w:r>
              <w:rPr>
                <w:rFonts w:hint="eastAsia" w:ascii="Times New Roman" w:hAnsi="Times New Roman" w:cs="宋体"/>
                <w:szCs w:val="21"/>
              </w:rPr>
              <w:t>（万元）</w:t>
            </w:r>
          </w:p>
        </w:tc>
        <w:tc>
          <w:tcPr>
            <w:tcW w:w="790" w:type="dxa"/>
            <w:vAlign w:val="center"/>
          </w:tcPr>
          <w:p>
            <w:pPr>
              <w:pStyle w:val="172"/>
              <w:jc w:val="center"/>
              <w:rPr>
                <w:rFonts w:ascii="Times New Roman" w:hAnsi="Times New Roman"/>
                <w:szCs w:val="21"/>
              </w:rPr>
            </w:pPr>
            <w:r>
              <w:rPr>
                <w:rFonts w:hint="eastAsia" w:ascii="Times New Roman" w:hAnsi="Times New Roman" w:cs="宋体"/>
                <w:szCs w:val="21"/>
              </w:rPr>
              <w:t>质量标准</w:t>
            </w:r>
          </w:p>
        </w:tc>
        <w:tc>
          <w:tcPr>
            <w:tcW w:w="957" w:type="dxa"/>
            <w:vAlign w:val="center"/>
          </w:tcPr>
          <w:p>
            <w:pPr>
              <w:pStyle w:val="172"/>
              <w:jc w:val="center"/>
              <w:rPr>
                <w:rFonts w:ascii="Times New Roman" w:hAnsi="Times New Roman"/>
                <w:szCs w:val="21"/>
              </w:rPr>
            </w:pPr>
            <w:r>
              <w:rPr>
                <w:rFonts w:hint="eastAsia" w:ascii="Times New Roman" w:hAnsi="Times New Roman" w:cs="宋体"/>
                <w:szCs w:val="21"/>
              </w:rPr>
              <w:t>开工</w:t>
            </w:r>
          </w:p>
          <w:p>
            <w:pPr>
              <w:pStyle w:val="172"/>
              <w:jc w:val="center"/>
              <w:rPr>
                <w:rFonts w:ascii="Times New Roman" w:hAnsi="Times New Roman"/>
                <w:szCs w:val="21"/>
              </w:rPr>
            </w:pPr>
            <w:r>
              <w:rPr>
                <w:rFonts w:hint="eastAsia" w:ascii="Times New Roman" w:hAnsi="Times New Roman" w:cs="宋体"/>
                <w:szCs w:val="21"/>
              </w:rPr>
              <w:t>日</w:t>
            </w:r>
            <w:r>
              <w:rPr>
                <w:rFonts w:ascii="Times New Roman" w:hAnsi="Times New Roman"/>
                <w:szCs w:val="21"/>
              </w:rPr>
              <w:t xml:space="preserve">  </w:t>
            </w:r>
            <w:r>
              <w:rPr>
                <w:rFonts w:hint="eastAsia" w:ascii="Times New Roman" w:hAnsi="Times New Roman" w:cs="宋体"/>
                <w:szCs w:val="21"/>
              </w:rPr>
              <w:t>期</w:t>
            </w:r>
          </w:p>
        </w:tc>
        <w:tc>
          <w:tcPr>
            <w:tcW w:w="957" w:type="dxa"/>
            <w:vAlign w:val="center"/>
          </w:tcPr>
          <w:p>
            <w:pPr>
              <w:pStyle w:val="172"/>
              <w:jc w:val="center"/>
              <w:rPr>
                <w:rFonts w:ascii="Times New Roman" w:hAnsi="Times New Roman"/>
                <w:szCs w:val="21"/>
              </w:rPr>
            </w:pPr>
            <w:r>
              <w:rPr>
                <w:rFonts w:hint="eastAsia" w:ascii="Times New Roman" w:hAnsi="Times New Roman" w:cs="宋体"/>
                <w:szCs w:val="21"/>
              </w:rPr>
              <w:t>竣工</w:t>
            </w:r>
          </w:p>
          <w:p>
            <w:pPr>
              <w:pStyle w:val="172"/>
              <w:jc w:val="center"/>
              <w:rPr>
                <w:rFonts w:ascii="Times New Roman" w:hAnsi="Times New Roman" w:cs="宋体"/>
                <w:szCs w:val="21"/>
              </w:rPr>
            </w:pPr>
            <w:r>
              <w:rPr>
                <w:rFonts w:hint="eastAsia" w:ascii="Times New Roman" w:hAnsi="Times New Roman" w:cs="宋体"/>
                <w:szCs w:val="21"/>
              </w:rPr>
              <w:t>日</w:t>
            </w:r>
            <w:r>
              <w:rPr>
                <w:rFonts w:ascii="Times New Roman" w:hAnsi="Times New Roman"/>
                <w:szCs w:val="21"/>
              </w:rPr>
              <w:t xml:space="preserve">  </w:t>
            </w:r>
            <w:r>
              <w:rPr>
                <w:rFonts w:hint="eastAsia" w:ascii="Times New Roman" w:hAnsi="Times New Roman" w:cs="宋体"/>
                <w:szCs w:val="21"/>
              </w:rPr>
              <w:t>期（如有）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1" w:type="dxa"/>
            <w:vAlign w:val="center"/>
          </w:tcPr>
          <w:p>
            <w:pPr>
              <w:pStyle w:val="172"/>
              <w:jc w:val="center"/>
              <w:rPr>
                <w:rFonts w:ascii="Times New Roman" w:hAnsi="Times New Roman"/>
                <w:szCs w:val="21"/>
              </w:rPr>
            </w:pPr>
          </w:p>
        </w:tc>
        <w:tc>
          <w:tcPr>
            <w:tcW w:w="1701" w:type="dxa"/>
            <w:vAlign w:val="center"/>
          </w:tcPr>
          <w:p>
            <w:pPr>
              <w:pStyle w:val="172"/>
              <w:jc w:val="center"/>
              <w:rPr>
                <w:rFonts w:ascii="Times New Roman" w:hAnsi="Times New Roman"/>
                <w:szCs w:val="21"/>
              </w:rPr>
            </w:pPr>
          </w:p>
        </w:tc>
        <w:tc>
          <w:tcPr>
            <w:tcW w:w="1417" w:type="dxa"/>
            <w:vAlign w:val="center"/>
          </w:tcPr>
          <w:p>
            <w:pPr>
              <w:pStyle w:val="172"/>
              <w:jc w:val="center"/>
              <w:rPr>
                <w:rFonts w:ascii="Times New Roman" w:hAnsi="Times New Roman"/>
                <w:szCs w:val="21"/>
              </w:rPr>
            </w:pPr>
          </w:p>
        </w:tc>
        <w:tc>
          <w:tcPr>
            <w:tcW w:w="851" w:type="dxa"/>
            <w:vAlign w:val="center"/>
          </w:tcPr>
          <w:p>
            <w:pPr>
              <w:pStyle w:val="172"/>
              <w:jc w:val="center"/>
              <w:rPr>
                <w:rFonts w:ascii="Times New Roman" w:hAnsi="Times New Roman"/>
                <w:szCs w:val="21"/>
              </w:rPr>
            </w:pPr>
          </w:p>
        </w:tc>
        <w:tc>
          <w:tcPr>
            <w:tcW w:w="992" w:type="dxa"/>
            <w:vAlign w:val="center"/>
          </w:tcPr>
          <w:p>
            <w:pPr>
              <w:pStyle w:val="172"/>
              <w:jc w:val="center"/>
              <w:rPr>
                <w:rFonts w:ascii="Times New Roman" w:hAnsi="Times New Roman"/>
                <w:szCs w:val="21"/>
              </w:rPr>
            </w:pPr>
          </w:p>
        </w:tc>
        <w:tc>
          <w:tcPr>
            <w:tcW w:w="1134" w:type="dxa"/>
            <w:vAlign w:val="center"/>
          </w:tcPr>
          <w:p>
            <w:pPr>
              <w:pStyle w:val="172"/>
              <w:jc w:val="center"/>
              <w:rPr>
                <w:rFonts w:ascii="Times New Roman" w:hAnsi="Times New Roman"/>
                <w:szCs w:val="21"/>
              </w:rPr>
            </w:pPr>
          </w:p>
        </w:tc>
        <w:tc>
          <w:tcPr>
            <w:tcW w:w="790" w:type="dxa"/>
            <w:vAlign w:val="center"/>
          </w:tcPr>
          <w:p>
            <w:pPr>
              <w:pStyle w:val="172"/>
              <w:jc w:val="center"/>
              <w:rPr>
                <w:rFonts w:ascii="Times New Roman" w:hAnsi="Times New Roman"/>
                <w:szCs w:val="21"/>
              </w:rPr>
            </w:pPr>
          </w:p>
        </w:tc>
        <w:tc>
          <w:tcPr>
            <w:tcW w:w="957" w:type="dxa"/>
            <w:vAlign w:val="center"/>
          </w:tcPr>
          <w:p>
            <w:pPr>
              <w:pStyle w:val="172"/>
              <w:jc w:val="center"/>
              <w:rPr>
                <w:rFonts w:ascii="Times New Roman" w:hAnsi="Times New Roman"/>
                <w:szCs w:val="21"/>
              </w:rPr>
            </w:pPr>
          </w:p>
        </w:tc>
        <w:tc>
          <w:tcPr>
            <w:tcW w:w="957" w:type="dxa"/>
            <w:vAlign w:val="center"/>
          </w:tcPr>
          <w:p>
            <w:pPr>
              <w:pStyle w:val="172"/>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1" w:type="dxa"/>
            <w:vAlign w:val="center"/>
          </w:tcPr>
          <w:p>
            <w:pPr>
              <w:pStyle w:val="172"/>
              <w:jc w:val="center"/>
              <w:rPr>
                <w:rFonts w:ascii="Times New Roman" w:hAnsi="Times New Roman"/>
                <w:szCs w:val="21"/>
              </w:rPr>
            </w:pPr>
          </w:p>
        </w:tc>
        <w:tc>
          <w:tcPr>
            <w:tcW w:w="1701" w:type="dxa"/>
            <w:vAlign w:val="center"/>
          </w:tcPr>
          <w:p>
            <w:pPr>
              <w:pStyle w:val="172"/>
              <w:jc w:val="center"/>
              <w:rPr>
                <w:rFonts w:ascii="Times New Roman" w:hAnsi="Times New Roman"/>
                <w:szCs w:val="21"/>
              </w:rPr>
            </w:pPr>
          </w:p>
        </w:tc>
        <w:tc>
          <w:tcPr>
            <w:tcW w:w="1417" w:type="dxa"/>
            <w:vAlign w:val="center"/>
          </w:tcPr>
          <w:p>
            <w:pPr>
              <w:pStyle w:val="172"/>
              <w:jc w:val="center"/>
              <w:rPr>
                <w:rFonts w:ascii="Times New Roman" w:hAnsi="Times New Roman"/>
                <w:szCs w:val="21"/>
              </w:rPr>
            </w:pPr>
          </w:p>
        </w:tc>
        <w:tc>
          <w:tcPr>
            <w:tcW w:w="851" w:type="dxa"/>
            <w:vAlign w:val="center"/>
          </w:tcPr>
          <w:p>
            <w:pPr>
              <w:pStyle w:val="172"/>
              <w:jc w:val="center"/>
              <w:rPr>
                <w:rFonts w:ascii="Times New Roman" w:hAnsi="Times New Roman"/>
                <w:szCs w:val="21"/>
              </w:rPr>
            </w:pPr>
          </w:p>
        </w:tc>
        <w:tc>
          <w:tcPr>
            <w:tcW w:w="992" w:type="dxa"/>
            <w:vAlign w:val="center"/>
          </w:tcPr>
          <w:p>
            <w:pPr>
              <w:pStyle w:val="172"/>
              <w:jc w:val="center"/>
              <w:rPr>
                <w:rFonts w:ascii="Times New Roman" w:hAnsi="Times New Roman"/>
                <w:szCs w:val="21"/>
              </w:rPr>
            </w:pPr>
          </w:p>
        </w:tc>
        <w:tc>
          <w:tcPr>
            <w:tcW w:w="1134" w:type="dxa"/>
            <w:vAlign w:val="center"/>
          </w:tcPr>
          <w:p>
            <w:pPr>
              <w:pStyle w:val="172"/>
              <w:jc w:val="center"/>
              <w:rPr>
                <w:rFonts w:ascii="Times New Roman" w:hAnsi="Times New Roman"/>
                <w:szCs w:val="21"/>
              </w:rPr>
            </w:pPr>
          </w:p>
        </w:tc>
        <w:tc>
          <w:tcPr>
            <w:tcW w:w="790" w:type="dxa"/>
            <w:vAlign w:val="center"/>
          </w:tcPr>
          <w:p>
            <w:pPr>
              <w:pStyle w:val="172"/>
              <w:jc w:val="center"/>
              <w:rPr>
                <w:rFonts w:ascii="Times New Roman" w:hAnsi="Times New Roman"/>
                <w:szCs w:val="21"/>
              </w:rPr>
            </w:pPr>
          </w:p>
        </w:tc>
        <w:tc>
          <w:tcPr>
            <w:tcW w:w="957" w:type="dxa"/>
            <w:vAlign w:val="center"/>
          </w:tcPr>
          <w:p>
            <w:pPr>
              <w:pStyle w:val="172"/>
              <w:jc w:val="center"/>
              <w:rPr>
                <w:rFonts w:ascii="Times New Roman" w:hAnsi="Times New Roman"/>
                <w:szCs w:val="21"/>
              </w:rPr>
            </w:pPr>
          </w:p>
        </w:tc>
        <w:tc>
          <w:tcPr>
            <w:tcW w:w="957" w:type="dxa"/>
            <w:vAlign w:val="center"/>
          </w:tcPr>
          <w:p>
            <w:pPr>
              <w:pStyle w:val="172"/>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pStyle w:val="172"/>
              <w:jc w:val="center"/>
              <w:rPr>
                <w:rFonts w:ascii="Times New Roman" w:hAnsi="Times New Roman"/>
                <w:szCs w:val="21"/>
              </w:rPr>
            </w:pPr>
          </w:p>
        </w:tc>
        <w:tc>
          <w:tcPr>
            <w:tcW w:w="1701" w:type="dxa"/>
            <w:vAlign w:val="center"/>
          </w:tcPr>
          <w:p>
            <w:pPr>
              <w:pStyle w:val="172"/>
              <w:jc w:val="center"/>
              <w:rPr>
                <w:rFonts w:ascii="Times New Roman" w:hAnsi="Times New Roman"/>
                <w:szCs w:val="21"/>
              </w:rPr>
            </w:pPr>
          </w:p>
        </w:tc>
        <w:tc>
          <w:tcPr>
            <w:tcW w:w="1417" w:type="dxa"/>
            <w:vAlign w:val="center"/>
          </w:tcPr>
          <w:p>
            <w:pPr>
              <w:pStyle w:val="172"/>
              <w:jc w:val="center"/>
              <w:rPr>
                <w:rFonts w:ascii="Times New Roman" w:hAnsi="Times New Roman"/>
                <w:szCs w:val="21"/>
              </w:rPr>
            </w:pPr>
          </w:p>
        </w:tc>
        <w:tc>
          <w:tcPr>
            <w:tcW w:w="851" w:type="dxa"/>
            <w:vAlign w:val="center"/>
          </w:tcPr>
          <w:p>
            <w:pPr>
              <w:pStyle w:val="172"/>
              <w:jc w:val="center"/>
              <w:rPr>
                <w:rFonts w:ascii="Times New Roman" w:hAnsi="Times New Roman"/>
                <w:szCs w:val="21"/>
              </w:rPr>
            </w:pPr>
          </w:p>
        </w:tc>
        <w:tc>
          <w:tcPr>
            <w:tcW w:w="992" w:type="dxa"/>
            <w:vAlign w:val="center"/>
          </w:tcPr>
          <w:p>
            <w:pPr>
              <w:pStyle w:val="172"/>
              <w:jc w:val="center"/>
              <w:rPr>
                <w:rFonts w:ascii="Times New Roman" w:hAnsi="Times New Roman"/>
                <w:szCs w:val="21"/>
              </w:rPr>
            </w:pPr>
          </w:p>
        </w:tc>
        <w:tc>
          <w:tcPr>
            <w:tcW w:w="1134" w:type="dxa"/>
            <w:vAlign w:val="center"/>
          </w:tcPr>
          <w:p>
            <w:pPr>
              <w:pStyle w:val="172"/>
              <w:jc w:val="center"/>
              <w:rPr>
                <w:rFonts w:ascii="Times New Roman" w:hAnsi="Times New Roman"/>
                <w:szCs w:val="21"/>
              </w:rPr>
            </w:pPr>
          </w:p>
        </w:tc>
        <w:tc>
          <w:tcPr>
            <w:tcW w:w="790" w:type="dxa"/>
            <w:vAlign w:val="center"/>
          </w:tcPr>
          <w:p>
            <w:pPr>
              <w:pStyle w:val="172"/>
              <w:jc w:val="center"/>
              <w:rPr>
                <w:rFonts w:ascii="Times New Roman" w:hAnsi="Times New Roman"/>
                <w:szCs w:val="21"/>
              </w:rPr>
            </w:pPr>
          </w:p>
        </w:tc>
        <w:tc>
          <w:tcPr>
            <w:tcW w:w="957" w:type="dxa"/>
            <w:vAlign w:val="center"/>
          </w:tcPr>
          <w:p>
            <w:pPr>
              <w:pStyle w:val="172"/>
              <w:jc w:val="center"/>
              <w:rPr>
                <w:rFonts w:ascii="Times New Roman" w:hAnsi="Times New Roman"/>
                <w:szCs w:val="21"/>
              </w:rPr>
            </w:pPr>
          </w:p>
        </w:tc>
        <w:tc>
          <w:tcPr>
            <w:tcW w:w="957" w:type="dxa"/>
            <w:vAlign w:val="center"/>
          </w:tcPr>
          <w:p>
            <w:pPr>
              <w:pStyle w:val="172"/>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pStyle w:val="172"/>
              <w:jc w:val="center"/>
              <w:rPr>
                <w:rFonts w:ascii="Times New Roman" w:hAnsi="Times New Roman"/>
                <w:szCs w:val="21"/>
              </w:rPr>
            </w:pPr>
          </w:p>
        </w:tc>
        <w:tc>
          <w:tcPr>
            <w:tcW w:w="1701" w:type="dxa"/>
            <w:vAlign w:val="center"/>
          </w:tcPr>
          <w:p>
            <w:pPr>
              <w:pStyle w:val="172"/>
              <w:jc w:val="center"/>
              <w:rPr>
                <w:rFonts w:ascii="Times New Roman" w:hAnsi="Times New Roman"/>
                <w:szCs w:val="21"/>
              </w:rPr>
            </w:pPr>
          </w:p>
        </w:tc>
        <w:tc>
          <w:tcPr>
            <w:tcW w:w="1417" w:type="dxa"/>
            <w:vAlign w:val="center"/>
          </w:tcPr>
          <w:p>
            <w:pPr>
              <w:pStyle w:val="172"/>
              <w:jc w:val="center"/>
              <w:rPr>
                <w:rFonts w:ascii="Times New Roman" w:hAnsi="Times New Roman"/>
                <w:szCs w:val="21"/>
              </w:rPr>
            </w:pPr>
          </w:p>
        </w:tc>
        <w:tc>
          <w:tcPr>
            <w:tcW w:w="851" w:type="dxa"/>
            <w:vAlign w:val="center"/>
          </w:tcPr>
          <w:p>
            <w:pPr>
              <w:pStyle w:val="172"/>
              <w:jc w:val="center"/>
              <w:rPr>
                <w:rFonts w:ascii="Times New Roman" w:hAnsi="Times New Roman"/>
                <w:szCs w:val="21"/>
              </w:rPr>
            </w:pPr>
          </w:p>
        </w:tc>
        <w:tc>
          <w:tcPr>
            <w:tcW w:w="992" w:type="dxa"/>
            <w:vAlign w:val="center"/>
          </w:tcPr>
          <w:p>
            <w:pPr>
              <w:pStyle w:val="172"/>
              <w:jc w:val="center"/>
              <w:rPr>
                <w:rFonts w:ascii="Times New Roman" w:hAnsi="Times New Roman"/>
                <w:szCs w:val="21"/>
              </w:rPr>
            </w:pPr>
          </w:p>
        </w:tc>
        <w:tc>
          <w:tcPr>
            <w:tcW w:w="1134" w:type="dxa"/>
            <w:vAlign w:val="center"/>
          </w:tcPr>
          <w:p>
            <w:pPr>
              <w:pStyle w:val="172"/>
              <w:jc w:val="center"/>
              <w:rPr>
                <w:rFonts w:ascii="Times New Roman" w:hAnsi="Times New Roman"/>
                <w:szCs w:val="21"/>
              </w:rPr>
            </w:pPr>
          </w:p>
        </w:tc>
        <w:tc>
          <w:tcPr>
            <w:tcW w:w="790" w:type="dxa"/>
            <w:vAlign w:val="center"/>
          </w:tcPr>
          <w:p>
            <w:pPr>
              <w:pStyle w:val="172"/>
              <w:jc w:val="center"/>
              <w:rPr>
                <w:rFonts w:ascii="Times New Roman" w:hAnsi="Times New Roman"/>
                <w:szCs w:val="21"/>
              </w:rPr>
            </w:pPr>
          </w:p>
        </w:tc>
        <w:tc>
          <w:tcPr>
            <w:tcW w:w="957" w:type="dxa"/>
            <w:vAlign w:val="center"/>
          </w:tcPr>
          <w:p>
            <w:pPr>
              <w:pStyle w:val="172"/>
              <w:jc w:val="center"/>
              <w:rPr>
                <w:rFonts w:ascii="Times New Roman" w:hAnsi="Times New Roman"/>
                <w:szCs w:val="21"/>
              </w:rPr>
            </w:pPr>
          </w:p>
        </w:tc>
        <w:tc>
          <w:tcPr>
            <w:tcW w:w="957" w:type="dxa"/>
            <w:vAlign w:val="center"/>
          </w:tcPr>
          <w:p>
            <w:pPr>
              <w:pStyle w:val="172"/>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pStyle w:val="172"/>
              <w:jc w:val="center"/>
              <w:rPr>
                <w:rFonts w:ascii="Times New Roman" w:hAnsi="Times New Roman"/>
                <w:szCs w:val="21"/>
              </w:rPr>
            </w:pPr>
          </w:p>
        </w:tc>
        <w:tc>
          <w:tcPr>
            <w:tcW w:w="1701" w:type="dxa"/>
            <w:vAlign w:val="center"/>
          </w:tcPr>
          <w:p>
            <w:pPr>
              <w:pStyle w:val="172"/>
              <w:jc w:val="center"/>
              <w:rPr>
                <w:rFonts w:ascii="Times New Roman" w:hAnsi="Times New Roman"/>
                <w:szCs w:val="21"/>
              </w:rPr>
            </w:pPr>
          </w:p>
        </w:tc>
        <w:tc>
          <w:tcPr>
            <w:tcW w:w="1417" w:type="dxa"/>
            <w:vAlign w:val="center"/>
          </w:tcPr>
          <w:p>
            <w:pPr>
              <w:pStyle w:val="172"/>
              <w:jc w:val="center"/>
              <w:rPr>
                <w:rFonts w:ascii="Times New Roman" w:hAnsi="Times New Roman"/>
                <w:szCs w:val="21"/>
              </w:rPr>
            </w:pPr>
          </w:p>
        </w:tc>
        <w:tc>
          <w:tcPr>
            <w:tcW w:w="851" w:type="dxa"/>
            <w:vAlign w:val="center"/>
          </w:tcPr>
          <w:p>
            <w:pPr>
              <w:pStyle w:val="172"/>
              <w:jc w:val="center"/>
              <w:rPr>
                <w:rFonts w:ascii="Times New Roman" w:hAnsi="Times New Roman"/>
                <w:szCs w:val="21"/>
              </w:rPr>
            </w:pPr>
          </w:p>
        </w:tc>
        <w:tc>
          <w:tcPr>
            <w:tcW w:w="992" w:type="dxa"/>
            <w:vAlign w:val="center"/>
          </w:tcPr>
          <w:p>
            <w:pPr>
              <w:pStyle w:val="172"/>
              <w:jc w:val="center"/>
              <w:rPr>
                <w:rFonts w:ascii="Times New Roman" w:hAnsi="Times New Roman"/>
                <w:szCs w:val="21"/>
              </w:rPr>
            </w:pPr>
          </w:p>
        </w:tc>
        <w:tc>
          <w:tcPr>
            <w:tcW w:w="1134" w:type="dxa"/>
            <w:vAlign w:val="center"/>
          </w:tcPr>
          <w:p>
            <w:pPr>
              <w:pStyle w:val="172"/>
              <w:jc w:val="center"/>
              <w:rPr>
                <w:rFonts w:ascii="Times New Roman" w:hAnsi="Times New Roman"/>
                <w:szCs w:val="21"/>
              </w:rPr>
            </w:pPr>
          </w:p>
        </w:tc>
        <w:tc>
          <w:tcPr>
            <w:tcW w:w="790" w:type="dxa"/>
            <w:vAlign w:val="center"/>
          </w:tcPr>
          <w:p>
            <w:pPr>
              <w:pStyle w:val="172"/>
              <w:jc w:val="center"/>
              <w:rPr>
                <w:rFonts w:ascii="Times New Roman" w:hAnsi="Times New Roman"/>
                <w:szCs w:val="21"/>
              </w:rPr>
            </w:pPr>
          </w:p>
        </w:tc>
        <w:tc>
          <w:tcPr>
            <w:tcW w:w="957" w:type="dxa"/>
            <w:vAlign w:val="center"/>
          </w:tcPr>
          <w:p>
            <w:pPr>
              <w:pStyle w:val="172"/>
              <w:jc w:val="center"/>
              <w:rPr>
                <w:rFonts w:ascii="Times New Roman" w:hAnsi="Times New Roman"/>
                <w:szCs w:val="21"/>
              </w:rPr>
            </w:pPr>
          </w:p>
        </w:tc>
        <w:tc>
          <w:tcPr>
            <w:tcW w:w="957" w:type="dxa"/>
            <w:vAlign w:val="center"/>
          </w:tcPr>
          <w:p>
            <w:pPr>
              <w:pStyle w:val="172"/>
              <w:jc w:val="center"/>
              <w:rPr>
                <w:rFonts w:ascii="Times New Roman" w:hAnsi="Times New Roman"/>
                <w:szCs w:val="21"/>
              </w:rPr>
            </w:pPr>
          </w:p>
        </w:tc>
      </w:tr>
    </w:tbl>
    <w:p>
      <w:pPr>
        <w:pStyle w:val="172"/>
        <w:rPr>
          <w:rFonts w:ascii="Times New Roman" w:hAnsi="Times New Roman"/>
          <w:szCs w:val="21"/>
        </w:rPr>
      </w:pPr>
    </w:p>
    <w:p>
      <w:pPr>
        <w:pStyle w:val="172"/>
        <w:spacing w:line="360" w:lineRule="auto"/>
        <w:rPr>
          <w:rFonts w:ascii="宋体" w:hAnsi="宋体" w:cs="Arial"/>
          <w:kern w:val="0"/>
          <w:szCs w:val="21"/>
        </w:rPr>
      </w:pPr>
      <w:r>
        <w:rPr>
          <w:rFonts w:hint="eastAsia" w:asciiTheme="minorEastAsia" w:hAnsiTheme="minorEastAsia" w:eastAsiaTheme="minorEastAsia" w:cstheme="minorEastAsia"/>
          <w:szCs w:val="21"/>
        </w:rPr>
        <w:t>备注：1.</w:t>
      </w:r>
      <w:r>
        <w:rPr>
          <w:rFonts w:hint="eastAsia" w:ascii="宋体" w:hAnsi="宋体" w:cs="Arial"/>
          <w:kern w:val="0"/>
          <w:szCs w:val="21"/>
        </w:rPr>
        <w:t>近三年（2020年至今）在建或已完成的</w:t>
      </w:r>
      <w:r>
        <w:rPr>
          <w:rFonts w:hint="eastAsia" w:ascii="宋体" w:hAnsi="宋体"/>
          <w:bCs/>
          <w:szCs w:val="21"/>
        </w:rPr>
        <w:t>房建类</w:t>
      </w:r>
      <w:r>
        <w:rPr>
          <w:rFonts w:hint="eastAsia" w:ascii="宋体" w:hAnsi="宋体" w:cs="Arial"/>
          <w:kern w:val="0"/>
          <w:szCs w:val="21"/>
        </w:rPr>
        <w:t>工程项目；</w:t>
      </w:r>
    </w:p>
    <w:p>
      <w:pPr>
        <w:pStyle w:val="172"/>
        <w:spacing w:line="360" w:lineRule="auto"/>
        <w:ind w:firstLine="630" w:firstLineChars="300"/>
        <w:rPr>
          <w:rFonts w:ascii="宋体" w:hAnsi="宋体" w:cs="Arial"/>
          <w:kern w:val="0"/>
          <w:szCs w:val="21"/>
        </w:rPr>
      </w:pPr>
      <w:r>
        <w:rPr>
          <w:rFonts w:hint="eastAsia" w:ascii="宋体" w:hAnsi="宋体" w:cs="Arial"/>
          <w:kern w:val="0"/>
          <w:szCs w:val="21"/>
        </w:rPr>
        <w:t>2.已完成的类似工程应附中标通知书（如有）、合同协议书有关页面、工程竣工验收证明材料的</w:t>
      </w:r>
      <w:r>
        <w:rPr>
          <w:rFonts w:hint="eastAsia" w:asciiTheme="minorEastAsia" w:hAnsiTheme="minorEastAsia" w:eastAsiaTheme="minorEastAsia" w:cstheme="minorEastAsia"/>
        </w:rPr>
        <w:t>复印件</w:t>
      </w:r>
      <w:r>
        <w:rPr>
          <w:rFonts w:hint="eastAsia" w:ascii="宋体" w:hAnsi="宋体" w:cs="Arial"/>
          <w:kern w:val="0"/>
          <w:szCs w:val="21"/>
        </w:rPr>
        <w:t>，并加盖单位电子公章；</w:t>
      </w:r>
    </w:p>
    <w:p>
      <w:pPr>
        <w:pStyle w:val="172"/>
        <w:spacing w:line="360" w:lineRule="auto"/>
        <w:ind w:firstLine="630" w:firstLineChars="300"/>
        <w:rPr>
          <w:rFonts w:ascii="宋体" w:hAnsi="宋体" w:cs="Arial"/>
          <w:kern w:val="0"/>
          <w:szCs w:val="21"/>
        </w:rPr>
      </w:pPr>
      <w:r>
        <w:rPr>
          <w:rFonts w:hint="eastAsia" w:ascii="宋体" w:hAnsi="宋体" w:cs="Arial"/>
          <w:kern w:val="0"/>
          <w:szCs w:val="21"/>
        </w:rPr>
        <w:t>3.在建类似工程应附中标通知书（如有）、合同协议书有关页面</w:t>
      </w:r>
      <w:r>
        <w:rPr>
          <w:rFonts w:hint="eastAsia" w:asciiTheme="minorEastAsia" w:hAnsiTheme="minorEastAsia" w:eastAsiaTheme="minorEastAsia" w:cstheme="minorEastAsia"/>
        </w:rPr>
        <w:t>复印件</w:t>
      </w:r>
      <w:r>
        <w:rPr>
          <w:rFonts w:hint="eastAsia" w:ascii="宋体" w:hAnsi="宋体" w:cs="Arial"/>
          <w:kern w:val="0"/>
          <w:szCs w:val="21"/>
        </w:rPr>
        <w:t>，并加盖单位电子公章。</w:t>
      </w:r>
    </w:p>
    <w:p>
      <w:pPr>
        <w:pStyle w:val="172"/>
        <w:rPr>
          <w:rFonts w:asciiTheme="minorEastAsia" w:hAnsiTheme="minorEastAsia" w:eastAsiaTheme="minorEastAsia" w:cstheme="minorEastAsia"/>
          <w:szCs w:val="21"/>
        </w:rPr>
      </w:pPr>
    </w:p>
    <w:p>
      <w:pPr>
        <w:pStyle w:val="172"/>
        <w:rPr>
          <w:rFonts w:asciiTheme="minorEastAsia" w:hAnsiTheme="minorEastAsia" w:eastAsiaTheme="minorEastAsia" w:cstheme="minorEastAsia"/>
          <w:szCs w:val="21"/>
        </w:rPr>
      </w:pPr>
    </w:p>
    <w:p>
      <w:pPr>
        <w:pStyle w:val="172"/>
        <w:rPr>
          <w:rFonts w:asciiTheme="minorEastAsia" w:hAnsiTheme="minorEastAsia" w:eastAsiaTheme="minorEastAsia" w:cstheme="minorEastAsia"/>
          <w:szCs w:val="21"/>
        </w:rPr>
      </w:pPr>
    </w:p>
    <w:p>
      <w:pPr>
        <w:pStyle w:val="172"/>
        <w:rPr>
          <w:rFonts w:asciiTheme="minorEastAsia" w:hAnsiTheme="minorEastAsia" w:eastAsiaTheme="minorEastAsia" w:cstheme="minorEastAsia"/>
          <w:szCs w:val="21"/>
        </w:rPr>
      </w:pPr>
    </w:p>
    <w:p>
      <w:pPr>
        <w:pStyle w:val="172"/>
        <w:rPr>
          <w:rFonts w:asciiTheme="minorEastAsia" w:hAnsiTheme="minorEastAsia" w:eastAsiaTheme="minorEastAsia" w:cstheme="minorEastAsia"/>
          <w:szCs w:val="21"/>
        </w:rPr>
      </w:pPr>
    </w:p>
    <w:p>
      <w:pPr>
        <w:pStyle w:val="172"/>
        <w:rPr>
          <w:rFonts w:asciiTheme="minorEastAsia" w:hAnsiTheme="minorEastAsia" w:eastAsiaTheme="minorEastAsia" w:cstheme="minorEastAsia"/>
          <w:szCs w:val="21"/>
        </w:rPr>
      </w:pPr>
    </w:p>
    <w:p>
      <w:pPr>
        <w:pStyle w:val="172"/>
        <w:rPr>
          <w:rFonts w:asciiTheme="minorEastAsia" w:hAnsiTheme="minorEastAsia" w:eastAsiaTheme="minorEastAsia" w:cstheme="minorEastAsia"/>
          <w:szCs w:val="21"/>
        </w:rPr>
      </w:pPr>
    </w:p>
    <w:p>
      <w:pPr>
        <w:pStyle w:val="172"/>
        <w:rPr>
          <w:rFonts w:asciiTheme="minorEastAsia" w:hAnsiTheme="minorEastAsia" w:eastAsiaTheme="minorEastAsia" w:cstheme="minorEastAsia"/>
          <w:szCs w:val="21"/>
        </w:rPr>
      </w:pPr>
    </w:p>
    <w:p>
      <w:pPr>
        <w:pStyle w:val="172"/>
        <w:rPr>
          <w:rFonts w:asciiTheme="minorEastAsia" w:hAnsiTheme="minorEastAsia" w:eastAsiaTheme="minorEastAsia" w:cstheme="minorEastAsia"/>
          <w:szCs w:val="21"/>
        </w:rPr>
      </w:pPr>
    </w:p>
    <w:p>
      <w:pPr>
        <w:pStyle w:val="172"/>
        <w:rPr>
          <w:rFonts w:asciiTheme="minorEastAsia" w:hAnsiTheme="minorEastAsia" w:eastAsiaTheme="minorEastAsia" w:cstheme="minorEastAsia"/>
          <w:szCs w:val="21"/>
        </w:rPr>
      </w:pPr>
    </w:p>
    <w:p>
      <w:pPr>
        <w:pStyle w:val="172"/>
        <w:rPr>
          <w:rFonts w:asciiTheme="minorEastAsia" w:hAnsiTheme="minorEastAsia" w:eastAsiaTheme="minorEastAsia" w:cstheme="minorEastAsia"/>
          <w:szCs w:val="21"/>
        </w:rPr>
      </w:pPr>
    </w:p>
    <w:p>
      <w:pPr>
        <w:pStyle w:val="172"/>
        <w:rPr>
          <w:rFonts w:asciiTheme="minorEastAsia" w:hAnsiTheme="minorEastAsia" w:eastAsiaTheme="minorEastAsia" w:cstheme="minorEastAsia"/>
          <w:szCs w:val="21"/>
        </w:rPr>
      </w:pPr>
    </w:p>
    <w:p>
      <w:pPr>
        <w:pStyle w:val="172"/>
        <w:rPr>
          <w:rFonts w:asciiTheme="minorEastAsia" w:hAnsiTheme="minorEastAsia" w:eastAsiaTheme="minorEastAsia" w:cstheme="minorEastAsia"/>
          <w:szCs w:val="21"/>
        </w:rPr>
      </w:pPr>
    </w:p>
    <w:p>
      <w:pPr>
        <w:pStyle w:val="172"/>
        <w:rPr>
          <w:rFonts w:asciiTheme="minorEastAsia" w:hAnsiTheme="minorEastAsia" w:eastAsiaTheme="minorEastAsia" w:cstheme="minorEastAsia"/>
          <w:szCs w:val="21"/>
        </w:rPr>
      </w:pPr>
    </w:p>
    <w:p>
      <w:pPr>
        <w:pStyle w:val="172"/>
        <w:rPr>
          <w:rFonts w:asciiTheme="minorEastAsia" w:hAnsiTheme="minorEastAsia" w:eastAsiaTheme="minorEastAsia" w:cstheme="minorEastAsia"/>
          <w:szCs w:val="21"/>
        </w:rPr>
      </w:pPr>
    </w:p>
    <w:p>
      <w:pPr>
        <w:pStyle w:val="172"/>
        <w:rPr>
          <w:rFonts w:asciiTheme="minorEastAsia" w:hAnsiTheme="minorEastAsia" w:eastAsiaTheme="minorEastAsia" w:cstheme="minorEastAsia"/>
          <w:szCs w:val="21"/>
        </w:rPr>
      </w:pPr>
    </w:p>
    <w:p>
      <w:pPr>
        <w:pStyle w:val="172"/>
        <w:rPr>
          <w:rFonts w:asciiTheme="minorEastAsia" w:hAnsiTheme="minorEastAsia" w:eastAsiaTheme="minorEastAsia" w:cstheme="minorEastAsia"/>
          <w:szCs w:val="21"/>
        </w:rPr>
      </w:pPr>
    </w:p>
    <w:p>
      <w:pPr>
        <w:pStyle w:val="172"/>
        <w:rPr>
          <w:rFonts w:asciiTheme="minorEastAsia" w:hAnsiTheme="minorEastAsia" w:eastAsiaTheme="minorEastAsia" w:cstheme="minorEastAsia"/>
          <w:szCs w:val="21"/>
        </w:rPr>
      </w:pPr>
    </w:p>
    <w:p>
      <w:pPr>
        <w:pStyle w:val="172"/>
        <w:rPr>
          <w:rFonts w:asciiTheme="minorEastAsia" w:hAnsiTheme="minorEastAsia" w:eastAsiaTheme="minorEastAsia" w:cstheme="minorEastAsia"/>
          <w:szCs w:val="21"/>
        </w:rPr>
      </w:pPr>
    </w:p>
    <w:p>
      <w:pPr>
        <w:pStyle w:val="4"/>
        <w:jc w:val="center"/>
        <w:rPr>
          <w:rFonts w:ascii="宋体" w:hAnsi="宋体"/>
        </w:rPr>
      </w:pPr>
      <w:r>
        <w:rPr>
          <w:rFonts w:hint="eastAsia" w:ascii="宋体" w:hAnsi="宋体"/>
        </w:rPr>
        <w:t>第四节 报价文件格式</w:t>
      </w:r>
    </w:p>
    <w:p>
      <w:pPr>
        <w:snapToGrid w:val="0"/>
        <w:spacing w:before="156" w:beforeLines="50" w:after="50"/>
        <w:rPr>
          <w:rFonts w:ascii="宋体" w:hAnsi="宋体"/>
          <w:bCs/>
          <w:sz w:val="32"/>
          <w:szCs w:val="20"/>
        </w:rPr>
      </w:pPr>
      <w:r>
        <w:rPr>
          <w:rFonts w:hint="eastAsia" w:ascii="宋体" w:hAnsi="宋体"/>
          <w:sz w:val="24"/>
        </w:rPr>
        <w:t xml:space="preserve">                                                    </w:t>
      </w:r>
      <w:r>
        <w:rPr>
          <w:rFonts w:hint="eastAsia" w:ascii="宋体" w:hAnsi="宋体"/>
          <w:bCs/>
        </w:rPr>
        <w:t>全流程电子文件</w:t>
      </w:r>
    </w:p>
    <w:p>
      <w:pPr>
        <w:snapToGrid w:val="0"/>
        <w:spacing w:before="156" w:beforeLines="50" w:after="50"/>
        <w:rPr>
          <w:rFonts w:ascii="宋体" w:hAnsi="宋体"/>
          <w:sz w:val="24"/>
          <w:szCs w:val="20"/>
        </w:rPr>
      </w:pPr>
    </w:p>
    <w:p>
      <w:pPr>
        <w:snapToGrid w:val="0"/>
        <w:spacing w:before="156" w:beforeLines="50" w:after="50"/>
        <w:rPr>
          <w:rFonts w:ascii="宋体" w:hAnsi="宋体"/>
          <w:sz w:val="24"/>
          <w:szCs w:val="20"/>
        </w:rPr>
      </w:pPr>
    </w:p>
    <w:p>
      <w:pPr>
        <w:snapToGrid w:val="0"/>
        <w:spacing w:before="156" w:beforeLines="50" w:after="50"/>
        <w:rPr>
          <w:rFonts w:ascii="宋体" w:hAnsi="宋体"/>
          <w:sz w:val="24"/>
          <w:szCs w:val="20"/>
        </w:rPr>
      </w:pPr>
    </w:p>
    <w:p>
      <w:pPr>
        <w:snapToGrid w:val="0"/>
        <w:spacing w:before="156"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报 </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价  文  件（封面）</w:t>
      </w: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项目名称：</w:t>
      </w:r>
    </w:p>
    <w:p>
      <w:pPr>
        <w:snapToGrid w:val="0"/>
        <w:spacing w:before="156" w:beforeLines="50" w:after="50"/>
        <w:ind w:firstLine="720" w:firstLineChars="225"/>
        <w:rPr>
          <w:rFonts w:ascii="宋体" w:hAnsi="宋体" w:cs="仿宋_GB2312"/>
          <w:bCs/>
          <w:sz w:val="32"/>
          <w:szCs w:val="32"/>
        </w:rPr>
      </w:pPr>
    </w:p>
    <w:p>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项目编号：</w:t>
      </w:r>
    </w:p>
    <w:p>
      <w:pPr>
        <w:snapToGrid w:val="0"/>
        <w:spacing w:before="156" w:beforeLines="50" w:after="50"/>
        <w:ind w:firstLine="720" w:firstLineChars="225"/>
        <w:rPr>
          <w:rFonts w:ascii="宋体" w:hAnsi="宋体" w:cs="仿宋_GB2312"/>
          <w:bCs/>
          <w:sz w:val="32"/>
          <w:szCs w:val="32"/>
        </w:rPr>
      </w:pPr>
      <w:r>
        <w:rPr>
          <w:rFonts w:hint="eastAsia" w:ascii="宋体" w:hAnsi="宋体" w:cs="仿宋_GB2312"/>
          <w:bCs/>
          <w:sz w:val="32"/>
          <w:szCs w:val="32"/>
        </w:rPr>
        <w:t xml:space="preserve"> </w:t>
      </w:r>
    </w:p>
    <w:p>
      <w:pPr>
        <w:snapToGrid w:val="0"/>
        <w:spacing w:before="156" w:beforeLines="50" w:after="50"/>
        <w:ind w:firstLine="640" w:firstLineChars="200"/>
        <w:rPr>
          <w:rFonts w:ascii="宋体" w:hAnsi="宋体" w:cs="仿宋_GB2312"/>
          <w:bCs/>
          <w:sz w:val="32"/>
          <w:szCs w:val="32"/>
        </w:rPr>
      </w:pPr>
      <w:r>
        <w:rPr>
          <w:rFonts w:hint="eastAsia" w:ascii="宋体" w:hAnsi="宋体" w:cs="仿宋_GB2312"/>
          <w:bCs/>
          <w:sz w:val="32"/>
          <w:szCs w:val="32"/>
        </w:rPr>
        <w:t>所竞分标（如有则填写，无分标时填写“无”或者留空）：</w:t>
      </w:r>
    </w:p>
    <w:p>
      <w:pPr>
        <w:snapToGrid w:val="0"/>
        <w:spacing w:before="156" w:beforeLines="50" w:after="50"/>
        <w:ind w:firstLine="720" w:firstLineChars="225"/>
        <w:rPr>
          <w:rFonts w:ascii="宋体" w:hAnsi="宋体" w:cs="仿宋_GB2312"/>
          <w:bCs/>
          <w:sz w:val="32"/>
          <w:szCs w:val="32"/>
        </w:rPr>
      </w:pPr>
    </w:p>
    <w:p>
      <w:pPr>
        <w:pStyle w:val="8"/>
        <w:snapToGrid w:val="0"/>
        <w:spacing w:before="50" w:after="50"/>
        <w:ind w:firstLine="640" w:firstLineChars="200"/>
        <w:rPr>
          <w:rFonts w:ascii="宋体" w:hAnsi="宋体" w:cs="仿宋_GB2312"/>
          <w:bCs/>
          <w:sz w:val="32"/>
          <w:szCs w:val="32"/>
        </w:rPr>
      </w:pPr>
      <w:r>
        <w:rPr>
          <w:rFonts w:hint="eastAsia" w:ascii="宋体" w:hAnsi="宋体" w:cs="仿宋_GB2312"/>
          <w:bCs/>
          <w:sz w:val="32"/>
          <w:szCs w:val="32"/>
        </w:rPr>
        <w:t>供应商名称：</w:t>
      </w:r>
    </w:p>
    <w:p>
      <w:pPr>
        <w:pStyle w:val="8"/>
        <w:snapToGrid w:val="0"/>
        <w:spacing w:before="50" w:after="50"/>
        <w:ind w:firstLine="720" w:firstLineChars="225"/>
        <w:rPr>
          <w:rFonts w:ascii="宋体" w:hAnsi="宋体" w:cs="仿宋_GB2312"/>
          <w:bCs/>
          <w:sz w:val="32"/>
          <w:szCs w:val="32"/>
        </w:rPr>
      </w:pPr>
    </w:p>
    <w:p>
      <w:pPr>
        <w:pStyle w:val="8"/>
        <w:snapToGrid w:val="0"/>
        <w:spacing w:before="50" w:after="50"/>
        <w:ind w:firstLine="720" w:firstLineChars="225"/>
        <w:rPr>
          <w:rFonts w:ascii="宋体" w:hAnsi="宋体" w:cs="仿宋_GB2312"/>
          <w:bCs/>
          <w:sz w:val="32"/>
          <w:szCs w:val="32"/>
        </w:rPr>
      </w:pPr>
    </w:p>
    <w:p>
      <w:pPr>
        <w:pStyle w:val="8"/>
        <w:snapToGrid w:val="0"/>
        <w:spacing w:before="50" w:after="50"/>
        <w:ind w:firstLine="1280" w:firstLineChars="400"/>
        <w:rPr>
          <w:rFonts w:ascii="宋体" w:hAnsi="宋体" w:cs="仿宋_GB2312"/>
          <w:bCs/>
          <w:sz w:val="32"/>
          <w:szCs w:val="32"/>
        </w:rPr>
      </w:pPr>
    </w:p>
    <w:p>
      <w:pPr>
        <w:snapToGrid w:val="0"/>
        <w:spacing w:before="156" w:beforeLines="50" w:after="50"/>
        <w:jc w:val="center"/>
        <w:rPr>
          <w:rFonts w:ascii="宋体" w:hAnsi="宋体" w:cs="仿宋_GB2312"/>
          <w:sz w:val="32"/>
          <w:szCs w:val="32"/>
        </w:rPr>
      </w:pPr>
      <w:r>
        <w:rPr>
          <w:rFonts w:hint="eastAsia" w:ascii="宋体" w:hAnsi="宋体" w:cs="仿宋_GB2312"/>
          <w:sz w:val="32"/>
          <w:szCs w:val="32"/>
        </w:rPr>
        <w:t>年    月    日</w:t>
      </w:r>
    </w:p>
    <w:p>
      <w:pPr>
        <w:snapToGrid w:val="0"/>
        <w:spacing w:before="156" w:beforeLines="50" w:after="50" w:line="400" w:lineRule="exact"/>
        <w:jc w:val="center"/>
        <w:rPr>
          <w:rFonts w:ascii="宋体" w:hAnsi="宋体"/>
          <w:sz w:val="24"/>
        </w:rPr>
      </w:pPr>
      <w:r>
        <w:rPr>
          <w:rFonts w:ascii="宋体" w:hAnsi="宋体"/>
          <w:sz w:val="24"/>
        </w:rPr>
        <w:br w:type="page"/>
      </w:r>
    </w:p>
    <w:p>
      <w:pPr>
        <w:snapToGrid w:val="0"/>
        <w:spacing w:before="156" w:beforeLines="50" w:after="50" w:line="400" w:lineRule="exact"/>
        <w:jc w:val="center"/>
        <w:rPr>
          <w:rFonts w:ascii="宋体" w:hAnsi="宋体"/>
          <w:sz w:val="24"/>
        </w:rPr>
      </w:pPr>
    </w:p>
    <w:p>
      <w:pPr>
        <w:snapToGrid w:val="0"/>
        <w:spacing w:before="156" w:beforeLines="50" w:after="50" w:line="400" w:lineRule="exact"/>
        <w:jc w:val="center"/>
        <w:rPr>
          <w:rFonts w:ascii="宋体" w:hAnsi="宋体"/>
          <w:b/>
          <w:bCs/>
          <w:sz w:val="32"/>
          <w:szCs w:val="32"/>
        </w:rPr>
      </w:pPr>
      <w:r>
        <w:rPr>
          <w:rFonts w:hint="eastAsia" w:ascii="宋体" w:hAnsi="宋体"/>
          <w:b/>
          <w:bCs/>
          <w:sz w:val="32"/>
          <w:szCs w:val="32"/>
        </w:rPr>
        <w:t>报价文件目录</w:t>
      </w:r>
    </w:p>
    <w:p>
      <w:pPr>
        <w:rPr>
          <w:rFonts w:ascii="宋体" w:hAnsi="宋体" w:cs="宋体"/>
          <w:sz w:val="24"/>
          <w:szCs w:val="24"/>
        </w:rPr>
      </w:pPr>
    </w:p>
    <w:p>
      <w:pPr>
        <w:pStyle w:val="18"/>
        <w:spacing w:line="360" w:lineRule="auto"/>
      </w:pPr>
    </w:p>
    <w:p>
      <w:pPr>
        <w:spacing w:line="360" w:lineRule="auto"/>
        <w:jc w:val="distribute"/>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pacing w:val="2"/>
          <w:sz w:val="24"/>
          <w:szCs w:val="24"/>
        </w:rPr>
        <w:t>一、磋商函</w:t>
      </w:r>
      <w:r>
        <w:rPr>
          <w:rFonts w:hint="eastAsia" w:asciiTheme="minorEastAsia" w:hAnsiTheme="minorEastAsia" w:eastAsiaTheme="minorEastAsia" w:cstheme="minorEastAsia"/>
          <w:kern w:val="0"/>
          <w:sz w:val="24"/>
          <w:szCs w:val="24"/>
        </w:rPr>
        <w:t>………………………………………………………………………（页码）</w:t>
      </w:r>
    </w:p>
    <w:p>
      <w:pPr>
        <w:pStyle w:val="20"/>
        <w:spacing w:line="360" w:lineRule="auto"/>
        <w:jc w:val="distribute"/>
      </w:pPr>
      <w:r>
        <w:rPr>
          <w:rFonts w:hint="eastAsia" w:asciiTheme="minorEastAsia" w:hAnsiTheme="minorEastAsia" w:eastAsiaTheme="minorEastAsia" w:cstheme="minorEastAsia"/>
          <w:b w:val="0"/>
          <w:bCs w:val="0"/>
          <w:spacing w:val="2"/>
          <w:sz w:val="24"/>
          <w:szCs w:val="24"/>
        </w:rPr>
        <w:t>二、磋商函附表………………………………………………………………（页码）</w:t>
      </w:r>
    </w:p>
    <w:p>
      <w:pPr>
        <w:spacing w:line="360" w:lineRule="auto"/>
        <w:jc w:val="distribute"/>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三、磋商报价表………………………………………………………………（页码）</w:t>
      </w:r>
    </w:p>
    <w:p>
      <w:pPr>
        <w:spacing w:line="360" w:lineRule="auto"/>
        <w:jc w:val="distribute"/>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四、已标价的工程量清单报价有关材料……………………………………（页码）</w:t>
      </w:r>
    </w:p>
    <w:p>
      <w:pPr>
        <w:pStyle w:val="6"/>
      </w:pPr>
    </w:p>
    <w:p>
      <w:pPr>
        <w:pStyle w:val="21"/>
        <w:ind w:firstLine="482"/>
      </w:pPr>
    </w:p>
    <w:p>
      <w:pPr>
        <w:pStyle w:val="21"/>
        <w:ind w:firstLine="482"/>
      </w:pPr>
    </w:p>
    <w:p>
      <w:pPr>
        <w:pStyle w:val="21"/>
        <w:ind w:firstLine="482"/>
      </w:pPr>
    </w:p>
    <w:p>
      <w:pPr>
        <w:pStyle w:val="21"/>
        <w:ind w:firstLine="482"/>
      </w:pPr>
    </w:p>
    <w:p>
      <w:pPr>
        <w:pStyle w:val="21"/>
        <w:ind w:firstLine="482"/>
      </w:pPr>
    </w:p>
    <w:p>
      <w:pPr>
        <w:pStyle w:val="21"/>
        <w:ind w:firstLine="482"/>
      </w:pPr>
    </w:p>
    <w:p>
      <w:pPr>
        <w:pStyle w:val="21"/>
        <w:ind w:firstLine="482"/>
      </w:pPr>
    </w:p>
    <w:p>
      <w:pPr>
        <w:pStyle w:val="21"/>
        <w:ind w:firstLine="482"/>
      </w:pPr>
    </w:p>
    <w:p>
      <w:pPr>
        <w:pStyle w:val="21"/>
        <w:ind w:firstLine="482"/>
      </w:pPr>
    </w:p>
    <w:p>
      <w:pPr>
        <w:pStyle w:val="21"/>
        <w:ind w:firstLine="482"/>
      </w:pPr>
    </w:p>
    <w:p>
      <w:pPr>
        <w:pStyle w:val="21"/>
        <w:ind w:firstLine="482"/>
      </w:pPr>
    </w:p>
    <w:p>
      <w:pPr>
        <w:pStyle w:val="21"/>
        <w:ind w:firstLine="482"/>
      </w:pPr>
    </w:p>
    <w:p>
      <w:pPr>
        <w:pStyle w:val="21"/>
        <w:ind w:firstLine="482"/>
      </w:pPr>
    </w:p>
    <w:p>
      <w:pPr>
        <w:numPr>
          <w:ilvl w:val="0"/>
          <w:numId w:val="13"/>
        </w:numPr>
        <w:spacing w:line="400" w:lineRule="exact"/>
        <w:jc w:val="center"/>
        <w:rPr>
          <w:rFonts w:asciiTheme="minorEastAsia" w:hAnsiTheme="minorEastAsia" w:eastAsiaTheme="minorEastAsia" w:cstheme="minorEastAsia"/>
          <w:b/>
          <w:bCs/>
          <w:kern w:val="0"/>
          <w:sz w:val="30"/>
          <w:szCs w:val="30"/>
        </w:rPr>
      </w:pPr>
      <w:r>
        <w:rPr>
          <w:rFonts w:hint="eastAsia" w:asciiTheme="minorEastAsia" w:hAnsiTheme="minorEastAsia" w:eastAsiaTheme="minorEastAsia" w:cstheme="minorEastAsia"/>
          <w:b/>
          <w:bCs/>
          <w:kern w:val="0"/>
          <w:sz w:val="30"/>
          <w:szCs w:val="30"/>
        </w:rPr>
        <w:t>磋商函</w:t>
      </w:r>
    </w:p>
    <w:p>
      <w:pPr>
        <w:spacing w:line="380" w:lineRule="exact"/>
        <w:rPr>
          <w:rFonts w:asciiTheme="minorEastAsia" w:hAnsiTheme="minorEastAsia" w:eastAsiaTheme="minorEastAsia" w:cstheme="minorEastAsia"/>
        </w:rPr>
      </w:pPr>
    </w:p>
    <w:p>
      <w:pPr>
        <w:spacing w:line="380" w:lineRule="exact"/>
        <w:rPr>
          <w:rFonts w:asciiTheme="minorEastAsia" w:hAnsiTheme="minorEastAsia" w:eastAsiaTheme="minorEastAsia" w:cstheme="minorEastAsia"/>
        </w:rPr>
      </w:pPr>
    </w:p>
    <w:p>
      <w:pPr>
        <w:spacing w:line="380" w:lineRule="exact"/>
        <w:rPr>
          <w:rFonts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（采购单位名称）：</w:t>
      </w:r>
    </w:p>
    <w:p>
      <w:pPr>
        <w:spacing w:line="380" w:lineRule="exact"/>
        <w:ind w:firstLine="630"/>
        <w:rPr>
          <w:rFonts w:asciiTheme="minorEastAsia" w:hAnsiTheme="minorEastAsia" w:eastAsiaTheme="minorEastAsia" w:cstheme="minorEastAsia"/>
        </w:rPr>
      </w:pPr>
      <w:r>
        <w:rPr>
          <w:rFonts w:hint="eastAsia" w:asciiTheme="minorEastAsia" w:hAnsiTheme="minorEastAsia" w:eastAsiaTheme="minorEastAsia" w:cstheme="minorEastAsia"/>
        </w:rPr>
        <w:t>1、 我公司根据收到并研究了</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工程（项目编号：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）的竞争性磋商采购文件，愿意按竞争性磋商采购文件规定的内容承担该工程的施工任务，严格执行磋商供应商所承诺的责任和义务。</w:t>
      </w:r>
    </w:p>
    <w:p>
      <w:pPr>
        <w:spacing w:line="380" w:lineRule="exact"/>
        <w:ind w:firstLine="525" w:firstLineChars="250"/>
        <w:rPr>
          <w:rFonts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spacing w:val="8"/>
        </w:rPr>
        <w:t>我单位经考察现场和研究上述工程竞争性磋商采购文件的磋商须知前附表及磋商须知、合同条件、工程建设标准及其他有关文件后，我方</w:t>
      </w:r>
      <w:r>
        <w:rPr>
          <w:rFonts w:hint="eastAsia" w:asciiTheme="minorEastAsia" w:hAnsiTheme="minorEastAsia" w:eastAsiaTheme="minorEastAsia" w:cstheme="minorEastAsia"/>
          <w:bCs/>
        </w:rPr>
        <w:t>愿以：人民币</w:t>
      </w:r>
      <w:r>
        <w:rPr>
          <w:rFonts w:hint="eastAsia" w:asciiTheme="minorEastAsia" w:hAnsiTheme="minorEastAsia" w:eastAsiaTheme="minorEastAsia" w:cstheme="minorEastAsia"/>
          <w:bCs/>
          <w:u w:val="single"/>
        </w:rPr>
        <w:t xml:space="preserve">（大写）                  （小写）            </w:t>
      </w:r>
      <w:r>
        <w:rPr>
          <w:rFonts w:hint="eastAsia" w:asciiTheme="minorEastAsia" w:hAnsiTheme="minorEastAsia" w:eastAsiaTheme="minorEastAsia" w:cstheme="minorEastAsia"/>
          <w:bCs/>
        </w:rPr>
        <w:t>的磋商报价</w:t>
      </w:r>
      <w:r>
        <w:rPr>
          <w:rFonts w:hint="eastAsia" w:asciiTheme="minorEastAsia" w:hAnsiTheme="minorEastAsia" w:eastAsiaTheme="minorEastAsia" w:cstheme="minorEastAsia"/>
          <w:bCs/>
          <w:spacing w:val="8"/>
        </w:rPr>
        <w:t>，安全文明施工费为：</w:t>
      </w:r>
      <w:r>
        <w:rPr>
          <w:rFonts w:hint="eastAsia" w:asciiTheme="minorEastAsia" w:hAnsiTheme="minorEastAsia" w:eastAsiaTheme="minorEastAsia" w:cstheme="minorEastAsia"/>
          <w:bCs/>
        </w:rPr>
        <w:t>人民币</w:t>
      </w:r>
      <w:r>
        <w:rPr>
          <w:rFonts w:hint="eastAsia" w:asciiTheme="minorEastAsia" w:hAnsiTheme="minorEastAsia" w:eastAsiaTheme="minorEastAsia" w:cstheme="minorEastAsia"/>
          <w:bCs/>
          <w:u w:val="single"/>
        </w:rPr>
        <w:t>（大写）                  （小写）            ，</w:t>
      </w:r>
      <w:r>
        <w:rPr>
          <w:rFonts w:hint="eastAsia" w:asciiTheme="minorEastAsia" w:hAnsiTheme="minorEastAsia" w:eastAsiaTheme="minorEastAsia" w:cstheme="minorEastAsia"/>
          <w:bCs/>
        </w:rPr>
        <w:t>并按上述工程量清单、合</w:t>
      </w:r>
      <w:r>
        <w:rPr>
          <w:rFonts w:hint="eastAsia" w:asciiTheme="minorEastAsia" w:hAnsiTheme="minorEastAsia" w:eastAsiaTheme="minorEastAsia" w:cstheme="minorEastAsia"/>
        </w:rPr>
        <w:t>同条款、工程建设标准的条件要求承包工程的施工、竣工，并承担任何质量缺陷保修责任。</w:t>
      </w:r>
    </w:p>
    <w:p>
      <w:pPr>
        <w:pStyle w:val="26"/>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3、一旦我方成交，我方保证：在签订合同后</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天内开工，</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天（日历天）内竣工并移交整个工程，并保证工程质量达到</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等级；</w:t>
      </w:r>
    </w:p>
    <w:p>
      <w:pPr>
        <w:spacing w:line="380" w:lineRule="exact"/>
        <w:ind w:firstLine="525" w:firstLineChars="250"/>
        <w:rPr>
          <w:rFonts w:asciiTheme="minorEastAsia" w:hAnsiTheme="minorEastAsia" w:eastAsiaTheme="minorEastAsia" w:cstheme="minorEastAsia"/>
        </w:rPr>
      </w:pPr>
      <w:r>
        <w:rPr>
          <w:rFonts w:hint="eastAsia" w:asciiTheme="minorEastAsia" w:hAnsiTheme="minorEastAsia" w:eastAsiaTheme="minorEastAsia" w:cstheme="minorEastAsia"/>
        </w:rPr>
        <w:t>4、我方同意所递交的响应文件在“磋商须知前附表及磋商须知”第13条规定的竞标有效期内有效，在此期间内我方的竞标有可能成交，我方将受此约束。</w:t>
      </w:r>
    </w:p>
    <w:p>
      <w:pPr>
        <w:spacing w:line="380" w:lineRule="exact"/>
        <w:ind w:firstLine="525"/>
        <w:rPr>
          <w:rFonts w:asciiTheme="minorEastAsia" w:hAnsiTheme="minorEastAsia" w:eastAsiaTheme="minorEastAsia" w:cstheme="minorEastAsia"/>
        </w:rPr>
      </w:pPr>
      <w:r>
        <w:rPr>
          <w:rFonts w:hint="eastAsia" w:asciiTheme="minorEastAsia" w:hAnsiTheme="minorEastAsia" w:eastAsiaTheme="minorEastAsia" w:cstheme="minorEastAsia"/>
        </w:rPr>
        <w:t>5、一旦成交，我公司保证按照竞争性磋商采购文件的要求和与采购人签订的工程施工合同，成立本工程的项目部，按响应文件拟订的项目经理和专业技术人员进驻施工现场实施施工合同。</w:t>
      </w:r>
    </w:p>
    <w:p>
      <w:pPr>
        <w:spacing w:line="380" w:lineRule="exact"/>
        <w:ind w:firstLine="525"/>
        <w:rPr>
          <w:rFonts w:asciiTheme="minorEastAsia" w:hAnsiTheme="minorEastAsia" w:eastAsiaTheme="minorEastAsia" w:cstheme="minorEastAsia"/>
        </w:rPr>
      </w:pPr>
      <w:r>
        <w:rPr>
          <w:rFonts w:hint="eastAsia" w:asciiTheme="minorEastAsia" w:hAnsiTheme="minorEastAsia" w:eastAsiaTheme="minorEastAsia" w:cstheme="minorEastAsia"/>
        </w:rPr>
        <w:t>6、 我公司同意从竞标之日起至施工合同终止之日止，遵守本响应文件，在此期间，本响应文件一直对我公司具有约束力。同时，在制定和执行正式合同之前，除非另外达成协议并生效，本响应文件连同</w:t>
      </w:r>
      <w:r>
        <w:rPr>
          <w:rFonts w:hint="eastAsia" w:asciiTheme="minorEastAsia" w:hAnsiTheme="minorEastAsia" w:eastAsiaTheme="minorEastAsia" w:cstheme="minorEastAsia"/>
          <w:spacing w:val="2"/>
        </w:rPr>
        <w:t>采购代理机构</w:t>
      </w:r>
      <w:r>
        <w:rPr>
          <w:rFonts w:hint="eastAsia" w:asciiTheme="minorEastAsia" w:hAnsiTheme="minorEastAsia" w:eastAsiaTheme="minorEastAsia" w:cstheme="minorEastAsia"/>
        </w:rPr>
        <w:t>发出的成交通知书，应构成我们之间有约束力的合同。</w:t>
      </w:r>
    </w:p>
    <w:p>
      <w:pPr>
        <w:spacing w:line="380" w:lineRule="exact"/>
        <w:rPr>
          <w:rFonts w:asciiTheme="minorEastAsia" w:hAnsiTheme="minorEastAsia" w:eastAsiaTheme="minorEastAsia" w:cstheme="minorEastAsia"/>
        </w:rPr>
      </w:pPr>
    </w:p>
    <w:p>
      <w:pPr>
        <w:spacing w:line="380" w:lineRule="exact"/>
        <w:rPr>
          <w:rFonts w:asciiTheme="minorEastAsia" w:hAnsiTheme="minorEastAsia" w:eastAsiaTheme="minorEastAsia" w:cstheme="minorEastAsia"/>
          <w:u w:val="single"/>
        </w:rPr>
      </w:pPr>
      <w:r>
        <w:rPr>
          <w:rFonts w:hint="eastAsia" w:asciiTheme="minorEastAsia" w:hAnsiTheme="minorEastAsia" w:eastAsiaTheme="minorEastAsia" w:cstheme="minorEastAsia"/>
        </w:rPr>
        <w:t>磋商供应商（盖章）：</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法定代表人（签字、盖章）：</w:t>
      </w:r>
      <w:r>
        <w:rPr>
          <w:rFonts w:hint="eastAsia" w:asciiTheme="minorEastAsia" w:hAnsiTheme="minorEastAsia" w:eastAsiaTheme="minorEastAsia" w:cstheme="minorEastAsia"/>
          <w:u w:val="single"/>
        </w:rPr>
        <w:t xml:space="preserve">                </w:t>
      </w:r>
    </w:p>
    <w:p>
      <w:pPr>
        <w:spacing w:line="380" w:lineRule="exact"/>
        <w:rPr>
          <w:rFonts w:asciiTheme="minorEastAsia" w:hAnsiTheme="minorEastAsia" w:eastAsiaTheme="minorEastAsia" w:cstheme="minorEastAsia"/>
        </w:rPr>
      </w:pPr>
      <w:r>
        <w:rPr>
          <w:rFonts w:hint="eastAsia" w:asciiTheme="minorEastAsia" w:hAnsiTheme="minorEastAsia" w:eastAsiaTheme="minorEastAsia" w:cstheme="minorEastAsia"/>
        </w:rPr>
        <w:t>地址：                                 邮政编码：</w:t>
      </w:r>
    </w:p>
    <w:p>
      <w:pPr>
        <w:spacing w:line="380" w:lineRule="exact"/>
        <w:rPr>
          <w:rFonts w:asciiTheme="minorEastAsia" w:hAnsiTheme="minorEastAsia" w:eastAsiaTheme="minorEastAsia" w:cstheme="minorEastAsia"/>
        </w:rPr>
      </w:pPr>
      <w:r>
        <w:rPr>
          <w:rFonts w:hint="eastAsia" w:asciiTheme="minorEastAsia" w:hAnsiTheme="minorEastAsia" w:eastAsiaTheme="minorEastAsia" w:cstheme="minorEastAsia"/>
        </w:rPr>
        <w:t>电话：</w:t>
      </w:r>
    </w:p>
    <w:p>
      <w:pPr>
        <w:spacing w:line="380" w:lineRule="exact"/>
        <w:rPr>
          <w:rFonts w:asciiTheme="minorEastAsia" w:hAnsiTheme="minorEastAsia" w:eastAsiaTheme="minorEastAsia" w:cstheme="minorEastAsia"/>
        </w:rPr>
      </w:pPr>
      <w:r>
        <w:rPr>
          <w:rFonts w:hint="eastAsia" w:asciiTheme="minorEastAsia" w:hAnsiTheme="minorEastAsia" w:eastAsiaTheme="minorEastAsia" w:cstheme="minorEastAsia"/>
        </w:rPr>
        <w:t xml:space="preserve">开户银行名称：                     </w:t>
      </w:r>
    </w:p>
    <w:p>
      <w:pPr>
        <w:spacing w:line="380" w:lineRule="exact"/>
        <w:rPr>
          <w:rFonts w:asciiTheme="minorEastAsia" w:hAnsiTheme="minorEastAsia" w:eastAsiaTheme="minorEastAsia" w:cstheme="minorEastAsia"/>
        </w:rPr>
      </w:pPr>
      <w:r>
        <w:rPr>
          <w:rFonts w:hint="eastAsia" w:asciiTheme="minorEastAsia" w:hAnsiTheme="minorEastAsia" w:eastAsiaTheme="minorEastAsia" w:cstheme="minorEastAsia"/>
        </w:rPr>
        <w:t>银行帐号：</w:t>
      </w:r>
    </w:p>
    <w:p>
      <w:pPr>
        <w:spacing w:line="380" w:lineRule="exact"/>
        <w:rPr>
          <w:rFonts w:asciiTheme="minorEastAsia" w:hAnsiTheme="minorEastAsia" w:eastAsiaTheme="minorEastAsia" w:cstheme="minorEastAsia"/>
        </w:rPr>
      </w:pPr>
      <w:r>
        <w:rPr>
          <w:rFonts w:hint="eastAsia" w:asciiTheme="minorEastAsia" w:hAnsiTheme="minorEastAsia" w:eastAsiaTheme="minorEastAsia" w:cstheme="minorEastAsia"/>
        </w:rPr>
        <w:t xml:space="preserve">开户行地址：     </w:t>
      </w:r>
    </w:p>
    <w:p>
      <w:pPr>
        <w:spacing w:line="380" w:lineRule="exact"/>
        <w:rPr>
          <w:rFonts w:asciiTheme="minorEastAsia" w:hAnsiTheme="minorEastAsia" w:eastAsiaTheme="minorEastAsia" w:cstheme="minorEastAsia"/>
        </w:rPr>
      </w:pPr>
      <w:r>
        <w:rPr>
          <w:rFonts w:hint="eastAsia" w:asciiTheme="minorEastAsia" w:hAnsiTheme="minorEastAsia" w:eastAsiaTheme="minorEastAsia" w:cstheme="minorEastAsia"/>
        </w:rPr>
        <w:t xml:space="preserve">日期：      年    月    日 </w:t>
      </w:r>
    </w:p>
    <w:p>
      <w:pPr>
        <w:pStyle w:val="6"/>
      </w:pPr>
      <w:r>
        <w:rPr>
          <w:rFonts w:hint="eastAsia" w:asciiTheme="minorEastAsia" w:hAnsiTheme="minorEastAsia" w:eastAsiaTheme="minorEastAsia" w:cstheme="minorEastAsia"/>
        </w:rPr>
        <w:br w:type="page"/>
      </w:r>
    </w:p>
    <w:p>
      <w:pPr>
        <w:numPr>
          <w:ilvl w:val="0"/>
          <w:numId w:val="13"/>
        </w:numPr>
        <w:spacing w:line="400" w:lineRule="exact"/>
        <w:jc w:val="center"/>
        <w:rPr>
          <w:rFonts w:asciiTheme="minorEastAsia" w:hAnsiTheme="minorEastAsia" w:eastAsiaTheme="minorEastAsia" w:cstheme="minorEastAsia"/>
          <w:b/>
          <w:bCs/>
          <w:kern w:val="0"/>
          <w:sz w:val="30"/>
          <w:szCs w:val="30"/>
        </w:rPr>
      </w:pPr>
      <w:r>
        <w:rPr>
          <w:rFonts w:hint="eastAsia" w:asciiTheme="minorEastAsia" w:hAnsiTheme="minorEastAsia" w:eastAsiaTheme="minorEastAsia" w:cstheme="minorEastAsia"/>
          <w:b/>
          <w:bCs/>
          <w:kern w:val="0"/>
          <w:sz w:val="30"/>
          <w:szCs w:val="30"/>
        </w:rPr>
        <w:t>磋商函附表</w:t>
      </w:r>
    </w:p>
    <w:p>
      <w:pPr>
        <w:pStyle w:val="20"/>
      </w:pPr>
    </w:p>
    <w:tbl>
      <w:tblPr>
        <w:tblStyle w:val="45"/>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2148"/>
        <w:gridCol w:w="1383"/>
        <w:gridCol w:w="3153"/>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序 号</w:t>
            </w:r>
          </w:p>
        </w:tc>
        <w:tc>
          <w:tcPr>
            <w:tcW w:w="21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条款内容</w:t>
            </w:r>
          </w:p>
        </w:tc>
        <w:tc>
          <w:tcPr>
            <w:tcW w:w="138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合同条款号</w:t>
            </w:r>
          </w:p>
        </w:tc>
        <w:tc>
          <w:tcPr>
            <w:tcW w:w="315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约定内容</w:t>
            </w:r>
          </w:p>
        </w:tc>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cs="宋体"/>
              </w:rPr>
              <w:t>供应商响应情况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14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rPr>
              <w:t>项目经理</w:t>
            </w:r>
          </w:p>
        </w:tc>
        <w:tc>
          <w:tcPr>
            <w:tcW w:w="1383"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专用条款</w:t>
            </w:r>
          </w:p>
        </w:tc>
        <w:tc>
          <w:tcPr>
            <w:tcW w:w="315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rPr>
              <w:t>姓名：</w:t>
            </w:r>
            <w:r>
              <w:rPr>
                <w:rFonts w:hint="eastAsia" w:asciiTheme="minorEastAsia" w:hAnsiTheme="minorEastAsia" w:eastAsiaTheme="minorEastAsia" w:cstheme="minorEastAsia"/>
                <w:u w:val="single"/>
              </w:rPr>
              <w:t xml:space="preserve">          </w:t>
            </w:r>
          </w:p>
        </w:tc>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14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rPr>
              <w:t>竞标有效期</w:t>
            </w:r>
          </w:p>
        </w:tc>
        <w:tc>
          <w:tcPr>
            <w:tcW w:w="1383"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rPr>
                <w:rFonts w:asciiTheme="minorEastAsia" w:hAnsiTheme="minorEastAsia" w:eastAsiaTheme="minorEastAsia" w:cstheme="minorEastAsia"/>
              </w:rPr>
            </w:pPr>
          </w:p>
        </w:tc>
        <w:tc>
          <w:tcPr>
            <w:tcW w:w="31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u w:val="single"/>
              </w:rPr>
            </w:pPr>
            <w:r>
              <w:rPr>
                <w:rFonts w:hint="eastAsia" w:ascii="宋体" w:hAnsi="宋体" w:cs="宋体"/>
                <w:u w:val="single"/>
              </w:rPr>
              <w:t xml:space="preserve">60 </w:t>
            </w:r>
            <w:r>
              <w:rPr>
                <w:rFonts w:hint="eastAsia" w:ascii="宋体" w:hAnsi="宋体" w:cs="宋体"/>
              </w:rPr>
              <w:t>日历天</w:t>
            </w:r>
          </w:p>
        </w:tc>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14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rPr>
              <w:t>工期</w:t>
            </w:r>
          </w:p>
        </w:tc>
        <w:tc>
          <w:tcPr>
            <w:tcW w:w="1383"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rPr>
              <w:t>专用条款</w:t>
            </w:r>
          </w:p>
        </w:tc>
        <w:tc>
          <w:tcPr>
            <w:tcW w:w="31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u w:val="single"/>
              </w:rPr>
              <w:t xml:space="preserve">45 </w:t>
            </w:r>
            <w:r>
              <w:rPr>
                <w:rFonts w:hint="eastAsia" w:ascii="宋体" w:hAnsi="宋体" w:cs="宋体"/>
              </w:rPr>
              <w:t>日历天</w:t>
            </w:r>
          </w:p>
        </w:tc>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14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rPr>
              <w:t>缺陷责任期</w:t>
            </w:r>
          </w:p>
        </w:tc>
        <w:tc>
          <w:tcPr>
            <w:tcW w:w="1383"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rPr>
              <w:t>专用条款</w:t>
            </w:r>
          </w:p>
        </w:tc>
        <w:tc>
          <w:tcPr>
            <w:tcW w:w="3153"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stheme="minorEastAsia"/>
              </w:rPr>
            </w:pPr>
            <w:r>
              <w:rPr>
                <w:rFonts w:hint="eastAsia" w:asciiTheme="minorEastAsia" w:hAnsiTheme="minorEastAsia" w:eastAsiaTheme="minorEastAsia" w:cstheme="minorEastAsia"/>
              </w:rPr>
              <w:t>本工程缺陷责任期为24个月，</w:t>
            </w:r>
            <w:r>
              <w:rPr>
                <w:rFonts w:hint="eastAsia" w:hAnsi="宋体" w:cs="宋体"/>
              </w:rPr>
              <w:t>缺陷责任期自工程竣工验收合格之日起计算。单位工程先于全部工程进行验收，单位工程缺陷责任期自单位工程验收合格之日起算。</w:t>
            </w:r>
          </w:p>
        </w:tc>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5</w:t>
            </w:r>
          </w:p>
        </w:tc>
        <w:tc>
          <w:tcPr>
            <w:tcW w:w="214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rPr>
              <w:t>发包人支付担保</w:t>
            </w:r>
          </w:p>
        </w:tc>
        <w:tc>
          <w:tcPr>
            <w:tcW w:w="1383"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rPr>
              <w:t>专用条款</w:t>
            </w:r>
          </w:p>
        </w:tc>
        <w:tc>
          <w:tcPr>
            <w:tcW w:w="315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rPr>
              <w:t>无</w:t>
            </w:r>
          </w:p>
        </w:tc>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6</w:t>
            </w:r>
          </w:p>
        </w:tc>
        <w:tc>
          <w:tcPr>
            <w:tcW w:w="214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rPr>
              <w:t>承包人履约担保金额</w:t>
            </w:r>
          </w:p>
        </w:tc>
        <w:tc>
          <w:tcPr>
            <w:tcW w:w="1383"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rPr>
              <w:t>专用条款</w:t>
            </w:r>
          </w:p>
        </w:tc>
        <w:tc>
          <w:tcPr>
            <w:tcW w:w="315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rPr>
              <w:t>无</w:t>
            </w:r>
          </w:p>
        </w:tc>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7</w:t>
            </w:r>
          </w:p>
        </w:tc>
        <w:tc>
          <w:tcPr>
            <w:tcW w:w="214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rPr>
              <w:t>分包</w:t>
            </w:r>
          </w:p>
        </w:tc>
        <w:tc>
          <w:tcPr>
            <w:tcW w:w="1383"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rPr>
              <w:t>专用条款</w:t>
            </w:r>
          </w:p>
        </w:tc>
        <w:tc>
          <w:tcPr>
            <w:tcW w:w="315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见分包项目情况表</w:t>
            </w:r>
          </w:p>
        </w:tc>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8</w:t>
            </w:r>
          </w:p>
        </w:tc>
        <w:tc>
          <w:tcPr>
            <w:tcW w:w="214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rPr>
              <w:t>逾期竣工违约金</w:t>
            </w:r>
          </w:p>
        </w:tc>
        <w:tc>
          <w:tcPr>
            <w:tcW w:w="1383"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rPr>
              <w:t>专用条款</w:t>
            </w:r>
          </w:p>
        </w:tc>
        <w:tc>
          <w:tcPr>
            <w:tcW w:w="315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合同价款的</w:t>
            </w:r>
            <w:r>
              <w:rPr>
                <w:rFonts w:hint="eastAsia" w:asciiTheme="minorEastAsia" w:hAnsiTheme="minorEastAsia" w:eastAsiaTheme="minorEastAsia" w:cstheme="minorEastAsia"/>
                <w:u w:val="single"/>
              </w:rPr>
              <w:t xml:space="preserve"> 万分之四 </w:t>
            </w:r>
            <w:r>
              <w:rPr>
                <w:rFonts w:hint="eastAsia" w:asciiTheme="minorEastAsia" w:hAnsiTheme="minorEastAsia" w:eastAsiaTheme="minorEastAsia" w:cstheme="minorEastAsia"/>
              </w:rPr>
              <w:t>/天</w:t>
            </w:r>
          </w:p>
        </w:tc>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9</w:t>
            </w:r>
          </w:p>
        </w:tc>
        <w:tc>
          <w:tcPr>
            <w:tcW w:w="214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rPr>
              <w:t>逾期竣工违约金最高限额</w:t>
            </w:r>
          </w:p>
        </w:tc>
        <w:tc>
          <w:tcPr>
            <w:tcW w:w="1383"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rPr>
              <w:t>专用条款</w:t>
            </w:r>
          </w:p>
        </w:tc>
        <w:tc>
          <w:tcPr>
            <w:tcW w:w="3153"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rPr>
            </w:pPr>
            <w:r>
              <w:rPr>
                <w:rFonts w:hint="eastAsia"/>
              </w:rPr>
              <w:t>逾期竣工的单项工程结算造价的</w:t>
            </w:r>
            <w:r>
              <w:rPr>
                <w:rFonts w:hint="eastAsia"/>
                <w:u w:val="single"/>
              </w:rPr>
              <w:t>3%</w:t>
            </w:r>
          </w:p>
        </w:tc>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214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rPr>
              <w:t>质量标准</w:t>
            </w:r>
          </w:p>
        </w:tc>
        <w:tc>
          <w:tcPr>
            <w:tcW w:w="1383"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rPr>
              <w:t>专用条款</w:t>
            </w:r>
          </w:p>
        </w:tc>
        <w:tc>
          <w:tcPr>
            <w:tcW w:w="3153"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达到国家工程施工验收规范合格标准</w:t>
            </w:r>
          </w:p>
        </w:tc>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214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rPr>
              <w:t>预付款额度</w:t>
            </w:r>
          </w:p>
        </w:tc>
        <w:tc>
          <w:tcPr>
            <w:tcW w:w="1383"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rPr>
              <w:t>专用条款</w:t>
            </w:r>
          </w:p>
        </w:tc>
        <w:tc>
          <w:tcPr>
            <w:tcW w:w="315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无</w:t>
            </w:r>
          </w:p>
        </w:tc>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12</w:t>
            </w:r>
          </w:p>
        </w:tc>
        <w:tc>
          <w:tcPr>
            <w:tcW w:w="214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rPr>
              <w:t>预付款保函金额</w:t>
            </w:r>
          </w:p>
        </w:tc>
        <w:tc>
          <w:tcPr>
            <w:tcW w:w="1383"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rPr>
              <w:t>专用条款</w:t>
            </w:r>
          </w:p>
        </w:tc>
        <w:tc>
          <w:tcPr>
            <w:tcW w:w="315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rPr>
              <w:t>无</w:t>
            </w:r>
          </w:p>
        </w:tc>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13</w:t>
            </w:r>
          </w:p>
        </w:tc>
        <w:tc>
          <w:tcPr>
            <w:tcW w:w="214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rPr>
              <w:t>质量保证金额度</w:t>
            </w:r>
          </w:p>
        </w:tc>
        <w:tc>
          <w:tcPr>
            <w:tcW w:w="1383"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rPr>
              <w:t>专用条款</w:t>
            </w:r>
          </w:p>
        </w:tc>
        <w:tc>
          <w:tcPr>
            <w:tcW w:w="315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结算价的</w:t>
            </w:r>
            <w:r>
              <w:rPr>
                <w:rFonts w:hint="eastAsia" w:asciiTheme="minorEastAsia" w:hAnsiTheme="minorEastAsia" w:eastAsiaTheme="minorEastAsia" w:cstheme="minorEastAsia"/>
                <w:u w:val="single"/>
              </w:rPr>
              <w:t xml:space="preserve">  3  </w:t>
            </w:r>
            <w:r>
              <w:rPr>
                <w:rFonts w:hint="eastAsia" w:asciiTheme="minorEastAsia" w:hAnsiTheme="minorEastAsia" w:eastAsiaTheme="minorEastAsia" w:cstheme="minorEastAsia"/>
              </w:rPr>
              <w:t>%</w:t>
            </w:r>
          </w:p>
        </w:tc>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626"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备注：供应商在响应招标文件中规定的实质性要求和条件的基础上，可做出其他有利于采购人的承诺。此类承诺可在本表中予以补充填写。</w:t>
            </w:r>
          </w:p>
        </w:tc>
      </w:tr>
    </w:tbl>
    <w:p>
      <w:pPr>
        <w:pStyle w:val="26"/>
        <w:spacing w:line="500" w:lineRule="exact"/>
        <w:ind w:firstLine="420"/>
        <w:rPr>
          <w:rFonts w:asciiTheme="minorEastAsia" w:hAnsiTheme="minorEastAsia" w:eastAsiaTheme="minorEastAsia" w:cstheme="minorEastAsia"/>
          <w:sz w:val="21"/>
          <w:szCs w:val="21"/>
        </w:rPr>
      </w:pPr>
    </w:p>
    <w:p>
      <w:pPr>
        <w:pStyle w:val="26"/>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磋商供应商：(盖章)</w:t>
      </w:r>
    </w:p>
    <w:p>
      <w:pPr>
        <w:pStyle w:val="26"/>
        <w:spacing w:line="50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法定代表人：(签字或盖章)</w:t>
      </w:r>
    </w:p>
    <w:p>
      <w:pPr>
        <w:pStyle w:val="26"/>
        <w:spacing w:line="44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日期：         年        月        日</w:t>
      </w:r>
    </w:p>
    <w:p>
      <w:r>
        <w:rPr>
          <w:rFonts w:hint="eastAsia"/>
        </w:rPr>
        <w:br w:type="page"/>
      </w:r>
    </w:p>
    <w:p>
      <w:pPr>
        <w:pStyle w:val="2"/>
      </w:pPr>
    </w:p>
    <w:p>
      <w:pPr>
        <w:numPr>
          <w:ilvl w:val="0"/>
          <w:numId w:val="13"/>
        </w:numPr>
        <w:spacing w:line="400" w:lineRule="exact"/>
        <w:jc w:val="center"/>
        <w:rPr>
          <w:rFonts w:asciiTheme="minorEastAsia" w:hAnsiTheme="minorEastAsia" w:eastAsiaTheme="minorEastAsia" w:cstheme="minorEastAsia"/>
          <w:b/>
          <w:bCs/>
          <w:kern w:val="0"/>
          <w:sz w:val="30"/>
          <w:szCs w:val="30"/>
        </w:rPr>
      </w:pPr>
      <w:r>
        <w:rPr>
          <w:rFonts w:hint="eastAsia" w:asciiTheme="minorEastAsia" w:hAnsiTheme="minorEastAsia" w:eastAsiaTheme="minorEastAsia" w:cstheme="minorEastAsia"/>
          <w:b/>
          <w:bCs/>
          <w:kern w:val="0"/>
          <w:sz w:val="30"/>
          <w:szCs w:val="30"/>
        </w:rPr>
        <w:t>磋商报价表</w:t>
      </w:r>
    </w:p>
    <w:p>
      <w:pPr>
        <w:ind w:left="-178" w:leftChars="-85" w:right="-512" w:rightChars="-244" w:firstLine="630" w:firstLineChars="300"/>
        <w:jc w:val="left"/>
        <w:rPr>
          <w:rFonts w:asciiTheme="minorEastAsia" w:hAnsiTheme="minorEastAsia" w:eastAsiaTheme="minorEastAsia" w:cstheme="minorEastAsia"/>
        </w:rPr>
      </w:pPr>
    </w:p>
    <w:p>
      <w:pPr>
        <w:ind w:left="-178" w:leftChars="-85" w:right="-512" w:rightChars="-244" w:firstLine="630" w:firstLineChars="30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项目名称：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币种：人民币</w:t>
      </w:r>
    </w:p>
    <w:tbl>
      <w:tblPr>
        <w:tblStyle w:val="45"/>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3116"/>
        <w:gridCol w:w="1987"/>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100" w:type="dxa"/>
            <w:gridSpan w:val="2"/>
            <w:vAlign w:val="center"/>
          </w:tcPr>
          <w:p>
            <w:pPr>
              <w:widowControl/>
              <w:jc w:val="center"/>
              <w:rPr>
                <w:rFonts w:ascii="宋体" w:hAnsi="宋体" w:cs="宋体"/>
              </w:rPr>
            </w:pPr>
            <w:r>
              <w:rPr>
                <w:rFonts w:hint="eastAsia" w:ascii="宋体" w:hAnsi="宋体" w:cs="宋体"/>
              </w:rPr>
              <w:t>投标总价</w:t>
            </w:r>
          </w:p>
        </w:tc>
        <w:tc>
          <w:tcPr>
            <w:tcW w:w="1987" w:type="dxa"/>
            <w:vAlign w:val="center"/>
          </w:tcPr>
          <w:p>
            <w:pPr>
              <w:widowControl/>
              <w:jc w:val="right"/>
              <w:rPr>
                <w:rFonts w:ascii="宋体" w:hAnsi="宋体" w:cs="宋体"/>
              </w:rPr>
            </w:pPr>
            <w:r>
              <w:rPr>
                <w:rFonts w:hint="eastAsia" w:ascii="宋体" w:hAnsi="宋体" w:cs="宋体"/>
              </w:rPr>
              <w:t>万元</w:t>
            </w:r>
          </w:p>
        </w:tc>
        <w:tc>
          <w:tcPr>
            <w:tcW w:w="1702" w:type="dxa"/>
            <w:vAlign w:val="center"/>
          </w:tcPr>
          <w:p>
            <w:pPr>
              <w:widowControl/>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84" w:type="dxa"/>
            <w:vMerge w:val="restart"/>
            <w:vAlign w:val="center"/>
          </w:tcPr>
          <w:p>
            <w:pPr>
              <w:jc w:val="center"/>
              <w:rPr>
                <w:rFonts w:ascii="宋体" w:hAnsi="宋体" w:cs="宋体"/>
              </w:rPr>
            </w:pPr>
            <w:r>
              <w:rPr>
                <w:rFonts w:hint="eastAsia" w:ascii="宋体" w:hAnsi="宋体" w:cs="宋体"/>
              </w:rPr>
              <w:t>其中</w:t>
            </w:r>
          </w:p>
        </w:tc>
        <w:tc>
          <w:tcPr>
            <w:tcW w:w="3116" w:type="dxa"/>
            <w:vAlign w:val="center"/>
          </w:tcPr>
          <w:p>
            <w:pPr>
              <w:jc w:val="center"/>
              <w:rPr>
                <w:rFonts w:ascii="宋体" w:hAnsi="宋体" w:cs="宋体"/>
              </w:rPr>
            </w:pPr>
            <w:r>
              <w:rPr>
                <w:rFonts w:hint="eastAsia" w:ascii="宋体" w:hAnsi="宋体" w:cs="宋体"/>
              </w:rPr>
              <w:t>安全文明施工费</w:t>
            </w:r>
          </w:p>
        </w:tc>
        <w:tc>
          <w:tcPr>
            <w:tcW w:w="1987" w:type="dxa"/>
            <w:vAlign w:val="center"/>
          </w:tcPr>
          <w:p>
            <w:pPr>
              <w:jc w:val="right"/>
              <w:rPr>
                <w:rFonts w:ascii="宋体" w:hAnsi="宋体" w:cs="宋体"/>
              </w:rPr>
            </w:pPr>
            <w:r>
              <w:rPr>
                <w:rFonts w:hint="eastAsia" w:ascii="宋体" w:hAnsi="宋体" w:cs="宋体"/>
              </w:rPr>
              <w:t>万元</w:t>
            </w:r>
          </w:p>
        </w:tc>
        <w:tc>
          <w:tcPr>
            <w:tcW w:w="170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984" w:type="dxa"/>
            <w:vMerge w:val="continue"/>
            <w:vAlign w:val="center"/>
          </w:tcPr>
          <w:p>
            <w:pPr>
              <w:widowControl/>
              <w:jc w:val="center"/>
              <w:rPr>
                <w:rFonts w:ascii="宋体" w:hAnsi="宋体" w:cs="宋体"/>
              </w:rPr>
            </w:pPr>
          </w:p>
        </w:tc>
        <w:tc>
          <w:tcPr>
            <w:tcW w:w="3116" w:type="dxa"/>
            <w:vAlign w:val="center"/>
          </w:tcPr>
          <w:p>
            <w:pPr>
              <w:jc w:val="center"/>
              <w:rPr>
                <w:rFonts w:ascii="宋体" w:hAnsi="宋体" w:cs="宋体"/>
              </w:rPr>
            </w:pPr>
            <w:r>
              <w:rPr>
                <w:rFonts w:hint="eastAsia" w:ascii="宋体" w:hAnsi="宋体" w:cs="宋体"/>
              </w:rPr>
              <w:t>发包人提供材料（设备）暂估价（如有）</w:t>
            </w:r>
          </w:p>
        </w:tc>
        <w:tc>
          <w:tcPr>
            <w:tcW w:w="1987" w:type="dxa"/>
            <w:vAlign w:val="center"/>
          </w:tcPr>
          <w:p>
            <w:pPr>
              <w:widowControl/>
              <w:jc w:val="right"/>
              <w:rPr>
                <w:rFonts w:ascii="宋体" w:hAnsi="宋体" w:cs="宋体"/>
              </w:rPr>
            </w:pPr>
            <w:r>
              <w:rPr>
                <w:rFonts w:hint="eastAsia" w:ascii="宋体" w:hAnsi="宋体" w:cs="宋体"/>
              </w:rPr>
              <w:t>万元</w:t>
            </w:r>
          </w:p>
        </w:tc>
        <w:tc>
          <w:tcPr>
            <w:tcW w:w="1702" w:type="dxa"/>
          </w:tcPr>
          <w:p>
            <w:pPr>
              <w:widowControl/>
              <w:ind w:right="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984" w:type="dxa"/>
            <w:vMerge w:val="continue"/>
            <w:vAlign w:val="center"/>
          </w:tcPr>
          <w:p>
            <w:pPr>
              <w:widowControl/>
              <w:jc w:val="center"/>
              <w:rPr>
                <w:rFonts w:ascii="宋体" w:hAnsi="宋体" w:cs="宋体"/>
              </w:rPr>
            </w:pPr>
          </w:p>
        </w:tc>
        <w:tc>
          <w:tcPr>
            <w:tcW w:w="3116" w:type="dxa"/>
            <w:vAlign w:val="center"/>
          </w:tcPr>
          <w:p>
            <w:pPr>
              <w:widowControl/>
              <w:rPr>
                <w:rFonts w:ascii="宋体" w:hAnsi="宋体" w:cs="宋体"/>
              </w:rPr>
            </w:pPr>
            <w:r>
              <w:rPr>
                <w:rFonts w:hint="eastAsia" w:ascii="宋体" w:hAnsi="宋体" w:cs="宋体"/>
              </w:rPr>
              <w:t>专业工程暂估价（如有）</w:t>
            </w:r>
          </w:p>
        </w:tc>
        <w:tc>
          <w:tcPr>
            <w:tcW w:w="1987" w:type="dxa"/>
            <w:vAlign w:val="center"/>
          </w:tcPr>
          <w:p>
            <w:pPr>
              <w:widowControl/>
              <w:jc w:val="right"/>
              <w:rPr>
                <w:rFonts w:ascii="宋体" w:hAnsi="宋体" w:cs="宋体"/>
              </w:rPr>
            </w:pPr>
            <w:r>
              <w:rPr>
                <w:rFonts w:hint="eastAsia" w:ascii="宋体" w:hAnsi="宋体" w:cs="宋体"/>
              </w:rPr>
              <w:t>万元</w:t>
            </w:r>
          </w:p>
        </w:tc>
        <w:tc>
          <w:tcPr>
            <w:tcW w:w="1702" w:type="dxa"/>
          </w:tcPr>
          <w:p>
            <w:pPr>
              <w:widowControl/>
              <w:ind w:right="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984" w:type="dxa"/>
            <w:vMerge w:val="continue"/>
            <w:vAlign w:val="center"/>
          </w:tcPr>
          <w:p>
            <w:pPr>
              <w:widowControl/>
              <w:jc w:val="center"/>
              <w:rPr>
                <w:rFonts w:ascii="宋体" w:hAnsi="宋体" w:cs="宋体"/>
              </w:rPr>
            </w:pPr>
          </w:p>
        </w:tc>
        <w:tc>
          <w:tcPr>
            <w:tcW w:w="3116" w:type="dxa"/>
            <w:vAlign w:val="center"/>
          </w:tcPr>
          <w:p>
            <w:pPr>
              <w:widowControl/>
              <w:ind w:firstLine="945" w:firstLineChars="450"/>
              <w:rPr>
                <w:rFonts w:ascii="宋体" w:hAnsi="宋体" w:cs="宋体"/>
              </w:rPr>
            </w:pPr>
            <w:r>
              <w:rPr>
                <w:rFonts w:hint="eastAsia" w:ascii="宋体" w:hAnsi="宋体" w:cs="宋体"/>
              </w:rPr>
              <w:t>暂列金额（如有）</w:t>
            </w:r>
          </w:p>
        </w:tc>
        <w:tc>
          <w:tcPr>
            <w:tcW w:w="1987" w:type="dxa"/>
            <w:vAlign w:val="center"/>
          </w:tcPr>
          <w:p>
            <w:pPr>
              <w:widowControl/>
              <w:jc w:val="right"/>
              <w:rPr>
                <w:rFonts w:ascii="宋体" w:hAnsi="宋体" w:cs="宋体"/>
              </w:rPr>
            </w:pPr>
            <w:r>
              <w:rPr>
                <w:rFonts w:hint="eastAsia" w:ascii="宋体" w:hAnsi="宋体" w:cs="宋体"/>
              </w:rPr>
              <w:t>万元</w:t>
            </w:r>
          </w:p>
        </w:tc>
        <w:tc>
          <w:tcPr>
            <w:tcW w:w="1702" w:type="dxa"/>
          </w:tcPr>
          <w:p>
            <w:pPr>
              <w:widowControl/>
              <w:ind w:right="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984" w:type="dxa"/>
            <w:vMerge w:val="restart"/>
            <w:vAlign w:val="center"/>
          </w:tcPr>
          <w:p>
            <w:pPr>
              <w:widowControl/>
              <w:jc w:val="center"/>
              <w:rPr>
                <w:rFonts w:ascii="宋体" w:hAnsi="宋体" w:cs="宋体"/>
              </w:rPr>
            </w:pPr>
            <w:r>
              <w:rPr>
                <w:rFonts w:hint="eastAsia" w:ascii="宋体" w:hAnsi="宋体" w:cs="宋体"/>
              </w:rPr>
              <w:t>主要材料</w:t>
            </w:r>
          </w:p>
        </w:tc>
        <w:tc>
          <w:tcPr>
            <w:tcW w:w="3116" w:type="dxa"/>
            <w:vAlign w:val="center"/>
          </w:tcPr>
          <w:p>
            <w:pPr>
              <w:widowControl/>
              <w:jc w:val="center"/>
              <w:rPr>
                <w:rFonts w:ascii="宋体" w:hAnsi="宋体" w:cs="宋体"/>
              </w:rPr>
            </w:pPr>
            <w:r>
              <w:rPr>
                <w:rFonts w:hint="eastAsia" w:ascii="宋体" w:hAnsi="宋体" w:cs="宋体"/>
              </w:rPr>
              <w:t>钢筋</w:t>
            </w:r>
          </w:p>
        </w:tc>
        <w:tc>
          <w:tcPr>
            <w:tcW w:w="1987" w:type="dxa"/>
            <w:vAlign w:val="center"/>
          </w:tcPr>
          <w:p>
            <w:pPr>
              <w:widowControl/>
              <w:jc w:val="right"/>
              <w:rPr>
                <w:rFonts w:ascii="宋体" w:hAnsi="宋体" w:cs="宋体"/>
              </w:rPr>
            </w:pPr>
            <w:r>
              <w:rPr>
                <w:rFonts w:hint="eastAsia" w:ascii="宋体" w:hAnsi="宋体" w:cs="宋体"/>
              </w:rPr>
              <w:t>吨</w:t>
            </w:r>
          </w:p>
        </w:tc>
        <w:tc>
          <w:tcPr>
            <w:tcW w:w="1702" w:type="dxa"/>
          </w:tcPr>
          <w:p>
            <w:pPr>
              <w:widowControl/>
              <w:jc w:val="righ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84" w:type="dxa"/>
            <w:vMerge w:val="continue"/>
            <w:vAlign w:val="center"/>
          </w:tcPr>
          <w:p>
            <w:pPr>
              <w:widowControl/>
              <w:jc w:val="center"/>
              <w:rPr>
                <w:rFonts w:ascii="宋体" w:hAnsi="宋体" w:cs="宋体"/>
              </w:rPr>
            </w:pPr>
          </w:p>
        </w:tc>
        <w:tc>
          <w:tcPr>
            <w:tcW w:w="3116" w:type="dxa"/>
            <w:vAlign w:val="center"/>
          </w:tcPr>
          <w:p>
            <w:pPr>
              <w:widowControl/>
              <w:jc w:val="center"/>
              <w:rPr>
                <w:rFonts w:ascii="宋体" w:hAnsi="宋体" w:cs="宋体"/>
              </w:rPr>
            </w:pPr>
            <w:r>
              <w:rPr>
                <w:rFonts w:hint="eastAsia" w:ascii="宋体" w:hAnsi="宋体" w:cs="宋体"/>
              </w:rPr>
              <w:t>水泥（不含商品混凝土用量）</w:t>
            </w:r>
          </w:p>
        </w:tc>
        <w:tc>
          <w:tcPr>
            <w:tcW w:w="1987" w:type="dxa"/>
            <w:vAlign w:val="center"/>
          </w:tcPr>
          <w:p>
            <w:pPr>
              <w:widowControl/>
              <w:tabs>
                <w:tab w:val="left" w:pos="2398"/>
              </w:tabs>
              <w:ind w:right="18"/>
              <w:jc w:val="right"/>
              <w:rPr>
                <w:rFonts w:ascii="宋体" w:hAnsi="宋体" w:cs="宋体"/>
              </w:rPr>
            </w:pPr>
            <w:r>
              <w:rPr>
                <w:rFonts w:hint="eastAsia" w:ascii="宋体" w:hAnsi="宋体" w:cs="宋体"/>
              </w:rPr>
              <w:t>吨</w:t>
            </w:r>
          </w:p>
        </w:tc>
        <w:tc>
          <w:tcPr>
            <w:tcW w:w="1702" w:type="dxa"/>
          </w:tcPr>
          <w:p>
            <w:pPr>
              <w:widowControl/>
              <w:jc w:val="righ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984" w:type="dxa"/>
            <w:vMerge w:val="continue"/>
            <w:vAlign w:val="center"/>
          </w:tcPr>
          <w:p>
            <w:pPr>
              <w:widowControl/>
              <w:jc w:val="center"/>
              <w:rPr>
                <w:rFonts w:ascii="宋体" w:hAnsi="宋体" w:cs="宋体"/>
              </w:rPr>
            </w:pPr>
          </w:p>
        </w:tc>
        <w:tc>
          <w:tcPr>
            <w:tcW w:w="3116" w:type="dxa"/>
            <w:vAlign w:val="center"/>
          </w:tcPr>
          <w:p>
            <w:pPr>
              <w:widowControl/>
              <w:jc w:val="center"/>
              <w:rPr>
                <w:rFonts w:ascii="宋体" w:hAnsi="宋体" w:cs="宋体"/>
              </w:rPr>
            </w:pPr>
            <w:r>
              <w:rPr>
                <w:rFonts w:hint="eastAsia" w:ascii="宋体" w:hAnsi="宋体" w:cs="宋体"/>
              </w:rPr>
              <w:t>商品混凝土</w:t>
            </w:r>
          </w:p>
        </w:tc>
        <w:tc>
          <w:tcPr>
            <w:tcW w:w="1987" w:type="dxa"/>
            <w:vAlign w:val="center"/>
          </w:tcPr>
          <w:p>
            <w:pPr>
              <w:widowControl/>
              <w:jc w:val="right"/>
              <w:rPr>
                <w:rFonts w:ascii="宋体" w:hAnsi="宋体" w:cs="宋体"/>
              </w:rPr>
            </w:pPr>
            <w:r>
              <w:rPr>
                <w:rFonts w:hint="eastAsia" w:ascii="宋体" w:hAnsi="宋体" w:cs="宋体"/>
              </w:rPr>
              <w:t>m</w:t>
            </w:r>
            <w:r>
              <w:rPr>
                <w:rFonts w:hint="eastAsia" w:ascii="宋体" w:hAnsi="宋体" w:cs="宋体"/>
                <w:vertAlign w:val="superscript"/>
              </w:rPr>
              <w:t>3</w:t>
            </w:r>
          </w:p>
        </w:tc>
        <w:tc>
          <w:tcPr>
            <w:tcW w:w="1702" w:type="dxa"/>
          </w:tcPr>
          <w:p>
            <w:pPr>
              <w:widowControl/>
              <w:jc w:val="righ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789" w:type="dxa"/>
            <w:gridSpan w:val="4"/>
            <w:vAlign w:val="center"/>
          </w:tcPr>
          <w:p>
            <w:pPr>
              <w:pStyle w:val="173"/>
              <w:spacing w:line="360" w:lineRule="auto"/>
              <w:jc w:val="left"/>
              <w:rPr>
                <w:rStyle w:val="167"/>
                <w:rFonts w:ascii="宋体" w:hAnsi="宋体"/>
                <w:u w:val="single"/>
              </w:rPr>
            </w:pPr>
            <w:r>
              <w:rPr>
                <w:rStyle w:val="167"/>
                <w:rFonts w:ascii="宋体" w:hAnsi="宋体"/>
              </w:rPr>
              <w:t>统一社会信用代码：</w:t>
            </w:r>
            <w:r>
              <w:rPr>
                <w:rStyle w:val="167"/>
                <w:rFonts w:hint="eastAsia" w:ascii="宋体" w:hAnsi="宋体"/>
                <w:u w:val="single"/>
              </w:rPr>
              <w:t xml:space="preserve">                                   </w:t>
            </w:r>
          </w:p>
          <w:p>
            <w:pPr>
              <w:pStyle w:val="173"/>
              <w:spacing w:line="360" w:lineRule="auto"/>
              <w:jc w:val="left"/>
              <w:rPr>
                <w:rStyle w:val="167"/>
                <w:rFonts w:ascii="宋体" w:hAnsi="宋体"/>
              </w:rPr>
            </w:pPr>
            <w:r>
              <w:rPr>
                <w:rStyle w:val="167"/>
                <w:rFonts w:ascii="宋体" w:hAnsi="宋体"/>
              </w:rPr>
              <w:t>法定代表人身份证号：</w:t>
            </w:r>
            <w:r>
              <w:rPr>
                <w:rStyle w:val="167"/>
                <w:rFonts w:hint="eastAsia" w:ascii="宋体" w:hAnsi="宋体"/>
                <w:u w:val="single"/>
              </w:rPr>
              <w:t xml:space="preserve">                                 </w:t>
            </w:r>
          </w:p>
          <w:p>
            <w:pPr>
              <w:pStyle w:val="173"/>
              <w:spacing w:line="360" w:lineRule="auto"/>
              <w:jc w:val="left"/>
              <w:rPr>
                <w:rStyle w:val="167"/>
                <w:rFonts w:ascii="宋体" w:hAnsi="宋体"/>
              </w:rPr>
            </w:pPr>
            <w:r>
              <w:rPr>
                <w:rStyle w:val="167"/>
                <w:rFonts w:ascii="宋体" w:hAnsi="宋体"/>
              </w:rPr>
              <w:t>主要人员信息：</w:t>
            </w:r>
          </w:p>
          <w:p>
            <w:pPr>
              <w:pStyle w:val="173"/>
              <w:spacing w:line="360" w:lineRule="auto"/>
              <w:rPr>
                <w:rStyle w:val="167"/>
                <w:rFonts w:ascii="宋体" w:hAnsi="宋体"/>
              </w:rPr>
            </w:pPr>
            <w:r>
              <w:rPr>
                <w:rStyle w:val="167"/>
                <w:rFonts w:ascii="宋体" w:hAnsi="宋体"/>
              </w:rPr>
              <w:t>项目经理：</w:t>
            </w:r>
            <w:r>
              <w:rPr>
                <w:rStyle w:val="167"/>
                <w:rFonts w:ascii="宋体" w:hAnsi="宋体"/>
                <w:u w:val="single"/>
              </w:rPr>
              <w:t>姓名</w:t>
            </w:r>
            <w:r>
              <w:rPr>
                <w:rStyle w:val="167"/>
                <w:rFonts w:ascii="宋体" w:hAnsi="宋体"/>
              </w:rPr>
              <w:t>（注册编号：</w:t>
            </w:r>
            <w:r>
              <w:rPr>
                <w:rStyle w:val="167"/>
                <w:rFonts w:hint="eastAsia" w:ascii="宋体" w:hAnsi="宋体"/>
                <w:u w:val="single"/>
              </w:rPr>
              <w:t xml:space="preserve">               </w:t>
            </w:r>
            <w:r>
              <w:rPr>
                <w:rStyle w:val="167"/>
                <w:rFonts w:ascii="宋体" w:hAnsi="宋体"/>
              </w:rPr>
              <w:t>身份证号：</w:t>
            </w:r>
            <w:r>
              <w:rPr>
                <w:rStyle w:val="167"/>
                <w:rFonts w:hint="eastAsia" w:ascii="宋体" w:hAnsi="宋体"/>
                <w:u w:val="single"/>
              </w:rPr>
              <w:t xml:space="preserve">                        </w:t>
            </w:r>
            <w:r>
              <w:rPr>
                <w:rStyle w:val="167"/>
                <w:rFonts w:ascii="宋体" w:hAnsi="宋体"/>
              </w:rPr>
              <w:t>）</w:t>
            </w:r>
          </w:p>
          <w:p>
            <w:pPr>
              <w:pStyle w:val="173"/>
              <w:spacing w:line="360" w:lineRule="auto"/>
              <w:rPr>
                <w:rStyle w:val="167"/>
                <w:rFonts w:ascii="宋体" w:hAnsi="宋体"/>
              </w:rPr>
            </w:pPr>
            <w:r>
              <w:rPr>
                <w:rStyle w:val="167"/>
                <w:rFonts w:ascii="宋体" w:hAnsi="宋体"/>
              </w:rPr>
              <w:t>技术负责人：</w:t>
            </w:r>
            <w:r>
              <w:rPr>
                <w:rStyle w:val="167"/>
                <w:rFonts w:ascii="宋体" w:hAnsi="宋体"/>
                <w:u w:val="single"/>
              </w:rPr>
              <w:t>姓名</w:t>
            </w:r>
            <w:r>
              <w:rPr>
                <w:rStyle w:val="167"/>
                <w:rFonts w:ascii="宋体" w:hAnsi="宋体"/>
              </w:rPr>
              <w:t>（证书号：</w:t>
            </w:r>
            <w:r>
              <w:rPr>
                <w:rStyle w:val="167"/>
                <w:rFonts w:hint="eastAsia" w:ascii="宋体" w:hAnsi="宋体"/>
                <w:u w:val="single"/>
              </w:rPr>
              <w:t xml:space="preserve">                </w:t>
            </w:r>
            <w:r>
              <w:rPr>
                <w:rStyle w:val="167"/>
                <w:rFonts w:ascii="宋体" w:hAnsi="宋体"/>
              </w:rPr>
              <w:t>）</w:t>
            </w:r>
          </w:p>
          <w:p>
            <w:pPr>
              <w:pStyle w:val="173"/>
              <w:spacing w:line="360" w:lineRule="auto"/>
              <w:rPr>
                <w:rStyle w:val="167"/>
                <w:rFonts w:ascii="宋体" w:hAnsi="宋体"/>
              </w:rPr>
            </w:pPr>
            <w:r>
              <w:rPr>
                <w:rStyle w:val="167"/>
                <w:rFonts w:ascii="宋体" w:hAnsi="宋体"/>
              </w:rPr>
              <w:t>安全员：</w:t>
            </w:r>
            <w:r>
              <w:rPr>
                <w:rStyle w:val="167"/>
                <w:rFonts w:ascii="宋体" w:hAnsi="宋体"/>
                <w:u w:val="single"/>
              </w:rPr>
              <w:t>姓名</w:t>
            </w:r>
            <w:r>
              <w:rPr>
                <w:rStyle w:val="167"/>
                <w:rFonts w:ascii="宋体" w:hAnsi="宋体"/>
              </w:rPr>
              <w:t>（</w:t>
            </w:r>
            <w:r>
              <w:rPr>
                <w:rFonts w:hint="eastAsia" w:ascii="宋体" w:hAnsi="宋体" w:cs="宋体"/>
                <w:szCs w:val="21"/>
                <w:lang w:val="zh-CN"/>
              </w:rPr>
              <w:t>安全生产考核合格证书编号</w:t>
            </w:r>
            <w:r>
              <w:rPr>
                <w:rStyle w:val="167"/>
                <w:rFonts w:ascii="宋体" w:hAnsi="宋体"/>
              </w:rPr>
              <w:t>：</w:t>
            </w:r>
            <w:r>
              <w:rPr>
                <w:rStyle w:val="167"/>
                <w:rFonts w:hint="eastAsia" w:ascii="宋体" w:hAnsi="宋体"/>
                <w:u w:val="single"/>
              </w:rPr>
              <w:t xml:space="preserve">          </w:t>
            </w:r>
            <w:r>
              <w:rPr>
                <w:rStyle w:val="167"/>
                <w:rFonts w:ascii="宋体" w:hAnsi="宋体"/>
              </w:rPr>
              <w:t xml:space="preserve"> 身份证号：</w:t>
            </w:r>
            <w:r>
              <w:rPr>
                <w:rStyle w:val="167"/>
                <w:rFonts w:hint="eastAsia" w:ascii="宋体" w:hAnsi="宋体"/>
                <w:u w:val="single"/>
              </w:rPr>
              <w:t xml:space="preserve">              </w:t>
            </w:r>
            <w:r>
              <w:rPr>
                <w:rStyle w:val="167"/>
                <w:rFonts w:ascii="宋体" w:hAnsi="宋体"/>
              </w:rPr>
              <w:t>）</w:t>
            </w:r>
          </w:p>
          <w:p>
            <w:pPr>
              <w:pStyle w:val="173"/>
              <w:spacing w:line="360" w:lineRule="auto"/>
              <w:rPr>
                <w:rStyle w:val="167"/>
                <w:rFonts w:ascii="宋体" w:hAnsi="宋体"/>
              </w:rPr>
            </w:pPr>
            <w:r>
              <w:rPr>
                <w:rStyle w:val="167"/>
                <w:rFonts w:hint="eastAsia" w:ascii="宋体" w:hAnsi="宋体"/>
              </w:rPr>
              <w:t>材料</w:t>
            </w:r>
            <w:r>
              <w:rPr>
                <w:rStyle w:val="167"/>
                <w:rFonts w:ascii="宋体" w:hAnsi="宋体"/>
              </w:rPr>
              <w:t>员：</w:t>
            </w:r>
            <w:r>
              <w:rPr>
                <w:rStyle w:val="167"/>
                <w:rFonts w:ascii="宋体" w:hAnsi="宋体"/>
                <w:u w:val="single"/>
              </w:rPr>
              <w:t>姓名</w:t>
            </w:r>
            <w:r>
              <w:rPr>
                <w:rStyle w:val="167"/>
                <w:rFonts w:ascii="宋体" w:hAnsi="宋体"/>
              </w:rPr>
              <w:t>（证书号：</w:t>
            </w:r>
            <w:r>
              <w:rPr>
                <w:rStyle w:val="167"/>
                <w:rFonts w:hint="eastAsia" w:ascii="宋体" w:hAnsi="宋体"/>
                <w:u w:val="single"/>
              </w:rPr>
              <w:t xml:space="preserve">                    </w:t>
            </w:r>
            <w:r>
              <w:rPr>
                <w:rStyle w:val="167"/>
                <w:rFonts w:ascii="宋体" w:hAnsi="宋体"/>
              </w:rPr>
              <w:t>）</w:t>
            </w:r>
          </w:p>
          <w:p>
            <w:pPr>
              <w:pStyle w:val="173"/>
              <w:spacing w:line="360" w:lineRule="auto"/>
              <w:rPr>
                <w:rStyle w:val="167"/>
                <w:rFonts w:ascii="宋体" w:hAnsi="宋体"/>
              </w:rPr>
            </w:pPr>
            <w:r>
              <w:rPr>
                <w:rStyle w:val="167"/>
                <w:rFonts w:hint="eastAsia" w:ascii="宋体" w:hAnsi="宋体"/>
              </w:rPr>
              <w:t>质量员</w:t>
            </w:r>
            <w:r>
              <w:rPr>
                <w:rStyle w:val="167"/>
                <w:rFonts w:ascii="宋体" w:hAnsi="宋体"/>
              </w:rPr>
              <w:t>：</w:t>
            </w:r>
            <w:r>
              <w:rPr>
                <w:rStyle w:val="167"/>
                <w:rFonts w:ascii="宋体" w:hAnsi="宋体"/>
                <w:u w:val="single"/>
              </w:rPr>
              <w:t>姓名</w:t>
            </w:r>
            <w:r>
              <w:rPr>
                <w:rStyle w:val="167"/>
                <w:rFonts w:ascii="宋体" w:hAnsi="宋体"/>
              </w:rPr>
              <w:t>（证书号：</w:t>
            </w:r>
            <w:r>
              <w:rPr>
                <w:rStyle w:val="167"/>
                <w:rFonts w:hint="eastAsia" w:ascii="宋体" w:hAnsi="宋体"/>
                <w:u w:val="single"/>
              </w:rPr>
              <w:t xml:space="preserve">                    </w:t>
            </w:r>
            <w:r>
              <w:rPr>
                <w:rStyle w:val="167"/>
                <w:rFonts w:ascii="宋体" w:hAnsi="宋体"/>
              </w:rPr>
              <w:t>）</w:t>
            </w:r>
          </w:p>
          <w:p>
            <w:pPr>
              <w:pStyle w:val="173"/>
              <w:spacing w:line="360" w:lineRule="auto"/>
              <w:rPr>
                <w:rStyle w:val="167"/>
                <w:rFonts w:ascii="宋体" w:hAnsi="宋体"/>
              </w:rPr>
            </w:pPr>
            <w:r>
              <w:rPr>
                <w:rStyle w:val="167"/>
                <w:rFonts w:ascii="宋体" w:hAnsi="宋体"/>
              </w:rPr>
              <w:t>施工员：</w:t>
            </w:r>
            <w:r>
              <w:rPr>
                <w:rStyle w:val="167"/>
                <w:rFonts w:ascii="宋体" w:hAnsi="宋体"/>
                <w:u w:val="single"/>
              </w:rPr>
              <w:t>姓名</w:t>
            </w:r>
            <w:r>
              <w:rPr>
                <w:rStyle w:val="167"/>
                <w:rFonts w:ascii="宋体" w:hAnsi="宋体"/>
              </w:rPr>
              <w:t>（证书号：</w:t>
            </w:r>
            <w:r>
              <w:rPr>
                <w:rStyle w:val="167"/>
                <w:rFonts w:hint="eastAsia" w:ascii="宋体" w:hAnsi="宋体"/>
                <w:u w:val="single"/>
              </w:rPr>
              <w:t xml:space="preserve">                    </w:t>
            </w:r>
            <w:r>
              <w:rPr>
                <w:rStyle w:val="167"/>
                <w:rFonts w:ascii="宋体" w:hAnsi="宋体"/>
              </w:rPr>
              <w:t>）</w:t>
            </w:r>
          </w:p>
          <w:p>
            <w:pPr>
              <w:pStyle w:val="173"/>
              <w:spacing w:line="360" w:lineRule="auto"/>
              <w:rPr>
                <w:rStyle w:val="167"/>
                <w:rFonts w:ascii="宋体" w:hAnsi="宋体"/>
              </w:rPr>
            </w:pPr>
            <w:r>
              <w:rPr>
                <w:rStyle w:val="167"/>
                <w:rFonts w:hint="eastAsia" w:ascii="宋体" w:hAnsi="宋体"/>
              </w:rPr>
              <w:t>质检员</w:t>
            </w:r>
            <w:r>
              <w:rPr>
                <w:rStyle w:val="167"/>
                <w:rFonts w:ascii="宋体" w:hAnsi="宋体"/>
              </w:rPr>
              <w:t>（如有）：</w:t>
            </w:r>
            <w:r>
              <w:rPr>
                <w:rStyle w:val="167"/>
                <w:rFonts w:ascii="宋体" w:hAnsi="宋体"/>
                <w:u w:val="single"/>
              </w:rPr>
              <w:t>姓名</w:t>
            </w:r>
            <w:r>
              <w:rPr>
                <w:rStyle w:val="167"/>
                <w:rFonts w:ascii="宋体" w:hAnsi="宋体"/>
              </w:rPr>
              <w:t>（证书号：</w:t>
            </w:r>
            <w:r>
              <w:rPr>
                <w:rStyle w:val="167"/>
                <w:rFonts w:hint="eastAsia" w:ascii="宋体" w:hAnsi="宋体"/>
                <w:u w:val="single"/>
              </w:rPr>
              <w:t xml:space="preserve">            </w:t>
            </w:r>
            <w:r>
              <w:rPr>
                <w:rStyle w:val="167"/>
                <w:rFonts w:ascii="宋体" w:hAnsi="宋体"/>
              </w:rPr>
              <w:t>）</w:t>
            </w:r>
          </w:p>
          <w:p>
            <w:pPr>
              <w:pStyle w:val="173"/>
              <w:spacing w:line="360" w:lineRule="auto"/>
              <w:rPr>
                <w:rStyle w:val="167"/>
                <w:rFonts w:ascii="宋体" w:hAnsi="宋体"/>
              </w:rPr>
            </w:pPr>
            <w:r>
              <w:rPr>
                <w:rStyle w:val="167"/>
                <w:rFonts w:ascii="宋体" w:hAnsi="宋体"/>
                <w:szCs w:val="21"/>
              </w:rPr>
              <w:t>投标所用企业业绩</w:t>
            </w:r>
            <w:r>
              <w:rPr>
                <w:rStyle w:val="167"/>
                <w:rFonts w:ascii="宋体" w:hAnsi="宋体"/>
              </w:rPr>
              <w:t>（如有）</w:t>
            </w:r>
            <w:r>
              <w:rPr>
                <w:rStyle w:val="167"/>
                <w:rFonts w:ascii="宋体" w:hAnsi="宋体"/>
                <w:szCs w:val="21"/>
              </w:rPr>
              <w:t>:</w:t>
            </w:r>
          </w:p>
          <w:p>
            <w:pPr>
              <w:pStyle w:val="173"/>
              <w:spacing w:line="360" w:lineRule="auto"/>
              <w:rPr>
                <w:rStyle w:val="167"/>
                <w:rFonts w:ascii="宋体" w:hAnsi="宋体"/>
                <w:u w:val="single"/>
              </w:rPr>
            </w:pPr>
            <w:r>
              <w:rPr>
                <w:rStyle w:val="167"/>
                <w:rFonts w:ascii="宋体" w:hAnsi="宋体"/>
              </w:rPr>
              <w:t>承诺工期：</w:t>
            </w:r>
            <w:r>
              <w:rPr>
                <w:rStyle w:val="167"/>
                <w:rFonts w:ascii="宋体" w:hAnsi="宋体"/>
                <w:u w:val="single"/>
              </w:rPr>
              <w:t xml:space="preserve">    </w:t>
            </w:r>
            <w:r>
              <w:rPr>
                <w:rStyle w:val="167"/>
                <w:rFonts w:ascii="宋体" w:hAnsi="宋体"/>
              </w:rPr>
              <w:t>日历天               承诺质量标准：</w:t>
            </w:r>
            <w:r>
              <w:rPr>
                <w:rStyle w:val="167"/>
                <w:rFonts w:ascii="宋体" w:hAnsi="宋体"/>
                <w:u w:val="single"/>
              </w:rPr>
              <w:t xml:space="preserve"> </w:t>
            </w:r>
            <w:r>
              <w:rPr>
                <w:rStyle w:val="167"/>
                <w:rFonts w:hint="eastAsia" w:ascii="宋体" w:hAnsi="宋体"/>
                <w:u w:val="single"/>
              </w:rPr>
              <w:t xml:space="preserve">                     </w:t>
            </w:r>
          </w:p>
          <w:p>
            <w:pPr>
              <w:widowControl/>
              <w:rPr>
                <w:rFonts w:ascii="宋体" w:hAnsi="宋体" w:cs="宋体"/>
              </w:rPr>
            </w:pPr>
            <w:r>
              <w:rPr>
                <w:rStyle w:val="167"/>
                <w:rFonts w:ascii="宋体" w:hAnsi="宋体"/>
                <w:szCs w:val="24"/>
              </w:rPr>
              <w:t>投标人地址：</w:t>
            </w:r>
            <w:r>
              <w:rPr>
                <w:rStyle w:val="167"/>
                <w:rFonts w:ascii="宋体" w:hAnsi="宋体"/>
                <w:szCs w:val="24"/>
                <w:u w:val="single"/>
              </w:rPr>
              <w:t xml:space="preserve"> </w:t>
            </w:r>
            <w:r>
              <w:rPr>
                <w:rStyle w:val="167"/>
                <w:rFonts w:hint="eastAsia" w:ascii="宋体" w:hAnsi="宋体"/>
                <w:szCs w:val="24"/>
                <w:u w:val="single"/>
              </w:rPr>
              <w:t xml:space="preserve">                   </w:t>
            </w:r>
          </w:p>
        </w:tc>
      </w:tr>
    </w:tbl>
    <w:p>
      <w:pPr>
        <w:spacing w:line="480" w:lineRule="auto"/>
        <w:ind w:firstLine="210" w:firstLineChars="100"/>
        <w:rPr>
          <w:rFonts w:asciiTheme="minorEastAsia" w:hAnsiTheme="minorEastAsia" w:eastAsiaTheme="minorEastAsia" w:cstheme="minorEastAsia"/>
        </w:rPr>
      </w:pPr>
    </w:p>
    <w:p>
      <w:pPr>
        <w:spacing w:line="480" w:lineRule="auto"/>
        <w:ind w:firstLine="21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磋商供应商（盖单位章）：</w:t>
      </w:r>
      <w:r>
        <w:rPr>
          <w:rFonts w:hint="eastAsia" w:asciiTheme="minorEastAsia" w:hAnsiTheme="minorEastAsia" w:eastAsiaTheme="minorEastAsia" w:cstheme="minorEastAsia"/>
          <w:u w:val="single"/>
        </w:rPr>
        <w:t xml:space="preserve">                                 </w:t>
      </w:r>
    </w:p>
    <w:p>
      <w:pPr>
        <w:spacing w:line="480" w:lineRule="auto"/>
        <w:ind w:firstLine="21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法定代表人或其委托代理人（签字或盖章）：</w:t>
      </w:r>
      <w:r>
        <w:rPr>
          <w:rFonts w:hint="eastAsia" w:asciiTheme="minorEastAsia" w:hAnsiTheme="minorEastAsia" w:eastAsiaTheme="minorEastAsia" w:cstheme="minorEastAsia"/>
          <w:u w:val="single"/>
        </w:rPr>
        <w:t xml:space="preserve">              </w:t>
      </w:r>
    </w:p>
    <w:p>
      <w:pPr>
        <w:spacing w:line="480" w:lineRule="auto"/>
        <w:ind w:firstLine="21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pStyle w:val="61"/>
        <w:rPr>
          <w:rFonts w:asciiTheme="minorEastAsia" w:hAnsiTheme="minorEastAsia" w:eastAsiaTheme="minorEastAsia" w:cstheme="minorEastAsia"/>
          <w:color w:val="auto"/>
        </w:rPr>
      </w:pPr>
    </w:p>
    <w:p>
      <w:pPr>
        <w:pStyle w:val="18"/>
        <w:rPr>
          <w:rFonts w:asciiTheme="minorEastAsia" w:hAnsiTheme="minorEastAsia" w:eastAsiaTheme="minorEastAsia" w:cstheme="minorEastAsia"/>
        </w:rPr>
      </w:pPr>
    </w:p>
    <w:p>
      <w:pPr>
        <w:numPr>
          <w:ilvl w:val="0"/>
          <w:numId w:val="13"/>
        </w:numPr>
        <w:spacing w:line="400" w:lineRule="exact"/>
        <w:jc w:val="center"/>
        <w:rPr>
          <w:rFonts w:asciiTheme="minorEastAsia" w:hAnsiTheme="minorEastAsia" w:eastAsiaTheme="minorEastAsia" w:cstheme="minorEastAsia"/>
          <w:b/>
          <w:bCs/>
          <w:kern w:val="0"/>
          <w:sz w:val="30"/>
          <w:szCs w:val="30"/>
        </w:rPr>
      </w:pPr>
      <w:r>
        <w:rPr>
          <w:rFonts w:hint="eastAsia" w:asciiTheme="minorEastAsia" w:hAnsiTheme="minorEastAsia" w:eastAsiaTheme="minorEastAsia" w:cstheme="minorEastAsia"/>
          <w:b/>
          <w:bCs/>
          <w:kern w:val="0"/>
          <w:sz w:val="30"/>
          <w:szCs w:val="30"/>
        </w:rPr>
        <w:t>已标价的工程量清单报价有关材料</w:t>
      </w:r>
    </w:p>
    <w:p>
      <w:pPr>
        <w:pStyle w:val="6"/>
        <w:rPr>
          <w:rFonts w:asciiTheme="minorEastAsia" w:hAnsiTheme="minorEastAsia" w:eastAsiaTheme="minorEastAsia" w:cstheme="minorEastAsia"/>
        </w:rPr>
      </w:pPr>
    </w:p>
    <w:p>
      <w:pPr>
        <w:spacing w:line="360" w:lineRule="auto"/>
        <w:ind w:firstLine="420" w:firstLineChars="200"/>
      </w:pPr>
      <w:r>
        <w:rPr>
          <w:rFonts w:hint="eastAsia"/>
        </w:rPr>
        <w:t>1.</w:t>
      </w:r>
      <w:r>
        <w:rPr>
          <w:rFonts w:hint="eastAsia" w:cs="宋体"/>
        </w:rPr>
        <w:t>供应商应依据竞争性磋商文件、招标工程量清单、</w:t>
      </w:r>
      <w:r>
        <w:rPr>
          <w:rFonts w:hint="eastAsia" w:asciiTheme="minorEastAsia" w:hAnsiTheme="minorEastAsia" w:eastAsiaTheme="minorEastAsia" w:cstheme="minorEastAsia"/>
        </w:rPr>
        <w:t>《(GB50500-2013)建设工程工程量清单计价规范》广西壮族自治区实施细则”</w:t>
      </w:r>
      <w:r>
        <w:rPr>
          <w:rFonts w:hint="eastAsia" w:cs="宋体"/>
        </w:rPr>
        <w:t>、《计算规范》自主报价，自主报价</w:t>
      </w:r>
      <w:r>
        <w:rPr>
          <w:rFonts w:hint="eastAsia" w:hAnsi="宋体" w:cs="宋体"/>
        </w:rPr>
        <w:t>不得违反计价规范强制性条文规定。</w:t>
      </w:r>
      <w:r>
        <w:rPr>
          <w:rFonts w:hint="eastAsia" w:cs="宋体"/>
        </w:rPr>
        <w:t>供应商不得采用总价让利或以百分比让利等形式进行报价，任何优惠（或降价、让利）均应反映在相应清单项目的综合单价中。同时，不得出现任意一项单价重大让利，</w:t>
      </w:r>
      <w:r>
        <w:rPr>
          <w:rFonts w:hint="eastAsia" w:hAnsi="宋体" w:cs="宋体"/>
        </w:rPr>
        <w:t>不得以自有机械闲置、自有材料等不计成本为由</w:t>
      </w:r>
      <w:r>
        <w:rPr>
          <w:rFonts w:hint="eastAsia" w:cs="宋体"/>
        </w:rPr>
        <w:t>低于工程成本报价。</w:t>
      </w:r>
    </w:p>
    <w:p>
      <w:pPr>
        <w:spacing w:line="360" w:lineRule="auto"/>
        <w:ind w:firstLine="420" w:firstLineChars="200"/>
        <w:rPr>
          <w:rFonts w:hAnsi="宋体"/>
        </w:rPr>
      </w:pPr>
      <w:r>
        <w:rPr>
          <w:rFonts w:hint="eastAsia"/>
        </w:rPr>
        <w:t>2.</w:t>
      </w:r>
      <w:r>
        <w:rPr>
          <w:rFonts w:hint="eastAsia" w:cs="宋体"/>
        </w:rPr>
        <w:t>供应商应按招标工程量清单填报价格。项目编码、项目名称、项目特征、计量单位、工程量必须与招标工程量清单一致，供应商</w:t>
      </w:r>
      <w:r>
        <w:rPr>
          <w:rFonts w:hint="eastAsia" w:hAnsi="宋体" w:cs="宋体"/>
        </w:rPr>
        <w:t>不得对招标工程量清单项目进行增减调整。</w:t>
      </w:r>
    </w:p>
    <w:p>
      <w:pPr>
        <w:spacing w:line="360" w:lineRule="auto"/>
        <w:ind w:firstLine="420" w:firstLineChars="200"/>
      </w:pPr>
      <w:r>
        <w:rPr>
          <w:rFonts w:hint="eastAsia"/>
        </w:rPr>
        <w:t>3.</w:t>
      </w:r>
      <w:r>
        <w:rPr>
          <w:rFonts w:hint="eastAsia" w:cs="宋体"/>
        </w:rPr>
        <w:t>综合单价中应包含竞争性磋商文件中划分的应由供应商承担的风险范围及其费用。</w:t>
      </w:r>
    </w:p>
    <w:p>
      <w:pPr>
        <w:spacing w:line="360" w:lineRule="auto"/>
        <w:ind w:firstLine="420" w:firstLineChars="200"/>
        <w:rPr>
          <w:rFonts w:hAnsi="宋体"/>
        </w:rPr>
      </w:pPr>
      <w:r>
        <w:rPr>
          <w:rFonts w:hint="eastAsia"/>
        </w:rPr>
        <w:t>4.</w:t>
      </w:r>
      <w:r>
        <w:rPr>
          <w:rFonts w:hint="eastAsia" w:hAnsi="宋体" w:cs="宋体"/>
        </w:rPr>
        <w:t>分部分项工程项目和单价措施项目，应根据</w:t>
      </w:r>
      <w:r>
        <w:rPr>
          <w:rFonts w:hint="eastAsia" w:cs="宋体"/>
        </w:rPr>
        <w:t>竞争性磋商文件</w:t>
      </w:r>
      <w:r>
        <w:rPr>
          <w:rFonts w:hint="eastAsia" w:hAnsi="宋体" w:cs="宋体"/>
        </w:rPr>
        <w:t>和招标工程量清单项目中的特征描述确定综合单价计算。如出现招标工程量清单特征描述与设计图纸不符时，供应商应以招标工程量清单的项目特征描述为准，确定投标报价的综合单价。</w:t>
      </w:r>
    </w:p>
    <w:p>
      <w:pPr>
        <w:spacing w:line="360" w:lineRule="auto"/>
        <w:ind w:firstLine="420" w:firstLineChars="200"/>
      </w:pPr>
      <w:r>
        <w:rPr>
          <w:rFonts w:hint="eastAsia"/>
        </w:rPr>
        <w:t>5.</w:t>
      </w:r>
      <w:r>
        <w:rPr>
          <w:rFonts w:hint="eastAsia" w:hAnsi="宋体" w:cs="宋体"/>
        </w:rPr>
        <w:t>总价措施项目的金额应根据</w:t>
      </w:r>
      <w:r>
        <w:rPr>
          <w:rFonts w:hint="eastAsia" w:cs="宋体"/>
        </w:rPr>
        <w:t>竞争性磋商文件</w:t>
      </w:r>
      <w:r>
        <w:rPr>
          <w:rFonts w:hint="eastAsia" w:hAnsi="宋体" w:cs="宋体"/>
        </w:rPr>
        <w:t>及投标时拟定的施工组织设计或施工方案，按计价规范的规定自主确定。但</w:t>
      </w:r>
      <w:r>
        <w:rPr>
          <w:rFonts w:hint="eastAsia" w:cs="宋体"/>
        </w:rPr>
        <w:t>安全文明施工费按国家、省级或行业建设主管部门的有关规定执行，作为不竞争费用单列。</w:t>
      </w:r>
    </w:p>
    <w:p>
      <w:pPr>
        <w:spacing w:line="360" w:lineRule="auto"/>
        <w:ind w:firstLine="420" w:firstLineChars="200"/>
      </w:pPr>
      <w:r>
        <w:rPr>
          <w:rFonts w:hint="eastAsia"/>
        </w:rPr>
        <w:t>6.</w:t>
      </w:r>
      <w:r>
        <w:rPr>
          <w:rFonts w:hint="eastAsia" w:cs="宋体"/>
        </w:rPr>
        <w:t>其他项目费应按下列规定报价：</w:t>
      </w:r>
    </w:p>
    <w:p>
      <w:pPr>
        <w:spacing w:line="360" w:lineRule="auto"/>
        <w:ind w:firstLine="420" w:firstLineChars="200"/>
      </w:pPr>
      <w:r>
        <w:rPr>
          <w:rFonts w:hint="eastAsia" w:cs="宋体"/>
        </w:rPr>
        <w:t>（</w:t>
      </w:r>
      <w:r>
        <w:t>1</w:t>
      </w:r>
      <w:r>
        <w:rPr>
          <w:rFonts w:hint="eastAsia" w:cs="宋体"/>
        </w:rPr>
        <w:t>）暂列金额应按招标工程量清单中列出的金额填写；</w:t>
      </w:r>
    </w:p>
    <w:p>
      <w:pPr>
        <w:pStyle w:val="2"/>
        <w:spacing w:line="360" w:lineRule="auto"/>
        <w:ind w:firstLine="420" w:firstLineChars="200"/>
      </w:pPr>
      <w:r>
        <w:rPr>
          <w:rFonts w:hint="eastAsia" w:cs="宋体"/>
        </w:rPr>
        <w:t>（</w:t>
      </w:r>
      <w:r>
        <w:t>2</w:t>
      </w:r>
      <w:r>
        <w:rPr>
          <w:rFonts w:hint="eastAsia" w:cs="宋体"/>
        </w:rPr>
        <w:t>）材料、工程设备暂估价应按招标工程量清单中列出的单价计入综合单价；</w:t>
      </w:r>
    </w:p>
    <w:p>
      <w:pPr>
        <w:spacing w:line="360" w:lineRule="auto"/>
        <w:ind w:firstLine="420" w:firstLineChars="200"/>
      </w:pPr>
      <w:r>
        <w:rPr>
          <w:rFonts w:hint="eastAsia" w:cs="宋体"/>
        </w:rPr>
        <w:t>（</w:t>
      </w:r>
      <w:r>
        <w:t>3</w:t>
      </w:r>
      <w:r>
        <w:rPr>
          <w:rFonts w:hint="eastAsia" w:cs="宋体"/>
        </w:rPr>
        <w:t>）专业工程暂估价应按招标工程量清单中列出的金额填写；</w:t>
      </w:r>
    </w:p>
    <w:p>
      <w:pPr>
        <w:spacing w:line="360" w:lineRule="auto"/>
        <w:ind w:firstLine="420" w:firstLineChars="200"/>
      </w:pPr>
      <w:r>
        <w:rPr>
          <w:rFonts w:hint="eastAsia" w:cs="宋体"/>
        </w:rPr>
        <w:t>（</w:t>
      </w:r>
      <w:r>
        <w:t>4</w:t>
      </w:r>
      <w:r>
        <w:rPr>
          <w:rFonts w:hint="eastAsia" w:cs="宋体"/>
        </w:rPr>
        <w:t>）计日工应按招标工程量清单中列出的项目和估算数量，自主确定综合单价并计算计日工总额；计日工单价均不含规费和税金；</w:t>
      </w:r>
    </w:p>
    <w:p>
      <w:pPr>
        <w:spacing w:line="360" w:lineRule="auto"/>
        <w:ind w:firstLine="420" w:firstLineChars="200"/>
      </w:pPr>
      <w:r>
        <w:rPr>
          <w:rFonts w:hint="eastAsia" w:cs="宋体"/>
        </w:rPr>
        <w:t>（</w:t>
      </w:r>
      <w:r>
        <w:t>5</w:t>
      </w:r>
      <w:r>
        <w:rPr>
          <w:rFonts w:hint="eastAsia" w:cs="宋体"/>
        </w:rPr>
        <w:t>）总承包服务费应根据招标工程量清单中列出的内容</w:t>
      </w:r>
      <w:r>
        <w:rPr>
          <w:rFonts w:hint="eastAsia" w:hAnsi="宋体" w:cs="宋体"/>
        </w:rPr>
        <w:t>和供应材料、设备情况，按照招标人提出的协调、配合与服务要求和施工现场管理需要</w:t>
      </w:r>
      <w:r>
        <w:rPr>
          <w:rFonts w:hint="eastAsia" w:cs="宋体"/>
        </w:rPr>
        <w:t>自主确定。</w:t>
      </w:r>
    </w:p>
    <w:p>
      <w:pPr>
        <w:spacing w:line="360" w:lineRule="auto"/>
        <w:ind w:firstLine="420" w:firstLineChars="200"/>
      </w:pPr>
      <w:r>
        <w:rPr>
          <w:rFonts w:hint="eastAsia"/>
        </w:rPr>
        <w:t>7.</w:t>
      </w:r>
      <w:r>
        <w:rPr>
          <w:rFonts w:hint="eastAsia" w:cs="宋体"/>
        </w:rPr>
        <w:t>规费和增值税应按规定确定，作为不可竞争费用。</w:t>
      </w:r>
    </w:p>
    <w:p>
      <w:pPr>
        <w:spacing w:line="360" w:lineRule="auto"/>
        <w:ind w:firstLine="420" w:firstLineChars="200"/>
      </w:pPr>
      <w:r>
        <w:rPr>
          <w:rFonts w:hint="eastAsia"/>
        </w:rPr>
        <w:t>8.</w:t>
      </w:r>
      <w:r>
        <w:rPr>
          <w:rFonts w:hint="eastAsia" w:cs="宋体"/>
        </w:rPr>
        <w:t>招标工程量清单与计价表中列明的所有需要填写的单价和合价的项目，供应商均应填写且只允许有一个报价。未填写单价和合价的项目，视为此项费用已包含在已标价工程量清单中其他项目的单价和合价之中。竣工结算时，此项目不得重新组价予以调整。</w:t>
      </w:r>
    </w:p>
    <w:p>
      <w:pPr>
        <w:spacing w:line="360" w:lineRule="auto"/>
        <w:ind w:firstLine="420" w:firstLineChars="200"/>
      </w:pPr>
      <w:r>
        <w:rPr>
          <w:rFonts w:hint="eastAsia"/>
        </w:rPr>
        <w:t>9.</w:t>
      </w:r>
      <w:r>
        <w:rPr>
          <w:rFonts w:hint="eastAsia" w:cs="宋体"/>
        </w:rPr>
        <w:t>竞标总价应当与分部分项工程费、措施项目费、其他项目费和规费、增值税的合计金额一致。</w:t>
      </w:r>
    </w:p>
    <w:p>
      <w:pPr>
        <w:spacing w:line="360" w:lineRule="auto"/>
        <w:ind w:firstLine="420" w:firstLineChars="200"/>
      </w:pPr>
      <w:r>
        <w:rPr>
          <w:rFonts w:hint="eastAsia"/>
        </w:rPr>
        <w:t>10.</w:t>
      </w:r>
      <w:r>
        <w:rPr>
          <w:rFonts w:hint="eastAsia" w:cs="宋体"/>
        </w:rPr>
        <w:t>供应商应按《承包人提供的主要材料和设备一览表》的内容填报，不得擅自调整材料和设备名称型号规格、单位、风险系数、基准单价。</w:t>
      </w:r>
    </w:p>
    <w:p>
      <w:pPr>
        <w:spacing w:line="360" w:lineRule="auto"/>
        <w:ind w:firstLine="420" w:firstLineChars="200"/>
        <w:rPr>
          <w:rFonts w:hAnsi="宋体"/>
        </w:rPr>
      </w:pPr>
      <w:r>
        <w:rPr>
          <w:rFonts w:hint="eastAsia"/>
        </w:rPr>
        <w:t>11.</w:t>
      </w:r>
      <w:r>
        <w:rPr>
          <w:rFonts w:hint="eastAsia" w:hAnsi="宋体" w:cs="宋体"/>
        </w:rPr>
        <w:t>竞标报价</w:t>
      </w:r>
      <w:r>
        <w:rPr>
          <w:rFonts w:hint="eastAsia" w:cs="宋体"/>
        </w:rPr>
        <w:t>表格按本工程工程量清单表格要求填写，并</w:t>
      </w:r>
      <w:r>
        <w:rPr>
          <w:rFonts w:hint="eastAsia" w:hAnsi="宋体" w:cs="宋体"/>
        </w:rPr>
        <w:t>应按招标文件</w:t>
      </w:r>
      <w:r>
        <w:rPr>
          <w:rFonts w:hint="eastAsia" w:cs="宋体"/>
        </w:rPr>
        <w:t>竞争性磋商文件</w:t>
      </w:r>
      <w:r>
        <w:rPr>
          <w:rFonts w:hint="eastAsia" w:hAnsi="宋体" w:cs="宋体"/>
        </w:rPr>
        <w:t>要求，附上《工程量清单综合单价分析表》（表</w:t>
      </w:r>
      <w:r>
        <w:t>-09</w:t>
      </w:r>
      <w:r>
        <w:rPr>
          <w:rFonts w:hint="eastAsia" w:hAnsi="宋体" w:cs="宋体"/>
        </w:rPr>
        <w:t>）和《主要清单项目工料机分析表》（表</w:t>
      </w:r>
      <w:r>
        <w:t>-10</w:t>
      </w:r>
      <w:r>
        <w:rPr>
          <w:rFonts w:hint="eastAsia" w:hAnsi="宋体" w:cs="宋体"/>
        </w:rPr>
        <w:t>）。</w:t>
      </w:r>
    </w:p>
    <w:p>
      <w:pPr>
        <w:spacing w:line="360" w:lineRule="auto"/>
        <w:ind w:firstLine="420" w:firstLineChars="200"/>
        <w:rPr>
          <w:rFonts w:cs="宋体"/>
        </w:rPr>
      </w:pPr>
      <w:r>
        <w:rPr>
          <w:rFonts w:hint="eastAsia" w:cs="宋体"/>
        </w:rPr>
        <w:t>未尽事宜详见本工程招标工程量清单、招标控制价编制说明以及现行《计价规范》等有关规定执行。</w:t>
      </w:r>
    </w:p>
    <w:p>
      <w:pPr>
        <w:pStyle w:val="6"/>
        <w:rPr>
          <w:rFonts w:asciiTheme="minorEastAsia" w:hAnsiTheme="minorEastAsia" w:eastAsiaTheme="minorEastAsia" w:cstheme="minorEastAsia"/>
        </w:rPr>
      </w:pPr>
    </w:p>
    <w:p/>
    <w:p/>
    <w:p>
      <w:pPr>
        <w:rPr>
          <w:rFonts w:asciiTheme="minorEastAsia" w:hAnsiTheme="minorEastAsia" w:eastAsiaTheme="minorEastAsia" w:cstheme="minorEastAsia"/>
        </w:rPr>
      </w:pPr>
    </w:p>
    <w:p>
      <w:pPr>
        <w:pStyle w:val="20"/>
        <w:rPr>
          <w:rFonts w:asciiTheme="minorEastAsia" w:hAnsiTheme="minorEastAsia" w:eastAsiaTheme="minorEastAsia" w:cstheme="minorEastAsia"/>
        </w:rPr>
      </w:pPr>
    </w:p>
    <w:p>
      <w:pPr>
        <w:pStyle w:val="21"/>
        <w:ind w:firstLine="482"/>
        <w:rPr>
          <w:rFonts w:asciiTheme="minorEastAsia" w:hAnsiTheme="minorEastAsia" w:eastAsiaTheme="minorEastAsia" w:cstheme="minorEastAsia"/>
        </w:rPr>
      </w:pPr>
    </w:p>
    <w:p>
      <w:pPr>
        <w:pStyle w:val="21"/>
        <w:ind w:firstLine="482"/>
        <w:rPr>
          <w:rFonts w:asciiTheme="minorEastAsia" w:hAnsiTheme="minorEastAsia" w:eastAsiaTheme="minorEastAsia" w:cstheme="minorEastAsia"/>
        </w:rPr>
      </w:pPr>
    </w:p>
    <w:p>
      <w:pPr>
        <w:pStyle w:val="21"/>
        <w:ind w:firstLine="482"/>
        <w:rPr>
          <w:rFonts w:asciiTheme="minorEastAsia" w:hAnsiTheme="minorEastAsia" w:eastAsiaTheme="minorEastAsia" w:cstheme="minorEastAsia"/>
        </w:rPr>
      </w:pPr>
    </w:p>
    <w:p>
      <w:pPr>
        <w:pStyle w:val="21"/>
        <w:ind w:firstLine="482"/>
        <w:rPr>
          <w:rFonts w:asciiTheme="minorEastAsia" w:hAnsiTheme="minorEastAsia" w:eastAsiaTheme="minorEastAsia" w:cstheme="minorEastAsia"/>
        </w:rPr>
      </w:pPr>
    </w:p>
    <w:p>
      <w:pPr>
        <w:pStyle w:val="21"/>
        <w:ind w:firstLine="482"/>
        <w:rPr>
          <w:rFonts w:asciiTheme="minorEastAsia" w:hAnsiTheme="minorEastAsia" w:eastAsiaTheme="minorEastAsia" w:cstheme="minorEastAsia"/>
        </w:rPr>
      </w:pPr>
    </w:p>
    <w:p>
      <w:pPr>
        <w:pStyle w:val="21"/>
        <w:ind w:firstLine="482"/>
        <w:rPr>
          <w:rFonts w:asciiTheme="minorEastAsia" w:hAnsiTheme="minorEastAsia" w:eastAsiaTheme="minorEastAsia" w:cstheme="minorEastAsia"/>
        </w:rPr>
      </w:pPr>
    </w:p>
    <w:p>
      <w:pPr>
        <w:pStyle w:val="21"/>
        <w:ind w:firstLine="482"/>
        <w:rPr>
          <w:rFonts w:asciiTheme="minorEastAsia" w:hAnsiTheme="minorEastAsia" w:eastAsiaTheme="minorEastAsia" w:cstheme="minorEastAsia"/>
        </w:rPr>
      </w:pPr>
    </w:p>
    <w:p>
      <w:pPr>
        <w:pStyle w:val="21"/>
        <w:ind w:firstLine="482"/>
        <w:rPr>
          <w:rFonts w:asciiTheme="minorEastAsia" w:hAnsiTheme="minorEastAsia" w:eastAsiaTheme="minorEastAsia" w:cstheme="minorEastAsia"/>
        </w:rPr>
      </w:pPr>
    </w:p>
    <w:p>
      <w:pPr>
        <w:pStyle w:val="21"/>
        <w:ind w:firstLine="482"/>
        <w:rPr>
          <w:rFonts w:asciiTheme="minorEastAsia" w:hAnsiTheme="minorEastAsia" w:eastAsiaTheme="minorEastAsia" w:cstheme="minorEastAsia"/>
        </w:rPr>
      </w:pPr>
    </w:p>
    <w:p>
      <w:pPr>
        <w:pStyle w:val="21"/>
        <w:ind w:firstLine="482"/>
        <w:rPr>
          <w:rFonts w:asciiTheme="minorEastAsia" w:hAnsiTheme="minorEastAsia" w:eastAsiaTheme="minorEastAsia" w:cstheme="minorEastAsia"/>
        </w:rPr>
      </w:pPr>
    </w:p>
    <w:p>
      <w:pPr>
        <w:pStyle w:val="8"/>
        <w:ind w:firstLine="0"/>
        <w:jc w:val="both"/>
        <w:rPr>
          <w:rFonts w:asciiTheme="minorEastAsia" w:hAnsiTheme="minorEastAsia" w:eastAsiaTheme="minorEastAsia" w:cstheme="minorEastAsia"/>
          <w:sz w:val="28"/>
          <w:szCs w:val="28"/>
        </w:rPr>
      </w:pPr>
    </w:p>
    <w:p>
      <w:pPr>
        <w:rPr>
          <w:rFonts w:asciiTheme="minorEastAsia" w:hAnsiTheme="minorEastAsia" w:eastAsiaTheme="minorEastAsia" w:cstheme="minorEastAsia"/>
          <w:b/>
          <w:bCs/>
          <w:kern w:val="0"/>
          <w:sz w:val="44"/>
          <w:szCs w:val="44"/>
        </w:rPr>
      </w:pPr>
      <w:bookmarkStart w:id="30" w:name="_Toc6306"/>
      <w:r>
        <w:rPr>
          <w:rFonts w:hint="eastAsia" w:asciiTheme="minorEastAsia" w:hAnsiTheme="minorEastAsia" w:eastAsiaTheme="minorEastAsia" w:cstheme="minorEastAsia"/>
          <w:b/>
          <w:bCs/>
          <w:kern w:val="0"/>
          <w:sz w:val="44"/>
          <w:szCs w:val="44"/>
        </w:rPr>
        <w:br w:type="page"/>
      </w:r>
    </w:p>
    <w:p>
      <w:pPr>
        <w:jc w:val="center"/>
        <w:outlineLvl w:val="0"/>
        <w:rPr>
          <w:rFonts w:asciiTheme="minorEastAsia" w:hAnsiTheme="minorEastAsia" w:eastAsiaTheme="minorEastAsia" w:cstheme="minorEastAsia"/>
          <w:b/>
          <w:bCs/>
          <w:kern w:val="0"/>
          <w:sz w:val="44"/>
          <w:szCs w:val="44"/>
        </w:rPr>
      </w:pPr>
      <w:r>
        <w:rPr>
          <w:rFonts w:hint="eastAsia" w:asciiTheme="minorEastAsia" w:hAnsiTheme="minorEastAsia" w:eastAsiaTheme="minorEastAsia" w:cstheme="minorEastAsia"/>
          <w:b/>
          <w:bCs/>
          <w:kern w:val="0"/>
          <w:sz w:val="44"/>
          <w:szCs w:val="44"/>
        </w:rPr>
        <w:t>第六章  二次报价格式</w:t>
      </w:r>
      <w:bookmarkEnd w:id="30"/>
    </w:p>
    <w:p>
      <w:pPr>
        <w:jc w:val="center"/>
        <w:rPr>
          <w:rFonts w:ascii="宋体" w:hAnsi="Courier New"/>
          <w:b/>
          <w:sz w:val="32"/>
          <w:szCs w:val="20"/>
        </w:rPr>
      </w:pPr>
      <w:r>
        <w:rPr>
          <w:rFonts w:hint="eastAsia" w:ascii="宋体" w:hAnsi="Courier New"/>
          <w:b/>
          <w:sz w:val="32"/>
          <w:szCs w:val="20"/>
        </w:rPr>
        <w:t>（1）二次磋商报价表</w:t>
      </w:r>
    </w:p>
    <w:p>
      <w:pPr>
        <w:ind w:left="-178" w:leftChars="-85" w:right="-512" w:rightChars="-244" w:firstLine="630" w:firstLineChars="30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项目名称：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币种：人民币</w:t>
      </w:r>
    </w:p>
    <w:tbl>
      <w:tblPr>
        <w:tblStyle w:val="45"/>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3116"/>
        <w:gridCol w:w="1987"/>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100" w:type="dxa"/>
            <w:gridSpan w:val="2"/>
            <w:vAlign w:val="center"/>
          </w:tcPr>
          <w:p>
            <w:pPr>
              <w:widowControl/>
              <w:jc w:val="center"/>
              <w:rPr>
                <w:rFonts w:ascii="宋体" w:hAnsi="宋体" w:cs="宋体"/>
              </w:rPr>
            </w:pPr>
            <w:r>
              <w:rPr>
                <w:rFonts w:hint="eastAsia" w:ascii="宋体" w:hAnsi="宋体" w:cs="宋体"/>
              </w:rPr>
              <w:t>投标总价</w:t>
            </w:r>
          </w:p>
        </w:tc>
        <w:tc>
          <w:tcPr>
            <w:tcW w:w="1987" w:type="dxa"/>
            <w:vAlign w:val="center"/>
          </w:tcPr>
          <w:p>
            <w:pPr>
              <w:widowControl/>
              <w:jc w:val="right"/>
              <w:rPr>
                <w:rFonts w:ascii="宋体" w:hAnsi="宋体" w:cs="宋体"/>
              </w:rPr>
            </w:pPr>
            <w:r>
              <w:rPr>
                <w:rFonts w:hint="eastAsia" w:ascii="宋体" w:hAnsi="宋体" w:cs="宋体"/>
              </w:rPr>
              <w:t>万元</w:t>
            </w:r>
          </w:p>
        </w:tc>
        <w:tc>
          <w:tcPr>
            <w:tcW w:w="1702" w:type="dxa"/>
            <w:vAlign w:val="center"/>
          </w:tcPr>
          <w:p>
            <w:pPr>
              <w:widowControl/>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84" w:type="dxa"/>
            <w:vMerge w:val="restart"/>
            <w:vAlign w:val="center"/>
          </w:tcPr>
          <w:p>
            <w:pPr>
              <w:jc w:val="center"/>
              <w:rPr>
                <w:rFonts w:ascii="宋体" w:hAnsi="宋体" w:cs="宋体"/>
              </w:rPr>
            </w:pPr>
            <w:r>
              <w:rPr>
                <w:rFonts w:hint="eastAsia" w:ascii="宋体" w:hAnsi="宋体" w:cs="宋体"/>
              </w:rPr>
              <w:t>其中</w:t>
            </w:r>
          </w:p>
        </w:tc>
        <w:tc>
          <w:tcPr>
            <w:tcW w:w="3116" w:type="dxa"/>
            <w:vAlign w:val="center"/>
          </w:tcPr>
          <w:p>
            <w:pPr>
              <w:jc w:val="center"/>
              <w:rPr>
                <w:rFonts w:ascii="宋体" w:hAnsi="宋体" w:cs="宋体"/>
              </w:rPr>
            </w:pPr>
            <w:r>
              <w:rPr>
                <w:rFonts w:hint="eastAsia" w:ascii="宋体" w:hAnsi="宋体" w:cs="宋体"/>
              </w:rPr>
              <w:t>安全文明施工费</w:t>
            </w:r>
          </w:p>
        </w:tc>
        <w:tc>
          <w:tcPr>
            <w:tcW w:w="1987" w:type="dxa"/>
            <w:vAlign w:val="center"/>
          </w:tcPr>
          <w:p>
            <w:pPr>
              <w:jc w:val="right"/>
              <w:rPr>
                <w:rFonts w:ascii="宋体" w:hAnsi="宋体" w:cs="宋体"/>
              </w:rPr>
            </w:pPr>
            <w:r>
              <w:rPr>
                <w:rFonts w:hint="eastAsia" w:ascii="宋体" w:hAnsi="宋体" w:cs="宋体"/>
              </w:rPr>
              <w:t>万元</w:t>
            </w:r>
          </w:p>
        </w:tc>
        <w:tc>
          <w:tcPr>
            <w:tcW w:w="170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984" w:type="dxa"/>
            <w:vMerge w:val="continue"/>
            <w:vAlign w:val="center"/>
          </w:tcPr>
          <w:p>
            <w:pPr>
              <w:widowControl/>
              <w:jc w:val="center"/>
              <w:rPr>
                <w:rFonts w:ascii="宋体" w:hAnsi="宋体" w:cs="宋体"/>
              </w:rPr>
            </w:pPr>
          </w:p>
        </w:tc>
        <w:tc>
          <w:tcPr>
            <w:tcW w:w="3116" w:type="dxa"/>
            <w:vAlign w:val="center"/>
          </w:tcPr>
          <w:p>
            <w:pPr>
              <w:jc w:val="center"/>
              <w:rPr>
                <w:rFonts w:ascii="宋体" w:hAnsi="宋体" w:cs="宋体"/>
              </w:rPr>
            </w:pPr>
            <w:r>
              <w:rPr>
                <w:rFonts w:hint="eastAsia" w:ascii="宋体" w:hAnsi="宋体" w:cs="宋体"/>
              </w:rPr>
              <w:t>发包人提供材料（设备）暂估价（如有）</w:t>
            </w:r>
          </w:p>
        </w:tc>
        <w:tc>
          <w:tcPr>
            <w:tcW w:w="1987" w:type="dxa"/>
            <w:vAlign w:val="center"/>
          </w:tcPr>
          <w:p>
            <w:pPr>
              <w:widowControl/>
              <w:jc w:val="right"/>
              <w:rPr>
                <w:rFonts w:ascii="宋体" w:hAnsi="宋体" w:cs="宋体"/>
              </w:rPr>
            </w:pPr>
            <w:r>
              <w:rPr>
                <w:rFonts w:hint="eastAsia" w:ascii="宋体" w:hAnsi="宋体" w:cs="宋体"/>
              </w:rPr>
              <w:t>万元</w:t>
            </w:r>
          </w:p>
        </w:tc>
        <w:tc>
          <w:tcPr>
            <w:tcW w:w="1702" w:type="dxa"/>
          </w:tcPr>
          <w:p>
            <w:pPr>
              <w:widowControl/>
              <w:ind w:right="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984" w:type="dxa"/>
            <w:vMerge w:val="continue"/>
            <w:vAlign w:val="center"/>
          </w:tcPr>
          <w:p>
            <w:pPr>
              <w:widowControl/>
              <w:jc w:val="center"/>
              <w:rPr>
                <w:rFonts w:ascii="宋体" w:hAnsi="宋体" w:cs="宋体"/>
              </w:rPr>
            </w:pPr>
          </w:p>
        </w:tc>
        <w:tc>
          <w:tcPr>
            <w:tcW w:w="3116" w:type="dxa"/>
            <w:vAlign w:val="center"/>
          </w:tcPr>
          <w:p>
            <w:pPr>
              <w:widowControl/>
              <w:rPr>
                <w:rFonts w:ascii="宋体" w:hAnsi="宋体" w:cs="宋体"/>
              </w:rPr>
            </w:pPr>
            <w:r>
              <w:rPr>
                <w:rFonts w:hint="eastAsia" w:ascii="宋体" w:hAnsi="宋体" w:cs="宋体"/>
              </w:rPr>
              <w:t>专业工程暂估价（如有）</w:t>
            </w:r>
          </w:p>
        </w:tc>
        <w:tc>
          <w:tcPr>
            <w:tcW w:w="1987" w:type="dxa"/>
            <w:vAlign w:val="center"/>
          </w:tcPr>
          <w:p>
            <w:pPr>
              <w:widowControl/>
              <w:jc w:val="right"/>
              <w:rPr>
                <w:rFonts w:ascii="宋体" w:hAnsi="宋体" w:cs="宋体"/>
              </w:rPr>
            </w:pPr>
            <w:r>
              <w:rPr>
                <w:rFonts w:hint="eastAsia" w:ascii="宋体" w:hAnsi="宋体" w:cs="宋体"/>
              </w:rPr>
              <w:t>万元</w:t>
            </w:r>
          </w:p>
        </w:tc>
        <w:tc>
          <w:tcPr>
            <w:tcW w:w="1702" w:type="dxa"/>
          </w:tcPr>
          <w:p>
            <w:pPr>
              <w:widowControl/>
              <w:ind w:right="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984" w:type="dxa"/>
            <w:vMerge w:val="continue"/>
            <w:vAlign w:val="center"/>
          </w:tcPr>
          <w:p>
            <w:pPr>
              <w:widowControl/>
              <w:jc w:val="center"/>
              <w:rPr>
                <w:rFonts w:ascii="宋体" w:hAnsi="宋体" w:cs="宋体"/>
              </w:rPr>
            </w:pPr>
          </w:p>
        </w:tc>
        <w:tc>
          <w:tcPr>
            <w:tcW w:w="3116" w:type="dxa"/>
            <w:vAlign w:val="center"/>
          </w:tcPr>
          <w:p>
            <w:pPr>
              <w:widowControl/>
              <w:ind w:firstLine="945" w:firstLineChars="450"/>
              <w:rPr>
                <w:rFonts w:ascii="宋体" w:hAnsi="宋体" w:cs="宋体"/>
              </w:rPr>
            </w:pPr>
            <w:r>
              <w:rPr>
                <w:rFonts w:hint="eastAsia" w:ascii="宋体" w:hAnsi="宋体" w:cs="宋体"/>
              </w:rPr>
              <w:t>暂列金额（如有）</w:t>
            </w:r>
          </w:p>
        </w:tc>
        <w:tc>
          <w:tcPr>
            <w:tcW w:w="1987" w:type="dxa"/>
            <w:vAlign w:val="center"/>
          </w:tcPr>
          <w:p>
            <w:pPr>
              <w:widowControl/>
              <w:jc w:val="right"/>
              <w:rPr>
                <w:rFonts w:ascii="宋体" w:hAnsi="宋体" w:cs="宋体"/>
              </w:rPr>
            </w:pPr>
            <w:r>
              <w:rPr>
                <w:rFonts w:hint="eastAsia" w:ascii="宋体" w:hAnsi="宋体" w:cs="宋体"/>
              </w:rPr>
              <w:t>万元</w:t>
            </w:r>
          </w:p>
        </w:tc>
        <w:tc>
          <w:tcPr>
            <w:tcW w:w="1702" w:type="dxa"/>
          </w:tcPr>
          <w:p>
            <w:pPr>
              <w:widowControl/>
              <w:ind w:right="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984" w:type="dxa"/>
            <w:vMerge w:val="restart"/>
            <w:vAlign w:val="center"/>
          </w:tcPr>
          <w:p>
            <w:pPr>
              <w:widowControl/>
              <w:jc w:val="center"/>
              <w:rPr>
                <w:rFonts w:ascii="宋体" w:hAnsi="宋体" w:cs="宋体"/>
              </w:rPr>
            </w:pPr>
            <w:r>
              <w:rPr>
                <w:rFonts w:hint="eastAsia" w:ascii="宋体" w:hAnsi="宋体" w:cs="宋体"/>
              </w:rPr>
              <w:t>主要材料</w:t>
            </w:r>
          </w:p>
        </w:tc>
        <w:tc>
          <w:tcPr>
            <w:tcW w:w="3116" w:type="dxa"/>
            <w:vAlign w:val="center"/>
          </w:tcPr>
          <w:p>
            <w:pPr>
              <w:widowControl/>
              <w:jc w:val="center"/>
              <w:rPr>
                <w:rFonts w:ascii="宋体" w:hAnsi="宋体" w:cs="宋体"/>
              </w:rPr>
            </w:pPr>
            <w:r>
              <w:rPr>
                <w:rFonts w:hint="eastAsia" w:ascii="宋体" w:hAnsi="宋体" w:cs="宋体"/>
              </w:rPr>
              <w:t>钢筋</w:t>
            </w:r>
          </w:p>
        </w:tc>
        <w:tc>
          <w:tcPr>
            <w:tcW w:w="1987" w:type="dxa"/>
            <w:vAlign w:val="center"/>
          </w:tcPr>
          <w:p>
            <w:pPr>
              <w:widowControl/>
              <w:jc w:val="right"/>
              <w:rPr>
                <w:rFonts w:ascii="宋体" w:hAnsi="宋体" w:cs="宋体"/>
              </w:rPr>
            </w:pPr>
            <w:r>
              <w:rPr>
                <w:rFonts w:hint="eastAsia" w:ascii="宋体" w:hAnsi="宋体" w:cs="宋体"/>
              </w:rPr>
              <w:t>吨</w:t>
            </w:r>
          </w:p>
        </w:tc>
        <w:tc>
          <w:tcPr>
            <w:tcW w:w="1702" w:type="dxa"/>
          </w:tcPr>
          <w:p>
            <w:pPr>
              <w:widowControl/>
              <w:jc w:val="righ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84" w:type="dxa"/>
            <w:vMerge w:val="continue"/>
            <w:vAlign w:val="center"/>
          </w:tcPr>
          <w:p>
            <w:pPr>
              <w:widowControl/>
              <w:jc w:val="center"/>
              <w:rPr>
                <w:rFonts w:ascii="宋体" w:hAnsi="宋体" w:cs="宋体"/>
              </w:rPr>
            </w:pPr>
          </w:p>
        </w:tc>
        <w:tc>
          <w:tcPr>
            <w:tcW w:w="3116" w:type="dxa"/>
            <w:vAlign w:val="center"/>
          </w:tcPr>
          <w:p>
            <w:pPr>
              <w:widowControl/>
              <w:jc w:val="center"/>
              <w:rPr>
                <w:rFonts w:ascii="宋体" w:hAnsi="宋体" w:cs="宋体"/>
              </w:rPr>
            </w:pPr>
            <w:r>
              <w:rPr>
                <w:rFonts w:hint="eastAsia" w:ascii="宋体" w:hAnsi="宋体" w:cs="宋体"/>
              </w:rPr>
              <w:t>水泥（不含商品混凝土用量）</w:t>
            </w:r>
          </w:p>
        </w:tc>
        <w:tc>
          <w:tcPr>
            <w:tcW w:w="1987" w:type="dxa"/>
            <w:vAlign w:val="center"/>
          </w:tcPr>
          <w:p>
            <w:pPr>
              <w:widowControl/>
              <w:tabs>
                <w:tab w:val="left" w:pos="2398"/>
              </w:tabs>
              <w:ind w:right="18"/>
              <w:jc w:val="right"/>
              <w:rPr>
                <w:rFonts w:ascii="宋体" w:hAnsi="宋体" w:cs="宋体"/>
              </w:rPr>
            </w:pPr>
            <w:r>
              <w:rPr>
                <w:rFonts w:hint="eastAsia" w:ascii="宋体" w:hAnsi="宋体" w:cs="宋体"/>
              </w:rPr>
              <w:t>吨</w:t>
            </w:r>
          </w:p>
        </w:tc>
        <w:tc>
          <w:tcPr>
            <w:tcW w:w="1702" w:type="dxa"/>
          </w:tcPr>
          <w:p>
            <w:pPr>
              <w:widowControl/>
              <w:jc w:val="righ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984" w:type="dxa"/>
            <w:vMerge w:val="continue"/>
            <w:vAlign w:val="center"/>
          </w:tcPr>
          <w:p>
            <w:pPr>
              <w:widowControl/>
              <w:jc w:val="center"/>
              <w:rPr>
                <w:rFonts w:ascii="宋体" w:hAnsi="宋体" w:cs="宋体"/>
              </w:rPr>
            </w:pPr>
          </w:p>
        </w:tc>
        <w:tc>
          <w:tcPr>
            <w:tcW w:w="3116" w:type="dxa"/>
            <w:vAlign w:val="center"/>
          </w:tcPr>
          <w:p>
            <w:pPr>
              <w:widowControl/>
              <w:jc w:val="center"/>
              <w:rPr>
                <w:rFonts w:ascii="宋体" w:hAnsi="宋体" w:cs="宋体"/>
              </w:rPr>
            </w:pPr>
            <w:r>
              <w:rPr>
                <w:rFonts w:hint="eastAsia" w:ascii="宋体" w:hAnsi="宋体" w:cs="宋体"/>
              </w:rPr>
              <w:t>商品混凝土</w:t>
            </w:r>
          </w:p>
        </w:tc>
        <w:tc>
          <w:tcPr>
            <w:tcW w:w="1987" w:type="dxa"/>
            <w:vAlign w:val="center"/>
          </w:tcPr>
          <w:p>
            <w:pPr>
              <w:widowControl/>
              <w:jc w:val="right"/>
              <w:rPr>
                <w:rFonts w:ascii="宋体" w:hAnsi="宋体" w:cs="宋体"/>
              </w:rPr>
            </w:pPr>
            <w:r>
              <w:rPr>
                <w:rFonts w:hint="eastAsia" w:ascii="宋体" w:hAnsi="宋体" w:cs="宋体"/>
              </w:rPr>
              <w:t>m</w:t>
            </w:r>
            <w:r>
              <w:rPr>
                <w:rFonts w:hint="eastAsia" w:ascii="宋体" w:hAnsi="宋体" w:cs="宋体"/>
                <w:vertAlign w:val="superscript"/>
              </w:rPr>
              <w:t>3</w:t>
            </w:r>
          </w:p>
        </w:tc>
        <w:tc>
          <w:tcPr>
            <w:tcW w:w="1702" w:type="dxa"/>
          </w:tcPr>
          <w:p>
            <w:pPr>
              <w:widowControl/>
              <w:jc w:val="righ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789" w:type="dxa"/>
            <w:gridSpan w:val="4"/>
            <w:vAlign w:val="center"/>
          </w:tcPr>
          <w:p>
            <w:pPr>
              <w:pStyle w:val="173"/>
              <w:spacing w:line="360" w:lineRule="auto"/>
              <w:jc w:val="left"/>
              <w:rPr>
                <w:rStyle w:val="167"/>
                <w:rFonts w:ascii="宋体" w:hAnsi="宋体"/>
                <w:u w:val="single"/>
              </w:rPr>
            </w:pPr>
            <w:r>
              <w:rPr>
                <w:rStyle w:val="167"/>
                <w:rFonts w:ascii="宋体" w:hAnsi="宋体"/>
              </w:rPr>
              <w:t>统一社会信用代码：</w:t>
            </w:r>
            <w:r>
              <w:rPr>
                <w:rStyle w:val="167"/>
                <w:rFonts w:hint="eastAsia" w:ascii="宋体" w:hAnsi="宋体"/>
                <w:u w:val="single"/>
              </w:rPr>
              <w:t xml:space="preserve">                                   </w:t>
            </w:r>
          </w:p>
          <w:p>
            <w:pPr>
              <w:pStyle w:val="173"/>
              <w:spacing w:line="360" w:lineRule="auto"/>
              <w:jc w:val="left"/>
              <w:rPr>
                <w:rStyle w:val="167"/>
                <w:rFonts w:ascii="宋体" w:hAnsi="宋体"/>
              </w:rPr>
            </w:pPr>
            <w:r>
              <w:rPr>
                <w:rStyle w:val="167"/>
                <w:rFonts w:ascii="宋体" w:hAnsi="宋体"/>
              </w:rPr>
              <w:t>法定代表人身份证号：</w:t>
            </w:r>
            <w:r>
              <w:rPr>
                <w:rStyle w:val="167"/>
                <w:rFonts w:hint="eastAsia" w:ascii="宋体" w:hAnsi="宋体"/>
                <w:u w:val="single"/>
              </w:rPr>
              <w:t xml:space="preserve">                                 </w:t>
            </w:r>
          </w:p>
          <w:p>
            <w:pPr>
              <w:pStyle w:val="173"/>
              <w:spacing w:line="360" w:lineRule="auto"/>
              <w:jc w:val="left"/>
              <w:rPr>
                <w:rStyle w:val="167"/>
                <w:rFonts w:ascii="宋体" w:hAnsi="宋体"/>
              </w:rPr>
            </w:pPr>
            <w:r>
              <w:rPr>
                <w:rStyle w:val="167"/>
                <w:rFonts w:ascii="宋体" w:hAnsi="宋体"/>
              </w:rPr>
              <w:t>主要人员信息：</w:t>
            </w:r>
          </w:p>
          <w:p>
            <w:pPr>
              <w:pStyle w:val="173"/>
              <w:spacing w:line="360" w:lineRule="auto"/>
              <w:rPr>
                <w:rStyle w:val="167"/>
                <w:rFonts w:ascii="宋体" w:hAnsi="宋体"/>
              </w:rPr>
            </w:pPr>
            <w:r>
              <w:rPr>
                <w:rStyle w:val="167"/>
                <w:rFonts w:ascii="宋体" w:hAnsi="宋体"/>
              </w:rPr>
              <w:t>项目经理：</w:t>
            </w:r>
            <w:r>
              <w:rPr>
                <w:rStyle w:val="167"/>
                <w:rFonts w:ascii="宋体" w:hAnsi="宋体"/>
                <w:u w:val="single"/>
              </w:rPr>
              <w:t>姓名</w:t>
            </w:r>
            <w:r>
              <w:rPr>
                <w:rStyle w:val="167"/>
                <w:rFonts w:ascii="宋体" w:hAnsi="宋体"/>
              </w:rPr>
              <w:t>（注册编号：</w:t>
            </w:r>
            <w:r>
              <w:rPr>
                <w:rStyle w:val="167"/>
                <w:rFonts w:hint="eastAsia" w:ascii="宋体" w:hAnsi="宋体"/>
                <w:u w:val="single"/>
              </w:rPr>
              <w:t xml:space="preserve">               </w:t>
            </w:r>
            <w:r>
              <w:rPr>
                <w:rStyle w:val="167"/>
                <w:rFonts w:ascii="宋体" w:hAnsi="宋体"/>
              </w:rPr>
              <w:t>身份证号：</w:t>
            </w:r>
            <w:r>
              <w:rPr>
                <w:rStyle w:val="167"/>
                <w:rFonts w:hint="eastAsia" w:ascii="宋体" w:hAnsi="宋体"/>
                <w:u w:val="single"/>
              </w:rPr>
              <w:t xml:space="preserve">                        </w:t>
            </w:r>
            <w:r>
              <w:rPr>
                <w:rStyle w:val="167"/>
                <w:rFonts w:ascii="宋体" w:hAnsi="宋体"/>
              </w:rPr>
              <w:t>）</w:t>
            </w:r>
          </w:p>
          <w:p>
            <w:pPr>
              <w:pStyle w:val="173"/>
              <w:spacing w:line="360" w:lineRule="auto"/>
              <w:rPr>
                <w:rStyle w:val="167"/>
                <w:rFonts w:ascii="宋体" w:hAnsi="宋体"/>
              </w:rPr>
            </w:pPr>
            <w:r>
              <w:rPr>
                <w:rStyle w:val="167"/>
                <w:rFonts w:ascii="宋体" w:hAnsi="宋体"/>
              </w:rPr>
              <w:t>技术负责人：</w:t>
            </w:r>
            <w:r>
              <w:rPr>
                <w:rStyle w:val="167"/>
                <w:rFonts w:ascii="宋体" w:hAnsi="宋体"/>
                <w:u w:val="single"/>
              </w:rPr>
              <w:t>姓名</w:t>
            </w:r>
            <w:r>
              <w:rPr>
                <w:rStyle w:val="167"/>
                <w:rFonts w:ascii="宋体" w:hAnsi="宋体"/>
              </w:rPr>
              <w:t>（证书号：</w:t>
            </w:r>
            <w:r>
              <w:rPr>
                <w:rStyle w:val="167"/>
                <w:rFonts w:hint="eastAsia" w:ascii="宋体" w:hAnsi="宋体"/>
                <w:u w:val="single"/>
              </w:rPr>
              <w:t xml:space="preserve">                </w:t>
            </w:r>
            <w:r>
              <w:rPr>
                <w:rStyle w:val="167"/>
                <w:rFonts w:ascii="宋体" w:hAnsi="宋体"/>
              </w:rPr>
              <w:t>）</w:t>
            </w:r>
          </w:p>
          <w:p>
            <w:pPr>
              <w:pStyle w:val="173"/>
              <w:spacing w:line="360" w:lineRule="auto"/>
              <w:rPr>
                <w:rStyle w:val="167"/>
                <w:rFonts w:ascii="宋体" w:hAnsi="宋体"/>
              </w:rPr>
            </w:pPr>
            <w:r>
              <w:rPr>
                <w:rStyle w:val="167"/>
                <w:rFonts w:ascii="宋体" w:hAnsi="宋体"/>
              </w:rPr>
              <w:t>安全员：</w:t>
            </w:r>
            <w:r>
              <w:rPr>
                <w:rStyle w:val="167"/>
                <w:rFonts w:ascii="宋体" w:hAnsi="宋体"/>
                <w:u w:val="single"/>
              </w:rPr>
              <w:t>姓名</w:t>
            </w:r>
            <w:r>
              <w:rPr>
                <w:rStyle w:val="167"/>
                <w:rFonts w:ascii="宋体" w:hAnsi="宋体"/>
              </w:rPr>
              <w:t>（</w:t>
            </w:r>
            <w:r>
              <w:rPr>
                <w:rFonts w:hint="eastAsia" w:ascii="宋体" w:hAnsi="宋体" w:cs="宋体"/>
                <w:szCs w:val="21"/>
                <w:lang w:val="zh-CN"/>
              </w:rPr>
              <w:t>安全生产考核合格证书编号</w:t>
            </w:r>
            <w:r>
              <w:rPr>
                <w:rStyle w:val="167"/>
                <w:rFonts w:ascii="宋体" w:hAnsi="宋体"/>
              </w:rPr>
              <w:t>：</w:t>
            </w:r>
            <w:r>
              <w:rPr>
                <w:rStyle w:val="167"/>
                <w:rFonts w:hint="eastAsia" w:ascii="宋体" w:hAnsi="宋体"/>
                <w:u w:val="single"/>
              </w:rPr>
              <w:t xml:space="preserve">          </w:t>
            </w:r>
            <w:r>
              <w:rPr>
                <w:rStyle w:val="167"/>
                <w:rFonts w:ascii="宋体" w:hAnsi="宋体"/>
              </w:rPr>
              <w:t xml:space="preserve"> 身份证号：</w:t>
            </w:r>
            <w:r>
              <w:rPr>
                <w:rStyle w:val="167"/>
                <w:rFonts w:hint="eastAsia" w:ascii="宋体" w:hAnsi="宋体"/>
                <w:u w:val="single"/>
              </w:rPr>
              <w:t xml:space="preserve">              </w:t>
            </w:r>
            <w:r>
              <w:rPr>
                <w:rStyle w:val="167"/>
                <w:rFonts w:ascii="宋体" w:hAnsi="宋体"/>
              </w:rPr>
              <w:t>）</w:t>
            </w:r>
          </w:p>
          <w:p>
            <w:pPr>
              <w:pStyle w:val="173"/>
              <w:spacing w:line="360" w:lineRule="auto"/>
              <w:rPr>
                <w:rStyle w:val="167"/>
                <w:rFonts w:ascii="宋体" w:hAnsi="宋体"/>
              </w:rPr>
            </w:pPr>
            <w:r>
              <w:rPr>
                <w:rStyle w:val="167"/>
                <w:rFonts w:hint="eastAsia" w:ascii="宋体" w:hAnsi="宋体"/>
              </w:rPr>
              <w:t>材料</w:t>
            </w:r>
            <w:r>
              <w:rPr>
                <w:rStyle w:val="167"/>
                <w:rFonts w:ascii="宋体" w:hAnsi="宋体"/>
              </w:rPr>
              <w:t>员：</w:t>
            </w:r>
            <w:r>
              <w:rPr>
                <w:rStyle w:val="167"/>
                <w:rFonts w:ascii="宋体" w:hAnsi="宋体"/>
                <w:u w:val="single"/>
              </w:rPr>
              <w:t>姓名</w:t>
            </w:r>
            <w:r>
              <w:rPr>
                <w:rStyle w:val="167"/>
                <w:rFonts w:ascii="宋体" w:hAnsi="宋体"/>
              </w:rPr>
              <w:t>（证书号：</w:t>
            </w:r>
            <w:r>
              <w:rPr>
                <w:rStyle w:val="167"/>
                <w:rFonts w:hint="eastAsia" w:ascii="宋体" w:hAnsi="宋体"/>
                <w:u w:val="single"/>
              </w:rPr>
              <w:t xml:space="preserve">                    </w:t>
            </w:r>
            <w:r>
              <w:rPr>
                <w:rStyle w:val="167"/>
                <w:rFonts w:ascii="宋体" w:hAnsi="宋体"/>
              </w:rPr>
              <w:t>）</w:t>
            </w:r>
          </w:p>
          <w:p>
            <w:pPr>
              <w:pStyle w:val="173"/>
              <w:spacing w:line="360" w:lineRule="auto"/>
              <w:rPr>
                <w:rStyle w:val="167"/>
                <w:rFonts w:ascii="宋体" w:hAnsi="宋体"/>
              </w:rPr>
            </w:pPr>
            <w:r>
              <w:rPr>
                <w:rStyle w:val="167"/>
                <w:rFonts w:hint="eastAsia" w:ascii="宋体" w:hAnsi="宋体"/>
              </w:rPr>
              <w:t>质量员</w:t>
            </w:r>
            <w:r>
              <w:rPr>
                <w:rStyle w:val="167"/>
                <w:rFonts w:ascii="宋体" w:hAnsi="宋体"/>
              </w:rPr>
              <w:t>：</w:t>
            </w:r>
            <w:r>
              <w:rPr>
                <w:rStyle w:val="167"/>
                <w:rFonts w:ascii="宋体" w:hAnsi="宋体"/>
                <w:u w:val="single"/>
              </w:rPr>
              <w:t>姓名</w:t>
            </w:r>
            <w:r>
              <w:rPr>
                <w:rStyle w:val="167"/>
                <w:rFonts w:ascii="宋体" w:hAnsi="宋体"/>
              </w:rPr>
              <w:t>（证书号：</w:t>
            </w:r>
            <w:r>
              <w:rPr>
                <w:rStyle w:val="167"/>
                <w:rFonts w:hint="eastAsia" w:ascii="宋体" w:hAnsi="宋体"/>
                <w:u w:val="single"/>
              </w:rPr>
              <w:t xml:space="preserve">                    </w:t>
            </w:r>
            <w:r>
              <w:rPr>
                <w:rStyle w:val="167"/>
                <w:rFonts w:ascii="宋体" w:hAnsi="宋体"/>
              </w:rPr>
              <w:t>）</w:t>
            </w:r>
          </w:p>
          <w:p>
            <w:pPr>
              <w:pStyle w:val="173"/>
              <w:spacing w:line="360" w:lineRule="auto"/>
              <w:rPr>
                <w:rStyle w:val="167"/>
                <w:rFonts w:ascii="宋体" w:hAnsi="宋体"/>
              </w:rPr>
            </w:pPr>
            <w:r>
              <w:rPr>
                <w:rStyle w:val="167"/>
                <w:rFonts w:ascii="宋体" w:hAnsi="宋体"/>
              </w:rPr>
              <w:t>施工员：</w:t>
            </w:r>
            <w:r>
              <w:rPr>
                <w:rStyle w:val="167"/>
                <w:rFonts w:ascii="宋体" w:hAnsi="宋体"/>
                <w:u w:val="single"/>
              </w:rPr>
              <w:t>姓名</w:t>
            </w:r>
            <w:r>
              <w:rPr>
                <w:rStyle w:val="167"/>
                <w:rFonts w:ascii="宋体" w:hAnsi="宋体"/>
              </w:rPr>
              <w:t>（证书号：</w:t>
            </w:r>
            <w:r>
              <w:rPr>
                <w:rStyle w:val="167"/>
                <w:rFonts w:hint="eastAsia" w:ascii="宋体" w:hAnsi="宋体"/>
                <w:u w:val="single"/>
              </w:rPr>
              <w:t xml:space="preserve">                    </w:t>
            </w:r>
            <w:r>
              <w:rPr>
                <w:rStyle w:val="167"/>
                <w:rFonts w:ascii="宋体" w:hAnsi="宋体"/>
              </w:rPr>
              <w:t>）</w:t>
            </w:r>
          </w:p>
          <w:p>
            <w:pPr>
              <w:pStyle w:val="173"/>
              <w:spacing w:line="360" w:lineRule="auto"/>
              <w:rPr>
                <w:rStyle w:val="167"/>
                <w:rFonts w:ascii="宋体" w:hAnsi="宋体"/>
              </w:rPr>
            </w:pPr>
            <w:r>
              <w:rPr>
                <w:rStyle w:val="167"/>
                <w:rFonts w:hint="eastAsia" w:ascii="宋体" w:hAnsi="宋体"/>
              </w:rPr>
              <w:t>质检员</w:t>
            </w:r>
            <w:r>
              <w:rPr>
                <w:rStyle w:val="167"/>
                <w:rFonts w:ascii="宋体" w:hAnsi="宋体"/>
              </w:rPr>
              <w:t>（如有）：</w:t>
            </w:r>
            <w:r>
              <w:rPr>
                <w:rStyle w:val="167"/>
                <w:rFonts w:ascii="宋体" w:hAnsi="宋体"/>
                <w:u w:val="single"/>
              </w:rPr>
              <w:t>姓名</w:t>
            </w:r>
            <w:r>
              <w:rPr>
                <w:rStyle w:val="167"/>
                <w:rFonts w:ascii="宋体" w:hAnsi="宋体"/>
              </w:rPr>
              <w:t>（证书号：</w:t>
            </w:r>
            <w:r>
              <w:rPr>
                <w:rStyle w:val="167"/>
                <w:rFonts w:hint="eastAsia" w:ascii="宋体" w:hAnsi="宋体"/>
                <w:u w:val="single"/>
              </w:rPr>
              <w:t xml:space="preserve">            </w:t>
            </w:r>
            <w:r>
              <w:rPr>
                <w:rStyle w:val="167"/>
                <w:rFonts w:ascii="宋体" w:hAnsi="宋体"/>
              </w:rPr>
              <w:t>）</w:t>
            </w:r>
          </w:p>
          <w:p>
            <w:pPr>
              <w:pStyle w:val="173"/>
              <w:spacing w:line="360" w:lineRule="auto"/>
              <w:rPr>
                <w:rStyle w:val="167"/>
                <w:rFonts w:ascii="宋体" w:hAnsi="宋体"/>
              </w:rPr>
            </w:pPr>
            <w:r>
              <w:rPr>
                <w:rStyle w:val="167"/>
                <w:rFonts w:ascii="宋体" w:hAnsi="宋体"/>
                <w:szCs w:val="21"/>
              </w:rPr>
              <w:t>投标所用企业业绩</w:t>
            </w:r>
            <w:r>
              <w:rPr>
                <w:rStyle w:val="167"/>
                <w:rFonts w:ascii="宋体" w:hAnsi="宋体"/>
              </w:rPr>
              <w:t>（如有）</w:t>
            </w:r>
            <w:r>
              <w:rPr>
                <w:rStyle w:val="167"/>
                <w:rFonts w:ascii="宋体" w:hAnsi="宋体"/>
                <w:szCs w:val="21"/>
              </w:rPr>
              <w:t>:</w:t>
            </w:r>
          </w:p>
          <w:p>
            <w:pPr>
              <w:pStyle w:val="173"/>
              <w:spacing w:line="360" w:lineRule="auto"/>
              <w:rPr>
                <w:rStyle w:val="167"/>
                <w:rFonts w:ascii="宋体" w:hAnsi="宋体"/>
                <w:u w:val="single"/>
              </w:rPr>
            </w:pPr>
            <w:r>
              <w:rPr>
                <w:rStyle w:val="167"/>
                <w:rFonts w:ascii="宋体" w:hAnsi="宋体"/>
              </w:rPr>
              <w:t>承诺工期：</w:t>
            </w:r>
            <w:r>
              <w:rPr>
                <w:rStyle w:val="167"/>
                <w:rFonts w:ascii="宋体" w:hAnsi="宋体"/>
                <w:u w:val="single"/>
              </w:rPr>
              <w:t xml:space="preserve">    </w:t>
            </w:r>
            <w:r>
              <w:rPr>
                <w:rStyle w:val="167"/>
                <w:rFonts w:ascii="宋体" w:hAnsi="宋体"/>
              </w:rPr>
              <w:t>日历天               承诺质量标准：</w:t>
            </w:r>
            <w:r>
              <w:rPr>
                <w:rStyle w:val="167"/>
                <w:rFonts w:ascii="宋体" w:hAnsi="宋体"/>
                <w:u w:val="single"/>
              </w:rPr>
              <w:t xml:space="preserve"> </w:t>
            </w:r>
            <w:r>
              <w:rPr>
                <w:rStyle w:val="167"/>
                <w:rFonts w:hint="eastAsia" w:ascii="宋体" w:hAnsi="宋体"/>
                <w:u w:val="single"/>
              </w:rPr>
              <w:t xml:space="preserve">                     </w:t>
            </w:r>
          </w:p>
          <w:p>
            <w:pPr>
              <w:widowControl/>
              <w:rPr>
                <w:rFonts w:ascii="宋体" w:hAnsi="宋体" w:cs="宋体"/>
              </w:rPr>
            </w:pPr>
            <w:r>
              <w:rPr>
                <w:rStyle w:val="167"/>
                <w:rFonts w:ascii="宋体" w:hAnsi="宋体"/>
                <w:szCs w:val="24"/>
              </w:rPr>
              <w:t>投标人地址：</w:t>
            </w:r>
            <w:r>
              <w:rPr>
                <w:rStyle w:val="167"/>
                <w:rFonts w:ascii="宋体" w:hAnsi="宋体"/>
                <w:szCs w:val="24"/>
                <w:u w:val="single"/>
              </w:rPr>
              <w:t xml:space="preserve"> </w:t>
            </w:r>
            <w:r>
              <w:rPr>
                <w:rStyle w:val="167"/>
                <w:rFonts w:hint="eastAsia" w:ascii="宋体" w:hAnsi="宋体"/>
                <w:szCs w:val="24"/>
                <w:u w:val="single"/>
              </w:rPr>
              <w:t xml:space="preserve">                   </w:t>
            </w:r>
          </w:p>
        </w:tc>
      </w:tr>
    </w:tbl>
    <w:p>
      <w:pPr>
        <w:spacing w:line="480" w:lineRule="auto"/>
        <w:ind w:firstLine="210" w:firstLineChars="100"/>
        <w:rPr>
          <w:rFonts w:asciiTheme="minorEastAsia" w:hAnsiTheme="minorEastAsia" w:eastAsiaTheme="minorEastAsia" w:cstheme="minorEastAsia"/>
        </w:rPr>
      </w:pPr>
    </w:p>
    <w:p>
      <w:pPr>
        <w:spacing w:line="480" w:lineRule="auto"/>
        <w:ind w:firstLine="21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投标人（盖单位章）：</w:t>
      </w:r>
      <w:r>
        <w:rPr>
          <w:rFonts w:hint="eastAsia" w:asciiTheme="minorEastAsia" w:hAnsiTheme="minorEastAsia" w:eastAsiaTheme="minorEastAsia" w:cstheme="minorEastAsia"/>
          <w:u w:val="single"/>
        </w:rPr>
        <w:t xml:space="preserve">                                 </w:t>
      </w:r>
    </w:p>
    <w:p>
      <w:pPr>
        <w:spacing w:line="480" w:lineRule="auto"/>
        <w:ind w:firstLine="21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法定代表人或其委托代理人（签字或盖章）：</w:t>
      </w:r>
      <w:r>
        <w:rPr>
          <w:rFonts w:hint="eastAsia" w:asciiTheme="minorEastAsia" w:hAnsiTheme="minorEastAsia" w:eastAsiaTheme="minorEastAsia" w:cstheme="minorEastAsia"/>
          <w:u w:val="single"/>
        </w:rPr>
        <w:t xml:space="preserve">              </w:t>
      </w:r>
    </w:p>
    <w:p>
      <w:pPr>
        <w:spacing w:line="480" w:lineRule="auto"/>
        <w:ind w:firstLine="21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rPr>
          <w:rFonts w:ascii="宋体" w:cs="宋体"/>
          <w:kern w:val="0"/>
          <w:sz w:val="31"/>
          <w:szCs w:val="31"/>
        </w:rPr>
      </w:pPr>
      <w:r>
        <w:rPr>
          <w:rFonts w:hint="eastAsia" w:ascii="宋体" w:cs="宋体"/>
          <w:kern w:val="0"/>
          <w:sz w:val="31"/>
          <w:szCs w:val="31"/>
        </w:rPr>
        <w:br w:type="page"/>
      </w:r>
    </w:p>
    <w:p>
      <w:pPr>
        <w:autoSpaceDE w:val="0"/>
        <w:autoSpaceDN w:val="0"/>
        <w:adjustRightInd w:val="0"/>
        <w:ind w:firstLine="2325" w:firstLineChars="750"/>
        <w:jc w:val="left"/>
        <w:rPr>
          <w:rFonts w:ascii="宋体" w:cs="宋体"/>
          <w:kern w:val="0"/>
          <w:sz w:val="31"/>
          <w:szCs w:val="31"/>
        </w:rPr>
      </w:pPr>
      <w:r>
        <w:rPr>
          <w:rFonts w:hint="eastAsia" w:ascii="宋体" w:cs="宋体"/>
          <w:kern w:val="0"/>
          <w:sz w:val="31"/>
          <w:szCs w:val="31"/>
        </w:rPr>
        <w:t>（2）二次报价已标价工程量清单</w:t>
      </w:r>
    </w:p>
    <w:p>
      <w:pPr>
        <w:pStyle w:val="21"/>
        <w:ind w:firstLine="482"/>
      </w:pPr>
    </w:p>
    <w:p>
      <w:pPr>
        <w:spacing w:line="360" w:lineRule="auto"/>
        <w:ind w:firstLine="420" w:firstLineChars="200"/>
      </w:pPr>
      <w:r>
        <w:rPr>
          <w:rFonts w:hint="eastAsia"/>
        </w:rPr>
        <w:t>1.</w:t>
      </w:r>
      <w:r>
        <w:t xml:space="preserve"> </w:t>
      </w:r>
      <w:r>
        <w:rPr>
          <w:rFonts w:hint="eastAsia" w:cs="宋体"/>
        </w:rPr>
        <w:t>供应商应依据竞争性磋商文件、招标工程量清单、</w:t>
      </w:r>
      <w:r>
        <w:rPr>
          <w:rFonts w:hint="eastAsia" w:asciiTheme="minorEastAsia" w:hAnsiTheme="minorEastAsia" w:eastAsiaTheme="minorEastAsia" w:cstheme="minorEastAsia"/>
        </w:rPr>
        <w:t>《(GB50500-2013)建设工程工程量清单计价规范》广西壮族自治区实施细则”</w:t>
      </w:r>
      <w:r>
        <w:rPr>
          <w:rFonts w:hint="eastAsia" w:cs="宋体"/>
        </w:rPr>
        <w:t>、《计算规范》自主报价，自主报价</w:t>
      </w:r>
      <w:r>
        <w:rPr>
          <w:rFonts w:hint="eastAsia" w:hAnsi="宋体" w:cs="宋体"/>
        </w:rPr>
        <w:t>不得违反计价规范强制性条文规定。</w:t>
      </w:r>
      <w:r>
        <w:rPr>
          <w:rFonts w:hint="eastAsia" w:cs="宋体"/>
        </w:rPr>
        <w:t>供应商不得采用总价让利或以百分比让利等形式进行报价，任何优惠（或降价、让利）均应反映在相应清单项目的综合单价中。同时，不得出现任意一项单价重大让利，</w:t>
      </w:r>
      <w:r>
        <w:rPr>
          <w:rFonts w:hint="eastAsia" w:hAnsi="宋体" w:cs="宋体"/>
        </w:rPr>
        <w:t>不得以自有机械闲置、自有材料等不计成本为由</w:t>
      </w:r>
      <w:r>
        <w:rPr>
          <w:rFonts w:hint="eastAsia" w:cs="宋体"/>
        </w:rPr>
        <w:t>低于工程成本报价。</w:t>
      </w:r>
    </w:p>
    <w:p>
      <w:pPr>
        <w:spacing w:line="360" w:lineRule="auto"/>
        <w:ind w:firstLine="420" w:firstLineChars="200"/>
        <w:rPr>
          <w:rFonts w:hAnsi="宋体"/>
        </w:rPr>
      </w:pPr>
      <w:r>
        <w:rPr>
          <w:rFonts w:hint="eastAsia"/>
        </w:rPr>
        <w:t>2.</w:t>
      </w:r>
      <w:r>
        <w:rPr>
          <w:rFonts w:hint="eastAsia" w:cs="宋体"/>
        </w:rPr>
        <w:t>供应商应按招标工程量清单填报价格。项目编码、项目名称、项目特征、计量单位、工程量必须与招标工程量清单一致，供应商</w:t>
      </w:r>
      <w:r>
        <w:rPr>
          <w:rFonts w:hint="eastAsia" w:hAnsi="宋体" w:cs="宋体"/>
        </w:rPr>
        <w:t>不得对招标工程量清单项目进行增减调整。</w:t>
      </w:r>
    </w:p>
    <w:p>
      <w:pPr>
        <w:spacing w:line="360" w:lineRule="auto"/>
        <w:ind w:firstLine="420" w:firstLineChars="200"/>
      </w:pPr>
      <w:r>
        <w:rPr>
          <w:rFonts w:hint="eastAsia"/>
        </w:rPr>
        <w:t>3.</w:t>
      </w:r>
      <w:r>
        <w:rPr>
          <w:rFonts w:hint="eastAsia" w:cs="宋体"/>
        </w:rPr>
        <w:t>综合单价中应包含竞争性磋商文件中划分的应由供应商承担的风险范围及其费用。</w:t>
      </w:r>
    </w:p>
    <w:p>
      <w:pPr>
        <w:spacing w:line="360" w:lineRule="auto"/>
        <w:ind w:firstLine="420" w:firstLineChars="200"/>
        <w:rPr>
          <w:rFonts w:hAnsi="宋体"/>
        </w:rPr>
      </w:pPr>
      <w:r>
        <w:rPr>
          <w:rFonts w:hint="eastAsia"/>
        </w:rPr>
        <w:t>4.</w:t>
      </w:r>
      <w:r>
        <w:rPr>
          <w:rFonts w:hint="eastAsia" w:hAnsi="宋体" w:cs="宋体"/>
        </w:rPr>
        <w:t>分部分项工程项目和单价措施项目，应根据</w:t>
      </w:r>
      <w:r>
        <w:rPr>
          <w:rFonts w:hint="eastAsia" w:cs="宋体"/>
        </w:rPr>
        <w:t>竞争性磋商文件</w:t>
      </w:r>
      <w:r>
        <w:rPr>
          <w:rFonts w:hint="eastAsia" w:hAnsi="宋体" w:cs="宋体"/>
        </w:rPr>
        <w:t>和招标工程量清单项目中的特征描述确定综合单价计算。如出现招标工程量清单特征描述与设计图纸不符时，供应商应以招标工程量清单的项目特征描述为准，确定投标报价的综合单价。</w:t>
      </w:r>
    </w:p>
    <w:p>
      <w:pPr>
        <w:spacing w:line="360" w:lineRule="auto"/>
        <w:ind w:firstLine="420" w:firstLineChars="200"/>
      </w:pPr>
      <w:r>
        <w:rPr>
          <w:rFonts w:hint="eastAsia"/>
        </w:rPr>
        <w:t>5.</w:t>
      </w:r>
      <w:r>
        <w:rPr>
          <w:rFonts w:hint="eastAsia" w:hAnsi="宋体" w:cs="宋体"/>
        </w:rPr>
        <w:t>总价措施项目的金额应根据</w:t>
      </w:r>
      <w:r>
        <w:rPr>
          <w:rFonts w:hint="eastAsia" w:cs="宋体"/>
        </w:rPr>
        <w:t>竞争性磋商文件</w:t>
      </w:r>
      <w:r>
        <w:rPr>
          <w:rFonts w:hint="eastAsia" w:hAnsi="宋体" w:cs="宋体"/>
        </w:rPr>
        <w:t>及投标时拟定的施工组织设计或施工方案，按计价规范的规定自主确定。但</w:t>
      </w:r>
      <w:r>
        <w:rPr>
          <w:rFonts w:hint="eastAsia" w:cs="宋体"/>
        </w:rPr>
        <w:t>安全文明施工费按国家、省级或行业建设主管部门的有关规定执行，作为不竞争费用单列。</w:t>
      </w:r>
    </w:p>
    <w:p>
      <w:pPr>
        <w:spacing w:line="360" w:lineRule="auto"/>
        <w:ind w:firstLine="420" w:firstLineChars="200"/>
      </w:pPr>
      <w:r>
        <w:rPr>
          <w:rFonts w:hint="eastAsia"/>
        </w:rPr>
        <w:t>6.</w:t>
      </w:r>
      <w:r>
        <w:rPr>
          <w:rFonts w:hint="eastAsia" w:cs="宋体"/>
        </w:rPr>
        <w:t>其他项目费应按下列规定报价：</w:t>
      </w:r>
    </w:p>
    <w:p>
      <w:pPr>
        <w:spacing w:line="360" w:lineRule="auto"/>
        <w:ind w:firstLine="420" w:firstLineChars="200"/>
      </w:pPr>
      <w:r>
        <w:rPr>
          <w:rFonts w:hint="eastAsia" w:cs="宋体"/>
        </w:rPr>
        <w:t>（</w:t>
      </w:r>
      <w:r>
        <w:t>1</w:t>
      </w:r>
      <w:r>
        <w:rPr>
          <w:rFonts w:hint="eastAsia" w:cs="宋体"/>
        </w:rPr>
        <w:t>）暂列金额应按招标工程量清单中列出的金额填写；</w:t>
      </w:r>
    </w:p>
    <w:p>
      <w:pPr>
        <w:pStyle w:val="2"/>
        <w:spacing w:line="360" w:lineRule="auto"/>
        <w:ind w:firstLine="420" w:firstLineChars="200"/>
      </w:pPr>
      <w:r>
        <w:rPr>
          <w:rFonts w:hint="eastAsia" w:cs="宋体"/>
        </w:rPr>
        <w:t>（</w:t>
      </w:r>
      <w:r>
        <w:t>2</w:t>
      </w:r>
      <w:r>
        <w:rPr>
          <w:rFonts w:hint="eastAsia" w:cs="宋体"/>
        </w:rPr>
        <w:t>）材料、工程设备暂估价应按招标工程量清单中列出的单价计入综合单价；</w:t>
      </w:r>
    </w:p>
    <w:p>
      <w:pPr>
        <w:spacing w:line="360" w:lineRule="auto"/>
        <w:ind w:firstLine="420" w:firstLineChars="200"/>
      </w:pPr>
      <w:r>
        <w:rPr>
          <w:rFonts w:hint="eastAsia" w:cs="宋体"/>
        </w:rPr>
        <w:t>（</w:t>
      </w:r>
      <w:r>
        <w:t>3</w:t>
      </w:r>
      <w:r>
        <w:rPr>
          <w:rFonts w:hint="eastAsia" w:cs="宋体"/>
        </w:rPr>
        <w:t>）专业工程暂估价应按招标工程量清单中列出的金额填写；</w:t>
      </w:r>
    </w:p>
    <w:p>
      <w:pPr>
        <w:spacing w:line="360" w:lineRule="auto"/>
        <w:ind w:firstLine="420" w:firstLineChars="200"/>
      </w:pPr>
      <w:r>
        <w:rPr>
          <w:rFonts w:hint="eastAsia" w:cs="宋体"/>
        </w:rPr>
        <w:t>（</w:t>
      </w:r>
      <w:r>
        <w:t>4</w:t>
      </w:r>
      <w:r>
        <w:rPr>
          <w:rFonts w:hint="eastAsia" w:cs="宋体"/>
        </w:rPr>
        <w:t>）计日工应按招标工程量清单中列出的项目和估算数量，自主确定综合单价并计算计日工总额；计日工单价均不含规费和税金；</w:t>
      </w:r>
    </w:p>
    <w:p>
      <w:pPr>
        <w:spacing w:line="360" w:lineRule="auto"/>
        <w:ind w:firstLine="420" w:firstLineChars="200"/>
      </w:pPr>
      <w:r>
        <w:rPr>
          <w:rFonts w:hint="eastAsia" w:cs="宋体"/>
        </w:rPr>
        <w:t>（</w:t>
      </w:r>
      <w:r>
        <w:t>5</w:t>
      </w:r>
      <w:r>
        <w:rPr>
          <w:rFonts w:hint="eastAsia" w:cs="宋体"/>
        </w:rPr>
        <w:t>）总承包服务费应根据招标工程量清单中列出的内容</w:t>
      </w:r>
      <w:r>
        <w:rPr>
          <w:rFonts w:hint="eastAsia" w:hAnsi="宋体" w:cs="宋体"/>
        </w:rPr>
        <w:t>和供应材料、设备情况，按照招标人提出的协调、配合与服务要求和施工现场管理需要</w:t>
      </w:r>
      <w:r>
        <w:rPr>
          <w:rFonts w:hint="eastAsia" w:cs="宋体"/>
        </w:rPr>
        <w:t>自主确定。</w:t>
      </w:r>
    </w:p>
    <w:p>
      <w:pPr>
        <w:spacing w:line="360" w:lineRule="auto"/>
        <w:ind w:firstLine="420" w:firstLineChars="200"/>
      </w:pPr>
      <w:r>
        <w:rPr>
          <w:rFonts w:hint="eastAsia"/>
        </w:rPr>
        <w:t>7.</w:t>
      </w:r>
      <w:r>
        <w:rPr>
          <w:rFonts w:hint="eastAsia" w:cs="宋体"/>
        </w:rPr>
        <w:t>规费和增值税应按规定确定，作为不可竞争费用。</w:t>
      </w:r>
    </w:p>
    <w:p>
      <w:pPr>
        <w:spacing w:line="360" w:lineRule="auto"/>
        <w:ind w:firstLine="420" w:firstLineChars="200"/>
      </w:pPr>
      <w:r>
        <w:rPr>
          <w:rFonts w:hint="eastAsia"/>
        </w:rPr>
        <w:t>8.</w:t>
      </w:r>
      <w:r>
        <w:rPr>
          <w:rFonts w:hint="eastAsia" w:cs="宋体"/>
        </w:rPr>
        <w:t>招标工程量清单与计价表中列明的所有需要填写的单价和合价的项目，供应商均应填写且只允许有一个报价。未填写单价和合价的项目，视为此项费用已包含在已标价工程量清单中其他项目的单价和合价之中。竣工结算时，此项目不得重新组价予以调整。</w:t>
      </w:r>
    </w:p>
    <w:p>
      <w:pPr>
        <w:spacing w:line="360" w:lineRule="auto"/>
        <w:ind w:firstLine="420" w:firstLineChars="200"/>
      </w:pPr>
      <w:r>
        <w:rPr>
          <w:rFonts w:hint="eastAsia"/>
        </w:rPr>
        <w:t>9.</w:t>
      </w:r>
      <w:r>
        <w:rPr>
          <w:rFonts w:hint="eastAsia" w:cs="宋体"/>
        </w:rPr>
        <w:t>竞标总价应当与分部分项工程费、措施项目费、其他项目费和规费、增值税的合计金额一致。</w:t>
      </w:r>
    </w:p>
    <w:p>
      <w:pPr>
        <w:spacing w:line="360" w:lineRule="auto"/>
        <w:ind w:firstLine="420" w:firstLineChars="200"/>
      </w:pPr>
      <w:r>
        <w:rPr>
          <w:rFonts w:hint="eastAsia"/>
        </w:rPr>
        <w:t>10.</w:t>
      </w:r>
      <w:r>
        <w:rPr>
          <w:rFonts w:hint="eastAsia" w:cs="宋体"/>
        </w:rPr>
        <w:t>供应商应按《承包人提供的主要材料和设备一览表》的内容填报，不得擅自调整材料和设备名称型号规格、单位、风险系数、基准单价。</w:t>
      </w:r>
    </w:p>
    <w:p>
      <w:pPr>
        <w:spacing w:line="360" w:lineRule="auto"/>
        <w:ind w:firstLine="420" w:firstLineChars="200"/>
        <w:rPr>
          <w:rFonts w:hAnsi="宋体"/>
        </w:rPr>
      </w:pPr>
      <w:r>
        <w:rPr>
          <w:rFonts w:hint="eastAsia"/>
        </w:rPr>
        <w:t>11.</w:t>
      </w:r>
      <w:r>
        <w:rPr>
          <w:rFonts w:hint="eastAsia" w:hAnsi="宋体" w:cs="宋体"/>
        </w:rPr>
        <w:t>竞标报价</w:t>
      </w:r>
      <w:r>
        <w:rPr>
          <w:rFonts w:hint="eastAsia" w:cs="宋体"/>
        </w:rPr>
        <w:t>表格按本工程工程量清单表格要求填写，并</w:t>
      </w:r>
      <w:r>
        <w:rPr>
          <w:rFonts w:hint="eastAsia" w:hAnsi="宋体" w:cs="宋体"/>
        </w:rPr>
        <w:t>应按招标文件</w:t>
      </w:r>
      <w:r>
        <w:rPr>
          <w:rFonts w:hint="eastAsia" w:cs="宋体"/>
        </w:rPr>
        <w:t>竞争性磋商文件</w:t>
      </w:r>
      <w:r>
        <w:rPr>
          <w:rFonts w:hint="eastAsia" w:hAnsi="宋体" w:cs="宋体"/>
        </w:rPr>
        <w:t>要求，附上《工程量清单综合单价分析表》（表</w:t>
      </w:r>
      <w:r>
        <w:t>-09</w:t>
      </w:r>
      <w:r>
        <w:rPr>
          <w:rFonts w:hint="eastAsia" w:hAnsi="宋体" w:cs="宋体"/>
        </w:rPr>
        <w:t>）和《主要清单项目工料机分析表》（表</w:t>
      </w:r>
      <w:r>
        <w:t>-10</w:t>
      </w:r>
      <w:r>
        <w:rPr>
          <w:rFonts w:hint="eastAsia" w:hAnsi="宋体" w:cs="宋体"/>
        </w:rPr>
        <w:t>）。</w:t>
      </w:r>
    </w:p>
    <w:p>
      <w:pPr>
        <w:pStyle w:val="26"/>
        <w:spacing w:line="360" w:lineRule="auto"/>
        <w:ind w:firstLine="400" w:firstLineChars="200"/>
        <w:jc w:val="left"/>
        <w:rPr>
          <w:rStyle w:val="62"/>
          <w:rFonts w:asciiTheme="minorEastAsia" w:hAnsiTheme="minorEastAsia" w:eastAsiaTheme="minorEastAsia" w:cstheme="minorEastAsia"/>
          <w:sz w:val="36"/>
          <w:szCs w:val="36"/>
        </w:rPr>
      </w:pPr>
      <w:r>
        <w:rPr>
          <w:rFonts w:hint="eastAsia"/>
        </w:rPr>
        <w:t>未尽事宜详见本工程招标工程量清单、招标控制价编制说明以及现行《计价规范》等有关规定执行。</w:t>
      </w:r>
    </w:p>
    <w:p>
      <w:pPr>
        <w:rPr>
          <w:rStyle w:val="62"/>
          <w:rFonts w:asciiTheme="minorEastAsia" w:hAnsiTheme="minorEastAsia" w:eastAsiaTheme="minorEastAsia" w:cstheme="minorEastAsia"/>
          <w:sz w:val="36"/>
          <w:szCs w:val="36"/>
        </w:rPr>
      </w:pPr>
    </w:p>
    <w:p>
      <w:pPr>
        <w:pStyle w:val="20"/>
        <w:rPr>
          <w:rStyle w:val="62"/>
          <w:rFonts w:asciiTheme="minorEastAsia" w:hAnsiTheme="minorEastAsia" w:eastAsiaTheme="minorEastAsia" w:cstheme="minorEastAsia"/>
          <w:b/>
          <w:bCs/>
          <w:sz w:val="36"/>
          <w:szCs w:val="36"/>
        </w:rPr>
      </w:pPr>
    </w:p>
    <w:p>
      <w:pPr>
        <w:pStyle w:val="21"/>
        <w:ind w:firstLine="361"/>
        <w:rPr>
          <w:rStyle w:val="62"/>
          <w:rFonts w:asciiTheme="minorEastAsia" w:hAnsiTheme="minorEastAsia" w:eastAsiaTheme="minorEastAsia" w:cstheme="minorEastAsia"/>
          <w:b/>
          <w:bCs/>
          <w:sz w:val="36"/>
          <w:szCs w:val="36"/>
        </w:rPr>
      </w:pPr>
    </w:p>
    <w:p>
      <w:pPr>
        <w:pStyle w:val="21"/>
        <w:ind w:firstLine="361"/>
        <w:rPr>
          <w:rStyle w:val="62"/>
          <w:rFonts w:asciiTheme="minorEastAsia" w:hAnsiTheme="minorEastAsia" w:eastAsiaTheme="minorEastAsia" w:cstheme="minorEastAsia"/>
          <w:b/>
          <w:bCs/>
          <w:sz w:val="36"/>
          <w:szCs w:val="36"/>
        </w:rPr>
      </w:pPr>
    </w:p>
    <w:p>
      <w:pPr>
        <w:pStyle w:val="21"/>
        <w:ind w:firstLine="361"/>
        <w:rPr>
          <w:rStyle w:val="62"/>
          <w:rFonts w:asciiTheme="minorEastAsia" w:hAnsiTheme="minorEastAsia" w:eastAsiaTheme="minorEastAsia" w:cstheme="minorEastAsia"/>
          <w:b/>
          <w:bCs/>
          <w:sz w:val="36"/>
          <w:szCs w:val="36"/>
        </w:rPr>
      </w:pPr>
    </w:p>
    <w:p>
      <w:pPr>
        <w:pStyle w:val="21"/>
        <w:ind w:firstLine="361"/>
        <w:rPr>
          <w:rStyle w:val="62"/>
          <w:rFonts w:asciiTheme="minorEastAsia" w:hAnsiTheme="minorEastAsia" w:eastAsiaTheme="minorEastAsia" w:cstheme="minorEastAsia"/>
          <w:b/>
          <w:bCs/>
          <w:sz w:val="36"/>
          <w:szCs w:val="36"/>
        </w:rPr>
      </w:pPr>
    </w:p>
    <w:p>
      <w:pPr>
        <w:pStyle w:val="21"/>
        <w:ind w:firstLine="361"/>
        <w:rPr>
          <w:rStyle w:val="62"/>
          <w:rFonts w:asciiTheme="minorEastAsia" w:hAnsiTheme="minorEastAsia" w:eastAsiaTheme="minorEastAsia" w:cstheme="minorEastAsia"/>
          <w:b/>
          <w:bCs/>
          <w:sz w:val="36"/>
          <w:szCs w:val="36"/>
        </w:rPr>
      </w:pPr>
    </w:p>
    <w:p>
      <w:pPr>
        <w:pStyle w:val="21"/>
        <w:ind w:firstLine="361"/>
        <w:rPr>
          <w:rStyle w:val="62"/>
          <w:rFonts w:asciiTheme="minorEastAsia" w:hAnsiTheme="minorEastAsia" w:eastAsiaTheme="minorEastAsia" w:cstheme="minorEastAsia"/>
          <w:b/>
          <w:bCs/>
          <w:sz w:val="36"/>
          <w:szCs w:val="36"/>
        </w:rPr>
      </w:pPr>
    </w:p>
    <w:p>
      <w:pPr>
        <w:pStyle w:val="21"/>
        <w:ind w:firstLine="361"/>
        <w:rPr>
          <w:rStyle w:val="62"/>
          <w:rFonts w:asciiTheme="minorEastAsia" w:hAnsiTheme="minorEastAsia" w:eastAsiaTheme="minorEastAsia" w:cstheme="minorEastAsia"/>
          <w:b/>
          <w:bCs/>
          <w:sz w:val="36"/>
          <w:szCs w:val="36"/>
        </w:rPr>
      </w:pPr>
    </w:p>
    <w:p>
      <w:pPr>
        <w:pStyle w:val="21"/>
        <w:ind w:firstLine="361"/>
        <w:rPr>
          <w:rStyle w:val="62"/>
          <w:rFonts w:asciiTheme="minorEastAsia" w:hAnsiTheme="minorEastAsia" w:eastAsiaTheme="minorEastAsia" w:cstheme="minorEastAsia"/>
          <w:b/>
          <w:bCs/>
          <w:sz w:val="36"/>
          <w:szCs w:val="36"/>
        </w:rPr>
      </w:pPr>
    </w:p>
    <w:p>
      <w:pPr>
        <w:pStyle w:val="21"/>
        <w:ind w:firstLine="361"/>
        <w:rPr>
          <w:rStyle w:val="62"/>
          <w:rFonts w:asciiTheme="minorEastAsia" w:hAnsiTheme="minorEastAsia" w:eastAsiaTheme="minorEastAsia" w:cstheme="minorEastAsia"/>
          <w:b/>
          <w:bCs/>
          <w:sz w:val="36"/>
          <w:szCs w:val="36"/>
        </w:rPr>
      </w:pPr>
    </w:p>
    <w:p>
      <w:pPr>
        <w:pStyle w:val="21"/>
        <w:ind w:firstLine="361"/>
        <w:rPr>
          <w:rStyle w:val="62"/>
          <w:rFonts w:asciiTheme="minorEastAsia" w:hAnsiTheme="minorEastAsia" w:eastAsiaTheme="minorEastAsia" w:cstheme="minorEastAsia"/>
          <w:b/>
          <w:bCs/>
          <w:sz w:val="36"/>
          <w:szCs w:val="36"/>
        </w:rPr>
      </w:pPr>
    </w:p>
    <w:p>
      <w:pPr>
        <w:pStyle w:val="21"/>
        <w:ind w:firstLine="361"/>
        <w:rPr>
          <w:rStyle w:val="62"/>
          <w:rFonts w:asciiTheme="minorEastAsia" w:hAnsiTheme="minorEastAsia" w:eastAsiaTheme="minorEastAsia" w:cstheme="minorEastAsia"/>
          <w:b/>
          <w:bCs/>
          <w:sz w:val="36"/>
          <w:szCs w:val="36"/>
        </w:rPr>
      </w:pPr>
    </w:p>
    <w:p>
      <w:pPr>
        <w:pStyle w:val="21"/>
        <w:ind w:firstLine="361"/>
        <w:rPr>
          <w:rStyle w:val="62"/>
          <w:rFonts w:asciiTheme="minorEastAsia" w:hAnsiTheme="minorEastAsia" w:eastAsiaTheme="minorEastAsia" w:cstheme="minorEastAsia"/>
          <w:b/>
          <w:bCs/>
          <w:sz w:val="36"/>
          <w:szCs w:val="36"/>
        </w:rPr>
      </w:pPr>
    </w:p>
    <w:p>
      <w:pPr>
        <w:rPr>
          <w:rFonts w:asciiTheme="minorEastAsia" w:hAnsiTheme="minorEastAsia" w:eastAsiaTheme="minorEastAsia" w:cstheme="minorEastAsia"/>
          <w:b/>
          <w:bCs/>
          <w:kern w:val="0"/>
          <w:sz w:val="44"/>
          <w:szCs w:val="44"/>
        </w:rPr>
      </w:pPr>
      <w:bookmarkStart w:id="31" w:name="_Toc23378"/>
      <w:r>
        <w:rPr>
          <w:rFonts w:hint="eastAsia" w:asciiTheme="minorEastAsia" w:hAnsiTheme="minorEastAsia" w:eastAsiaTheme="minorEastAsia" w:cstheme="minorEastAsia"/>
          <w:b/>
          <w:bCs/>
          <w:kern w:val="0"/>
          <w:sz w:val="44"/>
          <w:szCs w:val="44"/>
        </w:rPr>
        <w:br w:type="page"/>
      </w:r>
    </w:p>
    <w:p>
      <w:pPr>
        <w:pStyle w:val="26"/>
        <w:spacing w:line="360" w:lineRule="auto"/>
        <w:jc w:val="center"/>
        <w:outlineLvl w:val="0"/>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第七章   合同书格式</w:t>
      </w:r>
      <w:bookmarkEnd w:id="31"/>
    </w:p>
    <w:p>
      <w:pPr>
        <w:autoSpaceDE w:val="0"/>
        <w:autoSpaceDN w:val="0"/>
        <w:adjustRightInd w:val="0"/>
        <w:snapToGrid w:val="0"/>
        <w:spacing w:line="300" w:lineRule="auto"/>
        <w:jc w:val="center"/>
        <w:rPr>
          <w:rFonts w:ascii="仿宋_GB2312" w:hAnsi="宋体" w:eastAsia="仿宋_GB2312"/>
          <w:b/>
          <w:kern w:val="0"/>
          <w:sz w:val="44"/>
          <w:szCs w:val="44"/>
        </w:rPr>
      </w:pPr>
      <w:bookmarkStart w:id="32" w:name="_Toc296890982"/>
      <w:bookmarkStart w:id="33" w:name="_Toc389065255"/>
      <w:bookmarkStart w:id="34" w:name="_Toc351203480"/>
      <w:bookmarkStart w:id="35" w:name="_Toc373227552"/>
      <w:bookmarkStart w:id="36" w:name="_Toc83895638"/>
      <w:bookmarkStart w:id="37" w:name="_Toc256000127"/>
      <w:bookmarkStart w:id="38" w:name="_Toc296503025"/>
      <w:bookmarkStart w:id="39" w:name="_Toc373478199"/>
      <w:bookmarkStart w:id="40" w:name="_Toc407135191"/>
      <w:bookmarkStart w:id="41" w:name="_Toc3161"/>
    </w:p>
    <w:p>
      <w:pPr>
        <w:autoSpaceDE w:val="0"/>
        <w:autoSpaceDN w:val="0"/>
        <w:adjustRightInd w:val="0"/>
        <w:snapToGrid w:val="0"/>
        <w:spacing w:line="300" w:lineRule="auto"/>
        <w:jc w:val="center"/>
        <w:rPr>
          <w:rFonts w:ascii="仿宋_GB2312" w:hAnsi="宋体" w:eastAsia="仿宋_GB2312"/>
          <w:b/>
          <w:kern w:val="0"/>
          <w:sz w:val="44"/>
          <w:szCs w:val="44"/>
        </w:rPr>
      </w:pPr>
    </w:p>
    <w:p>
      <w:pPr>
        <w:jc w:val="left"/>
        <w:rPr>
          <w:rFonts w:ascii="宋体" w:hAnsi="宋体"/>
          <w:b/>
          <w:sz w:val="52"/>
          <w:szCs w:val="52"/>
        </w:rPr>
      </w:pPr>
      <w:r>
        <w:rPr>
          <w:rFonts w:ascii="宋体" w:hAnsi="宋体"/>
          <w:bCs/>
          <w:sz w:val="32"/>
          <w:szCs w:val="32"/>
        </w:rPr>
        <w:t>（GF—201</w:t>
      </w:r>
      <w:r>
        <w:rPr>
          <w:rFonts w:hint="eastAsia" w:ascii="宋体" w:hAnsi="宋体"/>
          <w:bCs/>
          <w:sz w:val="32"/>
          <w:szCs w:val="32"/>
        </w:rPr>
        <w:t>7</w:t>
      </w:r>
      <w:r>
        <w:rPr>
          <w:rFonts w:ascii="宋体" w:hAnsi="宋体"/>
          <w:bCs/>
          <w:sz w:val="32"/>
          <w:szCs w:val="32"/>
        </w:rPr>
        <w:t>—</w:t>
      </w:r>
      <w:r>
        <w:rPr>
          <w:rFonts w:hint="eastAsia" w:ascii="宋体" w:hAnsi="宋体"/>
          <w:bCs/>
          <w:sz w:val="32"/>
          <w:szCs w:val="32"/>
        </w:rPr>
        <w:t>0201）</w:t>
      </w:r>
    </w:p>
    <w:p>
      <w:pPr>
        <w:jc w:val="center"/>
        <w:rPr>
          <w:rFonts w:ascii="宋体" w:hAnsi="宋体"/>
          <w:b/>
          <w:sz w:val="52"/>
          <w:szCs w:val="52"/>
        </w:rPr>
      </w:pPr>
    </w:p>
    <w:p>
      <w:pPr>
        <w:jc w:val="center"/>
        <w:rPr>
          <w:rFonts w:ascii="宋体" w:hAnsi="宋体"/>
          <w:b/>
          <w:sz w:val="72"/>
          <w:szCs w:val="52"/>
        </w:rPr>
      </w:pPr>
      <w:r>
        <w:rPr>
          <w:rFonts w:ascii="宋体" w:hAnsi="宋体"/>
          <w:b/>
          <w:sz w:val="72"/>
          <w:szCs w:val="52"/>
        </w:rPr>
        <w:t>建设工程施工合同</w:t>
      </w:r>
    </w:p>
    <w:p>
      <w:pPr>
        <w:jc w:val="center"/>
        <w:rPr>
          <w:rFonts w:ascii="Calibri" w:hAnsi="Calibri"/>
          <w:b/>
          <w:sz w:val="32"/>
          <w:szCs w:val="32"/>
        </w:rPr>
      </w:pPr>
      <w:r>
        <w:rPr>
          <w:rFonts w:hint="eastAsia" w:ascii="Calibri" w:hAnsi="Calibri"/>
          <w:b/>
          <w:sz w:val="32"/>
          <w:szCs w:val="32"/>
        </w:rPr>
        <w:t xml:space="preserve">                    </w:t>
      </w:r>
    </w:p>
    <w:p>
      <w:pPr>
        <w:ind w:firstLine="2249" w:firstLineChars="700"/>
        <w:rPr>
          <w:rFonts w:ascii="宋体" w:hAnsi="宋体"/>
          <w:b/>
          <w:sz w:val="52"/>
          <w:szCs w:val="52"/>
        </w:rPr>
      </w:pPr>
      <w:r>
        <w:rPr>
          <w:rFonts w:hint="eastAsia" w:ascii="宋体" w:hAnsi="宋体" w:cs="宋体"/>
          <w:b/>
          <w:sz w:val="32"/>
          <w:szCs w:val="32"/>
          <w:u w:val="single"/>
        </w:rPr>
        <w:t xml:space="preserve"> 桂林理工大学雁山校区图书馆环境改造工程 </w:t>
      </w:r>
    </w:p>
    <w:p>
      <w:pPr>
        <w:widowControl/>
        <w:autoSpaceDE w:val="0"/>
        <w:autoSpaceDN w:val="0"/>
        <w:adjustRightInd w:val="0"/>
        <w:snapToGrid w:val="0"/>
        <w:spacing w:line="360" w:lineRule="auto"/>
        <w:ind w:firstLine="1044" w:firstLineChars="200"/>
        <w:rPr>
          <w:rFonts w:ascii="宋体" w:hAnsi="宋体"/>
          <w:b/>
          <w:kern w:val="0"/>
          <w:sz w:val="52"/>
          <w:szCs w:val="52"/>
        </w:rPr>
      </w:pPr>
    </w:p>
    <w:p>
      <w:pPr>
        <w:rPr>
          <w:szCs w:val="24"/>
        </w:rPr>
      </w:pPr>
    </w:p>
    <w:p>
      <w:pPr>
        <w:rPr>
          <w:rFonts w:ascii="宋体" w:hAnsi="宋体"/>
          <w:szCs w:val="24"/>
        </w:rPr>
      </w:pPr>
    </w:p>
    <w:p>
      <w:pPr>
        <w:adjustRightInd w:val="0"/>
        <w:snapToGrid w:val="0"/>
        <w:spacing w:line="360" w:lineRule="auto"/>
        <w:ind w:firstLine="472" w:firstLineChars="147"/>
        <w:rPr>
          <w:rFonts w:ascii="Calibri" w:hAnsi="Calibri"/>
          <w:b/>
          <w:sz w:val="32"/>
          <w:szCs w:val="32"/>
        </w:rPr>
      </w:pPr>
      <w:r>
        <w:rPr>
          <w:rFonts w:hint="eastAsia" w:ascii="Calibri" w:hAnsi="Calibri"/>
          <w:b/>
          <w:sz w:val="32"/>
          <w:szCs w:val="32"/>
        </w:rPr>
        <w:t xml:space="preserve"> </w:t>
      </w:r>
    </w:p>
    <w:p>
      <w:pPr>
        <w:adjustRightInd w:val="0"/>
        <w:snapToGrid w:val="0"/>
        <w:spacing w:line="360" w:lineRule="auto"/>
        <w:ind w:firstLine="472" w:firstLineChars="147"/>
        <w:rPr>
          <w:rFonts w:ascii="Calibri" w:hAnsi="Calibri"/>
          <w:b/>
          <w:sz w:val="32"/>
          <w:szCs w:val="32"/>
        </w:rPr>
      </w:pPr>
    </w:p>
    <w:p>
      <w:pPr>
        <w:adjustRightInd w:val="0"/>
        <w:snapToGrid w:val="0"/>
        <w:spacing w:line="360" w:lineRule="auto"/>
        <w:ind w:firstLine="472" w:firstLineChars="147"/>
        <w:rPr>
          <w:rFonts w:ascii="Calibri" w:hAnsi="Calibri"/>
          <w:b/>
          <w:sz w:val="32"/>
          <w:szCs w:val="32"/>
        </w:rPr>
      </w:pPr>
    </w:p>
    <w:p>
      <w:pPr>
        <w:adjustRightInd w:val="0"/>
        <w:snapToGrid w:val="0"/>
        <w:spacing w:line="360" w:lineRule="auto"/>
        <w:ind w:firstLine="472" w:firstLineChars="147"/>
        <w:rPr>
          <w:rFonts w:ascii="Calibri" w:hAnsi="Calibri"/>
          <w:b/>
          <w:sz w:val="32"/>
          <w:szCs w:val="32"/>
        </w:rPr>
      </w:pPr>
    </w:p>
    <w:p>
      <w:pPr>
        <w:adjustRightInd w:val="0"/>
        <w:snapToGrid w:val="0"/>
        <w:spacing w:line="360" w:lineRule="auto"/>
        <w:ind w:firstLine="472" w:firstLineChars="147"/>
        <w:rPr>
          <w:rFonts w:ascii="Calibri" w:hAnsi="Calibri"/>
          <w:b/>
          <w:sz w:val="32"/>
          <w:szCs w:val="32"/>
        </w:rPr>
      </w:pPr>
    </w:p>
    <w:p>
      <w:pPr>
        <w:adjustRightInd w:val="0"/>
        <w:snapToGrid w:val="0"/>
        <w:spacing w:line="800" w:lineRule="exact"/>
        <w:ind w:firstLine="472" w:firstLineChars="147"/>
        <w:rPr>
          <w:rFonts w:ascii="宋体" w:hAnsi="宋体"/>
          <w:b/>
          <w:sz w:val="32"/>
          <w:szCs w:val="32"/>
          <w:u w:val="single"/>
        </w:rPr>
      </w:pPr>
      <w:r>
        <w:rPr>
          <w:rFonts w:hint="eastAsia" w:ascii="Calibri" w:hAnsi="Calibri"/>
          <w:b/>
          <w:sz w:val="32"/>
          <w:szCs w:val="32"/>
        </w:rPr>
        <w:t>发 包 人：</w:t>
      </w:r>
      <w:r>
        <w:rPr>
          <w:rFonts w:hint="eastAsia" w:ascii="宋体" w:hAnsi="宋体" w:cs="宋体"/>
          <w:b/>
          <w:sz w:val="32"/>
          <w:szCs w:val="32"/>
          <w:u w:val="single"/>
        </w:rPr>
        <w:t xml:space="preserve"> 桂林理工大学               </w:t>
      </w:r>
    </w:p>
    <w:p>
      <w:pPr>
        <w:spacing w:line="800" w:lineRule="exact"/>
        <w:ind w:firstLine="475" w:firstLineChars="148"/>
        <w:rPr>
          <w:rFonts w:ascii="宋体" w:hAnsi="宋体"/>
          <w:b/>
          <w:sz w:val="32"/>
          <w:szCs w:val="32"/>
          <w:u w:val="single"/>
        </w:rPr>
      </w:pPr>
      <w:r>
        <w:rPr>
          <w:rFonts w:hint="eastAsia" w:ascii="宋体" w:hAnsi="宋体"/>
          <w:b/>
          <w:sz w:val="32"/>
          <w:szCs w:val="32"/>
        </w:rPr>
        <w:t>承 包 人：</w:t>
      </w:r>
      <w:r>
        <w:rPr>
          <w:rFonts w:hint="eastAsia" w:ascii="宋体" w:hAnsi="宋体"/>
          <w:b/>
          <w:sz w:val="32"/>
          <w:szCs w:val="32"/>
          <w:u w:val="single"/>
        </w:rPr>
        <w:t xml:space="preserve">                              </w:t>
      </w:r>
    </w:p>
    <w:p>
      <w:pPr>
        <w:spacing w:line="800" w:lineRule="exact"/>
        <w:ind w:firstLine="482" w:firstLineChars="150"/>
        <w:rPr>
          <w:rFonts w:ascii="宋体" w:hAnsi="宋体"/>
          <w:b/>
          <w:bCs/>
          <w:sz w:val="32"/>
          <w:szCs w:val="32"/>
        </w:rPr>
      </w:pPr>
      <w:r>
        <w:rPr>
          <w:rFonts w:hint="eastAsia" w:ascii="宋体" w:hAnsi="宋体" w:cs="宋体"/>
          <w:b/>
          <w:bCs/>
          <w:sz w:val="32"/>
          <w:szCs w:val="32"/>
        </w:rPr>
        <w:t>签订日期：</w:t>
      </w:r>
      <w:r>
        <w:rPr>
          <w:rFonts w:hint="eastAsia" w:ascii="宋体" w:hAnsi="宋体" w:cs="宋体"/>
          <w:b/>
          <w:bCs/>
          <w:sz w:val="32"/>
          <w:szCs w:val="32"/>
          <w:u w:val="single"/>
        </w:rPr>
        <w:t xml:space="preserve">        </w:t>
      </w:r>
      <w:r>
        <w:rPr>
          <w:rFonts w:hint="eastAsia" w:ascii="宋体" w:hAnsi="宋体" w:cs="宋体"/>
          <w:b/>
          <w:bCs/>
          <w:sz w:val="32"/>
          <w:szCs w:val="32"/>
        </w:rPr>
        <w:t>年</w:t>
      </w:r>
      <w:r>
        <w:rPr>
          <w:rFonts w:hint="eastAsia" w:ascii="宋体" w:hAnsi="宋体" w:cs="宋体"/>
          <w:b/>
          <w:bCs/>
          <w:sz w:val="32"/>
          <w:szCs w:val="32"/>
          <w:u w:val="single"/>
        </w:rPr>
        <w:t xml:space="preserve">    </w:t>
      </w:r>
      <w:r>
        <w:rPr>
          <w:rFonts w:hint="eastAsia" w:ascii="宋体" w:hAnsi="宋体" w:cs="宋体"/>
          <w:b/>
          <w:bCs/>
          <w:sz w:val="32"/>
          <w:szCs w:val="32"/>
        </w:rPr>
        <w:t>月</w:t>
      </w:r>
      <w:r>
        <w:rPr>
          <w:rFonts w:hint="eastAsia" w:ascii="宋体" w:hAnsi="宋体" w:cs="宋体"/>
          <w:b/>
          <w:bCs/>
          <w:sz w:val="32"/>
          <w:szCs w:val="32"/>
          <w:u w:val="single"/>
        </w:rPr>
        <w:t xml:space="preserve">     </w:t>
      </w:r>
      <w:r>
        <w:rPr>
          <w:rFonts w:hint="eastAsia" w:ascii="宋体" w:hAnsi="宋体" w:cs="宋体"/>
          <w:b/>
          <w:bCs/>
          <w:sz w:val="32"/>
          <w:szCs w:val="32"/>
        </w:rPr>
        <w:t>日</w:t>
      </w:r>
    </w:p>
    <w:p>
      <w:pPr>
        <w:spacing w:line="800" w:lineRule="exact"/>
        <w:ind w:firstLine="475" w:firstLineChars="148"/>
        <w:rPr>
          <w:rFonts w:ascii="Calibri" w:hAnsi="Calibri"/>
          <w:b/>
          <w:sz w:val="32"/>
          <w:szCs w:val="32"/>
          <w:u w:val="single"/>
        </w:rPr>
      </w:pPr>
    </w:p>
    <w:p>
      <w:pPr>
        <w:adjustRightInd w:val="0"/>
        <w:snapToGrid w:val="0"/>
        <w:spacing w:line="240" w:lineRule="atLeast"/>
        <w:ind w:firstLine="472" w:firstLineChars="147"/>
        <w:rPr>
          <w:rFonts w:ascii="Calibri" w:hAnsi="Calibri"/>
          <w:b/>
          <w:sz w:val="32"/>
          <w:szCs w:val="32"/>
        </w:rPr>
      </w:pPr>
      <w:r>
        <w:rPr>
          <w:rFonts w:ascii="Calibri" w:hAnsi="Calibri"/>
          <w:b/>
          <w:sz w:val="32"/>
          <w:szCs w:val="32"/>
        </w:rPr>
        <w:br w:type="page"/>
      </w:r>
    </w:p>
    <w:p>
      <w:pPr>
        <w:keepNext/>
        <w:keepLines/>
        <w:spacing w:line="360" w:lineRule="auto"/>
        <w:jc w:val="center"/>
        <w:outlineLvl w:val="0"/>
        <w:rPr>
          <w:rFonts w:ascii="Calibri" w:hAnsi="Calibri" w:eastAsia="黑体"/>
          <w:b/>
          <w:bCs/>
          <w:kern w:val="44"/>
          <w:sz w:val="44"/>
          <w:szCs w:val="44"/>
          <w:lang w:val="zh-CN"/>
        </w:rPr>
      </w:pPr>
      <w:r>
        <w:rPr>
          <w:rFonts w:hint="eastAsia" w:ascii="Calibri" w:hAnsi="Calibri" w:eastAsia="黑体" w:cs="黑体"/>
          <w:b/>
          <w:bCs/>
          <w:kern w:val="44"/>
          <w:sz w:val="44"/>
          <w:szCs w:val="44"/>
          <w:lang w:val="zh-CN"/>
        </w:rPr>
        <w:t>第一部分</w:t>
      </w:r>
      <w:r>
        <w:rPr>
          <w:rFonts w:ascii="Calibri" w:hAnsi="Calibri" w:eastAsia="黑体"/>
          <w:b/>
          <w:bCs/>
          <w:kern w:val="44"/>
          <w:sz w:val="44"/>
          <w:szCs w:val="44"/>
          <w:lang w:val="zh-CN"/>
        </w:rPr>
        <w:t xml:space="preserve"> </w:t>
      </w:r>
      <w:r>
        <w:rPr>
          <w:rFonts w:hint="eastAsia" w:ascii="Calibri" w:hAnsi="Calibri" w:eastAsia="黑体" w:cs="黑体"/>
          <w:b/>
          <w:bCs/>
          <w:kern w:val="44"/>
          <w:sz w:val="44"/>
          <w:szCs w:val="44"/>
          <w:lang w:val="zh-CN"/>
        </w:rPr>
        <w:t>合同协议书</w:t>
      </w:r>
      <w:bookmarkEnd w:id="32"/>
      <w:bookmarkEnd w:id="33"/>
      <w:bookmarkEnd w:id="34"/>
      <w:bookmarkEnd w:id="35"/>
      <w:bookmarkEnd w:id="36"/>
      <w:bookmarkEnd w:id="37"/>
      <w:bookmarkEnd w:id="38"/>
      <w:bookmarkEnd w:id="39"/>
      <w:bookmarkEnd w:id="40"/>
    </w:p>
    <w:p>
      <w:pPr>
        <w:spacing w:line="400" w:lineRule="exact"/>
        <w:rPr>
          <w:rFonts w:ascii="宋体" w:hAnsi="宋体" w:cs="宋体"/>
          <w:b/>
          <w:sz w:val="24"/>
          <w:szCs w:val="24"/>
        </w:rPr>
      </w:pPr>
      <w:bookmarkStart w:id="42" w:name="EBf5d8882b67eb450294403d6d9eac2034"/>
    </w:p>
    <w:p>
      <w:pPr>
        <w:spacing w:line="400" w:lineRule="exact"/>
        <w:rPr>
          <w:rFonts w:ascii="宋体" w:hAnsi="Calibri" w:cs="宋体"/>
          <w:b/>
          <w:sz w:val="24"/>
          <w:szCs w:val="24"/>
          <w:u w:val="single"/>
        </w:rPr>
      </w:pPr>
      <w:r>
        <w:rPr>
          <w:rFonts w:hint="eastAsia" w:ascii="宋体" w:hAnsi="宋体" w:cs="宋体"/>
          <w:b/>
          <w:sz w:val="24"/>
          <w:szCs w:val="24"/>
        </w:rPr>
        <w:t>发包人（全称）：</w:t>
      </w:r>
      <w:r>
        <w:rPr>
          <w:rFonts w:ascii="宋体" w:hAnsi="宋体" w:cs="宋体"/>
          <w:b/>
          <w:sz w:val="24"/>
          <w:szCs w:val="24"/>
          <w:u w:val="single"/>
        </w:rPr>
        <w:t xml:space="preserve"> </w:t>
      </w:r>
      <w:r>
        <w:rPr>
          <w:rFonts w:hint="eastAsia" w:ascii="宋体" w:hAnsi="宋体" w:cs="宋体"/>
          <w:b/>
          <w:sz w:val="24"/>
          <w:szCs w:val="24"/>
          <w:u w:val="single"/>
        </w:rPr>
        <w:t xml:space="preserve">桂林理工大学       </w:t>
      </w:r>
      <w:r>
        <w:rPr>
          <w:rFonts w:ascii="宋体" w:hAnsi="宋体" w:cs="宋体"/>
          <w:b/>
          <w:sz w:val="24"/>
          <w:szCs w:val="24"/>
          <w:u w:val="single"/>
        </w:rPr>
        <w:t xml:space="preserve">   </w:t>
      </w:r>
    </w:p>
    <w:p>
      <w:pPr>
        <w:spacing w:line="400" w:lineRule="exact"/>
        <w:rPr>
          <w:rFonts w:ascii="宋体" w:hAnsi="Calibri" w:cs="宋体"/>
          <w:b/>
          <w:sz w:val="24"/>
          <w:szCs w:val="24"/>
          <w:u w:val="single"/>
        </w:rPr>
      </w:pPr>
      <w:r>
        <w:rPr>
          <w:rFonts w:hint="eastAsia" w:ascii="宋体" w:hAnsi="宋体" w:cs="宋体"/>
          <w:b/>
          <w:sz w:val="24"/>
          <w:szCs w:val="24"/>
        </w:rPr>
        <w:t>承包人（全称）：</w:t>
      </w:r>
      <w:r>
        <w:rPr>
          <w:rFonts w:ascii="宋体" w:hAnsi="宋体" w:cs="宋体"/>
          <w:b/>
          <w:sz w:val="24"/>
          <w:szCs w:val="24"/>
          <w:u w:val="single"/>
        </w:rPr>
        <w:t xml:space="preserve"> </w:t>
      </w:r>
      <w:r>
        <w:rPr>
          <w:rFonts w:hint="eastAsia" w:ascii="宋体" w:hAnsi="宋体" w:cs="宋体"/>
          <w:b/>
          <w:sz w:val="24"/>
          <w:szCs w:val="24"/>
          <w:u w:val="single"/>
        </w:rPr>
        <w:t xml:space="preserve">                       </w:t>
      </w:r>
    </w:p>
    <w:p>
      <w:pPr>
        <w:spacing w:line="400" w:lineRule="exact"/>
        <w:ind w:firstLine="420" w:firstLineChars="200"/>
        <w:rPr>
          <w:rFonts w:ascii="宋体" w:hAnsi="宋体" w:cs="宋体"/>
          <w:szCs w:val="22"/>
        </w:rPr>
      </w:pPr>
      <w:r>
        <w:rPr>
          <w:rFonts w:hint="eastAsia" w:ascii="宋体" w:hAnsi="宋体" w:cs="宋体"/>
          <w:szCs w:val="22"/>
        </w:rPr>
        <w:t>根据《中华人民共和国民法典》、《中华人民共和国建筑法》及有关法律规定，遵循平等、自愿、公平和诚实信用的原则，双方就</w:t>
      </w:r>
      <w:r>
        <w:rPr>
          <w:rFonts w:hint="eastAsia" w:ascii="宋体" w:hAnsi="宋体" w:cs="宋体"/>
          <w:szCs w:val="22"/>
          <w:u w:val="single"/>
        </w:rPr>
        <w:t xml:space="preserve">   </w:t>
      </w:r>
      <w:r>
        <w:rPr>
          <w:rFonts w:hint="eastAsia" w:ascii="宋体" w:hAnsi="宋体" w:cs="宋体"/>
          <w:spacing w:val="-5"/>
          <w:szCs w:val="22"/>
          <w:u w:val="single"/>
        </w:rPr>
        <w:t xml:space="preserve">                      </w:t>
      </w:r>
      <w:r>
        <w:rPr>
          <w:rFonts w:ascii="宋体" w:hAnsi="宋体" w:cs="宋体"/>
          <w:szCs w:val="22"/>
          <w:u w:val="single"/>
        </w:rPr>
        <w:t xml:space="preserve">  </w:t>
      </w:r>
      <w:r>
        <w:rPr>
          <w:rFonts w:hint="eastAsia" w:ascii="宋体" w:hAnsi="宋体" w:cs="宋体"/>
          <w:szCs w:val="22"/>
        </w:rPr>
        <w:t>施工及有关事项协商一致，共同达成如下协议：</w:t>
      </w:r>
    </w:p>
    <w:p>
      <w:pPr>
        <w:spacing w:before="120" w:after="120" w:line="400" w:lineRule="exact"/>
        <w:rPr>
          <w:rFonts w:ascii="宋体" w:hAnsi="宋体" w:cs="宋体"/>
          <w:b/>
          <w:szCs w:val="22"/>
        </w:rPr>
      </w:pPr>
      <w:r>
        <w:rPr>
          <w:rFonts w:hint="eastAsia" w:ascii="宋体" w:hAnsi="宋体" w:cs="宋体"/>
          <w:bCs/>
          <w:szCs w:val="22"/>
        </w:rPr>
        <w:t xml:space="preserve">    </w:t>
      </w:r>
      <w:r>
        <w:rPr>
          <w:rFonts w:hint="eastAsia" w:ascii="宋体" w:hAnsi="宋体" w:cs="宋体"/>
          <w:b/>
          <w:szCs w:val="22"/>
        </w:rPr>
        <w:t>一、工程概况</w:t>
      </w:r>
    </w:p>
    <w:p>
      <w:pPr>
        <w:spacing w:line="400" w:lineRule="exact"/>
        <w:ind w:firstLine="411" w:firstLineChars="196"/>
        <w:rPr>
          <w:rFonts w:ascii="宋体" w:hAnsi="宋体" w:cs="宋体"/>
          <w:szCs w:val="22"/>
        </w:rPr>
      </w:pPr>
      <w:r>
        <w:rPr>
          <w:rFonts w:hint="eastAsia" w:ascii="宋体" w:hAnsi="宋体" w:cs="宋体"/>
          <w:bCs/>
          <w:szCs w:val="22"/>
        </w:rPr>
        <w:t>1.工程名称</w:t>
      </w:r>
      <w:r>
        <w:rPr>
          <w:rFonts w:hint="eastAsia" w:ascii="宋体" w:hAnsi="宋体" w:cs="宋体"/>
          <w:szCs w:val="22"/>
        </w:rPr>
        <w:t>：</w:t>
      </w:r>
      <w:r>
        <w:rPr>
          <w:rFonts w:hint="eastAsia" w:ascii="宋体" w:hAnsi="宋体" w:cs="宋体"/>
          <w:spacing w:val="-5"/>
          <w:szCs w:val="22"/>
          <w:u w:val="single"/>
        </w:rPr>
        <w:t xml:space="preserve"> 桂林理工大学雁山校区图书馆环境改造工程  </w:t>
      </w:r>
    </w:p>
    <w:p>
      <w:pPr>
        <w:spacing w:line="400" w:lineRule="exact"/>
        <w:ind w:firstLine="411" w:firstLineChars="196"/>
        <w:rPr>
          <w:rFonts w:ascii="宋体" w:hAnsi="宋体" w:cs="宋体"/>
          <w:bCs/>
          <w:szCs w:val="22"/>
          <w:u w:val="single"/>
        </w:rPr>
      </w:pPr>
      <w:r>
        <w:rPr>
          <w:rFonts w:hint="eastAsia" w:ascii="宋体" w:hAnsi="宋体" w:cs="宋体"/>
          <w:bCs/>
          <w:szCs w:val="22"/>
        </w:rPr>
        <w:t>2.工程地点：</w:t>
      </w:r>
      <w:r>
        <w:rPr>
          <w:rFonts w:hint="eastAsia" w:ascii="宋体" w:hAnsi="宋体" w:cs="宋体"/>
          <w:bCs/>
          <w:szCs w:val="22"/>
          <w:u w:val="single"/>
        </w:rPr>
        <w:t xml:space="preserve"> 桂林理工大学雁山校区校园内    </w:t>
      </w:r>
      <w:r>
        <w:rPr>
          <w:rFonts w:hint="eastAsia" w:ascii="宋体" w:hAnsi="宋体" w:cs="宋体"/>
          <w:szCs w:val="22"/>
          <w:u w:val="single"/>
        </w:rPr>
        <w:t xml:space="preserve"> </w:t>
      </w:r>
    </w:p>
    <w:p>
      <w:pPr>
        <w:spacing w:line="400" w:lineRule="exact"/>
        <w:ind w:firstLine="411" w:firstLineChars="196"/>
        <w:rPr>
          <w:rFonts w:ascii="宋体" w:hAnsi="宋体" w:cs="宋体"/>
          <w:szCs w:val="22"/>
          <w:u w:val="single"/>
        </w:rPr>
      </w:pPr>
      <w:r>
        <w:rPr>
          <w:rFonts w:hint="eastAsia" w:ascii="宋体" w:hAnsi="宋体" w:cs="宋体"/>
          <w:bCs/>
          <w:szCs w:val="22"/>
        </w:rPr>
        <w:t>3.工程立项批准文号：</w:t>
      </w:r>
      <w:r>
        <w:rPr>
          <w:rFonts w:hint="eastAsia" w:ascii="宋体" w:hAnsi="宋体" w:cs="宋体"/>
          <w:spacing w:val="-5"/>
          <w:szCs w:val="22"/>
          <w:u w:val="single"/>
        </w:rPr>
        <w:t xml:space="preserve">     </w:t>
      </w:r>
      <w:r>
        <w:rPr>
          <w:rFonts w:hint="eastAsia" w:ascii="宋体" w:hAnsi="宋体" w:cs="宋体"/>
          <w:spacing w:val="-4"/>
          <w:szCs w:val="22"/>
          <w:u w:val="single"/>
        </w:rPr>
        <w:t>/</w:t>
      </w:r>
      <w:r>
        <w:rPr>
          <w:rFonts w:hint="eastAsia" w:ascii="宋体" w:hAnsi="宋体" w:cs="宋体"/>
          <w:spacing w:val="-5"/>
          <w:szCs w:val="22"/>
          <w:u w:val="single"/>
        </w:rPr>
        <w:t xml:space="preserve">   </w:t>
      </w:r>
    </w:p>
    <w:p>
      <w:pPr>
        <w:spacing w:line="400" w:lineRule="exact"/>
        <w:ind w:firstLine="411" w:firstLineChars="196"/>
        <w:rPr>
          <w:rFonts w:ascii="宋体" w:hAnsi="宋体" w:cs="宋体"/>
          <w:bCs/>
          <w:szCs w:val="22"/>
        </w:rPr>
      </w:pPr>
      <w:r>
        <w:rPr>
          <w:rFonts w:hint="eastAsia" w:ascii="宋体" w:hAnsi="宋体" w:cs="宋体"/>
          <w:bCs/>
          <w:szCs w:val="22"/>
        </w:rPr>
        <w:t>4.资金来源：</w:t>
      </w:r>
      <w:r>
        <w:rPr>
          <w:rFonts w:hint="eastAsia" w:ascii="宋体" w:hAnsi="宋体" w:cs="宋体"/>
          <w:bCs/>
          <w:szCs w:val="22"/>
          <w:u w:val="single"/>
        </w:rPr>
        <w:t xml:space="preserve">    </w:t>
      </w:r>
      <w:r>
        <w:rPr>
          <w:rFonts w:hint="eastAsia" w:ascii="Calibri" w:hAnsi="宋体"/>
          <w:u w:val="single"/>
        </w:rPr>
        <w:t xml:space="preserve">财政资金   </w:t>
      </w:r>
      <w:r>
        <w:rPr>
          <w:rFonts w:hint="eastAsia" w:ascii="宋体" w:hAnsi="宋体" w:cs="宋体"/>
          <w:bCs/>
          <w:szCs w:val="22"/>
        </w:rPr>
        <w:t>。</w:t>
      </w:r>
    </w:p>
    <w:p>
      <w:pPr>
        <w:widowControl/>
        <w:spacing w:line="400" w:lineRule="exact"/>
        <w:ind w:firstLine="420" w:firstLineChars="200"/>
        <w:jc w:val="left"/>
        <w:rPr>
          <w:rFonts w:ascii="宋体" w:hAnsi="宋体" w:cs="宋体"/>
          <w:bCs/>
          <w:szCs w:val="22"/>
          <w:u w:val="single"/>
        </w:rPr>
      </w:pPr>
      <w:r>
        <w:rPr>
          <w:rFonts w:hint="eastAsia" w:ascii="宋体" w:hAnsi="宋体" w:cs="宋体"/>
          <w:bCs/>
          <w:szCs w:val="22"/>
        </w:rPr>
        <w:t>5.工程内容：</w:t>
      </w:r>
      <w:r>
        <w:rPr>
          <w:rFonts w:hint="eastAsia" w:ascii="宋体" w:hAnsi="宋体" w:cs="宋体"/>
          <w:bCs/>
          <w:szCs w:val="22"/>
          <w:u w:val="single"/>
        </w:rPr>
        <w:t xml:space="preserve"> 1、拆除天棚面龙骨及饰面、木门窗、镀锌桥架等；2、石膏板轻质及玻璃隔断、墙面及天棚刷涂料；3、天棚吊顶：铝方通吊顶、石膏板吊顶；4、PVC地胶地面及踢脚线；6、电气安装等   </w:t>
      </w:r>
      <w:r>
        <w:rPr>
          <w:rFonts w:hint="eastAsia" w:ascii="宋体" w:hAnsi="宋体" w:cs="宋体"/>
          <w:bCs/>
          <w:szCs w:val="22"/>
        </w:rPr>
        <w:t>。</w:t>
      </w:r>
    </w:p>
    <w:p>
      <w:pPr>
        <w:widowControl/>
        <w:spacing w:line="400" w:lineRule="exact"/>
        <w:ind w:firstLine="420" w:firstLineChars="200"/>
        <w:jc w:val="left"/>
        <w:rPr>
          <w:rFonts w:ascii="宋体" w:hAnsi="宋体" w:cs="宋体"/>
          <w:bCs/>
          <w:szCs w:val="22"/>
        </w:rPr>
      </w:pPr>
      <w:r>
        <w:rPr>
          <w:rFonts w:hint="eastAsia" w:ascii="宋体" w:hAnsi="宋体" w:cs="宋体"/>
          <w:bCs/>
          <w:szCs w:val="22"/>
        </w:rPr>
        <w:t>群体工程应附《承包人承揽工程项目一览表》（附件1）。</w:t>
      </w:r>
    </w:p>
    <w:p>
      <w:pPr>
        <w:spacing w:line="400" w:lineRule="exact"/>
        <w:ind w:firstLine="411" w:firstLineChars="196"/>
        <w:rPr>
          <w:rFonts w:ascii="宋体" w:hAnsi="宋体" w:cs="宋体"/>
          <w:bCs/>
          <w:szCs w:val="22"/>
        </w:rPr>
      </w:pPr>
      <w:r>
        <w:rPr>
          <w:rFonts w:hint="eastAsia" w:ascii="宋体" w:hAnsi="宋体" w:cs="宋体"/>
          <w:bCs/>
          <w:szCs w:val="22"/>
        </w:rPr>
        <w:t>6.工程承包范围：</w:t>
      </w:r>
      <w:r>
        <w:rPr>
          <w:rFonts w:hint="eastAsia" w:ascii="宋体" w:hAnsi="宋体" w:cs="宋体"/>
          <w:u w:val="single"/>
        </w:rPr>
        <w:t>施工图纸范围内的工程，具体情况详见施工图纸及工程量清单</w:t>
      </w:r>
      <w:r>
        <w:rPr>
          <w:rFonts w:hint="eastAsia" w:ascii="宋体" w:hAnsi="宋体" w:cs="宋体"/>
          <w:szCs w:val="22"/>
        </w:rPr>
        <w:t>。</w:t>
      </w:r>
    </w:p>
    <w:p>
      <w:pPr>
        <w:spacing w:before="120" w:after="120" w:line="400" w:lineRule="exact"/>
        <w:rPr>
          <w:rFonts w:ascii="宋体" w:hAnsi="宋体" w:cs="宋体"/>
          <w:b/>
          <w:szCs w:val="22"/>
        </w:rPr>
      </w:pPr>
      <w:r>
        <w:rPr>
          <w:rFonts w:hint="eastAsia" w:ascii="宋体" w:hAnsi="宋体" w:cs="宋体"/>
          <w:b/>
          <w:szCs w:val="22"/>
        </w:rPr>
        <w:t xml:space="preserve">    二、合同工期</w:t>
      </w:r>
    </w:p>
    <w:p>
      <w:pPr>
        <w:spacing w:line="400" w:lineRule="exact"/>
        <w:ind w:firstLine="459"/>
        <w:rPr>
          <w:rFonts w:ascii="宋体" w:hAnsi="Calibri" w:cs="宋体"/>
          <w:szCs w:val="22"/>
        </w:rPr>
      </w:pPr>
      <w:r>
        <w:rPr>
          <w:rFonts w:hint="eastAsia" w:ascii="宋体" w:hAnsi="宋体" w:cs="宋体"/>
          <w:szCs w:val="22"/>
        </w:rPr>
        <w:t>计划开工日期：</w:t>
      </w:r>
      <w:r>
        <w:rPr>
          <w:rFonts w:ascii="宋体" w:hAnsi="宋体" w:cs="宋体"/>
          <w:szCs w:val="22"/>
          <w:u w:val="single"/>
        </w:rPr>
        <w:t xml:space="preserve"> </w:t>
      </w:r>
      <w:r>
        <w:rPr>
          <w:rFonts w:hint="eastAsia" w:ascii="宋体" w:hAnsi="宋体" w:cs="宋体"/>
          <w:szCs w:val="22"/>
          <w:u w:val="single"/>
        </w:rPr>
        <w:t xml:space="preserve">    </w:t>
      </w:r>
      <w:r>
        <w:rPr>
          <w:rFonts w:hint="eastAsia" w:ascii="宋体" w:hAnsi="宋体" w:cs="宋体"/>
          <w:szCs w:val="22"/>
        </w:rPr>
        <w:t>年</w:t>
      </w:r>
      <w:r>
        <w:rPr>
          <w:rFonts w:hint="eastAsia" w:ascii="宋体" w:hAnsi="宋体" w:cs="宋体"/>
          <w:szCs w:val="22"/>
          <w:u w:val="single"/>
        </w:rPr>
        <w:t xml:space="preserve">   </w:t>
      </w:r>
      <w:r>
        <w:rPr>
          <w:rFonts w:hint="eastAsia" w:ascii="宋体" w:hAnsi="宋体" w:cs="宋体"/>
          <w:szCs w:val="22"/>
        </w:rPr>
        <w:t>月</w:t>
      </w:r>
      <w:r>
        <w:rPr>
          <w:rFonts w:hint="eastAsia" w:ascii="宋体" w:hAnsi="宋体" w:cs="宋体"/>
          <w:szCs w:val="22"/>
          <w:u w:val="single"/>
        </w:rPr>
        <w:t xml:space="preserve">   </w:t>
      </w:r>
      <w:r>
        <w:rPr>
          <w:rFonts w:hint="eastAsia" w:ascii="宋体" w:hAnsi="宋体" w:cs="宋体"/>
          <w:szCs w:val="22"/>
        </w:rPr>
        <w:t>日。（</w:t>
      </w:r>
      <w:r>
        <w:rPr>
          <w:rFonts w:hint="eastAsia" w:ascii="Calibri" w:hAnsi="宋体" w:cs="宋体"/>
          <w:szCs w:val="22"/>
        </w:rPr>
        <w:t>具体以发包人书面通知或</w:t>
      </w:r>
      <w:r>
        <w:rPr>
          <w:rFonts w:hint="eastAsia" w:ascii="宋体" w:hAnsi="宋体" w:cs="宋体"/>
          <w:szCs w:val="22"/>
        </w:rPr>
        <w:t>监理下发开工令时间为准）</w:t>
      </w:r>
    </w:p>
    <w:p>
      <w:pPr>
        <w:spacing w:line="400" w:lineRule="exact"/>
        <w:ind w:firstLine="459"/>
        <w:rPr>
          <w:rFonts w:ascii="宋体" w:hAnsi="宋体" w:cs="宋体"/>
          <w:szCs w:val="22"/>
        </w:rPr>
      </w:pPr>
      <w:r>
        <w:rPr>
          <w:rFonts w:hint="eastAsia" w:ascii="宋体" w:hAnsi="宋体" w:cs="宋体"/>
          <w:szCs w:val="22"/>
        </w:rPr>
        <w:t>计划竣工日期：</w:t>
      </w:r>
      <w:r>
        <w:rPr>
          <w:rFonts w:ascii="宋体" w:hAnsi="宋体" w:cs="宋体"/>
          <w:szCs w:val="22"/>
          <w:u w:val="single"/>
        </w:rPr>
        <w:t xml:space="preserve"> </w:t>
      </w:r>
      <w:r>
        <w:rPr>
          <w:rFonts w:hint="eastAsia" w:ascii="宋体" w:hAnsi="宋体" w:cs="宋体"/>
          <w:szCs w:val="22"/>
          <w:u w:val="single"/>
        </w:rPr>
        <w:t xml:space="preserve">    </w:t>
      </w:r>
      <w:r>
        <w:rPr>
          <w:rFonts w:hint="eastAsia" w:ascii="宋体" w:hAnsi="宋体" w:cs="宋体"/>
          <w:szCs w:val="22"/>
        </w:rPr>
        <w:t>年</w:t>
      </w:r>
      <w:r>
        <w:rPr>
          <w:rFonts w:hint="eastAsia" w:ascii="宋体" w:hAnsi="宋体" w:cs="宋体"/>
          <w:szCs w:val="22"/>
          <w:u w:val="single"/>
        </w:rPr>
        <w:t xml:space="preserve">   </w:t>
      </w:r>
      <w:r>
        <w:rPr>
          <w:rFonts w:hint="eastAsia" w:ascii="宋体" w:hAnsi="宋体" w:cs="宋体"/>
          <w:szCs w:val="22"/>
        </w:rPr>
        <w:t>月</w:t>
      </w:r>
      <w:r>
        <w:rPr>
          <w:rFonts w:hint="eastAsia" w:ascii="宋体" w:hAnsi="宋体" w:cs="宋体"/>
          <w:szCs w:val="22"/>
          <w:u w:val="single"/>
        </w:rPr>
        <w:t xml:space="preserve">   </w:t>
      </w:r>
      <w:r>
        <w:rPr>
          <w:rFonts w:hint="eastAsia" w:ascii="宋体" w:hAnsi="宋体" w:cs="宋体"/>
          <w:szCs w:val="22"/>
        </w:rPr>
        <w:t>日。</w:t>
      </w:r>
    </w:p>
    <w:p>
      <w:pPr>
        <w:spacing w:line="400" w:lineRule="exact"/>
        <w:ind w:firstLine="459"/>
        <w:rPr>
          <w:rFonts w:ascii="宋体" w:hAnsi="宋体" w:cs="宋体"/>
          <w:szCs w:val="22"/>
        </w:rPr>
      </w:pPr>
      <w:r>
        <w:rPr>
          <w:rFonts w:hint="eastAsia" w:ascii="宋体" w:hAnsi="宋体" w:cs="宋体"/>
          <w:szCs w:val="22"/>
        </w:rPr>
        <w:t>工期总日历天数：</w:t>
      </w:r>
      <w:r>
        <w:rPr>
          <w:rFonts w:hint="eastAsia" w:ascii="宋体" w:hAnsi="宋体" w:cs="宋体"/>
          <w:szCs w:val="22"/>
          <w:u w:val="single"/>
        </w:rPr>
        <w:t xml:space="preserve">     </w:t>
      </w:r>
      <w:r>
        <w:rPr>
          <w:rFonts w:hint="eastAsia" w:ascii="宋体" w:hAnsi="宋体" w:cs="宋体"/>
          <w:szCs w:val="22"/>
        </w:rPr>
        <w:t>日历日。工期总日历天数与根据前述计划开竣工日期计算的工期天数不一致的，以工期总日历天数为准。</w:t>
      </w:r>
    </w:p>
    <w:p>
      <w:pPr>
        <w:spacing w:before="120" w:after="120" w:line="400" w:lineRule="exact"/>
        <w:rPr>
          <w:rFonts w:ascii="宋体" w:hAnsi="宋体" w:cs="宋体"/>
          <w:b/>
          <w:szCs w:val="22"/>
        </w:rPr>
      </w:pPr>
      <w:r>
        <w:rPr>
          <w:rFonts w:hint="eastAsia" w:ascii="宋体" w:hAnsi="宋体" w:cs="宋体"/>
          <w:b/>
          <w:szCs w:val="22"/>
        </w:rPr>
        <w:t xml:space="preserve">    三、质量标准</w:t>
      </w:r>
    </w:p>
    <w:p>
      <w:pPr>
        <w:spacing w:line="400" w:lineRule="exact"/>
        <w:ind w:firstLine="459"/>
        <w:rPr>
          <w:rFonts w:ascii="宋体" w:hAnsi="宋体" w:cs="宋体"/>
          <w:szCs w:val="22"/>
        </w:rPr>
      </w:pPr>
      <w:r>
        <w:rPr>
          <w:rFonts w:hint="eastAsia" w:ascii="宋体" w:hAnsi="宋体" w:cs="宋体"/>
          <w:szCs w:val="22"/>
        </w:rPr>
        <w:t>工程质量符合</w:t>
      </w:r>
      <w:r>
        <w:rPr>
          <w:rFonts w:hint="eastAsia" w:ascii="宋体" w:hAnsi="宋体" w:cs="宋体"/>
          <w:szCs w:val="22"/>
          <w:u w:val="single"/>
        </w:rPr>
        <w:t>合格</w:t>
      </w:r>
      <w:r>
        <w:rPr>
          <w:rFonts w:hint="eastAsia" w:ascii="宋体" w:hAnsi="宋体" w:cs="宋体"/>
          <w:szCs w:val="22"/>
        </w:rPr>
        <w:t>标准。</w:t>
      </w:r>
    </w:p>
    <w:p>
      <w:pPr>
        <w:spacing w:before="120" w:after="120" w:line="400" w:lineRule="exact"/>
        <w:rPr>
          <w:rFonts w:ascii="宋体" w:hAnsi="宋体" w:cs="宋体"/>
          <w:b/>
          <w:szCs w:val="22"/>
        </w:rPr>
      </w:pPr>
      <w:r>
        <w:rPr>
          <w:rFonts w:hint="eastAsia" w:ascii="宋体" w:hAnsi="宋体" w:cs="宋体"/>
          <w:b/>
          <w:szCs w:val="22"/>
        </w:rPr>
        <w:t xml:space="preserve">    四、签约合同价与合同价格形式</w:t>
      </w:r>
      <w:r>
        <w:rPr>
          <w:rFonts w:hint="eastAsia" w:ascii="宋体" w:hAnsi="宋体" w:cs="宋体"/>
          <w:b/>
          <w:szCs w:val="22"/>
        </w:rPr>
        <w:tab/>
      </w:r>
    </w:p>
    <w:p>
      <w:pPr>
        <w:spacing w:line="400" w:lineRule="exact"/>
        <w:ind w:firstLine="420" w:firstLineChars="200"/>
        <w:rPr>
          <w:rFonts w:ascii="宋体" w:hAnsi="宋体" w:cs="宋体"/>
          <w:szCs w:val="22"/>
        </w:rPr>
      </w:pPr>
      <w:r>
        <w:rPr>
          <w:rFonts w:hint="eastAsia" w:ascii="宋体" w:hAnsi="宋体" w:cs="宋体"/>
          <w:szCs w:val="22"/>
        </w:rPr>
        <w:t>1.签约合同价为：</w:t>
      </w:r>
    </w:p>
    <w:p>
      <w:pPr>
        <w:spacing w:line="400" w:lineRule="exact"/>
        <w:ind w:firstLine="525" w:firstLineChars="250"/>
        <w:rPr>
          <w:rFonts w:ascii="宋体" w:hAnsi="宋体" w:cs="宋体"/>
          <w:szCs w:val="22"/>
        </w:rPr>
      </w:pPr>
      <w:r>
        <w:rPr>
          <w:rFonts w:hint="eastAsia" w:ascii="宋体" w:hAnsi="宋体" w:cs="宋体"/>
          <w:szCs w:val="22"/>
        </w:rPr>
        <w:t>人民币（大写）</w:t>
      </w:r>
      <w:r>
        <w:rPr>
          <w:rFonts w:hint="eastAsia" w:ascii="宋体" w:hAnsi="宋体"/>
          <w:spacing w:val="5"/>
          <w:szCs w:val="22"/>
          <w:u w:val="single"/>
        </w:rPr>
        <w:t xml:space="preserve">          </w:t>
      </w:r>
      <w:r>
        <w:rPr>
          <w:rFonts w:ascii="宋体" w:hAnsi="宋体" w:cs="宋体"/>
          <w:szCs w:val="22"/>
        </w:rPr>
        <w:t>（</w:t>
      </w:r>
      <w:r>
        <w:rPr>
          <w:rFonts w:ascii="宋体" w:hAnsi="Calibri" w:cs="宋体"/>
          <w:szCs w:val="22"/>
        </w:rPr>
        <w:t>¥</w:t>
      </w:r>
      <w:r>
        <w:rPr>
          <w:rFonts w:hint="eastAsia" w:ascii="宋体" w:hAnsi="宋体"/>
          <w:spacing w:val="9"/>
          <w:szCs w:val="22"/>
          <w:u w:val="single"/>
        </w:rPr>
        <w:t xml:space="preserve">       </w:t>
      </w:r>
      <w:r>
        <w:rPr>
          <w:rFonts w:ascii="宋体" w:hAnsi="宋体" w:cs="宋体"/>
          <w:szCs w:val="22"/>
          <w:u w:val="single"/>
        </w:rPr>
        <w:t xml:space="preserve"> </w:t>
      </w:r>
      <w:r>
        <w:rPr>
          <w:rFonts w:hint="eastAsia" w:ascii="宋体" w:hAnsi="宋体" w:cs="宋体"/>
          <w:szCs w:val="22"/>
        </w:rPr>
        <w:t>元</w:t>
      </w:r>
      <w:r>
        <w:rPr>
          <w:rFonts w:ascii="宋体" w:hAnsi="宋体" w:cs="宋体"/>
          <w:szCs w:val="22"/>
        </w:rPr>
        <w:t>）</w:t>
      </w:r>
      <w:r>
        <w:rPr>
          <w:rFonts w:hint="eastAsia" w:ascii="宋体" w:hAnsi="宋体" w:cs="宋体"/>
          <w:szCs w:val="22"/>
        </w:rPr>
        <w:t>；</w:t>
      </w:r>
    </w:p>
    <w:p>
      <w:pPr>
        <w:spacing w:line="400" w:lineRule="exact"/>
        <w:ind w:firstLine="420" w:firstLineChars="200"/>
        <w:rPr>
          <w:rFonts w:ascii="宋体" w:hAnsi="宋体" w:cs="宋体"/>
          <w:szCs w:val="22"/>
        </w:rPr>
      </w:pPr>
      <w:r>
        <w:rPr>
          <w:rFonts w:ascii="宋体" w:hAnsi="宋体" w:cs="宋体"/>
          <w:szCs w:val="22"/>
        </w:rPr>
        <w:t>其中：</w:t>
      </w:r>
    </w:p>
    <w:p>
      <w:pPr>
        <w:spacing w:line="400" w:lineRule="exact"/>
        <w:ind w:firstLine="420" w:firstLineChars="200"/>
        <w:rPr>
          <w:rFonts w:ascii="宋体" w:hAnsi="宋体" w:cs="宋体"/>
          <w:szCs w:val="22"/>
        </w:rPr>
      </w:pPr>
      <w:r>
        <w:rPr>
          <w:rFonts w:ascii="宋体" w:hAnsi="宋体" w:cs="宋体"/>
          <w:szCs w:val="22"/>
        </w:rPr>
        <w:t>（1）安全文明施工费：</w:t>
      </w:r>
    </w:p>
    <w:p>
      <w:pPr>
        <w:spacing w:line="400" w:lineRule="exact"/>
        <w:ind w:firstLine="420" w:firstLineChars="200"/>
        <w:rPr>
          <w:rFonts w:ascii="宋体" w:hAnsi="宋体" w:cs="宋体"/>
          <w:szCs w:val="22"/>
        </w:rPr>
      </w:pPr>
      <w:r>
        <w:rPr>
          <w:rFonts w:ascii="宋体" w:hAnsi="宋体" w:cs="宋体"/>
          <w:szCs w:val="22"/>
        </w:rPr>
        <w:t>人民币（大写）</w:t>
      </w:r>
      <w:r>
        <w:rPr>
          <w:rFonts w:hint="eastAsia" w:ascii="宋体" w:hAnsi="宋体"/>
          <w:spacing w:val="5"/>
          <w:szCs w:val="22"/>
          <w:u w:val="single"/>
        </w:rPr>
        <w:t xml:space="preserve">          </w:t>
      </w:r>
      <w:r>
        <w:rPr>
          <w:rFonts w:ascii="宋体" w:hAnsi="宋体" w:cs="宋体"/>
          <w:szCs w:val="22"/>
        </w:rPr>
        <w:t>（</w:t>
      </w:r>
      <w:r>
        <w:rPr>
          <w:rFonts w:ascii="宋体" w:hAnsi="Calibri" w:cs="宋体"/>
          <w:szCs w:val="22"/>
        </w:rPr>
        <w:t>¥</w:t>
      </w:r>
      <w:r>
        <w:rPr>
          <w:rFonts w:hint="eastAsia" w:ascii="宋体" w:hAnsi="宋体"/>
          <w:spacing w:val="9"/>
          <w:szCs w:val="22"/>
          <w:u w:val="single"/>
        </w:rPr>
        <w:t xml:space="preserve">       </w:t>
      </w:r>
      <w:r>
        <w:rPr>
          <w:rFonts w:ascii="宋体" w:hAnsi="宋体" w:cs="宋体"/>
          <w:szCs w:val="22"/>
          <w:u w:val="single"/>
        </w:rPr>
        <w:t xml:space="preserve"> </w:t>
      </w:r>
      <w:r>
        <w:rPr>
          <w:rFonts w:hint="eastAsia" w:ascii="宋体" w:hAnsi="宋体" w:cs="宋体"/>
          <w:szCs w:val="22"/>
        </w:rPr>
        <w:t>元</w:t>
      </w:r>
      <w:r>
        <w:rPr>
          <w:rFonts w:ascii="宋体" w:hAnsi="宋体" w:cs="宋体"/>
          <w:szCs w:val="22"/>
        </w:rPr>
        <w:t>）；</w:t>
      </w:r>
    </w:p>
    <w:p>
      <w:pPr>
        <w:spacing w:line="400" w:lineRule="exact"/>
        <w:ind w:firstLine="420" w:firstLineChars="200"/>
        <w:rPr>
          <w:rFonts w:ascii="宋体" w:hAnsi="宋体" w:cs="宋体"/>
          <w:szCs w:val="22"/>
        </w:rPr>
      </w:pPr>
      <w:r>
        <w:rPr>
          <w:rFonts w:ascii="宋体" w:hAnsi="宋体" w:cs="宋体"/>
          <w:szCs w:val="22"/>
        </w:rPr>
        <w:t>（2）材料和工程设备暂估价金额：</w:t>
      </w:r>
    </w:p>
    <w:p>
      <w:pPr>
        <w:spacing w:line="400" w:lineRule="exact"/>
        <w:ind w:firstLine="420" w:firstLineChars="200"/>
        <w:rPr>
          <w:rFonts w:ascii="宋体" w:hAnsi="宋体" w:cs="宋体"/>
          <w:szCs w:val="22"/>
        </w:rPr>
      </w:pPr>
      <w:r>
        <w:rPr>
          <w:rFonts w:ascii="宋体" w:hAnsi="宋体" w:cs="宋体"/>
          <w:szCs w:val="22"/>
        </w:rPr>
        <w:t>人民币（大写）</w:t>
      </w:r>
      <w:r>
        <w:rPr>
          <w:rFonts w:hint="eastAsia" w:ascii="宋体" w:hAnsi="宋体"/>
          <w:spacing w:val="5"/>
          <w:szCs w:val="22"/>
          <w:u w:val="single"/>
        </w:rPr>
        <w:t xml:space="preserve">          </w:t>
      </w:r>
      <w:r>
        <w:rPr>
          <w:rFonts w:ascii="宋体" w:hAnsi="宋体" w:cs="宋体"/>
          <w:szCs w:val="22"/>
        </w:rPr>
        <w:t>（</w:t>
      </w:r>
      <w:r>
        <w:rPr>
          <w:rFonts w:ascii="宋体" w:hAnsi="Calibri" w:cs="宋体"/>
          <w:szCs w:val="22"/>
        </w:rPr>
        <w:t>¥</w:t>
      </w:r>
      <w:r>
        <w:rPr>
          <w:rFonts w:hint="eastAsia" w:ascii="宋体" w:hAnsi="宋体"/>
          <w:spacing w:val="9"/>
          <w:szCs w:val="22"/>
          <w:u w:val="single"/>
        </w:rPr>
        <w:t xml:space="preserve">       </w:t>
      </w:r>
      <w:r>
        <w:rPr>
          <w:rFonts w:ascii="宋体" w:hAnsi="宋体" w:cs="宋体"/>
          <w:szCs w:val="22"/>
          <w:u w:val="single"/>
        </w:rPr>
        <w:t xml:space="preserve"> </w:t>
      </w:r>
      <w:r>
        <w:rPr>
          <w:rFonts w:hint="eastAsia" w:ascii="宋体" w:hAnsi="宋体" w:cs="宋体"/>
          <w:szCs w:val="22"/>
        </w:rPr>
        <w:t>元</w:t>
      </w:r>
      <w:r>
        <w:rPr>
          <w:rFonts w:ascii="宋体" w:hAnsi="宋体" w:cs="宋体"/>
          <w:szCs w:val="22"/>
        </w:rPr>
        <w:t>）；</w:t>
      </w:r>
    </w:p>
    <w:p>
      <w:pPr>
        <w:spacing w:line="400" w:lineRule="exact"/>
        <w:ind w:firstLine="420" w:firstLineChars="200"/>
        <w:rPr>
          <w:rFonts w:ascii="宋体" w:hAnsi="宋体" w:cs="宋体"/>
          <w:szCs w:val="22"/>
        </w:rPr>
      </w:pPr>
      <w:r>
        <w:rPr>
          <w:rFonts w:ascii="宋体" w:hAnsi="宋体" w:cs="宋体"/>
          <w:szCs w:val="22"/>
        </w:rPr>
        <w:t>（3）专业工程暂估价金额：</w:t>
      </w:r>
    </w:p>
    <w:p>
      <w:pPr>
        <w:spacing w:line="400" w:lineRule="exact"/>
        <w:ind w:firstLine="420" w:firstLineChars="200"/>
        <w:rPr>
          <w:rFonts w:ascii="宋体" w:hAnsi="宋体" w:cs="宋体"/>
          <w:szCs w:val="22"/>
        </w:rPr>
      </w:pPr>
      <w:r>
        <w:rPr>
          <w:rFonts w:ascii="宋体" w:hAnsi="宋体" w:cs="宋体"/>
          <w:szCs w:val="22"/>
        </w:rPr>
        <w:t>人民币（大写）</w:t>
      </w:r>
      <w:r>
        <w:rPr>
          <w:rFonts w:hint="eastAsia" w:ascii="宋体" w:hAnsi="宋体"/>
          <w:spacing w:val="5"/>
          <w:szCs w:val="22"/>
          <w:u w:val="single"/>
        </w:rPr>
        <w:t xml:space="preserve">          </w:t>
      </w:r>
      <w:r>
        <w:rPr>
          <w:rFonts w:ascii="宋体" w:hAnsi="宋体" w:cs="宋体"/>
          <w:szCs w:val="22"/>
        </w:rPr>
        <w:t>（</w:t>
      </w:r>
      <w:r>
        <w:rPr>
          <w:rFonts w:ascii="宋体" w:hAnsi="Calibri" w:cs="宋体"/>
          <w:szCs w:val="22"/>
        </w:rPr>
        <w:t>¥</w:t>
      </w:r>
      <w:r>
        <w:rPr>
          <w:rFonts w:hint="eastAsia" w:ascii="宋体" w:hAnsi="宋体"/>
          <w:spacing w:val="9"/>
          <w:szCs w:val="22"/>
          <w:u w:val="single"/>
        </w:rPr>
        <w:t xml:space="preserve">       </w:t>
      </w:r>
      <w:r>
        <w:rPr>
          <w:rFonts w:ascii="宋体" w:hAnsi="宋体" w:cs="宋体"/>
          <w:szCs w:val="22"/>
          <w:u w:val="single"/>
        </w:rPr>
        <w:t xml:space="preserve"> </w:t>
      </w:r>
      <w:r>
        <w:rPr>
          <w:rFonts w:hint="eastAsia" w:ascii="宋体" w:hAnsi="宋体" w:cs="宋体"/>
          <w:szCs w:val="22"/>
        </w:rPr>
        <w:t>元</w:t>
      </w:r>
      <w:r>
        <w:rPr>
          <w:rFonts w:ascii="宋体" w:hAnsi="宋体" w:cs="宋体"/>
          <w:szCs w:val="22"/>
        </w:rPr>
        <w:t>）；</w:t>
      </w:r>
    </w:p>
    <w:p>
      <w:pPr>
        <w:spacing w:line="400" w:lineRule="exact"/>
        <w:ind w:firstLine="420" w:firstLineChars="200"/>
        <w:rPr>
          <w:rFonts w:ascii="宋体" w:hAnsi="宋体" w:cs="宋体"/>
          <w:szCs w:val="22"/>
        </w:rPr>
      </w:pPr>
      <w:r>
        <w:rPr>
          <w:rFonts w:ascii="宋体" w:hAnsi="宋体" w:cs="宋体"/>
          <w:szCs w:val="22"/>
        </w:rPr>
        <w:t>（4）暂列金额：</w:t>
      </w:r>
    </w:p>
    <w:p>
      <w:pPr>
        <w:spacing w:line="400" w:lineRule="exact"/>
        <w:ind w:firstLine="420" w:firstLineChars="200"/>
        <w:rPr>
          <w:rFonts w:ascii="宋体" w:hAnsi="宋体" w:cs="宋体"/>
          <w:szCs w:val="22"/>
        </w:rPr>
      </w:pPr>
      <w:r>
        <w:rPr>
          <w:rFonts w:ascii="宋体" w:hAnsi="宋体" w:cs="宋体"/>
          <w:szCs w:val="22"/>
        </w:rPr>
        <w:t>人民币（大写</w:t>
      </w:r>
      <w:r>
        <w:rPr>
          <w:rFonts w:hint="eastAsia" w:ascii="宋体" w:hAnsi="宋体"/>
          <w:spacing w:val="5"/>
          <w:szCs w:val="22"/>
          <w:u w:val="single"/>
        </w:rPr>
        <w:t xml:space="preserve">          </w:t>
      </w:r>
      <w:r>
        <w:rPr>
          <w:rFonts w:ascii="宋体" w:hAnsi="宋体" w:cs="宋体"/>
          <w:szCs w:val="22"/>
        </w:rPr>
        <w:t>（</w:t>
      </w:r>
      <w:r>
        <w:rPr>
          <w:rFonts w:ascii="宋体" w:hAnsi="Calibri" w:cs="宋体"/>
          <w:szCs w:val="22"/>
        </w:rPr>
        <w:t>¥</w:t>
      </w:r>
      <w:r>
        <w:rPr>
          <w:rFonts w:hint="eastAsia" w:ascii="宋体" w:hAnsi="宋体"/>
          <w:spacing w:val="9"/>
          <w:szCs w:val="22"/>
          <w:u w:val="single"/>
        </w:rPr>
        <w:t xml:space="preserve">       </w:t>
      </w:r>
      <w:r>
        <w:rPr>
          <w:rFonts w:ascii="宋体" w:hAnsi="宋体" w:cs="宋体"/>
          <w:szCs w:val="22"/>
          <w:u w:val="single"/>
        </w:rPr>
        <w:t xml:space="preserve"> </w:t>
      </w:r>
      <w:r>
        <w:rPr>
          <w:rFonts w:hint="eastAsia" w:ascii="宋体" w:hAnsi="宋体" w:cs="宋体"/>
          <w:szCs w:val="22"/>
        </w:rPr>
        <w:t>元</w:t>
      </w:r>
      <w:r>
        <w:rPr>
          <w:rFonts w:ascii="宋体" w:hAnsi="宋体" w:cs="宋体"/>
          <w:szCs w:val="22"/>
        </w:rPr>
        <w:t>）。</w:t>
      </w:r>
    </w:p>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r>
        <w:rPr>
          <w:rFonts w:hint="eastAsia" w:ascii="宋体" w:hAnsi="宋体" w:cs="宋体"/>
          <w:szCs w:val="22"/>
        </w:rPr>
        <w:t>2.合同价格形式：</w:t>
      </w:r>
      <w:r>
        <w:rPr>
          <w:rFonts w:hint="eastAsia" w:ascii="宋体" w:hAnsi="宋体" w:cs="宋体"/>
          <w:szCs w:val="22"/>
          <w:u w:val="single"/>
        </w:rPr>
        <w:t xml:space="preserve">固定综合单价合同 </w:t>
      </w:r>
      <w:r>
        <w:rPr>
          <w:rFonts w:hint="eastAsia" w:ascii="宋体" w:hAnsi="宋体" w:cs="宋体"/>
          <w:szCs w:val="22"/>
        </w:rPr>
        <w:t>。</w:t>
      </w:r>
    </w:p>
    <w:p>
      <w:pPr>
        <w:spacing w:before="120" w:after="120" w:line="400" w:lineRule="exact"/>
        <w:rPr>
          <w:rFonts w:ascii="宋体" w:hAnsi="宋体" w:cs="宋体"/>
          <w:b/>
          <w:szCs w:val="22"/>
        </w:rPr>
      </w:pPr>
      <w:r>
        <w:rPr>
          <w:rFonts w:hint="eastAsia" w:ascii="宋体" w:hAnsi="宋体" w:cs="宋体"/>
          <w:szCs w:val="22"/>
        </w:rPr>
        <w:t xml:space="preserve">    </w:t>
      </w:r>
      <w:r>
        <w:rPr>
          <w:rFonts w:hint="eastAsia" w:ascii="宋体" w:hAnsi="宋体" w:cs="宋体"/>
          <w:b/>
          <w:szCs w:val="22"/>
        </w:rPr>
        <w:t>五、项目经理</w:t>
      </w:r>
    </w:p>
    <w:p>
      <w:pPr>
        <w:spacing w:line="400" w:lineRule="exact"/>
        <w:ind w:firstLine="420" w:firstLineChars="200"/>
        <w:rPr>
          <w:rFonts w:ascii="宋体" w:hAnsi="宋体" w:cs="宋体"/>
          <w:szCs w:val="22"/>
        </w:rPr>
      </w:pPr>
      <w:r>
        <w:rPr>
          <w:rFonts w:hint="eastAsia" w:ascii="宋体" w:hAnsi="宋体" w:cs="宋体"/>
          <w:szCs w:val="22"/>
        </w:rPr>
        <w:t>承包人项目经理：</w:t>
      </w:r>
      <w:r>
        <w:rPr>
          <w:rFonts w:hint="eastAsia" w:ascii="宋体" w:hAnsi="宋体"/>
          <w:spacing w:val="-1"/>
          <w:szCs w:val="22"/>
          <w:u w:val="single"/>
        </w:rPr>
        <w:t xml:space="preserve">     </w:t>
      </w:r>
      <w:r>
        <w:rPr>
          <w:rFonts w:ascii="宋体" w:hAnsi="宋体" w:cs="宋体"/>
          <w:szCs w:val="22"/>
          <w:u w:val="single"/>
        </w:rPr>
        <w:t xml:space="preserve"> </w:t>
      </w:r>
      <w:r>
        <w:rPr>
          <w:rFonts w:hint="eastAsia" w:ascii="宋体" w:hAnsi="宋体" w:cs="宋体"/>
          <w:szCs w:val="22"/>
          <w:u w:val="single"/>
        </w:rPr>
        <w:t xml:space="preserve">  </w:t>
      </w:r>
      <w:r>
        <w:rPr>
          <w:rFonts w:hint="eastAsia" w:ascii="宋体" w:hAnsi="宋体" w:cs="宋体"/>
          <w:szCs w:val="22"/>
        </w:rPr>
        <w:t>。</w:t>
      </w:r>
    </w:p>
    <w:p>
      <w:pPr>
        <w:spacing w:before="120" w:after="120" w:line="400" w:lineRule="exact"/>
        <w:rPr>
          <w:rFonts w:ascii="宋体" w:hAnsi="宋体" w:cs="宋体"/>
          <w:b/>
          <w:szCs w:val="22"/>
        </w:rPr>
      </w:pPr>
      <w:r>
        <w:rPr>
          <w:rFonts w:hint="eastAsia" w:ascii="宋体" w:hAnsi="宋体" w:cs="宋体"/>
          <w:b/>
          <w:szCs w:val="22"/>
        </w:rPr>
        <w:t xml:space="preserve">    六、合同文件构成 </w:t>
      </w:r>
    </w:p>
    <w:p>
      <w:pPr>
        <w:spacing w:line="400" w:lineRule="exact"/>
        <w:ind w:firstLine="420" w:firstLineChars="200"/>
        <w:rPr>
          <w:rFonts w:ascii="宋体" w:hAnsi="宋体" w:cs="宋体"/>
          <w:bCs/>
          <w:szCs w:val="22"/>
        </w:rPr>
      </w:pPr>
      <w:r>
        <w:rPr>
          <w:rFonts w:hint="eastAsia" w:ascii="宋体" w:hAnsi="宋体" w:cs="宋体"/>
          <w:bCs/>
          <w:szCs w:val="22"/>
        </w:rPr>
        <w:t>本协议书与下列文件一起构成合同文件：</w:t>
      </w:r>
    </w:p>
    <w:p>
      <w:pPr>
        <w:autoSpaceDE w:val="0"/>
        <w:autoSpaceDN w:val="0"/>
        <w:adjustRightInd w:val="0"/>
        <w:spacing w:line="400" w:lineRule="exact"/>
        <w:ind w:firstLine="420" w:firstLineChars="200"/>
        <w:jc w:val="left"/>
        <w:rPr>
          <w:rFonts w:ascii="宋体" w:hAnsi="宋体" w:cs="宋体"/>
          <w:szCs w:val="22"/>
        </w:rPr>
      </w:pPr>
      <w:r>
        <w:rPr>
          <w:rFonts w:hint="eastAsia" w:ascii="宋体" w:hAnsi="宋体" w:cs="宋体"/>
          <w:szCs w:val="22"/>
        </w:rPr>
        <w:t>（1）成交通知书（如果有）；</w:t>
      </w:r>
    </w:p>
    <w:p>
      <w:pPr>
        <w:autoSpaceDE w:val="0"/>
        <w:autoSpaceDN w:val="0"/>
        <w:adjustRightInd w:val="0"/>
        <w:spacing w:line="400" w:lineRule="exact"/>
        <w:ind w:firstLine="420" w:firstLineChars="200"/>
        <w:jc w:val="left"/>
        <w:rPr>
          <w:rFonts w:ascii="宋体" w:hAnsi="宋体" w:cs="宋体"/>
          <w:szCs w:val="22"/>
        </w:rPr>
      </w:pPr>
      <w:r>
        <w:rPr>
          <w:rFonts w:hint="eastAsia" w:ascii="宋体" w:hAnsi="宋体" w:cs="宋体"/>
          <w:szCs w:val="22"/>
        </w:rPr>
        <w:t>（2）</w:t>
      </w:r>
      <w:r>
        <w:rPr>
          <w:rFonts w:hint="eastAsia" w:asciiTheme="minorEastAsia" w:hAnsiTheme="minorEastAsia" w:eastAsiaTheme="minorEastAsia" w:cstheme="minorEastAsia"/>
          <w:spacing w:val="2"/>
        </w:rPr>
        <w:t>磋商函及磋商函附表</w:t>
      </w:r>
      <w:r>
        <w:rPr>
          <w:rFonts w:hint="eastAsia" w:ascii="宋体" w:hAnsi="宋体" w:cs="宋体"/>
          <w:szCs w:val="22"/>
        </w:rPr>
        <w:t xml:space="preserve">（如果有）； </w:t>
      </w:r>
    </w:p>
    <w:p>
      <w:pPr>
        <w:autoSpaceDE w:val="0"/>
        <w:autoSpaceDN w:val="0"/>
        <w:adjustRightInd w:val="0"/>
        <w:spacing w:line="400" w:lineRule="exact"/>
        <w:ind w:firstLine="420" w:firstLineChars="200"/>
        <w:jc w:val="left"/>
        <w:rPr>
          <w:rFonts w:ascii="宋体" w:hAnsi="宋体" w:cs="宋体"/>
          <w:szCs w:val="22"/>
        </w:rPr>
      </w:pPr>
      <w:r>
        <w:rPr>
          <w:rFonts w:hint="eastAsia" w:ascii="宋体" w:hAnsi="宋体" w:cs="宋体"/>
          <w:szCs w:val="22"/>
        </w:rPr>
        <w:t>（3）专用合同条款及其附件；</w:t>
      </w:r>
    </w:p>
    <w:p>
      <w:pPr>
        <w:autoSpaceDE w:val="0"/>
        <w:autoSpaceDN w:val="0"/>
        <w:adjustRightInd w:val="0"/>
        <w:spacing w:line="400" w:lineRule="exact"/>
        <w:ind w:firstLine="420" w:firstLineChars="200"/>
        <w:jc w:val="left"/>
        <w:rPr>
          <w:rFonts w:ascii="宋体" w:hAnsi="宋体" w:cs="宋体"/>
          <w:szCs w:val="22"/>
        </w:rPr>
      </w:pPr>
      <w:r>
        <w:rPr>
          <w:rFonts w:hint="eastAsia" w:ascii="宋体" w:hAnsi="宋体" w:cs="宋体"/>
          <w:szCs w:val="22"/>
        </w:rPr>
        <w:t>（4）通用合同条款；</w:t>
      </w:r>
    </w:p>
    <w:p>
      <w:pPr>
        <w:autoSpaceDE w:val="0"/>
        <w:autoSpaceDN w:val="0"/>
        <w:adjustRightInd w:val="0"/>
        <w:spacing w:line="400" w:lineRule="exact"/>
        <w:ind w:firstLine="420" w:firstLineChars="200"/>
        <w:jc w:val="left"/>
        <w:rPr>
          <w:rFonts w:ascii="宋体" w:hAnsi="宋体" w:cs="宋体"/>
          <w:szCs w:val="22"/>
        </w:rPr>
      </w:pPr>
      <w:r>
        <w:rPr>
          <w:rFonts w:hint="eastAsia" w:ascii="宋体" w:hAnsi="宋体" w:cs="宋体"/>
          <w:szCs w:val="22"/>
        </w:rPr>
        <w:t>（5）技术标准和要求；</w:t>
      </w:r>
    </w:p>
    <w:p>
      <w:pPr>
        <w:autoSpaceDE w:val="0"/>
        <w:autoSpaceDN w:val="0"/>
        <w:adjustRightInd w:val="0"/>
        <w:spacing w:line="400" w:lineRule="exact"/>
        <w:ind w:firstLine="420" w:firstLineChars="200"/>
        <w:jc w:val="left"/>
        <w:rPr>
          <w:rFonts w:ascii="宋体" w:hAnsi="宋体" w:cs="宋体"/>
          <w:szCs w:val="22"/>
        </w:rPr>
      </w:pPr>
      <w:r>
        <w:rPr>
          <w:rFonts w:hint="eastAsia" w:ascii="宋体" w:hAnsi="宋体" w:cs="宋体"/>
          <w:szCs w:val="22"/>
        </w:rPr>
        <w:t>（6）图纸；</w:t>
      </w:r>
    </w:p>
    <w:p>
      <w:pPr>
        <w:autoSpaceDE w:val="0"/>
        <w:autoSpaceDN w:val="0"/>
        <w:adjustRightInd w:val="0"/>
        <w:spacing w:line="400" w:lineRule="exact"/>
        <w:ind w:firstLine="420" w:firstLineChars="200"/>
        <w:jc w:val="left"/>
        <w:rPr>
          <w:rFonts w:ascii="宋体" w:hAnsi="宋体" w:cs="宋体"/>
          <w:szCs w:val="22"/>
        </w:rPr>
      </w:pPr>
      <w:r>
        <w:rPr>
          <w:rFonts w:hint="eastAsia" w:ascii="宋体" w:hAnsi="宋体" w:cs="宋体"/>
          <w:szCs w:val="22"/>
        </w:rPr>
        <w:t>（7）已标价工程量清单或预算书；</w:t>
      </w:r>
    </w:p>
    <w:p>
      <w:pPr>
        <w:autoSpaceDE w:val="0"/>
        <w:autoSpaceDN w:val="0"/>
        <w:adjustRightInd w:val="0"/>
        <w:spacing w:line="400" w:lineRule="exact"/>
        <w:ind w:firstLine="420" w:firstLineChars="200"/>
        <w:jc w:val="left"/>
        <w:rPr>
          <w:rFonts w:ascii="宋体" w:hAnsi="宋体" w:cs="宋体"/>
          <w:szCs w:val="22"/>
        </w:rPr>
      </w:pPr>
      <w:r>
        <w:rPr>
          <w:rFonts w:hint="eastAsia" w:ascii="宋体" w:hAnsi="宋体" w:cs="宋体"/>
          <w:szCs w:val="22"/>
        </w:rPr>
        <w:t>（8）其他合同文件。</w:t>
      </w:r>
    </w:p>
    <w:p>
      <w:pPr>
        <w:autoSpaceDE w:val="0"/>
        <w:autoSpaceDN w:val="0"/>
        <w:adjustRightInd w:val="0"/>
        <w:spacing w:line="400" w:lineRule="exact"/>
        <w:ind w:firstLine="420" w:firstLineChars="200"/>
        <w:jc w:val="left"/>
        <w:rPr>
          <w:rFonts w:ascii="宋体" w:hAnsi="宋体" w:cs="宋体"/>
          <w:szCs w:val="22"/>
        </w:rPr>
      </w:pPr>
      <w:r>
        <w:rPr>
          <w:rFonts w:hint="eastAsia" w:ascii="宋体" w:hAnsi="宋体" w:cs="宋体"/>
          <w:szCs w:val="22"/>
        </w:rPr>
        <w:t>在合同订立及履行过程中形成的与合同有关的文件均构成合同文件组成部分。</w:t>
      </w:r>
    </w:p>
    <w:p>
      <w:pPr>
        <w:autoSpaceDE w:val="0"/>
        <w:autoSpaceDN w:val="0"/>
        <w:adjustRightInd w:val="0"/>
        <w:spacing w:line="400" w:lineRule="exact"/>
        <w:ind w:firstLine="420" w:firstLineChars="200"/>
        <w:jc w:val="left"/>
        <w:rPr>
          <w:rFonts w:ascii="宋体" w:hAnsi="宋体" w:cs="宋体"/>
          <w:szCs w:val="22"/>
        </w:rPr>
      </w:pPr>
      <w:r>
        <w:rPr>
          <w:rFonts w:hint="eastAsia" w:ascii="宋体" w:hAnsi="宋体" w:cs="宋体"/>
          <w:szCs w:val="22"/>
        </w:rPr>
        <w:t>上述各项合同文件包括合同当事人就该项合同文件所作出的补充和修改，属于同一类内容的文件，应以最新签署的为准（违反</w:t>
      </w:r>
      <w:r>
        <w:rPr>
          <w:rFonts w:hint="eastAsia" w:ascii="宋体" w:hAnsi="宋体" w:cs="宋体"/>
        </w:rPr>
        <w:t>竞争性磋商文件</w:t>
      </w:r>
      <w:r>
        <w:rPr>
          <w:rFonts w:hint="eastAsia" w:ascii="宋体" w:hAnsi="宋体" w:cs="宋体"/>
          <w:szCs w:val="22"/>
        </w:rPr>
        <w:t>实质性内容的约定除外）。专用合同条款及其附件须经合同当事人签字或盖章。</w:t>
      </w:r>
    </w:p>
    <w:p>
      <w:pPr>
        <w:spacing w:before="120" w:after="120" w:line="400" w:lineRule="exact"/>
        <w:rPr>
          <w:rFonts w:ascii="宋体" w:hAnsi="宋体" w:cs="宋体"/>
          <w:b/>
          <w:szCs w:val="22"/>
        </w:rPr>
      </w:pPr>
      <w:r>
        <w:rPr>
          <w:rFonts w:hint="eastAsia" w:ascii="宋体" w:hAnsi="宋体" w:cs="宋体"/>
          <w:b/>
          <w:szCs w:val="22"/>
        </w:rPr>
        <w:t xml:space="preserve">    七、承诺</w:t>
      </w:r>
    </w:p>
    <w:p>
      <w:pPr>
        <w:spacing w:line="400" w:lineRule="exact"/>
        <w:ind w:firstLine="420" w:firstLineChars="200"/>
        <w:rPr>
          <w:rFonts w:ascii="宋体" w:hAnsi="宋体" w:cs="宋体"/>
          <w:bCs/>
          <w:szCs w:val="22"/>
        </w:rPr>
      </w:pPr>
      <w:r>
        <w:rPr>
          <w:rFonts w:hint="eastAsia" w:ascii="宋体" w:hAnsi="宋体" w:cs="宋体"/>
          <w:bCs/>
          <w:szCs w:val="22"/>
        </w:rPr>
        <w:t>1.发包人承诺按照法律规定履行项目审批手续、筹集工程建设资金并按照合同约定的期限和方式支付合同价款。</w:t>
      </w:r>
    </w:p>
    <w:p>
      <w:pPr>
        <w:spacing w:line="400" w:lineRule="exact"/>
        <w:ind w:firstLine="420" w:firstLineChars="200"/>
        <w:rPr>
          <w:rFonts w:ascii="宋体" w:hAnsi="宋体" w:cs="宋体"/>
          <w:bCs/>
          <w:szCs w:val="22"/>
        </w:rPr>
      </w:pPr>
      <w:r>
        <w:rPr>
          <w:rFonts w:hint="eastAsia" w:ascii="宋体" w:hAnsi="宋体" w:cs="宋体"/>
          <w:bCs/>
          <w:szCs w:val="22"/>
        </w:rPr>
        <w:t>2.承包人承诺按照法律规定及合同约定组织完成工程施工，确保工程质量和安全，不进行转包及违法分包，并在缺陷责任期及保修期内承担相应的工程维修责任。</w:t>
      </w:r>
    </w:p>
    <w:p>
      <w:pPr>
        <w:spacing w:line="400" w:lineRule="exact"/>
        <w:ind w:firstLine="420" w:firstLineChars="200"/>
        <w:rPr>
          <w:rFonts w:ascii="宋体" w:hAnsi="宋体" w:cs="宋体"/>
          <w:bCs/>
          <w:szCs w:val="22"/>
        </w:rPr>
      </w:pPr>
      <w:r>
        <w:rPr>
          <w:rFonts w:hint="eastAsia" w:ascii="宋体" w:hAnsi="宋体" w:cs="宋体"/>
          <w:bCs/>
          <w:szCs w:val="22"/>
        </w:rPr>
        <w:t>3.发包人和承包人通过招投标形式签订合同的，双方理解并承诺不再就同一工程另行签订与合同实质性内容相背离的协议。</w:t>
      </w:r>
    </w:p>
    <w:p>
      <w:pPr>
        <w:spacing w:before="120" w:after="120" w:line="400" w:lineRule="exact"/>
        <w:rPr>
          <w:rFonts w:ascii="宋体" w:hAnsi="宋体" w:cs="宋体"/>
          <w:b/>
          <w:szCs w:val="22"/>
        </w:rPr>
      </w:pPr>
      <w:r>
        <w:rPr>
          <w:rFonts w:hint="eastAsia" w:ascii="宋体" w:hAnsi="宋体" w:cs="宋体"/>
          <w:b/>
          <w:szCs w:val="22"/>
        </w:rPr>
        <w:t xml:space="preserve">    八、词语含义</w:t>
      </w:r>
    </w:p>
    <w:p>
      <w:pPr>
        <w:spacing w:line="400" w:lineRule="exact"/>
        <w:ind w:firstLine="420" w:firstLineChars="200"/>
        <w:rPr>
          <w:rFonts w:ascii="宋体" w:hAnsi="宋体" w:cs="宋体"/>
          <w:bCs/>
          <w:szCs w:val="22"/>
        </w:rPr>
      </w:pPr>
      <w:r>
        <w:rPr>
          <w:rFonts w:hint="eastAsia" w:ascii="宋体" w:hAnsi="宋体" w:cs="宋体"/>
          <w:bCs/>
          <w:szCs w:val="22"/>
        </w:rPr>
        <w:t>本协议书中词语含义与第二部分通用合同条款中赋予的含义相同。</w:t>
      </w:r>
    </w:p>
    <w:p>
      <w:pPr>
        <w:spacing w:before="120" w:after="120" w:line="400" w:lineRule="exact"/>
        <w:rPr>
          <w:rFonts w:ascii="宋体" w:hAnsi="宋体" w:cs="宋体"/>
          <w:b/>
          <w:szCs w:val="22"/>
        </w:rPr>
      </w:pPr>
      <w:r>
        <w:rPr>
          <w:rFonts w:hint="eastAsia" w:ascii="宋体" w:hAnsi="宋体" w:cs="宋体"/>
          <w:b/>
          <w:szCs w:val="22"/>
        </w:rPr>
        <w:t xml:space="preserve">    九、签订时间</w:t>
      </w:r>
    </w:p>
    <w:p>
      <w:pPr>
        <w:spacing w:line="400" w:lineRule="exact"/>
        <w:ind w:firstLine="420" w:firstLineChars="200"/>
        <w:rPr>
          <w:rFonts w:ascii="宋体" w:hAnsi="宋体" w:cs="宋体"/>
          <w:bCs/>
          <w:szCs w:val="22"/>
        </w:rPr>
      </w:pPr>
      <w:r>
        <w:rPr>
          <w:rFonts w:hint="eastAsia" w:ascii="宋体" w:hAnsi="宋体" w:cs="宋体"/>
          <w:bCs/>
          <w:szCs w:val="22"/>
        </w:rPr>
        <w:t>本合同于</w:t>
      </w:r>
      <w:r>
        <w:rPr>
          <w:rFonts w:hint="eastAsia" w:ascii="宋体" w:hAnsi="宋体" w:cs="宋体"/>
          <w:bCs/>
          <w:szCs w:val="22"/>
          <w:u w:val="single"/>
        </w:rPr>
        <w:t xml:space="preserve">     </w:t>
      </w:r>
      <w:r>
        <w:rPr>
          <w:rFonts w:hint="eastAsia" w:ascii="宋体" w:hAnsi="宋体" w:cs="宋体"/>
          <w:bCs/>
          <w:szCs w:val="22"/>
        </w:rPr>
        <w:t>年</w:t>
      </w:r>
      <w:r>
        <w:rPr>
          <w:rFonts w:hint="eastAsia" w:ascii="宋体" w:hAnsi="宋体" w:cs="宋体"/>
          <w:bCs/>
          <w:szCs w:val="22"/>
          <w:u w:val="single"/>
        </w:rPr>
        <w:t xml:space="preserve">    </w:t>
      </w:r>
      <w:r>
        <w:rPr>
          <w:rFonts w:hint="eastAsia" w:ascii="宋体" w:hAnsi="宋体" w:cs="宋体"/>
          <w:bCs/>
          <w:szCs w:val="22"/>
        </w:rPr>
        <w:t>月</w:t>
      </w:r>
      <w:r>
        <w:rPr>
          <w:rFonts w:hint="eastAsia" w:ascii="宋体" w:hAnsi="宋体" w:cs="宋体"/>
          <w:bCs/>
          <w:szCs w:val="22"/>
          <w:u w:val="single"/>
        </w:rPr>
        <w:t xml:space="preserve">    </w:t>
      </w:r>
      <w:r>
        <w:rPr>
          <w:rFonts w:hint="eastAsia" w:ascii="宋体" w:hAnsi="宋体" w:cs="宋体"/>
          <w:bCs/>
          <w:szCs w:val="22"/>
        </w:rPr>
        <w:t>日签订。</w:t>
      </w:r>
    </w:p>
    <w:p>
      <w:pPr>
        <w:spacing w:before="120" w:after="120" w:line="400" w:lineRule="exact"/>
        <w:rPr>
          <w:rFonts w:ascii="宋体" w:hAnsi="宋体" w:cs="宋体"/>
          <w:b/>
          <w:szCs w:val="22"/>
        </w:rPr>
      </w:pPr>
      <w:r>
        <w:rPr>
          <w:rFonts w:hint="eastAsia" w:ascii="宋体" w:hAnsi="宋体" w:cs="宋体"/>
          <w:b/>
          <w:szCs w:val="22"/>
        </w:rPr>
        <w:t xml:space="preserve">    十、签订地点</w:t>
      </w:r>
    </w:p>
    <w:p>
      <w:pPr>
        <w:spacing w:line="400" w:lineRule="exact"/>
        <w:ind w:firstLine="420" w:firstLineChars="200"/>
        <w:rPr>
          <w:rFonts w:ascii="宋体" w:hAnsi="宋体" w:cs="宋体"/>
          <w:bCs/>
          <w:szCs w:val="22"/>
        </w:rPr>
      </w:pPr>
      <w:r>
        <w:rPr>
          <w:rFonts w:hint="eastAsia" w:ascii="宋体" w:hAnsi="宋体" w:cs="宋体"/>
          <w:bCs/>
          <w:szCs w:val="22"/>
        </w:rPr>
        <w:t>本合同在</w:t>
      </w:r>
      <w:r>
        <w:rPr>
          <w:rFonts w:hint="eastAsia" w:ascii="宋体" w:hAnsi="宋体" w:cs="宋体"/>
          <w:bCs/>
          <w:szCs w:val="22"/>
          <w:u w:val="single"/>
        </w:rPr>
        <w:t xml:space="preserve"> 桂林理工大学雁山校区  </w:t>
      </w:r>
      <w:r>
        <w:rPr>
          <w:rFonts w:hint="eastAsia" w:ascii="宋体" w:hAnsi="宋体" w:cs="宋体"/>
          <w:bCs/>
          <w:szCs w:val="22"/>
        </w:rPr>
        <w:t>签订。</w:t>
      </w:r>
    </w:p>
    <w:p>
      <w:pPr>
        <w:spacing w:before="120" w:after="120" w:line="400" w:lineRule="exact"/>
        <w:rPr>
          <w:rFonts w:ascii="宋体" w:hAnsi="宋体" w:cs="宋体"/>
          <w:b/>
          <w:szCs w:val="22"/>
        </w:rPr>
      </w:pPr>
      <w:r>
        <w:rPr>
          <w:rFonts w:hint="eastAsia" w:ascii="宋体" w:hAnsi="宋体" w:cs="宋体"/>
          <w:b/>
          <w:szCs w:val="22"/>
        </w:rPr>
        <w:t xml:space="preserve">    十一、补充协议</w:t>
      </w:r>
    </w:p>
    <w:p>
      <w:pPr>
        <w:spacing w:line="400" w:lineRule="exact"/>
        <w:ind w:firstLine="420" w:firstLineChars="200"/>
        <w:rPr>
          <w:rFonts w:ascii="宋体" w:hAnsi="宋体" w:cs="宋体"/>
          <w:b/>
          <w:bCs/>
          <w:szCs w:val="22"/>
        </w:rPr>
      </w:pPr>
      <w:r>
        <w:rPr>
          <w:rFonts w:hint="eastAsia" w:ascii="宋体" w:hAnsi="宋体" w:cs="宋体"/>
          <w:bCs/>
          <w:szCs w:val="22"/>
        </w:rPr>
        <w:t>合同未尽事宜，合同当事人另行签订补充协议，补充协议是合同的组成部分。</w:t>
      </w:r>
    </w:p>
    <w:p>
      <w:pPr>
        <w:spacing w:before="120" w:after="120" w:line="400" w:lineRule="exact"/>
        <w:rPr>
          <w:rFonts w:ascii="宋体" w:hAnsi="宋体" w:cs="宋体"/>
          <w:b/>
          <w:szCs w:val="22"/>
        </w:rPr>
      </w:pPr>
      <w:r>
        <w:rPr>
          <w:rFonts w:hint="eastAsia" w:ascii="宋体" w:hAnsi="宋体" w:cs="宋体"/>
          <w:b/>
          <w:szCs w:val="22"/>
        </w:rPr>
        <w:t xml:space="preserve">    十二、合同生效</w:t>
      </w:r>
    </w:p>
    <w:p>
      <w:pPr>
        <w:spacing w:line="400" w:lineRule="exact"/>
        <w:ind w:firstLine="420" w:firstLineChars="200"/>
        <w:rPr>
          <w:rFonts w:ascii="宋体" w:hAnsi="宋体" w:cs="宋体"/>
          <w:bCs/>
          <w:szCs w:val="22"/>
        </w:rPr>
      </w:pPr>
      <w:r>
        <w:rPr>
          <w:rFonts w:hint="eastAsia" w:ascii="宋体" w:hAnsi="宋体" w:cs="宋体"/>
          <w:bCs/>
          <w:szCs w:val="22"/>
        </w:rPr>
        <w:t>本合同自</w:t>
      </w:r>
      <w:r>
        <w:rPr>
          <w:rFonts w:hint="eastAsia" w:ascii="宋体" w:hAnsi="宋体" w:cs="宋体"/>
          <w:szCs w:val="22"/>
          <w:u w:val="single"/>
        </w:rPr>
        <w:t>双方法定代表人签字并加盖单位公章后</w:t>
      </w:r>
      <w:r>
        <w:rPr>
          <w:rFonts w:hint="eastAsia" w:ascii="宋体" w:hAnsi="宋体" w:cs="宋体"/>
          <w:bCs/>
          <w:szCs w:val="22"/>
        </w:rPr>
        <w:t>生效。</w:t>
      </w:r>
    </w:p>
    <w:p>
      <w:pPr>
        <w:spacing w:before="120" w:after="120" w:line="400" w:lineRule="exact"/>
        <w:rPr>
          <w:rFonts w:ascii="宋体" w:hAnsi="宋体" w:cs="宋体"/>
          <w:b/>
          <w:szCs w:val="22"/>
        </w:rPr>
      </w:pPr>
      <w:r>
        <w:rPr>
          <w:rFonts w:hint="eastAsia" w:ascii="宋体" w:hAnsi="宋体" w:cs="宋体"/>
          <w:b/>
          <w:szCs w:val="22"/>
        </w:rPr>
        <w:t xml:space="preserve">    十三、合同份数</w:t>
      </w:r>
    </w:p>
    <w:p>
      <w:pPr>
        <w:spacing w:line="400" w:lineRule="exact"/>
        <w:ind w:firstLine="420" w:firstLineChars="200"/>
        <w:rPr>
          <w:rFonts w:ascii="宋体" w:hAnsi="宋体" w:cs="宋体"/>
          <w:bCs/>
          <w:szCs w:val="22"/>
        </w:rPr>
      </w:pPr>
      <w:r>
        <w:rPr>
          <w:rFonts w:hint="eastAsia" w:ascii="宋体" w:hAnsi="宋体" w:cs="宋体"/>
          <w:bCs/>
          <w:szCs w:val="22"/>
        </w:rPr>
        <w:t>本合同一式</w:t>
      </w:r>
      <w:r>
        <w:rPr>
          <w:rFonts w:hint="eastAsia" w:ascii="宋体" w:hAnsi="宋体" w:cs="宋体"/>
          <w:bCs/>
          <w:szCs w:val="22"/>
          <w:u w:val="single"/>
        </w:rPr>
        <w:t xml:space="preserve"> 捌 </w:t>
      </w:r>
      <w:r>
        <w:rPr>
          <w:rFonts w:hint="eastAsia" w:ascii="宋体" w:hAnsi="宋体" w:cs="宋体"/>
          <w:bCs/>
          <w:szCs w:val="22"/>
        </w:rPr>
        <w:t>份，均具有同等法律效力，发包人执</w:t>
      </w:r>
      <w:r>
        <w:rPr>
          <w:rFonts w:hint="eastAsia" w:ascii="宋体" w:hAnsi="宋体" w:cs="宋体"/>
          <w:bCs/>
          <w:szCs w:val="22"/>
          <w:u w:val="single"/>
        </w:rPr>
        <w:t xml:space="preserve"> 伍 </w:t>
      </w:r>
      <w:r>
        <w:rPr>
          <w:rFonts w:hint="eastAsia" w:ascii="宋体" w:hAnsi="宋体" w:cs="宋体"/>
          <w:bCs/>
          <w:szCs w:val="22"/>
        </w:rPr>
        <w:t>份，承包人执</w:t>
      </w:r>
      <w:r>
        <w:rPr>
          <w:rFonts w:hint="eastAsia" w:ascii="宋体" w:hAnsi="宋体" w:cs="宋体"/>
          <w:bCs/>
          <w:szCs w:val="22"/>
          <w:u w:val="single"/>
        </w:rPr>
        <w:t xml:space="preserve"> 叁 </w:t>
      </w:r>
      <w:r>
        <w:rPr>
          <w:rFonts w:hint="eastAsia" w:ascii="宋体" w:hAnsi="宋体" w:cs="宋体"/>
          <w:bCs/>
          <w:szCs w:val="22"/>
        </w:rPr>
        <w:t>份。</w:t>
      </w:r>
    </w:p>
    <w:p>
      <w:pPr>
        <w:spacing w:line="400" w:lineRule="exact"/>
        <w:rPr>
          <w:rFonts w:ascii="宋体" w:hAnsi="宋体" w:cs="宋体"/>
          <w:szCs w:val="22"/>
        </w:rPr>
      </w:pPr>
    </w:p>
    <w:p>
      <w:pPr>
        <w:spacing w:line="400" w:lineRule="exact"/>
        <w:rPr>
          <w:rFonts w:ascii="宋体" w:hAnsi="宋体" w:cs="宋体"/>
          <w:szCs w:val="22"/>
        </w:rPr>
      </w:pPr>
    </w:p>
    <w:bookmarkEnd w:id="42"/>
    <w:p>
      <w:pPr>
        <w:spacing w:line="400" w:lineRule="exact"/>
        <w:rPr>
          <w:rFonts w:ascii="宋体" w:hAnsi="Calibri" w:cs="宋体"/>
          <w:szCs w:val="22"/>
          <w:u w:val="single"/>
        </w:rPr>
      </w:pPr>
      <w:r>
        <w:rPr>
          <w:rFonts w:hint="eastAsia" w:ascii="宋体" w:hAnsi="宋体" w:cs="宋体"/>
          <w:szCs w:val="22"/>
        </w:rPr>
        <w:t>发包人：</w:t>
      </w:r>
      <w:r>
        <w:rPr>
          <w:rFonts w:ascii="宋体" w:hAnsi="宋体" w:cs="宋体"/>
          <w:szCs w:val="22"/>
        </w:rPr>
        <w:t xml:space="preserve"> （</w:t>
      </w:r>
      <w:r>
        <w:rPr>
          <w:rFonts w:hint="eastAsia" w:ascii="宋体" w:hAnsi="宋体" w:cs="宋体"/>
          <w:szCs w:val="22"/>
        </w:rPr>
        <w:t>公章</w:t>
      </w:r>
      <w:r>
        <w:rPr>
          <w:rFonts w:ascii="宋体" w:hAnsi="宋体" w:cs="宋体"/>
          <w:szCs w:val="22"/>
        </w:rPr>
        <w:t>）</w:t>
      </w:r>
      <w:r>
        <w:rPr>
          <w:rFonts w:hint="eastAsia" w:ascii="宋体" w:hAnsi="宋体" w:cs="宋体"/>
          <w:szCs w:val="22"/>
          <w:u w:val="single"/>
        </w:rPr>
        <w:t>桂林理工大学</w:t>
      </w:r>
      <w:r>
        <w:rPr>
          <w:rFonts w:ascii="宋体" w:hAnsi="宋体" w:cs="宋体"/>
          <w:szCs w:val="22"/>
        </w:rPr>
        <w:t xml:space="preserve">              </w:t>
      </w:r>
      <w:r>
        <w:rPr>
          <w:rFonts w:hint="eastAsia" w:ascii="宋体" w:hAnsi="宋体" w:cs="宋体"/>
          <w:szCs w:val="22"/>
        </w:rPr>
        <w:t xml:space="preserve"> </w:t>
      </w:r>
      <w:r>
        <w:rPr>
          <w:rFonts w:ascii="宋体" w:hAnsi="宋体" w:cs="宋体"/>
          <w:szCs w:val="22"/>
        </w:rPr>
        <w:t xml:space="preserve"> </w:t>
      </w:r>
      <w:r>
        <w:rPr>
          <w:rFonts w:hint="eastAsia" w:ascii="宋体" w:hAnsi="宋体" w:cs="宋体"/>
          <w:szCs w:val="22"/>
        </w:rPr>
        <w:t>承包人：</w:t>
      </w:r>
      <w:r>
        <w:rPr>
          <w:rFonts w:ascii="宋体" w:hAnsi="宋体" w:cs="宋体"/>
          <w:szCs w:val="22"/>
        </w:rPr>
        <w:t xml:space="preserve"> （</w:t>
      </w:r>
      <w:r>
        <w:rPr>
          <w:rFonts w:hint="eastAsia" w:ascii="宋体" w:hAnsi="宋体" w:cs="宋体"/>
          <w:szCs w:val="22"/>
        </w:rPr>
        <w:t>公章</w:t>
      </w:r>
      <w:r>
        <w:rPr>
          <w:rFonts w:ascii="宋体" w:hAnsi="宋体" w:cs="宋体"/>
          <w:szCs w:val="22"/>
        </w:rPr>
        <w:t>）</w:t>
      </w:r>
      <w:r>
        <w:rPr>
          <w:rFonts w:ascii="宋体" w:hAnsi="宋体" w:cs="宋体"/>
          <w:szCs w:val="22"/>
          <w:u w:val="single"/>
        </w:rPr>
        <w:t xml:space="preserve"> </w:t>
      </w:r>
      <w:r>
        <w:rPr>
          <w:rFonts w:hint="eastAsia" w:ascii="宋体" w:hAnsi="宋体" w:cs="宋体"/>
          <w:szCs w:val="22"/>
          <w:u w:val="single"/>
        </w:rPr>
        <w:t xml:space="preserve">                </w:t>
      </w:r>
      <w:r>
        <w:rPr>
          <w:rFonts w:hint="eastAsia" w:ascii="宋体" w:hAnsi="宋体" w:cs="宋体"/>
          <w:szCs w:val="22"/>
        </w:rPr>
        <w:t xml:space="preserve">     </w:t>
      </w:r>
      <w:r>
        <w:rPr>
          <w:rFonts w:ascii="宋体" w:hAnsi="宋体" w:cs="宋体"/>
          <w:szCs w:val="22"/>
        </w:rPr>
        <w:t xml:space="preserve"> </w:t>
      </w:r>
      <w:r>
        <w:rPr>
          <w:rFonts w:ascii="宋体" w:hAnsi="宋体" w:cs="宋体"/>
          <w:bCs/>
          <w:szCs w:val="22"/>
        </w:rPr>
        <w:t xml:space="preserve">           </w:t>
      </w:r>
      <w:r>
        <w:rPr>
          <w:rFonts w:ascii="宋体" w:hAnsi="宋体" w:cs="宋体"/>
          <w:szCs w:val="22"/>
        </w:rPr>
        <w:t xml:space="preserve">                                </w:t>
      </w:r>
    </w:p>
    <w:p>
      <w:pPr>
        <w:spacing w:line="400" w:lineRule="exact"/>
        <w:rPr>
          <w:rFonts w:ascii="宋体" w:hAnsi="Calibri" w:cs="宋体"/>
          <w:szCs w:val="22"/>
        </w:rPr>
      </w:pPr>
    </w:p>
    <w:p>
      <w:pPr>
        <w:spacing w:line="400" w:lineRule="exact"/>
        <w:rPr>
          <w:rFonts w:ascii="宋体" w:hAnsi="Calibri" w:cs="宋体"/>
          <w:szCs w:val="22"/>
        </w:rPr>
      </w:pPr>
    </w:p>
    <w:p>
      <w:pPr>
        <w:spacing w:line="400" w:lineRule="exact"/>
        <w:rPr>
          <w:rFonts w:ascii="宋体" w:hAnsi="Calibri" w:cs="宋体"/>
          <w:szCs w:val="22"/>
          <w:u w:val="single"/>
        </w:rPr>
      </w:pPr>
      <w:r>
        <w:rPr>
          <w:rFonts w:hint="eastAsia" w:ascii="宋体" w:hAnsi="宋体" w:cs="宋体"/>
          <w:szCs w:val="22"/>
        </w:rPr>
        <w:t>法定代表人：（签字或盖章）</w:t>
      </w:r>
      <w:r>
        <w:rPr>
          <w:rFonts w:ascii="宋体" w:hAnsi="宋体" w:cs="宋体"/>
          <w:szCs w:val="22"/>
        </w:rPr>
        <w:t xml:space="preserve">            </w:t>
      </w:r>
      <w:r>
        <w:rPr>
          <w:rFonts w:hint="eastAsia" w:ascii="宋体" w:hAnsi="宋体" w:cs="宋体"/>
          <w:szCs w:val="22"/>
        </w:rPr>
        <w:t xml:space="preserve">  </w:t>
      </w:r>
      <w:r>
        <w:rPr>
          <w:rFonts w:ascii="宋体" w:hAnsi="宋体" w:cs="宋体"/>
          <w:szCs w:val="22"/>
        </w:rPr>
        <w:t xml:space="preserve">    </w:t>
      </w:r>
      <w:r>
        <w:rPr>
          <w:rFonts w:hint="eastAsia" w:ascii="宋体" w:hAnsi="宋体" w:cs="宋体"/>
          <w:szCs w:val="22"/>
        </w:rPr>
        <w:t>法定代表人：（签字或盖章）</w:t>
      </w:r>
    </w:p>
    <w:p>
      <w:pPr>
        <w:tabs>
          <w:tab w:val="left" w:pos="4410"/>
        </w:tabs>
        <w:spacing w:line="400" w:lineRule="exact"/>
        <w:rPr>
          <w:rFonts w:ascii="宋体" w:hAnsi="Calibri" w:cs="宋体"/>
          <w:szCs w:val="22"/>
        </w:rPr>
      </w:pPr>
    </w:p>
    <w:p>
      <w:pPr>
        <w:tabs>
          <w:tab w:val="left" w:pos="4410"/>
        </w:tabs>
        <w:spacing w:line="400" w:lineRule="exact"/>
        <w:rPr>
          <w:rFonts w:ascii="宋体" w:hAnsi="宋体" w:cs="宋体"/>
          <w:bCs/>
          <w:szCs w:val="22"/>
          <w:u w:val="single"/>
        </w:rPr>
      </w:pPr>
      <w:r>
        <w:rPr>
          <w:rFonts w:hint="eastAsia" w:ascii="宋体" w:hAnsi="宋体" w:cs="宋体"/>
          <w:szCs w:val="22"/>
        </w:rPr>
        <w:t>社会信用代码：</w:t>
      </w:r>
      <w:r>
        <w:rPr>
          <w:rFonts w:ascii="宋体" w:hAnsi="宋体" w:cs="宋体"/>
          <w:szCs w:val="22"/>
          <w:u w:val="single"/>
        </w:rPr>
        <w:t xml:space="preserve">1245 0000 4986 7138 8Q </w:t>
      </w:r>
      <w:r>
        <w:rPr>
          <w:rFonts w:ascii="宋体" w:hAnsi="宋体" w:cs="宋体"/>
          <w:szCs w:val="22"/>
        </w:rPr>
        <w:t xml:space="preserve">  </w:t>
      </w:r>
      <w:r>
        <w:rPr>
          <w:rFonts w:hint="eastAsia" w:ascii="宋体" w:hAnsi="宋体" w:cs="宋体"/>
          <w:szCs w:val="22"/>
        </w:rPr>
        <w:t xml:space="preserve"> </w:t>
      </w:r>
      <w:r>
        <w:rPr>
          <w:rFonts w:ascii="宋体" w:hAnsi="宋体" w:cs="宋体"/>
          <w:szCs w:val="22"/>
        </w:rPr>
        <w:t xml:space="preserve"> </w:t>
      </w:r>
      <w:r>
        <w:rPr>
          <w:rFonts w:hint="eastAsia" w:ascii="宋体" w:hAnsi="宋体" w:cs="宋体"/>
          <w:szCs w:val="22"/>
        </w:rPr>
        <w:t xml:space="preserve">  社会信用代码：</w:t>
      </w:r>
      <w:r>
        <w:rPr>
          <w:rFonts w:hint="eastAsia" w:ascii="Calibri" w:hAnsi="Calibri"/>
          <w:szCs w:val="22"/>
          <w:u w:val="single"/>
        </w:rPr>
        <w:t xml:space="preserve">                  </w:t>
      </w:r>
      <w:r>
        <w:rPr>
          <w:rFonts w:ascii="Calibri" w:hAnsi="Calibri"/>
          <w:szCs w:val="22"/>
          <w:u w:val="single"/>
        </w:rPr>
        <w:t xml:space="preserve"> </w:t>
      </w:r>
      <w:r>
        <w:rPr>
          <w:rFonts w:ascii="宋体" w:hAnsi="宋体" w:cs="宋体"/>
          <w:bCs/>
          <w:szCs w:val="22"/>
          <w:u w:val="single"/>
        </w:rPr>
        <w:t xml:space="preserve"> </w:t>
      </w:r>
    </w:p>
    <w:p>
      <w:pPr>
        <w:snapToGrid w:val="0"/>
        <w:spacing w:line="400" w:lineRule="exact"/>
        <w:rPr>
          <w:rFonts w:ascii="宋体" w:hAnsi="Calibri" w:cs="宋体"/>
          <w:szCs w:val="22"/>
        </w:rPr>
      </w:pPr>
      <w:r>
        <w:rPr>
          <w:rFonts w:hint="eastAsia" w:ascii="宋体" w:hAnsi="宋体" w:cs="宋体"/>
          <w:bCs/>
          <w:szCs w:val="22"/>
        </w:rPr>
        <w:t>地</w:t>
      </w:r>
      <w:r>
        <w:rPr>
          <w:rFonts w:ascii="宋体" w:hAnsi="宋体" w:cs="宋体"/>
          <w:bCs/>
          <w:szCs w:val="22"/>
        </w:rPr>
        <w:t xml:space="preserve">  </w:t>
      </w:r>
      <w:r>
        <w:rPr>
          <w:rFonts w:hint="eastAsia" w:ascii="宋体" w:hAnsi="宋体" w:cs="宋体"/>
          <w:bCs/>
          <w:szCs w:val="22"/>
        </w:rPr>
        <w:t>址：</w:t>
      </w:r>
      <w:r>
        <w:rPr>
          <w:rFonts w:hint="eastAsia" w:ascii="宋体" w:hAnsi="宋体" w:cs="宋体"/>
          <w:bCs/>
          <w:szCs w:val="22"/>
          <w:u w:val="single"/>
        </w:rPr>
        <w:t>桂林市建干路</w:t>
      </w:r>
      <w:r>
        <w:rPr>
          <w:rFonts w:ascii="宋体" w:hAnsi="宋体" w:cs="宋体"/>
          <w:bCs/>
          <w:szCs w:val="22"/>
          <w:u w:val="single"/>
        </w:rPr>
        <w:t>12</w:t>
      </w:r>
      <w:r>
        <w:rPr>
          <w:rFonts w:hint="eastAsia" w:ascii="宋体" w:hAnsi="宋体" w:cs="宋体"/>
          <w:bCs/>
          <w:szCs w:val="22"/>
          <w:u w:val="single"/>
        </w:rPr>
        <w:t>号</w:t>
      </w:r>
      <w:r>
        <w:rPr>
          <w:rFonts w:ascii="宋体" w:hAnsi="宋体" w:cs="宋体"/>
          <w:bCs/>
          <w:szCs w:val="22"/>
          <w:u w:val="single"/>
        </w:rPr>
        <w:t xml:space="preserve">   </w:t>
      </w:r>
      <w:r>
        <w:rPr>
          <w:rFonts w:hint="eastAsia" w:ascii="宋体" w:hAnsi="宋体" w:cs="宋体"/>
          <w:bCs/>
          <w:szCs w:val="22"/>
          <w:u w:val="single"/>
        </w:rPr>
        <w:t xml:space="preserve">       </w:t>
      </w:r>
      <w:r>
        <w:rPr>
          <w:rFonts w:ascii="宋体" w:hAnsi="宋体" w:cs="宋体"/>
          <w:bCs/>
          <w:szCs w:val="22"/>
          <w:u w:val="single"/>
        </w:rPr>
        <w:t xml:space="preserve">  </w:t>
      </w:r>
      <w:r>
        <w:rPr>
          <w:rFonts w:ascii="宋体" w:hAnsi="宋体" w:cs="宋体"/>
          <w:szCs w:val="22"/>
        </w:rPr>
        <w:t xml:space="preserve">   </w:t>
      </w:r>
      <w:r>
        <w:rPr>
          <w:rFonts w:hint="eastAsia" w:ascii="宋体" w:hAnsi="宋体" w:cs="宋体"/>
          <w:szCs w:val="22"/>
        </w:rPr>
        <w:t xml:space="preserve"> </w:t>
      </w:r>
      <w:r>
        <w:rPr>
          <w:rFonts w:ascii="宋体" w:hAnsi="宋体" w:cs="宋体"/>
          <w:szCs w:val="22"/>
        </w:rPr>
        <w:t xml:space="preserve">  </w:t>
      </w:r>
      <w:r>
        <w:rPr>
          <w:rFonts w:hint="eastAsia" w:ascii="宋体" w:hAnsi="宋体" w:cs="宋体"/>
          <w:szCs w:val="22"/>
        </w:rPr>
        <w:t>地</w:t>
      </w:r>
      <w:r>
        <w:rPr>
          <w:rFonts w:ascii="宋体" w:hAnsi="宋体" w:cs="宋体"/>
          <w:szCs w:val="22"/>
        </w:rPr>
        <w:t xml:space="preserve">  </w:t>
      </w:r>
      <w:r>
        <w:rPr>
          <w:rFonts w:hint="eastAsia" w:ascii="宋体" w:hAnsi="宋体" w:cs="宋体"/>
          <w:szCs w:val="22"/>
        </w:rPr>
        <w:t>址：</w:t>
      </w:r>
      <w:r>
        <w:rPr>
          <w:rFonts w:hint="eastAsia" w:ascii="Calibri" w:hAnsi="Calibri"/>
          <w:szCs w:val="22"/>
          <w:u w:val="single"/>
        </w:rPr>
        <w:t xml:space="preserve">                    </w:t>
      </w:r>
      <w:r>
        <w:rPr>
          <w:rFonts w:ascii="宋体" w:hAnsi="宋体" w:cs="宋体"/>
          <w:bCs/>
          <w:szCs w:val="22"/>
          <w:u w:val="single"/>
        </w:rPr>
        <w:t xml:space="preserve">      </w:t>
      </w:r>
    </w:p>
    <w:p>
      <w:pPr>
        <w:spacing w:line="400" w:lineRule="exact"/>
        <w:rPr>
          <w:rFonts w:ascii="宋体" w:hAnsi="Calibri" w:cs="宋体"/>
          <w:szCs w:val="22"/>
        </w:rPr>
      </w:pPr>
      <w:r>
        <w:rPr>
          <w:rFonts w:hint="eastAsia" w:ascii="宋体" w:hAnsi="宋体" w:cs="宋体"/>
          <w:szCs w:val="22"/>
        </w:rPr>
        <w:t>邮政编码：</w:t>
      </w:r>
      <w:r>
        <w:rPr>
          <w:rFonts w:ascii="宋体" w:hAnsi="宋体" w:cs="宋体"/>
          <w:szCs w:val="22"/>
          <w:u w:val="single"/>
        </w:rPr>
        <w:t xml:space="preserve"> 541004</w:t>
      </w:r>
      <w:r>
        <w:rPr>
          <w:rFonts w:hint="eastAsia" w:ascii="宋体" w:hAnsi="宋体" w:cs="宋体"/>
          <w:szCs w:val="22"/>
          <w:u w:val="single"/>
        </w:rPr>
        <w:t></w:t>
      </w:r>
      <w:r>
        <w:rPr>
          <w:rFonts w:ascii="宋体" w:hAnsi="宋体" w:cs="宋体"/>
          <w:szCs w:val="22"/>
          <w:u w:val="single"/>
        </w:rPr>
        <w:t xml:space="preserve"> </w:t>
      </w:r>
      <w:r>
        <w:rPr>
          <w:rFonts w:hint="eastAsia" w:ascii="宋体" w:hAnsi="宋体" w:cs="宋体"/>
          <w:szCs w:val="22"/>
          <w:u w:val="single"/>
        </w:rPr>
        <w:t></w:t>
      </w:r>
      <w:r>
        <w:rPr>
          <w:rFonts w:ascii="宋体" w:hAnsi="宋体" w:cs="宋体"/>
          <w:szCs w:val="22"/>
          <w:u w:val="single"/>
        </w:rPr>
        <w:t xml:space="preserve">   </w:t>
      </w:r>
      <w:r>
        <w:rPr>
          <w:rFonts w:hint="eastAsia" w:ascii="宋体" w:hAnsi="宋体" w:cs="宋体"/>
          <w:szCs w:val="22"/>
          <w:u w:val="single"/>
        </w:rPr>
        <w:t xml:space="preserve">  </w:t>
      </w:r>
      <w:r>
        <w:rPr>
          <w:rFonts w:ascii="宋体" w:hAnsi="宋体" w:cs="宋体"/>
          <w:szCs w:val="22"/>
          <w:u w:val="single"/>
        </w:rPr>
        <w:t xml:space="preserve"> </w:t>
      </w:r>
      <w:r>
        <w:rPr>
          <w:rFonts w:ascii="宋体" w:hAnsi="宋体" w:cs="宋体"/>
          <w:szCs w:val="22"/>
        </w:rPr>
        <w:t xml:space="preserve">       </w:t>
      </w:r>
      <w:r>
        <w:rPr>
          <w:rFonts w:hint="eastAsia" w:ascii="宋体" w:hAnsi="宋体" w:cs="宋体"/>
          <w:szCs w:val="22"/>
        </w:rPr>
        <w:t>邮政编码：</w:t>
      </w:r>
      <w:r>
        <w:rPr>
          <w:rFonts w:hint="eastAsia" w:ascii="宋体" w:hAnsi="宋体" w:cs="宋体"/>
          <w:szCs w:val="22"/>
          <w:u w:val="single"/>
        </w:rPr>
        <w:t>     </w:t>
      </w:r>
      <w:r>
        <w:rPr>
          <w:rFonts w:ascii="宋体" w:hAnsi="宋体" w:cs="宋体"/>
          <w:szCs w:val="22"/>
          <w:u w:val="single"/>
        </w:rPr>
        <w:t xml:space="preserve">               </w:t>
      </w:r>
    </w:p>
    <w:p>
      <w:pPr>
        <w:spacing w:line="400" w:lineRule="exact"/>
        <w:rPr>
          <w:rFonts w:ascii="宋体" w:hAnsi="Calibri" w:cs="宋体"/>
          <w:szCs w:val="22"/>
        </w:rPr>
      </w:pPr>
      <w:r>
        <w:rPr>
          <w:rFonts w:hint="eastAsia" w:ascii="宋体" w:hAnsi="宋体" w:cs="宋体"/>
          <w:szCs w:val="22"/>
        </w:rPr>
        <w:t>电</w:t>
      </w:r>
      <w:r>
        <w:rPr>
          <w:rFonts w:ascii="宋体" w:hAnsi="宋体" w:cs="宋体"/>
          <w:szCs w:val="22"/>
        </w:rPr>
        <w:t xml:space="preserve">  </w:t>
      </w:r>
      <w:r>
        <w:rPr>
          <w:rFonts w:hint="eastAsia" w:ascii="宋体" w:hAnsi="宋体" w:cs="宋体"/>
          <w:szCs w:val="22"/>
        </w:rPr>
        <w:t>话：</w:t>
      </w:r>
      <w:r>
        <w:rPr>
          <w:rFonts w:hint="eastAsia" w:ascii="宋体" w:hAnsi="宋体" w:cs="宋体"/>
          <w:szCs w:val="22"/>
          <w:u w:val="single"/>
        </w:rPr>
        <w:t></w:t>
      </w:r>
      <w:r>
        <w:rPr>
          <w:rFonts w:ascii="宋体" w:hAnsi="宋体" w:cs="宋体"/>
          <w:szCs w:val="22"/>
          <w:u w:val="single"/>
        </w:rPr>
        <w:t>0773-5896079</w:t>
      </w:r>
      <w:r>
        <w:rPr>
          <w:rFonts w:hint="eastAsia" w:ascii="宋体" w:hAnsi="宋体" w:cs="宋体"/>
          <w:szCs w:val="22"/>
          <w:u w:val="single"/>
        </w:rPr>
        <w:t></w:t>
      </w:r>
      <w:r>
        <w:rPr>
          <w:rFonts w:ascii="宋体" w:hAnsi="宋体" w:cs="宋体"/>
          <w:szCs w:val="22"/>
          <w:u w:val="single"/>
        </w:rPr>
        <w:t xml:space="preserve"> </w:t>
      </w:r>
      <w:r>
        <w:rPr>
          <w:rFonts w:hint="eastAsia" w:ascii="宋体" w:hAnsi="宋体" w:cs="宋体"/>
          <w:szCs w:val="22"/>
          <w:u w:val="single"/>
        </w:rPr>
        <w:t></w:t>
      </w:r>
      <w:r>
        <w:rPr>
          <w:rFonts w:ascii="宋体" w:hAnsi="宋体" w:cs="宋体"/>
          <w:szCs w:val="22"/>
          <w:u w:val="single"/>
        </w:rPr>
        <w:t xml:space="preserve">  </w:t>
      </w:r>
      <w:r>
        <w:rPr>
          <w:rFonts w:hint="eastAsia" w:ascii="宋体" w:hAnsi="宋体" w:cs="宋体"/>
          <w:szCs w:val="22"/>
          <w:u w:val="single"/>
        </w:rPr>
        <w:t xml:space="preserve">  </w:t>
      </w:r>
      <w:r>
        <w:rPr>
          <w:rFonts w:ascii="宋体" w:hAnsi="宋体" w:cs="宋体"/>
          <w:szCs w:val="22"/>
          <w:u w:val="single"/>
        </w:rPr>
        <w:t xml:space="preserve"> </w:t>
      </w:r>
      <w:r>
        <w:rPr>
          <w:rFonts w:ascii="宋体" w:hAnsi="宋体" w:cs="宋体"/>
          <w:szCs w:val="22"/>
        </w:rPr>
        <w:t xml:space="preserve">      </w:t>
      </w:r>
      <w:r>
        <w:rPr>
          <w:rFonts w:hint="eastAsia" w:ascii="宋体" w:hAnsi="宋体" w:cs="宋体"/>
          <w:szCs w:val="22"/>
        </w:rPr>
        <w:t>电</w:t>
      </w:r>
      <w:r>
        <w:rPr>
          <w:rFonts w:ascii="宋体" w:hAnsi="宋体" w:cs="宋体"/>
          <w:szCs w:val="22"/>
        </w:rPr>
        <w:t xml:space="preserve">  </w:t>
      </w:r>
      <w:r>
        <w:rPr>
          <w:rFonts w:hint="eastAsia" w:ascii="宋体" w:hAnsi="宋体" w:cs="宋体"/>
          <w:szCs w:val="22"/>
        </w:rPr>
        <w:t>话：</w:t>
      </w:r>
      <w:r>
        <w:rPr>
          <w:rFonts w:hint="eastAsia" w:ascii="宋体" w:hAnsi="宋体" w:cs="宋体"/>
          <w:szCs w:val="22"/>
          <w:u w:val="single"/>
        </w:rPr>
        <w:t xml:space="preserve">             </w:t>
      </w:r>
      <w:r>
        <w:rPr>
          <w:rFonts w:ascii="宋体" w:hAnsi="宋体" w:cs="宋体"/>
          <w:szCs w:val="22"/>
          <w:u w:val="single"/>
        </w:rPr>
        <w:t xml:space="preserve">            </w:t>
      </w:r>
    </w:p>
    <w:p>
      <w:pPr>
        <w:spacing w:line="400" w:lineRule="exact"/>
        <w:rPr>
          <w:rFonts w:ascii="宋体" w:hAnsi="Calibri" w:cs="宋体"/>
          <w:szCs w:val="22"/>
        </w:rPr>
      </w:pPr>
      <w:r>
        <w:rPr>
          <w:rFonts w:hint="eastAsia" w:ascii="宋体" w:hAnsi="宋体" w:cs="宋体"/>
          <w:szCs w:val="22"/>
        </w:rPr>
        <w:t>传</w:t>
      </w:r>
      <w:r>
        <w:rPr>
          <w:rFonts w:ascii="宋体" w:hAnsi="宋体" w:cs="宋体"/>
          <w:szCs w:val="22"/>
        </w:rPr>
        <w:t xml:space="preserve">  </w:t>
      </w:r>
      <w:r>
        <w:rPr>
          <w:rFonts w:hint="eastAsia" w:ascii="宋体" w:hAnsi="宋体" w:cs="宋体"/>
          <w:szCs w:val="22"/>
        </w:rPr>
        <w:t>真：</w:t>
      </w:r>
      <w:r>
        <w:rPr>
          <w:rFonts w:hint="eastAsia" w:ascii="宋体" w:hAnsi="宋体" w:cs="宋体"/>
          <w:szCs w:val="22"/>
          <w:u w:val="single"/>
        </w:rPr>
        <w:t></w:t>
      </w:r>
      <w:r>
        <w:rPr>
          <w:rFonts w:ascii="宋体" w:hAnsi="宋体" w:cs="宋体"/>
          <w:szCs w:val="22"/>
          <w:u w:val="single"/>
        </w:rPr>
        <w:t>/</w:t>
      </w:r>
      <w:r>
        <w:rPr>
          <w:rFonts w:hint="eastAsia" w:ascii="宋体" w:hAnsi="宋体" w:cs="宋体"/>
          <w:szCs w:val="22"/>
          <w:u w:val="single"/>
        </w:rPr>
        <w:t>   </w:t>
      </w:r>
      <w:r>
        <w:rPr>
          <w:rFonts w:ascii="宋体" w:hAnsi="宋体" w:cs="宋体"/>
          <w:szCs w:val="22"/>
          <w:u w:val="single"/>
        </w:rPr>
        <w:t xml:space="preserve">    </w:t>
      </w:r>
      <w:r>
        <w:rPr>
          <w:rFonts w:hint="eastAsia" w:ascii="宋体" w:hAnsi="宋体" w:cs="宋体"/>
          <w:szCs w:val="22"/>
          <w:u w:val="single"/>
        </w:rPr>
        <w:t xml:space="preserve"> </w:t>
      </w:r>
      <w:r>
        <w:rPr>
          <w:rFonts w:ascii="宋体" w:hAnsi="宋体" w:cs="宋体"/>
          <w:szCs w:val="22"/>
          <w:u w:val="single"/>
        </w:rPr>
        <w:t xml:space="preserve">  </w:t>
      </w:r>
      <w:r>
        <w:rPr>
          <w:rFonts w:ascii="宋体" w:hAnsi="宋体" w:cs="宋体"/>
          <w:szCs w:val="22"/>
        </w:rPr>
        <w:t xml:space="preserve">      </w:t>
      </w:r>
      <w:r>
        <w:rPr>
          <w:rFonts w:hint="eastAsia" w:ascii="宋体" w:hAnsi="宋体" w:cs="宋体"/>
          <w:szCs w:val="22"/>
        </w:rPr>
        <w:t>传</w:t>
      </w:r>
      <w:r>
        <w:rPr>
          <w:rFonts w:ascii="宋体" w:hAnsi="宋体" w:cs="宋体"/>
          <w:szCs w:val="22"/>
        </w:rPr>
        <w:t xml:space="preserve">  </w:t>
      </w:r>
      <w:r>
        <w:rPr>
          <w:rFonts w:hint="eastAsia" w:ascii="宋体" w:hAnsi="宋体" w:cs="宋体"/>
          <w:szCs w:val="22"/>
        </w:rPr>
        <w:t>真：</w:t>
      </w:r>
      <w:r>
        <w:rPr>
          <w:rFonts w:hint="eastAsia" w:ascii="宋体" w:hAnsi="宋体" w:cs="宋体"/>
          <w:szCs w:val="22"/>
          <w:u w:val="single"/>
        </w:rPr>
        <w:t></w:t>
      </w:r>
      <w:r>
        <w:rPr>
          <w:rFonts w:ascii="宋体" w:hAnsi="宋体" w:cs="宋体"/>
          <w:szCs w:val="22"/>
          <w:u w:val="single"/>
        </w:rPr>
        <w:t xml:space="preserve">  </w:t>
      </w:r>
      <w:r>
        <w:rPr>
          <w:rFonts w:hint="eastAsia" w:ascii="宋体" w:hAnsi="宋体" w:cs="宋体"/>
          <w:szCs w:val="22"/>
          <w:u w:val="single"/>
        </w:rPr>
        <w:t xml:space="preserve">         </w:t>
      </w:r>
      <w:r>
        <w:rPr>
          <w:rFonts w:ascii="宋体" w:hAnsi="宋体" w:cs="宋体"/>
          <w:szCs w:val="22"/>
          <w:u w:val="single"/>
        </w:rPr>
        <w:t xml:space="preserve">        </w:t>
      </w:r>
      <w:r>
        <w:rPr>
          <w:rFonts w:hint="eastAsia" w:ascii="宋体" w:hAnsi="宋体" w:cs="宋体"/>
          <w:szCs w:val="22"/>
          <w:u w:val="single"/>
        </w:rPr>
        <w:t xml:space="preserve"> </w:t>
      </w:r>
      <w:r>
        <w:rPr>
          <w:rFonts w:ascii="宋体" w:hAnsi="宋体" w:cs="宋体"/>
          <w:szCs w:val="22"/>
          <w:u w:val="single"/>
        </w:rPr>
        <w:t xml:space="preserve">     </w:t>
      </w:r>
    </w:p>
    <w:p>
      <w:pPr>
        <w:snapToGrid w:val="0"/>
        <w:spacing w:line="400" w:lineRule="exact"/>
        <w:ind w:left="5565" w:hanging="5565" w:hangingChars="2650"/>
        <w:rPr>
          <w:rFonts w:ascii="宋体" w:hAnsi="宋体" w:cs="宋体"/>
          <w:szCs w:val="22"/>
        </w:rPr>
      </w:pPr>
      <w:r>
        <w:rPr>
          <w:rFonts w:hint="eastAsia" w:ascii="宋体" w:hAnsi="宋体" w:cs="宋体"/>
          <w:szCs w:val="22"/>
        </w:rPr>
        <w:t>开户银行：</w:t>
      </w:r>
      <w:r>
        <w:rPr>
          <w:rFonts w:hint="eastAsia" w:ascii="宋体" w:hAnsi="宋体" w:cs="宋体"/>
          <w:kern w:val="0"/>
          <w:szCs w:val="22"/>
          <w:u w:val="single"/>
        </w:rPr>
        <w:t>中国银行桂林市建干路支行</w:t>
      </w:r>
      <w:r>
        <w:rPr>
          <w:rFonts w:ascii="宋体" w:hAnsi="宋体" w:cs="宋体"/>
          <w:kern w:val="0"/>
          <w:szCs w:val="22"/>
          <w:u w:val="single"/>
        </w:rPr>
        <w:t xml:space="preserve">  </w:t>
      </w:r>
      <w:r>
        <w:rPr>
          <w:rFonts w:ascii="宋体" w:hAnsi="宋体" w:cs="宋体"/>
          <w:kern w:val="0"/>
          <w:szCs w:val="22"/>
        </w:rPr>
        <w:t xml:space="preserve"> </w:t>
      </w:r>
      <w:r>
        <w:rPr>
          <w:rFonts w:ascii="宋体" w:hAnsi="宋体" w:cs="宋体"/>
          <w:szCs w:val="22"/>
        </w:rPr>
        <w:t xml:space="preserve">   </w:t>
      </w:r>
      <w:r>
        <w:rPr>
          <w:rFonts w:hint="eastAsia" w:ascii="宋体" w:hAnsi="宋体" w:cs="宋体"/>
          <w:szCs w:val="22"/>
        </w:rPr>
        <w:t xml:space="preserve"> </w:t>
      </w:r>
      <w:r>
        <w:rPr>
          <w:rFonts w:ascii="宋体" w:hAnsi="宋体" w:cs="宋体"/>
          <w:szCs w:val="22"/>
        </w:rPr>
        <w:t xml:space="preserve">  </w:t>
      </w:r>
      <w:r>
        <w:rPr>
          <w:rFonts w:hint="eastAsia" w:ascii="宋体" w:hAnsi="宋体" w:cs="宋体"/>
          <w:szCs w:val="22"/>
        </w:rPr>
        <w:t>开户银行：</w:t>
      </w:r>
      <w:r>
        <w:rPr>
          <w:rFonts w:hint="eastAsia" w:ascii="Calibri" w:hAnsi="Calibri"/>
          <w:szCs w:val="22"/>
          <w:u w:val="single"/>
        </w:rPr>
        <w:t xml:space="preserve">                         </w:t>
      </w:r>
    </w:p>
    <w:p>
      <w:pPr>
        <w:widowControl/>
        <w:spacing w:line="400" w:lineRule="exact"/>
        <w:jc w:val="left"/>
        <w:rPr>
          <w:rFonts w:ascii="Calibri" w:hAnsi="Calibri"/>
          <w:szCs w:val="22"/>
          <w:u w:val="single"/>
        </w:rPr>
      </w:pPr>
      <w:r>
        <w:rPr>
          <w:rFonts w:hint="eastAsia" w:ascii="宋体" w:hAnsi="宋体" w:cs="宋体"/>
          <w:szCs w:val="22"/>
        </w:rPr>
        <w:t>账</w:t>
      </w:r>
      <w:r>
        <w:rPr>
          <w:rFonts w:ascii="宋体" w:hAnsi="宋体" w:cs="宋体"/>
          <w:szCs w:val="22"/>
        </w:rPr>
        <w:t xml:space="preserve">  </w:t>
      </w:r>
      <w:r>
        <w:rPr>
          <w:rFonts w:hint="eastAsia" w:ascii="宋体" w:hAnsi="宋体" w:cs="宋体"/>
          <w:szCs w:val="22"/>
        </w:rPr>
        <w:t>号：</w:t>
      </w:r>
      <w:r>
        <w:rPr>
          <w:rFonts w:hint="eastAsia" w:ascii="宋体" w:hAnsi="宋体" w:cs="宋体"/>
          <w:szCs w:val="22"/>
          <w:u w:val="single"/>
        </w:rPr>
        <w:t></w:t>
      </w:r>
      <w:r>
        <w:rPr>
          <w:rFonts w:ascii="宋体" w:hAnsi="宋体" w:cs="宋体"/>
          <w:szCs w:val="22"/>
          <w:u w:val="single"/>
        </w:rPr>
        <w:t xml:space="preserve">6132 5748 8744        </w:t>
      </w:r>
      <w:r>
        <w:rPr>
          <w:rFonts w:hint="eastAsia" w:ascii="宋体" w:hAnsi="宋体" w:cs="宋体"/>
          <w:szCs w:val="22"/>
          <w:u w:val="single"/>
        </w:rPr>
        <w:t xml:space="preserve">  </w:t>
      </w:r>
      <w:r>
        <w:rPr>
          <w:rFonts w:ascii="宋体" w:hAnsi="宋体" w:cs="宋体"/>
          <w:szCs w:val="22"/>
          <w:u w:val="single"/>
        </w:rPr>
        <w:t xml:space="preserve"> </w:t>
      </w:r>
      <w:r>
        <w:rPr>
          <w:rFonts w:ascii="宋体" w:hAnsi="宋体" w:cs="宋体"/>
          <w:szCs w:val="22"/>
        </w:rPr>
        <w:t xml:space="preserve">        </w:t>
      </w:r>
      <w:r>
        <w:rPr>
          <w:rFonts w:hint="eastAsia" w:ascii="宋体" w:hAnsi="宋体" w:cs="宋体"/>
          <w:szCs w:val="22"/>
        </w:rPr>
        <w:t>账</w:t>
      </w:r>
      <w:r>
        <w:rPr>
          <w:rFonts w:ascii="宋体" w:hAnsi="宋体" w:cs="宋体"/>
          <w:szCs w:val="22"/>
        </w:rPr>
        <w:t xml:space="preserve">  </w:t>
      </w:r>
      <w:r>
        <w:rPr>
          <w:rFonts w:hint="eastAsia" w:ascii="宋体" w:hAnsi="宋体" w:cs="宋体"/>
          <w:szCs w:val="22"/>
        </w:rPr>
        <w:t>号：</w:t>
      </w:r>
      <w:r>
        <w:rPr>
          <w:rFonts w:hint="eastAsia" w:ascii="宋体" w:hAnsi="宋体" w:cs="宋体"/>
          <w:szCs w:val="22"/>
          <w:u w:val="single"/>
        </w:rPr>
        <w:t></w:t>
      </w:r>
      <w:r>
        <w:rPr>
          <w:rFonts w:hint="eastAsia" w:ascii="Calibri" w:hAnsi="Calibri"/>
          <w:szCs w:val="22"/>
          <w:u w:val="single"/>
        </w:rPr>
        <w:t xml:space="preserve">         </w:t>
      </w:r>
      <w:r>
        <w:rPr>
          <w:rFonts w:ascii="宋体" w:hAnsi="宋体" w:cs="宋体"/>
          <w:szCs w:val="22"/>
          <w:u w:val="single"/>
        </w:rPr>
        <w:t xml:space="preserve">         </w:t>
      </w:r>
      <w:r>
        <w:rPr>
          <w:rFonts w:hint="eastAsia" w:ascii="宋体" w:hAnsi="宋体" w:cs="宋体"/>
          <w:szCs w:val="22"/>
          <w:u w:val="single"/>
        </w:rPr>
        <w:t xml:space="preserve"> </w:t>
      </w:r>
      <w:r>
        <w:rPr>
          <w:rFonts w:ascii="宋体" w:hAnsi="宋体" w:cs="宋体"/>
          <w:szCs w:val="22"/>
          <w:u w:val="single"/>
        </w:rPr>
        <w:t xml:space="preserve">      </w:t>
      </w:r>
      <w:r>
        <w:rPr>
          <w:rFonts w:ascii="宋体" w:hAnsi="宋体" w:cs="宋体"/>
          <w:szCs w:val="22"/>
        </w:rPr>
        <w:t xml:space="preserve">    </w:t>
      </w:r>
      <w:r>
        <w:rPr>
          <w:rFonts w:ascii="宋体" w:hAnsi="Calibri" w:cs="宋体"/>
          <w:szCs w:val="22"/>
        </w:rPr>
        <w:br w:type="page"/>
      </w:r>
    </w:p>
    <w:p>
      <w:pPr>
        <w:keepNext/>
        <w:keepLines/>
        <w:spacing w:line="360" w:lineRule="auto"/>
        <w:jc w:val="center"/>
        <w:outlineLvl w:val="0"/>
        <w:rPr>
          <w:rFonts w:ascii="Calibri" w:hAnsi="Calibri" w:eastAsia="黑体"/>
          <w:b/>
          <w:bCs/>
          <w:kern w:val="44"/>
          <w:sz w:val="44"/>
          <w:szCs w:val="44"/>
          <w:lang w:val="zh-CN"/>
        </w:rPr>
      </w:pPr>
      <w:bookmarkStart w:id="43" w:name="_Toc83895639"/>
      <w:bookmarkStart w:id="44" w:name="_Toc407135192"/>
      <w:bookmarkStart w:id="45" w:name="_Toc256000128"/>
      <w:bookmarkStart w:id="46" w:name="_Toc389065256"/>
      <w:bookmarkStart w:id="47" w:name="_Toc373478338"/>
      <w:bookmarkStart w:id="48" w:name="_Toc373227691"/>
      <w:bookmarkStart w:id="49" w:name="_Toc351203632"/>
      <w:r>
        <w:rPr>
          <w:rFonts w:hint="eastAsia" w:ascii="Calibri" w:hAnsi="Calibri" w:eastAsia="黑体" w:cs="黑体"/>
          <w:b/>
          <w:bCs/>
          <w:kern w:val="44"/>
          <w:sz w:val="44"/>
          <w:szCs w:val="44"/>
          <w:lang w:val="zh-CN"/>
        </w:rPr>
        <w:t>第二部分</w:t>
      </w:r>
      <w:r>
        <w:rPr>
          <w:rFonts w:ascii="Calibri" w:hAnsi="Calibri" w:eastAsia="黑体"/>
          <w:b/>
          <w:bCs/>
          <w:kern w:val="44"/>
          <w:sz w:val="44"/>
          <w:szCs w:val="44"/>
          <w:lang w:val="zh-CN"/>
        </w:rPr>
        <w:t xml:space="preserve"> </w:t>
      </w:r>
      <w:r>
        <w:rPr>
          <w:rFonts w:hint="eastAsia" w:ascii="Calibri" w:hAnsi="Calibri" w:eastAsia="黑体" w:cs="黑体"/>
          <w:b/>
          <w:bCs/>
          <w:kern w:val="44"/>
          <w:sz w:val="44"/>
          <w:szCs w:val="44"/>
          <w:lang w:val="zh-CN"/>
        </w:rPr>
        <w:t>通用合同条款</w:t>
      </w:r>
      <w:bookmarkEnd w:id="43"/>
      <w:bookmarkEnd w:id="44"/>
      <w:bookmarkEnd w:id="45"/>
      <w:bookmarkEnd w:id="46"/>
    </w:p>
    <w:p>
      <w:pPr>
        <w:spacing w:line="360" w:lineRule="auto"/>
        <w:ind w:firstLine="422" w:firstLineChars="200"/>
        <w:rPr>
          <w:rFonts w:ascii="Calibri" w:hAnsi="宋体" w:cs="宋体"/>
          <w:b/>
          <w:bCs/>
          <w:kern w:val="0"/>
          <w:szCs w:val="22"/>
        </w:rPr>
      </w:pPr>
      <w:r>
        <w:rPr>
          <w:rFonts w:hint="eastAsia" w:ascii="Calibri" w:hAnsi="宋体" w:cs="宋体"/>
          <w:b/>
          <w:bCs/>
          <w:kern w:val="0"/>
          <w:szCs w:val="22"/>
        </w:rPr>
        <w:t>采用《建设工程施工合同（示范文本）》（</w:t>
      </w:r>
      <w:r>
        <w:rPr>
          <w:rFonts w:ascii="Calibri" w:hAnsi="宋体"/>
          <w:b/>
          <w:bCs/>
          <w:kern w:val="0"/>
          <w:szCs w:val="22"/>
        </w:rPr>
        <w:t>GF</w:t>
      </w:r>
      <w:r>
        <w:rPr>
          <w:rFonts w:ascii="Calibri" w:hAnsi="宋体" w:cs="宋体"/>
          <w:b/>
          <w:bCs/>
          <w:kern w:val="0"/>
          <w:szCs w:val="22"/>
        </w:rPr>
        <w:t>—</w:t>
      </w:r>
      <w:r>
        <w:rPr>
          <w:rFonts w:ascii="Calibri" w:hAnsi="宋体"/>
          <w:b/>
          <w:bCs/>
          <w:kern w:val="0"/>
          <w:szCs w:val="22"/>
        </w:rPr>
        <w:t>201</w:t>
      </w:r>
      <w:r>
        <w:rPr>
          <w:rFonts w:hint="eastAsia" w:ascii="Calibri" w:hAnsi="宋体"/>
          <w:b/>
          <w:bCs/>
          <w:kern w:val="0"/>
          <w:szCs w:val="22"/>
        </w:rPr>
        <w:t>7</w:t>
      </w:r>
      <w:r>
        <w:rPr>
          <w:rFonts w:ascii="Calibri" w:hAnsi="宋体" w:cs="宋体"/>
          <w:b/>
          <w:bCs/>
          <w:kern w:val="0"/>
          <w:szCs w:val="22"/>
        </w:rPr>
        <w:t>—</w:t>
      </w:r>
      <w:r>
        <w:rPr>
          <w:rFonts w:ascii="Calibri" w:hAnsi="宋体"/>
          <w:b/>
          <w:bCs/>
          <w:kern w:val="0"/>
          <w:szCs w:val="22"/>
        </w:rPr>
        <w:t>0201</w:t>
      </w:r>
      <w:r>
        <w:rPr>
          <w:rFonts w:hint="eastAsia" w:ascii="Calibri" w:hAnsi="宋体" w:cs="宋体"/>
          <w:b/>
          <w:bCs/>
          <w:kern w:val="0"/>
          <w:szCs w:val="22"/>
        </w:rPr>
        <w:t>）。</w:t>
      </w:r>
    </w:p>
    <w:p>
      <w:pPr>
        <w:spacing w:line="360" w:lineRule="auto"/>
        <w:ind w:firstLine="422" w:firstLineChars="200"/>
        <w:rPr>
          <w:rFonts w:ascii="Calibri" w:hAnsi="宋体"/>
          <w:b/>
          <w:bCs/>
          <w:kern w:val="0"/>
          <w:szCs w:val="22"/>
        </w:rPr>
      </w:pPr>
    </w:p>
    <w:p>
      <w:pPr>
        <w:spacing w:line="360" w:lineRule="auto"/>
        <w:jc w:val="center"/>
        <w:outlineLvl w:val="0"/>
        <w:rPr>
          <w:rFonts w:ascii="Calibri" w:hAnsi="Calibri" w:eastAsia="黑体" w:cs="黑体"/>
          <w:b/>
          <w:bCs/>
          <w:kern w:val="44"/>
          <w:sz w:val="44"/>
          <w:szCs w:val="44"/>
          <w:lang w:val="zh-CN"/>
        </w:rPr>
      </w:pPr>
      <w:bookmarkStart w:id="50" w:name="_Toc407135193"/>
      <w:bookmarkStart w:id="51" w:name="_Toc389065257"/>
      <w:bookmarkStart w:id="52" w:name="_Toc256000129"/>
      <w:bookmarkStart w:id="53" w:name="_Toc83895640"/>
      <w:r>
        <w:rPr>
          <w:rFonts w:hint="eastAsia" w:ascii="Calibri" w:hAnsi="Calibri" w:eastAsia="黑体" w:cs="黑体"/>
          <w:b/>
          <w:bCs/>
          <w:kern w:val="44"/>
          <w:sz w:val="44"/>
          <w:szCs w:val="44"/>
          <w:lang w:val="zh-CN"/>
        </w:rPr>
        <w:t>第三部分</w:t>
      </w:r>
      <w:r>
        <w:rPr>
          <w:rFonts w:ascii="Calibri" w:hAnsi="Calibri" w:eastAsia="黑体" w:cs="黑体"/>
          <w:b/>
          <w:bCs/>
          <w:kern w:val="44"/>
          <w:sz w:val="44"/>
          <w:szCs w:val="44"/>
          <w:lang w:val="zh-CN"/>
        </w:rPr>
        <w:t xml:space="preserve"> </w:t>
      </w:r>
      <w:r>
        <w:rPr>
          <w:rFonts w:hint="eastAsia" w:ascii="Calibri" w:hAnsi="Calibri" w:eastAsia="黑体" w:cs="黑体"/>
          <w:b/>
          <w:bCs/>
          <w:kern w:val="44"/>
          <w:sz w:val="44"/>
          <w:szCs w:val="44"/>
          <w:lang w:val="zh-CN"/>
        </w:rPr>
        <w:t>专用合同条款</w:t>
      </w:r>
      <w:bookmarkEnd w:id="47"/>
      <w:bookmarkEnd w:id="48"/>
      <w:bookmarkEnd w:id="49"/>
      <w:bookmarkEnd w:id="50"/>
      <w:bookmarkEnd w:id="51"/>
      <w:bookmarkEnd w:id="52"/>
      <w:bookmarkEnd w:id="53"/>
    </w:p>
    <w:p>
      <w:pPr>
        <w:spacing w:line="360" w:lineRule="auto"/>
        <w:jc w:val="center"/>
        <w:rPr>
          <w:rFonts w:ascii="Calibri" w:hAnsi="宋体" w:cs="宋体"/>
          <w:b/>
          <w:bCs/>
          <w:kern w:val="0"/>
          <w:szCs w:val="22"/>
        </w:rPr>
      </w:pPr>
      <w:r>
        <w:rPr>
          <w:rFonts w:hint="eastAsia" w:ascii="Calibri" w:hAnsi="宋体" w:cs="宋体"/>
          <w:b/>
          <w:bCs/>
          <w:kern w:val="0"/>
          <w:szCs w:val="22"/>
        </w:rPr>
        <w:t>（注：专用合同条款每一条均应填写完整！）</w:t>
      </w:r>
    </w:p>
    <w:p>
      <w:pPr>
        <w:rPr>
          <w:rFonts w:ascii="Calibri" w:hAnsi="Calibri"/>
          <w:sz w:val="20"/>
          <w:szCs w:val="22"/>
        </w:rPr>
      </w:pPr>
    </w:p>
    <w:p>
      <w:pPr>
        <w:keepNext/>
        <w:keepLines/>
        <w:spacing w:before="260" w:after="260" w:line="412" w:lineRule="auto"/>
        <w:ind w:firstLine="422" w:firstLineChars="200"/>
        <w:jc w:val="left"/>
        <w:outlineLvl w:val="1"/>
        <w:rPr>
          <w:rFonts w:ascii="Arial" w:hAnsi="Arial" w:cs="宋体"/>
          <w:b/>
          <w:szCs w:val="22"/>
        </w:rPr>
      </w:pPr>
      <w:bookmarkStart w:id="54" w:name="_Toc69641858"/>
      <w:bookmarkStart w:id="55" w:name="_Toc140098551"/>
      <w:bookmarkStart w:id="56" w:name="_Toc55373961"/>
      <w:r>
        <w:rPr>
          <w:rFonts w:hint="eastAsia" w:ascii="Arial" w:hAnsi="Arial" w:cs="宋体"/>
          <w:b/>
          <w:szCs w:val="22"/>
        </w:rPr>
        <w:t>1. 一般约定</w:t>
      </w:r>
      <w:bookmarkEnd w:id="54"/>
      <w:bookmarkEnd w:id="55"/>
      <w:bookmarkEnd w:id="56"/>
    </w:p>
    <w:p>
      <w:pPr>
        <w:keepNext/>
        <w:keepLines/>
        <w:spacing w:before="260" w:after="260" w:line="412" w:lineRule="auto"/>
        <w:jc w:val="left"/>
        <w:outlineLvl w:val="2"/>
        <w:rPr>
          <w:rFonts w:ascii="Calibri" w:hAnsi="Calibri"/>
          <w:b/>
          <w:szCs w:val="24"/>
        </w:rPr>
      </w:pPr>
      <w:bookmarkStart w:id="57" w:name="_Toc140098552"/>
      <w:bookmarkStart w:id="58" w:name="_Toc55373962"/>
      <w:bookmarkStart w:id="59" w:name="_Toc69641859"/>
      <w:r>
        <w:rPr>
          <w:rFonts w:hint="eastAsia" w:ascii="Calibri" w:hAnsi="Calibri"/>
          <w:b/>
          <w:szCs w:val="24"/>
        </w:rPr>
        <w:t>1.1 词语定义</w:t>
      </w:r>
      <w:bookmarkEnd w:id="57"/>
      <w:bookmarkEnd w:id="58"/>
      <w:bookmarkEnd w:id="59"/>
    </w:p>
    <w:p>
      <w:pPr>
        <w:spacing w:line="400" w:lineRule="exact"/>
        <w:ind w:firstLine="420" w:firstLineChars="200"/>
        <w:rPr>
          <w:rFonts w:ascii="宋体" w:hAnsi="宋体" w:cs="宋体"/>
          <w:szCs w:val="22"/>
        </w:rPr>
      </w:pPr>
      <w:r>
        <w:rPr>
          <w:rFonts w:hint="eastAsia" w:ascii="宋体" w:hAnsi="宋体" w:cs="宋体"/>
          <w:szCs w:val="22"/>
        </w:rPr>
        <w:t>1.1.1合同</w:t>
      </w:r>
    </w:p>
    <w:p>
      <w:pPr>
        <w:spacing w:line="400" w:lineRule="exact"/>
        <w:ind w:firstLine="420" w:firstLineChars="200"/>
        <w:rPr>
          <w:rFonts w:ascii="宋体" w:hAnsi="宋体" w:cs="宋体"/>
          <w:szCs w:val="22"/>
        </w:rPr>
      </w:pPr>
      <w:r>
        <w:rPr>
          <w:rFonts w:hint="eastAsia" w:ascii="宋体" w:hAnsi="宋体" w:cs="宋体"/>
          <w:kern w:val="0"/>
          <w:szCs w:val="22"/>
        </w:rPr>
        <w:t>1.1.1.10其他合同文件包括：</w:t>
      </w:r>
      <w:r>
        <w:rPr>
          <w:rFonts w:hint="eastAsia" w:ascii="宋体" w:hAnsi="宋体" w:cs="宋体"/>
          <w:szCs w:val="22"/>
        </w:rPr>
        <w:t>合同当事人约定的与工程施工有关的具有合同约束力的文件或书面协议。</w:t>
      </w:r>
    </w:p>
    <w:p>
      <w:pPr>
        <w:spacing w:line="400" w:lineRule="exact"/>
        <w:ind w:firstLine="420" w:firstLineChars="200"/>
        <w:rPr>
          <w:rFonts w:ascii="宋体" w:hAnsi="宋体" w:cs="宋体"/>
          <w:szCs w:val="22"/>
        </w:rPr>
      </w:pPr>
      <w:r>
        <w:rPr>
          <w:rFonts w:hint="eastAsia" w:ascii="宋体" w:hAnsi="宋体" w:cs="宋体"/>
          <w:szCs w:val="22"/>
        </w:rPr>
        <w:t>1.1.2 合同当事人及其他相关方</w:t>
      </w:r>
    </w:p>
    <w:p>
      <w:pPr>
        <w:spacing w:line="400" w:lineRule="exact"/>
        <w:ind w:firstLine="420" w:firstLineChars="200"/>
        <w:rPr>
          <w:rFonts w:ascii="宋体" w:hAnsi="宋体" w:cs="宋体"/>
          <w:szCs w:val="22"/>
        </w:rPr>
      </w:pPr>
      <w:r>
        <w:rPr>
          <w:rFonts w:hint="eastAsia" w:ascii="宋体" w:hAnsi="宋体" w:cs="宋体"/>
          <w:szCs w:val="22"/>
        </w:rPr>
        <w:t>1.1.2.4监理人：</w:t>
      </w:r>
    </w:p>
    <w:p>
      <w:pPr>
        <w:spacing w:line="400" w:lineRule="exact"/>
        <w:ind w:firstLine="420" w:firstLineChars="200"/>
        <w:rPr>
          <w:rFonts w:ascii="宋体" w:cs="宋体"/>
          <w:szCs w:val="24"/>
        </w:rPr>
      </w:pPr>
      <w:r>
        <w:rPr>
          <w:rFonts w:hint="eastAsia" w:ascii="宋体" w:hAnsi="宋体" w:cs="宋体"/>
          <w:szCs w:val="24"/>
        </w:rPr>
        <w:t>名</w:t>
      </w:r>
      <w:r>
        <w:rPr>
          <w:rFonts w:ascii="宋体" w:hAnsi="宋体" w:cs="宋体"/>
          <w:szCs w:val="24"/>
        </w:rPr>
        <w:t xml:space="preserve">    </w:t>
      </w:r>
      <w:r>
        <w:rPr>
          <w:rFonts w:hint="eastAsia" w:ascii="宋体" w:hAnsi="宋体" w:cs="宋体"/>
          <w:szCs w:val="24"/>
        </w:rPr>
        <w:t>称：</w:t>
      </w:r>
      <w:r>
        <w:rPr>
          <w:rFonts w:hint="eastAsia" w:ascii="宋体" w:hAnsi="宋体" w:cs="宋体"/>
          <w:szCs w:val="24"/>
          <w:u w:val="single"/>
        </w:rPr>
        <w:t xml:space="preserve">                          </w:t>
      </w:r>
      <w:r>
        <w:rPr>
          <w:rFonts w:ascii="宋体" w:hAnsi="宋体" w:cs="宋体"/>
          <w:szCs w:val="24"/>
          <w:u w:val="single"/>
        </w:rPr>
        <w:t xml:space="preserve">  </w:t>
      </w:r>
      <w:r>
        <w:rPr>
          <w:rFonts w:hint="eastAsia" w:ascii="宋体" w:hAnsi="宋体" w:cs="宋体"/>
          <w:szCs w:val="24"/>
        </w:rPr>
        <w:t>；</w:t>
      </w:r>
    </w:p>
    <w:p>
      <w:pPr>
        <w:spacing w:line="400" w:lineRule="exact"/>
        <w:ind w:firstLine="420" w:firstLineChars="200"/>
        <w:rPr>
          <w:rFonts w:ascii="宋体" w:hAnsi="宋体" w:cs="宋体"/>
          <w:szCs w:val="24"/>
        </w:rPr>
      </w:pPr>
      <w:r>
        <w:rPr>
          <w:rFonts w:hint="eastAsia" w:ascii="宋体" w:hAnsi="宋体" w:cs="宋体"/>
          <w:szCs w:val="24"/>
        </w:rPr>
        <w:t>资质类别和等级：</w:t>
      </w:r>
      <w:r>
        <w:rPr>
          <w:rFonts w:hint="eastAsia" w:ascii="宋体" w:hAnsi="宋体" w:cs="宋体"/>
          <w:szCs w:val="24"/>
          <w:u w:val="single"/>
        </w:rPr>
        <w:t></w:t>
      </w:r>
      <w:r>
        <w:rPr>
          <w:rFonts w:hint="eastAsia"/>
          <w:szCs w:val="24"/>
          <w:u w:val="single"/>
        </w:rPr>
        <w:t xml:space="preserve">                    </w:t>
      </w:r>
      <w:r>
        <w:rPr>
          <w:rFonts w:hint="eastAsia" w:ascii="宋体" w:hAnsi="宋体" w:cs="宋体"/>
          <w:szCs w:val="24"/>
          <w:u w:val="single"/>
        </w:rPr>
        <w:t></w:t>
      </w:r>
      <w:r>
        <w:rPr>
          <w:rFonts w:hint="eastAsia" w:ascii="宋体" w:hAnsi="宋体" w:cs="宋体"/>
          <w:szCs w:val="24"/>
        </w:rPr>
        <w:t>；</w:t>
      </w:r>
    </w:p>
    <w:p>
      <w:pPr>
        <w:spacing w:line="400" w:lineRule="exact"/>
        <w:ind w:firstLine="420" w:firstLineChars="200"/>
        <w:rPr>
          <w:rFonts w:ascii="宋体" w:hAnsi="宋体" w:cs="宋体"/>
          <w:szCs w:val="24"/>
        </w:rPr>
      </w:pPr>
      <w:r>
        <w:rPr>
          <w:rFonts w:hint="eastAsia" w:ascii="宋体" w:hAnsi="宋体" w:cs="宋体"/>
          <w:szCs w:val="24"/>
        </w:rPr>
        <w:t>联系电话：</w:t>
      </w:r>
      <w:r>
        <w:rPr>
          <w:rFonts w:hint="eastAsia" w:ascii="宋体" w:hAnsi="宋体" w:cs="宋体"/>
          <w:szCs w:val="24"/>
          <w:u w:val="single"/>
        </w:rPr>
        <w:t xml:space="preserve">                              </w:t>
      </w:r>
      <w:r>
        <w:rPr>
          <w:rFonts w:hint="eastAsia" w:ascii="宋体" w:hAnsi="宋体" w:cs="宋体"/>
          <w:szCs w:val="24"/>
        </w:rPr>
        <w:t>；</w:t>
      </w:r>
    </w:p>
    <w:p>
      <w:pPr>
        <w:spacing w:line="400" w:lineRule="exact"/>
        <w:ind w:firstLine="420" w:firstLineChars="200"/>
        <w:rPr>
          <w:rFonts w:ascii="宋体" w:cs="宋体"/>
          <w:szCs w:val="24"/>
        </w:rPr>
      </w:pPr>
      <w:r>
        <w:rPr>
          <w:rFonts w:ascii="宋体" w:hAnsi="宋体" w:cs="宋体"/>
          <w:szCs w:val="24"/>
        </w:rPr>
        <w:t xml:space="preserve">1.1.2.5 </w:t>
      </w:r>
      <w:r>
        <w:rPr>
          <w:rFonts w:hint="eastAsia" w:ascii="宋体" w:hAnsi="宋体" w:cs="宋体"/>
          <w:szCs w:val="24"/>
        </w:rPr>
        <w:t>设计人：</w:t>
      </w:r>
    </w:p>
    <w:p>
      <w:pPr>
        <w:spacing w:line="400" w:lineRule="exact"/>
        <w:ind w:firstLine="420" w:firstLineChars="200"/>
        <w:rPr>
          <w:rFonts w:ascii="宋体" w:cs="宋体"/>
          <w:szCs w:val="24"/>
        </w:rPr>
      </w:pPr>
      <w:r>
        <w:rPr>
          <w:rFonts w:hint="eastAsia" w:ascii="宋体" w:hAnsi="宋体" w:cs="宋体"/>
          <w:szCs w:val="24"/>
        </w:rPr>
        <w:t>名</w:t>
      </w:r>
      <w:r>
        <w:rPr>
          <w:rFonts w:ascii="宋体" w:hAnsi="宋体" w:cs="宋体"/>
          <w:szCs w:val="24"/>
        </w:rPr>
        <w:t xml:space="preserve">    </w:t>
      </w:r>
      <w:r>
        <w:rPr>
          <w:rFonts w:hint="eastAsia" w:ascii="宋体" w:hAnsi="宋体" w:cs="宋体"/>
          <w:szCs w:val="24"/>
        </w:rPr>
        <w:t>称：</w:t>
      </w:r>
      <w:r>
        <w:rPr>
          <w:rFonts w:hint="eastAsia" w:ascii="宋体" w:hAnsi="宋体" w:cs="宋体"/>
          <w:szCs w:val="24"/>
          <w:u w:val="single"/>
        </w:rPr>
        <w:t xml:space="preserve">                           </w:t>
      </w:r>
      <w:r>
        <w:rPr>
          <w:rFonts w:ascii="宋体" w:hAnsi="宋体" w:cs="宋体"/>
          <w:szCs w:val="24"/>
          <w:u w:val="single"/>
        </w:rPr>
        <w:t xml:space="preserve"> </w:t>
      </w:r>
      <w:r>
        <w:rPr>
          <w:rFonts w:hint="eastAsia" w:ascii="宋体" w:hAnsi="宋体" w:cs="宋体"/>
          <w:szCs w:val="24"/>
        </w:rPr>
        <w:t>；</w:t>
      </w:r>
    </w:p>
    <w:p>
      <w:pPr>
        <w:spacing w:line="400" w:lineRule="exact"/>
        <w:ind w:firstLine="420" w:firstLineChars="200"/>
        <w:rPr>
          <w:rFonts w:ascii="宋体" w:hAnsi="宋体" w:cs="宋体"/>
          <w:szCs w:val="24"/>
        </w:rPr>
      </w:pPr>
      <w:r>
        <w:rPr>
          <w:rFonts w:hint="eastAsia" w:ascii="宋体" w:hAnsi="宋体" w:cs="宋体"/>
          <w:szCs w:val="24"/>
        </w:rPr>
        <w:t>资质类别和等级：</w:t>
      </w:r>
      <w:r>
        <w:rPr>
          <w:rFonts w:hint="eastAsia" w:ascii="宋体" w:hAnsi="宋体" w:cs="宋体"/>
          <w:szCs w:val="24"/>
          <w:u w:val="single"/>
        </w:rPr>
        <w:t>                    </w:t>
      </w:r>
      <w:r>
        <w:rPr>
          <w:rFonts w:hint="eastAsia" w:ascii="宋体" w:hAnsi="宋体" w:cs="宋体"/>
          <w:szCs w:val="24"/>
        </w:rPr>
        <w:t>；</w:t>
      </w:r>
    </w:p>
    <w:p>
      <w:pPr>
        <w:spacing w:line="400" w:lineRule="exact"/>
        <w:ind w:firstLine="420" w:firstLineChars="200"/>
        <w:rPr>
          <w:rFonts w:ascii="宋体" w:hAnsi="宋体" w:cs="宋体"/>
          <w:szCs w:val="24"/>
        </w:rPr>
      </w:pPr>
      <w:r>
        <w:rPr>
          <w:rFonts w:hint="eastAsia" w:ascii="宋体" w:hAnsi="宋体" w:cs="宋体"/>
          <w:szCs w:val="24"/>
        </w:rPr>
        <w:t>联系电话：</w:t>
      </w:r>
      <w:r>
        <w:rPr>
          <w:rFonts w:hint="eastAsia" w:ascii="宋体" w:hAnsi="宋体" w:cs="宋体"/>
          <w:szCs w:val="24"/>
          <w:u w:val="single"/>
        </w:rPr>
        <w:t xml:space="preserve">                              </w:t>
      </w:r>
      <w:r>
        <w:rPr>
          <w:rFonts w:hint="eastAsia" w:ascii="宋体" w:hAnsi="宋体" w:cs="宋体"/>
          <w:szCs w:val="24"/>
        </w:rPr>
        <w:t>；</w:t>
      </w:r>
    </w:p>
    <w:p>
      <w:pPr>
        <w:spacing w:line="400" w:lineRule="exact"/>
        <w:ind w:firstLine="420" w:firstLineChars="200"/>
        <w:rPr>
          <w:rFonts w:ascii="宋体" w:hAnsi="宋体" w:cs="宋体"/>
          <w:szCs w:val="22"/>
        </w:rPr>
      </w:pPr>
      <w:r>
        <w:rPr>
          <w:rFonts w:hint="eastAsia" w:ascii="宋体" w:hAnsi="宋体" w:cs="宋体"/>
          <w:szCs w:val="22"/>
        </w:rPr>
        <w:t>1.1.3 工程和设备</w:t>
      </w:r>
    </w:p>
    <w:p>
      <w:pPr>
        <w:spacing w:line="400" w:lineRule="exact"/>
        <w:ind w:firstLine="420" w:firstLineChars="200"/>
        <w:rPr>
          <w:rFonts w:ascii="宋体" w:hAnsi="宋体" w:cs="宋体"/>
          <w:szCs w:val="22"/>
        </w:rPr>
      </w:pPr>
      <w:r>
        <w:rPr>
          <w:rFonts w:hint="eastAsia" w:ascii="宋体" w:hAnsi="宋体" w:cs="宋体"/>
          <w:szCs w:val="22"/>
        </w:rPr>
        <w:t xml:space="preserve">1.1.3.2 永久工程：本工程图纸范围内的建筑、安装、装饰等工程。 </w:t>
      </w:r>
    </w:p>
    <w:p>
      <w:pPr>
        <w:spacing w:line="400" w:lineRule="exact"/>
        <w:ind w:firstLine="420" w:firstLineChars="200"/>
        <w:rPr>
          <w:rFonts w:ascii="宋体" w:hAnsi="宋体" w:cs="宋体"/>
          <w:szCs w:val="22"/>
        </w:rPr>
      </w:pPr>
      <w:r>
        <w:rPr>
          <w:rFonts w:hint="eastAsia" w:ascii="宋体" w:hAnsi="宋体" w:cs="宋体"/>
          <w:szCs w:val="22"/>
        </w:rPr>
        <w:t>1.1.3.3 临时工程：发包人仅负责在项目场区围墙内提供临时用水、用电接入点，承包人负责临时用房、场地硬化、施工场地内临时道路及维护、施工围墙、大门、临时排水设施、临时绿化设施、施工现场消防设施、标准化标牌标语以及自指定的水、电接口至施工现场的水电管线埋设（或架设）和计量表的安装等施工临时设施，费用已含在合同总价内。</w:t>
      </w:r>
    </w:p>
    <w:p>
      <w:pPr>
        <w:spacing w:line="400" w:lineRule="exact"/>
        <w:ind w:firstLine="420" w:firstLineChars="200"/>
        <w:rPr>
          <w:rFonts w:ascii="宋体" w:hAnsi="宋体" w:cs="宋体"/>
          <w:szCs w:val="22"/>
        </w:rPr>
      </w:pPr>
      <w:r>
        <w:rPr>
          <w:rFonts w:hint="eastAsia" w:ascii="宋体" w:hAnsi="宋体" w:cs="宋体"/>
          <w:szCs w:val="22"/>
        </w:rPr>
        <w:t>1.1.3.7 作为施工现场组成部分的其他场所包括：</w:t>
      </w:r>
      <w:r>
        <w:rPr>
          <w:rFonts w:hint="eastAsia" w:ascii="宋体" w:hAnsi="宋体" w:cs="宋体"/>
          <w:szCs w:val="22"/>
          <w:u w:val="single"/>
        </w:rPr>
        <w:t xml:space="preserve">   /    </w:t>
      </w:r>
      <w:r>
        <w:rPr>
          <w:rFonts w:hint="eastAsia" w:ascii="宋体" w:hAnsi="宋体" w:cs="宋体"/>
          <w:szCs w:val="22"/>
        </w:rPr>
        <w:t>。</w:t>
      </w:r>
    </w:p>
    <w:p>
      <w:pPr>
        <w:spacing w:line="400" w:lineRule="exact"/>
        <w:ind w:firstLine="420" w:firstLineChars="200"/>
        <w:rPr>
          <w:rFonts w:ascii="宋体" w:hAnsi="宋体" w:cs="宋体"/>
          <w:kern w:val="0"/>
          <w:szCs w:val="22"/>
        </w:rPr>
      </w:pPr>
      <w:r>
        <w:rPr>
          <w:rFonts w:hint="eastAsia" w:ascii="宋体" w:hAnsi="宋体" w:cs="宋体"/>
          <w:kern w:val="0"/>
          <w:szCs w:val="22"/>
        </w:rPr>
        <w:t>1.1.3.9 永久占地包括：</w:t>
      </w:r>
      <w:r>
        <w:rPr>
          <w:rFonts w:hint="eastAsia" w:ascii="宋体" w:hAnsi="宋体" w:cs="宋体"/>
          <w:szCs w:val="22"/>
        </w:rPr>
        <w:t>本工程施工图纸范围内的建筑用地范围 。</w:t>
      </w:r>
    </w:p>
    <w:p>
      <w:pPr>
        <w:spacing w:line="400" w:lineRule="exact"/>
        <w:ind w:firstLine="420" w:firstLineChars="200"/>
        <w:rPr>
          <w:rFonts w:ascii="宋体" w:hAnsi="宋体" w:cs="宋体"/>
          <w:szCs w:val="22"/>
        </w:rPr>
      </w:pPr>
      <w:r>
        <w:rPr>
          <w:rFonts w:hint="eastAsia" w:ascii="宋体" w:hAnsi="宋体" w:cs="宋体"/>
          <w:kern w:val="0"/>
          <w:szCs w:val="22"/>
        </w:rPr>
        <w:t>1.1.3.10 临时占地包括：</w:t>
      </w:r>
      <w:r>
        <w:rPr>
          <w:rFonts w:hint="eastAsia" w:ascii="宋体" w:hAnsi="宋体" w:cs="宋体"/>
          <w:szCs w:val="22"/>
        </w:rPr>
        <w:t>施工招标范围内工程需占用的该工程周边的临时用地，以发包人划定的范围为准。</w:t>
      </w:r>
    </w:p>
    <w:p>
      <w:pPr>
        <w:keepNext/>
        <w:keepLines/>
        <w:spacing w:before="260" w:after="260" w:line="412" w:lineRule="auto"/>
        <w:jc w:val="left"/>
        <w:outlineLvl w:val="2"/>
        <w:rPr>
          <w:rFonts w:ascii="Calibri" w:hAnsi="Calibri"/>
          <w:b/>
          <w:szCs w:val="24"/>
        </w:rPr>
      </w:pPr>
      <w:bookmarkStart w:id="60" w:name="_Toc140098553"/>
      <w:bookmarkStart w:id="61" w:name="_Toc69641860"/>
      <w:bookmarkStart w:id="62" w:name="_Toc55373963"/>
      <w:r>
        <w:rPr>
          <w:rFonts w:hint="eastAsia" w:ascii="Calibri" w:hAnsi="Calibri"/>
          <w:b/>
          <w:szCs w:val="24"/>
        </w:rPr>
        <w:t>1.3法律</w:t>
      </w:r>
      <w:bookmarkEnd w:id="60"/>
      <w:bookmarkEnd w:id="61"/>
      <w:bookmarkEnd w:id="62"/>
      <w:r>
        <w:rPr>
          <w:rFonts w:hint="eastAsia" w:ascii="Calibri" w:hAnsi="Calibri"/>
          <w:b/>
          <w:szCs w:val="24"/>
        </w:rPr>
        <w:t xml:space="preserve"> </w:t>
      </w:r>
    </w:p>
    <w:p>
      <w:pPr>
        <w:spacing w:line="400" w:lineRule="exact"/>
        <w:ind w:firstLine="420" w:firstLineChars="200"/>
        <w:rPr>
          <w:rFonts w:ascii="宋体" w:hAnsi="宋体" w:cs="宋体"/>
          <w:szCs w:val="22"/>
        </w:rPr>
      </w:pPr>
      <w:r>
        <w:rPr>
          <w:rFonts w:hint="eastAsia" w:ascii="宋体" w:hAnsi="宋体" w:cs="宋体"/>
          <w:szCs w:val="22"/>
        </w:rPr>
        <w:t>适用于合同的其他规范性文件：国家、广西壮族自治区和桂林市颁布的与本工程实施有关的法规、规章及规定。</w:t>
      </w:r>
    </w:p>
    <w:p>
      <w:pPr>
        <w:keepNext/>
        <w:keepLines/>
        <w:spacing w:before="260" w:after="260" w:line="412" w:lineRule="auto"/>
        <w:jc w:val="left"/>
        <w:outlineLvl w:val="2"/>
        <w:rPr>
          <w:rFonts w:ascii="Calibri" w:hAnsi="Calibri"/>
          <w:b/>
          <w:szCs w:val="24"/>
        </w:rPr>
      </w:pPr>
      <w:bookmarkStart w:id="63" w:name="_Toc55373964"/>
      <w:bookmarkStart w:id="64" w:name="_Toc140098554"/>
      <w:bookmarkStart w:id="65" w:name="_Toc69641861"/>
      <w:r>
        <w:rPr>
          <w:rFonts w:hint="eastAsia" w:ascii="Calibri" w:hAnsi="Calibri"/>
          <w:b/>
          <w:szCs w:val="24"/>
        </w:rPr>
        <w:t>1.4 标准和规范</w:t>
      </w:r>
      <w:bookmarkEnd w:id="63"/>
      <w:bookmarkEnd w:id="64"/>
      <w:bookmarkEnd w:id="65"/>
    </w:p>
    <w:p>
      <w:pPr>
        <w:spacing w:line="400" w:lineRule="exact"/>
        <w:ind w:firstLine="420" w:firstLineChars="200"/>
        <w:rPr>
          <w:rFonts w:ascii="宋体" w:hAnsi="宋体" w:cs="宋体"/>
          <w:szCs w:val="22"/>
        </w:rPr>
      </w:pPr>
      <w:r>
        <w:rPr>
          <w:rFonts w:hint="eastAsia" w:ascii="宋体" w:hAnsi="宋体" w:cs="宋体"/>
          <w:szCs w:val="22"/>
        </w:rPr>
        <w:t>1.4.1适用于工程的标准规范包括：国家、部门、省、市及行业颁布的有关规范、标准、规程和图纸要求的其它标准和规范等，所有规范、标准和规程等必须是最新版本；在合同履行期间，本工程所采用的标准或规范若有修改或新颁，应按修改或新颁的内容执行；其他按通用条款执行。</w:t>
      </w:r>
    </w:p>
    <w:p>
      <w:pPr>
        <w:spacing w:line="400" w:lineRule="exact"/>
        <w:ind w:firstLine="420" w:firstLineChars="200"/>
        <w:rPr>
          <w:rFonts w:ascii="宋体" w:hAnsi="宋体" w:cs="宋体"/>
          <w:szCs w:val="22"/>
        </w:rPr>
      </w:pPr>
      <w:r>
        <w:rPr>
          <w:rFonts w:hint="eastAsia" w:ascii="宋体" w:hAnsi="宋体" w:cs="宋体"/>
          <w:szCs w:val="22"/>
        </w:rPr>
        <w:t>1.4.2 发包人提供国外标准、规范的名称：     /           ；</w:t>
      </w:r>
    </w:p>
    <w:p>
      <w:pPr>
        <w:spacing w:line="400" w:lineRule="exact"/>
        <w:ind w:firstLine="420" w:firstLineChars="200"/>
        <w:rPr>
          <w:rFonts w:ascii="宋体" w:hAnsi="宋体" w:cs="宋体"/>
          <w:szCs w:val="22"/>
        </w:rPr>
      </w:pPr>
      <w:r>
        <w:rPr>
          <w:rFonts w:hint="eastAsia" w:ascii="宋体" w:hAnsi="宋体" w:cs="宋体"/>
          <w:szCs w:val="22"/>
        </w:rPr>
        <w:t>发包人提供国外标准、规范的份数：          /            ；</w:t>
      </w:r>
    </w:p>
    <w:p>
      <w:pPr>
        <w:spacing w:line="400" w:lineRule="exact"/>
        <w:ind w:firstLine="420" w:firstLineChars="200"/>
        <w:rPr>
          <w:rFonts w:ascii="宋体" w:hAnsi="宋体" w:cs="宋体"/>
          <w:szCs w:val="22"/>
        </w:rPr>
      </w:pPr>
      <w:r>
        <w:rPr>
          <w:rFonts w:hint="eastAsia" w:ascii="宋体" w:hAnsi="宋体" w:cs="宋体"/>
          <w:szCs w:val="22"/>
        </w:rPr>
        <w:t>发包人提供国外标准、规范的名称：         /             。</w:t>
      </w:r>
    </w:p>
    <w:p>
      <w:pPr>
        <w:spacing w:line="400" w:lineRule="exact"/>
        <w:ind w:firstLine="420" w:firstLineChars="200"/>
        <w:rPr>
          <w:rFonts w:ascii="宋体" w:hAnsi="宋体" w:cs="宋体"/>
          <w:szCs w:val="22"/>
          <w:u w:val="single"/>
        </w:rPr>
      </w:pPr>
      <w:r>
        <w:rPr>
          <w:rFonts w:hint="eastAsia" w:ascii="宋体" w:hAnsi="宋体" w:cs="宋体"/>
          <w:szCs w:val="22"/>
        </w:rPr>
        <w:t>1.4.3发包人对工程的技术标准和功能要求的特殊要求：</w:t>
      </w:r>
      <w:r>
        <w:rPr>
          <w:rFonts w:hint="eastAsia" w:ascii="宋体" w:hAnsi="宋体" w:cs="宋体"/>
          <w:szCs w:val="22"/>
          <w:u w:val="single"/>
        </w:rPr>
        <w:t>同通用条款，无特殊约定。</w:t>
      </w:r>
    </w:p>
    <w:p>
      <w:pPr>
        <w:keepNext/>
        <w:keepLines/>
        <w:spacing w:before="260" w:after="260" w:line="412" w:lineRule="auto"/>
        <w:jc w:val="left"/>
        <w:outlineLvl w:val="2"/>
        <w:rPr>
          <w:rFonts w:ascii="Calibri" w:hAnsi="Calibri"/>
          <w:b/>
          <w:szCs w:val="24"/>
        </w:rPr>
      </w:pPr>
      <w:bookmarkStart w:id="66" w:name="_Toc69641862"/>
      <w:bookmarkStart w:id="67" w:name="_Toc140098555"/>
      <w:bookmarkStart w:id="68" w:name="_Toc55373965"/>
      <w:r>
        <w:rPr>
          <w:rFonts w:hint="eastAsia" w:ascii="Calibri" w:hAnsi="Calibri"/>
          <w:b/>
          <w:szCs w:val="24"/>
        </w:rPr>
        <w:t>1.5 合同文件的优先顺序</w:t>
      </w:r>
      <w:bookmarkEnd w:id="66"/>
      <w:bookmarkEnd w:id="67"/>
      <w:bookmarkEnd w:id="68"/>
    </w:p>
    <w:p>
      <w:pPr>
        <w:spacing w:line="400" w:lineRule="exact"/>
        <w:ind w:firstLine="420" w:firstLineChars="200"/>
        <w:rPr>
          <w:rFonts w:ascii="宋体" w:hAnsi="宋体" w:cs="宋体"/>
          <w:szCs w:val="22"/>
        </w:rPr>
      </w:pPr>
      <w:r>
        <w:rPr>
          <w:rFonts w:hint="eastAsia" w:ascii="宋体" w:hAnsi="宋体" w:cs="宋体"/>
          <w:szCs w:val="22"/>
        </w:rPr>
        <w:t>合同文件组成及优先顺序为：</w:t>
      </w:r>
    </w:p>
    <w:p>
      <w:pPr>
        <w:spacing w:line="400" w:lineRule="exact"/>
        <w:ind w:firstLine="420" w:firstLineChars="200"/>
        <w:rPr>
          <w:rFonts w:ascii="宋体" w:hAnsi="宋体" w:cs="宋体"/>
          <w:szCs w:val="22"/>
        </w:rPr>
      </w:pPr>
      <w:r>
        <w:rPr>
          <w:rFonts w:hint="eastAsia" w:ascii="宋体" w:hAnsi="宋体" w:cs="宋体"/>
          <w:szCs w:val="22"/>
        </w:rPr>
        <w:t xml:space="preserve">（1）合同协议书； </w:t>
      </w:r>
    </w:p>
    <w:p>
      <w:pPr>
        <w:spacing w:line="400" w:lineRule="exact"/>
        <w:ind w:firstLine="420" w:firstLineChars="200"/>
        <w:rPr>
          <w:rFonts w:ascii="宋体" w:hAnsi="宋体" w:cs="宋体"/>
          <w:szCs w:val="22"/>
        </w:rPr>
      </w:pPr>
      <w:r>
        <w:rPr>
          <w:rFonts w:hint="eastAsia" w:ascii="宋体" w:hAnsi="宋体" w:cs="宋体"/>
          <w:szCs w:val="22"/>
        </w:rPr>
        <w:t xml:space="preserve">（2）成交通知书； </w:t>
      </w:r>
    </w:p>
    <w:p>
      <w:pPr>
        <w:spacing w:line="400" w:lineRule="exact"/>
        <w:ind w:firstLine="420" w:firstLineChars="200"/>
        <w:rPr>
          <w:rFonts w:ascii="宋体" w:hAnsi="宋体" w:cs="宋体"/>
          <w:szCs w:val="22"/>
        </w:rPr>
      </w:pPr>
      <w:r>
        <w:rPr>
          <w:rFonts w:hint="eastAsia" w:ascii="宋体" w:hAnsi="宋体" w:cs="宋体"/>
          <w:szCs w:val="22"/>
        </w:rPr>
        <w:t xml:space="preserve">（3）竞标函及竞标函附录； </w:t>
      </w:r>
    </w:p>
    <w:p>
      <w:pPr>
        <w:spacing w:line="400" w:lineRule="exact"/>
        <w:ind w:firstLine="420" w:firstLineChars="200"/>
        <w:rPr>
          <w:rFonts w:ascii="宋体" w:hAnsi="宋体" w:cs="宋体"/>
          <w:szCs w:val="22"/>
        </w:rPr>
      </w:pPr>
      <w:r>
        <w:rPr>
          <w:rFonts w:hint="eastAsia" w:ascii="宋体" w:hAnsi="宋体" w:cs="宋体"/>
          <w:szCs w:val="22"/>
        </w:rPr>
        <w:t xml:space="preserve">（4）专用合同条款及其附件； </w:t>
      </w:r>
    </w:p>
    <w:p>
      <w:pPr>
        <w:spacing w:line="400" w:lineRule="exact"/>
        <w:ind w:firstLine="420" w:firstLineChars="200"/>
        <w:rPr>
          <w:rFonts w:ascii="宋体" w:hAnsi="宋体" w:cs="宋体"/>
          <w:szCs w:val="22"/>
        </w:rPr>
      </w:pPr>
      <w:r>
        <w:rPr>
          <w:rFonts w:hint="eastAsia" w:ascii="宋体" w:hAnsi="宋体" w:cs="宋体"/>
          <w:szCs w:val="22"/>
        </w:rPr>
        <w:t xml:space="preserve">（5）通用合同条款； </w:t>
      </w:r>
    </w:p>
    <w:p>
      <w:pPr>
        <w:spacing w:line="400" w:lineRule="exact"/>
        <w:ind w:firstLine="420" w:firstLineChars="200"/>
        <w:rPr>
          <w:rFonts w:ascii="宋体" w:hAnsi="宋体" w:cs="宋体"/>
          <w:szCs w:val="22"/>
        </w:rPr>
      </w:pPr>
      <w:r>
        <w:rPr>
          <w:rFonts w:hint="eastAsia" w:ascii="宋体" w:hAnsi="宋体" w:cs="宋体"/>
          <w:szCs w:val="22"/>
        </w:rPr>
        <w:t xml:space="preserve">（6）技术标准和要求、规范及有关技术文件； </w:t>
      </w:r>
    </w:p>
    <w:p>
      <w:pPr>
        <w:spacing w:line="400" w:lineRule="exact"/>
        <w:ind w:firstLine="420" w:firstLineChars="200"/>
        <w:rPr>
          <w:rFonts w:ascii="宋体" w:hAnsi="宋体" w:cs="宋体"/>
          <w:szCs w:val="22"/>
        </w:rPr>
      </w:pPr>
      <w:r>
        <w:rPr>
          <w:rFonts w:hint="eastAsia" w:ascii="宋体" w:hAnsi="宋体" w:cs="宋体"/>
          <w:szCs w:val="22"/>
        </w:rPr>
        <w:t xml:space="preserve">（7）图纸（含图纸修改通知单及图纸设计变更文件）； </w:t>
      </w:r>
    </w:p>
    <w:p>
      <w:pPr>
        <w:spacing w:line="400" w:lineRule="exact"/>
        <w:ind w:firstLine="420" w:firstLineChars="200"/>
        <w:rPr>
          <w:rFonts w:ascii="宋体" w:hAnsi="宋体" w:cs="宋体"/>
          <w:szCs w:val="22"/>
        </w:rPr>
      </w:pPr>
      <w:r>
        <w:rPr>
          <w:rFonts w:hint="eastAsia" w:ascii="宋体" w:hAnsi="宋体" w:cs="宋体"/>
          <w:szCs w:val="22"/>
        </w:rPr>
        <w:t xml:space="preserve">（8）已标价工程量清单、竞争性磋商文件（含附件与所有补充通知）及其他合同文件； </w:t>
      </w:r>
    </w:p>
    <w:p>
      <w:pPr>
        <w:spacing w:line="400" w:lineRule="exact"/>
        <w:ind w:firstLine="420" w:firstLineChars="200"/>
        <w:rPr>
          <w:rFonts w:ascii="宋体" w:hAnsi="宋体" w:cs="宋体"/>
          <w:szCs w:val="22"/>
        </w:rPr>
      </w:pPr>
      <w:r>
        <w:rPr>
          <w:rFonts w:hint="eastAsia" w:ascii="宋体" w:hAnsi="宋体" w:cs="宋体"/>
          <w:szCs w:val="22"/>
        </w:rPr>
        <w:t xml:space="preserve">（9）本工程招标控制价造价成果文件、响应文件及其它有关文件； </w:t>
      </w:r>
    </w:p>
    <w:p>
      <w:pPr>
        <w:spacing w:line="400" w:lineRule="exact"/>
        <w:ind w:firstLine="420" w:firstLineChars="200"/>
        <w:rPr>
          <w:rFonts w:ascii="宋体" w:hAnsi="宋体" w:cs="宋体"/>
          <w:szCs w:val="22"/>
        </w:rPr>
      </w:pPr>
      <w:r>
        <w:rPr>
          <w:rFonts w:hint="eastAsia" w:ascii="宋体" w:hAnsi="宋体" w:cs="宋体"/>
          <w:szCs w:val="22"/>
        </w:rPr>
        <w:t xml:space="preserve">图纸与技术标准和要求之间有矛盾或者不一致的，以其中要求较严格的标准为准。 </w:t>
      </w:r>
    </w:p>
    <w:p>
      <w:pPr>
        <w:spacing w:line="400" w:lineRule="exact"/>
        <w:ind w:firstLine="420" w:firstLineChars="200"/>
        <w:rPr>
          <w:rFonts w:ascii="宋体" w:hAnsi="宋体" w:cs="宋体"/>
          <w:szCs w:val="22"/>
        </w:rPr>
      </w:pPr>
      <w:r>
        <w:rPr>
          <w:rFonts w:hint="eastAsia" w:ascii="宋体" w:hAnsi="宋体" w:cs="宋体"/>
          <w:szCs w:val="22"/>
        </w:rPr>
        <w:t xml:space="preserve">合同双方在合同履行过程中签订的补充协议亦构成合同文件的组成部分，其解释顺序视其内容与其他合同文件的相互关系而定。 </w:t>
      </w:r>
    </w:p>
    <w:p>
      <w:pPr>
        <w:keepNext/>
        <w:keepLines/>
        <w:spacing w:before="260" w:after="260" w:line="412" w:lineRule="auto"/>
        <w:jc w:val="left"/>
        <w:outlineLvl w:val="2"/>
        <w:rPr>
          <w:rFonts w:ascii="Calibri" w:hAnsi="Calibri"/>
          <w:b/>
          <w:szCs w:val="24"/>
        </w:rPr>
      </w:pPr>
      <w:bookmarkStart w:id="69" w:name="_Toc55373966"/>
      <w:bookmarkStart w:id="70" w:name="_Toc69641863"/>
      <w:bookmarkStart w:id="71" w:name="_Toc140098556"/>
      <w:r>
        <w:rPr>
          <w:rFonts w:hint="eastAsia" w:ascii="Calibri" w:hAnsi="Calibri"/>
          <w:b/>
          <w:szCs w:val="24"/>
        </w:rPr>
        <w:t>1.6 图纸和承包人文件</w:t>
      </w:r>
      <w:bookmarkEnd w:id="69"/>
      <w:bookmarkEnd w:id="70"/>
      <w:bookmarkEnd w:id="71"/>
      <w:r>
        <w:rPr>
          <w:rFonts w:hint="eastAsia" w:ascii="Calibri" w:hAnsi="Calibri"/>
          <w:b/>
          <w:szCs w:val="24"/>
        </w:rPr>
        <w:tab/>
      </w:r>
    </w:p>
    <w:p>
      <w:pPr>
        <w:spacing w:line="360" w:lineRule="auto"/>
        <w:ind w:firstLine="420" w:firstLineChars="200"/>
        <w:rPr>
          <w:szCs w:val="24"/>
        </w:rPr>
      </w:pPr>
      <w:r>
        <w:rPr>
          <w:szCs w:val="24"/>
        </w:rPr>
        <w:t xml:space="preserve">1.6.1 </w:t>
      </w:r>
      <w:r>
        <w:rPr>
          <w:rFonts w:hint="eastAsia" w:hAnsi="宋体" w:cs="宋体"/>
          <w:szCs w:val="24"/>
        </w:rPr>
        <w:t>图纸的提供</w:t>
      </w:r>
    </w:p>
    <w:p>
      <w:pPr>
        <w:spacing w:line="400" w:lineRule="exact"/>
        <w:ind w:firstLine="420" w:firstLineChars="200"/>
        <w:rPr>
          <w:rFonts w:ascii="宋体" w:hAnsi="宋体" w:cs="宋体"/>
          <w:szCs w:val="22"/>
        </w:rPr>
      </w:pPr>
      <w:r>
        <w:rPr>
          <w:rFonts w:hint="eastAsia" w:ascii="宋体" w:hAnsi="宋体" w:cs="宋体"/>
          <w:szCs w:val="22"/>
        </w:rPr>
        <w:t>发包人向承包人提供图纸的期限：</w:t>
      </w:r>
      <w:r>
        <w:rPr>
          <w:rFonts w:hint="eastAsia" w:ascii="宋体" w:hAnsi="宋体" w:cs="宋体"/>
          <w:szCs w:val="22"/>
          <w:u w:val="single"/>
        </w:rPr>
        <w:t>合同签订生效后7日内</w:t>
      </w:r>
      <w:r>
        <w:rPr>
          <w:rFonts w:hint="eastAsia" w:ascii="宋体" w:hAnsi="宋体" w:cs="宋体"/>
          <w:szCs w:val="22"/>
        </w:rPr>
        <w:t>；</w:t>
      </w:r>
    </w:p>
    <w:p>
      <w:pPr>
        <w:spacing w:line="400" w:lineRule="exact"/>
        <w:ind w:firstLine="420" w:firstLineChars="200"/>
        <w:rPr>
          <w:rFonts w:ascii="宋体" w:hAnsi="宋体" w:cs="宋体"/>
          <w:szCs w:val="22"/>
        </w:rPr>
      </w:pPr>
      <w:r>
        <w:rPr>
          <w:rFonts w:hint="eastAsia" w:ascii="宋体" w:hAnsi="宋体" w:cs="宋体"/>
          <w:szCs w:val="22"/>
        </w:rPr>
        <w:t>发包人向承包人提供图纸的数量：图纸2套，承包人需要更多份数时，自费复制；</w:t>
      </w:r>
    </w:p>
    <w:p>
      <w:pPr>
        <w:spacing w:line="400" w:lineRule="exact"/>
        <w:ind w:firstLine="420" w:firstLineChars="200"/>
        <w:rPr>
          <w:rFonts w:ascii="宋体" w:hAnsi="宋体" w:cs="宋体"/>
          <w:szCs w:val="22"/>
        </w:rPr>
      </w:pPr>
      <w:r>
        <w:rPr>
          <w:rFonts w:hint="eastAsia" w:ascii="宋体" w:hAnsi="宋体" w:cs="宋体"/>
          <w:szCs w:val="22"/>
        </w:rPr>
        <w:t>发包人向承包人提供图纸的内容：合同范围内的工程建筑、结构、水电安装、附属道路、管线等施工图纸。</w:t>
      </w:r>
    </w:p>
    <w:p>
      <w:pPr>
        <w:spacing w:line="400" w:lineRule="exact"/>
        <w:ind w:firstLine="420" w:firstLineChars="200"/>
        <w:rPr>
          <w:rFonts w:ascii="宋体" w:hAnsi="宋体" w:cs="宋体"/>
          <w:szCs w:val="22"/>
        </w:rPr>
      </w:pPr>
      <w:r>
        <w:rPr>
          <w:rFonts w:hint="eastAsia" w:ascii="宋体" w:hAnsi="宋体" w:cs="宋体"/>
          <w:szCs w:val="22"/>
        </w:rPr>
        <w:t>1.6.4 承包人文件</w:t>
      </w:r>
    </w:p>
    <w:p>
      <w:pPr>
        <w:spacing w:line="400" w:lineRule="exact"/>
        <w:ind w:firstLine="420" w:firstLineChars="200"/>
        <w:rPr>
          <w:rFonts w:ascii="宋体" w:hAnsi="宋体" w:cs="宋体"/>
          <w:szCs w:val="22"/>
        </w:rPr>
      </w:pPr>
      <w:r>
        <w:rPr>
          <w:rFonts w:hint="eastAsia" w:ascii="宋体" w:hAnsi="宋体" w:cs="宋体"/>
          <w:szCs w:val="22"/>
        </w:rPr>
        <w:t>需要由承包人提供的文件，包括：合同签订后一日内向监理工程师和发包人提交：管理人员名单、职称、职务、上岗证等。合同签订后七日内向监理工程师和发包人提交：1、施工组织设计；2、工程进度计划；3、安全文明施工措施；4、质量保证体系。施工图以外的大样图、加工图、标准图等在合同签订14天内向监理工程师和发包人提交；</w:t>
      </w:r>
    </w:p>
    <w:p>
      <w:pPr>
        <w:spacing w:line="400" w:lineRule="exact"/>
        <w:ind w:firstLine="420" w:firstLineChars="200"/>
        <w:rPr>
          <w:rFonts w:ascii="宋体" w:hAnsi="宋体" w:cs="宋体"/>
          <w:szCs w:val="22"/>
        </w:rPr>
      </w:pPr>
      <w:r>
        <w:rPr>
          <w:rFonts w:hint="eastAsia" w:ascii="宋体" w:hAnsi="宋体" w:cs="宋体"/>
          <w:szCs w:val="22"/>
        </w:rPr>
        <w:t>承包人提供的文件的期限为：不少于该项工作施工前14天；</w:t>
      </w:r>
    </w:p>
    <w:p>
      <w:pPr>
        <w:spacing w:line="400" w:lineRule="exact"/>
        <w:ind w:firstLine="420" w:firstLineChars="200"/>
        <w:rPr>
          <w:rFonts w:ascii="宋体" w:hAnsi="宋体" w:cs="宋体"/>
          <w:szCs w:val="22"/>
        </w:rPr>
      </w:pPr>
      <w:r>
        <w:rPr>
          <w:rFonts w:hint="eastAsia" w:ascii="宋体" w:hAnsi="宋体" w:cs="宋体"/>
          <w:szCs w:val="22"/>
        </w:rPr>
        <w:t>承包人提供的文件的数量为：</w:t>
      </w:r>
      <w:r>
        <w:rPr>
          <w:rFonts w:hint="eastAsia" w:ascii="宋体" w:hAnsi="宋体" w:cs="宋体"/>
          <w:szCs w:val="22"/>
          <w:u w:val="single"/>
        </w:rPr>
        <w:t>根据发包人或监理人要求；</w:t>
      </w:r>
    </w:p>
    <w:p>
      <w:pPr>
        <w:spacing w:line="400" w:lineRule="exact"/>
        <w:ind w:firstLine="420" w:firstLineChars="200"/>
        <w:rPr>
          <w:rFonts w:ascii="宋体" w:hAnsi="宋体" w:cs="宋体"/>
          <w:szCs w:val="22"/>
          <w:u w:val="single"/>
        </w:rPr>
      </w:pPr>
      <w:r>
        <w:rPr>
          <w:rFonts w:hint="eastAsia" w:ascii="宋体" w:hAnsi="宋体" w:cs="宋体"/>
          <w:szCs w:val="22"/>
        </w:rPr>
        <w:t>承包人提供的文件的形式为：</w:t>
      </w:r>
      <w:r>
        <w:rPr>
          <w:rFonts w:hint="eastAsia" w:ascii="宋体" w:hAnsi="宋体" w:cs="宋体"/>
          <w:szCs w:val="22"/>
          <w:u w:val="single"/>
        </w:rPr>
        <w:t>纸质书面形式；</w:t>
      </w:r>
    </w:p>
    <w:p>
      <w:pPr>
        <w:spacing w:line="400" w:lineRule="exact"/>
        <w:ind w:firstLine="420" w:firstLineChars="200"/>
        <w:rPr>
          <w:rFonts w:ascii="宋体" w:hAnsi="宋体" w:cs="宋体"/>
          <w:szCs w:val="22"/>
        </w:rPr>
      </w:pPr>
      <w:r>
        <w:rPr>
          <w:rFonts w:hint="eastAsia" w:ascii="宋体" w:hAnsi="宋体" w:cs="宋体"/>
          <w:szCs w:val="22"/>
        </w:rPr>
        <w:t>发包人审批承包人文件的期限：收到承包人提供的文件后14天内 。</w:t>
      </w:r>
    </w:p>
    <w:p>
      <w:pPr>
        <w:spacing w:line="400" w:lineRule="exact"/>
        <w:ind w:firstLine="420" w:firstLineChars="200"/>
        <w:rPr>
          <w:rFonts w:ascii="宋体" w:hAnsi="宋体" w:cs="宋体"/>
          <w:szCs w:val="22"/>
        </w:rPr>
      </w:pPr>
      <w:r>
        <w:rPr>
          <w:rFonts w:hint="eastAsia" w:ascii="宋体" w:hAnsi="宋体" w:cs="宋体"/>
          <w:szCs w:val="22"/>
        </w:rPr>
        <w:t>其他约定：成交通知书发出后，承包人须在五个工作日内做好施工现场准备并提供办理施工许可证要求（如有）的相关资料（以审批部门核准意见为准），如因承包人原因导致发包人不能及时办理施工许可证，所延误的时间计入施工工期，所造成的损失由承包人承担。</w:t>
      </w:r>
    </w:p>
    <w:p>
      <w:pPr>
        <w:spacing w:line="400" w:lineRule="exact"/>
        <w:ind w:firstLine="420" w:firstLineChars="200"/>
        <w:rPr>
          <w:rFonts w:ascii="宋体" w:hAnsi="宋体" w:cs="宋体"/>
          <w:szCs w:val="22"/>
        </w:rPr>
      </w:pPr>
      <w:r>
        <w:rPr>
          <w:rFonts w:hint="eastAsia" w:ascii="宋体" w:hAnsi="宋体" w:cs="宋体"/>
          <w:szCs w:val="22"/>
        </w:rPr>
        <w:t>1.6.5 现场图纸准备</w:t>
      </w:r>
    </w:p>
    <w:p>
      <w:pPr>
        <w:spacing w:line="400" w:lineRule="exact"/>
        <w:ind w:firstLine="420" w:firstLineChars="200"/>
        <w:rPr>
          <w:rFonts w:ascii="宋体" w:hAnsi="宋体" w:cs="宋体"/>
          <w:szCs w:val="22"/>
        </w:rPr>
      </w:pPr>
      <w:r>
        <w:rPr>
          <w:rFonts w:hint="eastAsia" w:ascii="宋体" w:hAnsi="宋体" w:cs="宋体"/>
          <w:szCs w:val="22"/>
        </w:rPr>
        <w:t>关于现场图纸准备的约定：承包人应在施工现场另外保存一套完整的图纸和承包人文件，供发包人、监理人及有关人员进行工程检查时使用。</w:t>
      </w:r>
    </w:p>
    <w:p>
      <w:pPr>
        <w:keepNext/>
        <w:keepLines/>
        <w:spacing w:before="260" w:after="260" w:line="412" w:lineRule="auto"/>
        <w:jc w:val="left"/>
        <w:outlineLvl w:val="2"/>
        <w:rPr>
          <w:rFonts w:ascii="Calibri" w:hAnsi="Calibri"/>
          <w:b/>
          <w:szCs w:val="24"/>
        </w:rPr>
      </w:pPr>
      <w:bookmarkStart w:id="72" w:name="_Toc55373967"/>
      <w:bookmarkStart w:id="73" w:name="_Toc140098557"/>
      <w:bookmarkStart w:id="74" w:name="_Toc69641864"/>
      <w:r>
        <w:rPr>
          <w:rFonts w:hint="eastAsia" w:ascii="Calibri" w:hAnsi="Calibri"/>
          <w:b/>
          <w:szCs w:val="24"/>
        </w:rPr>
        <w:t>1.7 联络</w:t>
      </w:r>
      <w:bookmarkEnd w:id="72"/>
      <w:bookmarkEnd w:id="73"/>
      <w:bookmarkEnd w:id="74"/>
    </w:p>
    <w:p>
      <w:pPr>
        <w:spacing w:line="400" w:lineRule="exact"/>
        <w:ind w:firstLine="420" w:firstLineChars="200"/>
        <w:rPr>
          <w:rFonts w:ascii="宋体" w:hAnsi="宋体" w:cs="宋体"/>
          <w:szCs w:val="22"/>
        </w:rPr>
      </w:pPr>
      <w:r>
        <w:rPr>
          <w:rFonts w:hint="eastAsia" w:ascii="宋体" w:hAnsi="宋体" w:cs="宋体"/>
          <w:szCs w:val="22"/>
        </w:rPr>
        <w:t>1.7.1发包人和承包人应当在</w:t>
      </w:r>
      <w:r>
        <w:rPr>
          <w:rFonts w:hint="eastAsia" w:ascii="宋体" w:hAnsi="宋体" w:cs="宋体"/>
          <w:szCs w:val="22"/>
          <w:u w:val="single"/>
        </w:rPr>
        <w:t xml:space="preserve"> 2 </w:t>
      </w:r>
      <w:r>
        <w:rPr>
          <w:rFonts w:hint="eastAsia" w:ascii="宋体" w:hAnsi="宋体" w:cs="宋体"/>
          <w:szCs w:val="22"/>
        </w:rPr>
        <w:t>天内将与合同有关的通知、批准、证明、证书、指示、指令、要求、请求、同意、意见、确定和决定等书面函件送达对方当事人。</w:t>
      </w:r>
    </w:p>
    <w:p>
      <w:pPr>
        <w:spacing w:line="400" w:lineRule="exact"/>
        <w:ind w:firstLine="420" w:firstLineChars="200"/>
        <w:rPr>
          <w:rFonts w:ascii="宋体" w:hAnsi="宋体" w:cs="宋体"/>
          <w:szCs w:val="22"/>
        </w:rPr>
      </w:pPr>
      <w:r>
        <w:rPr>
          <w:rFonts w:hint="eastAsia" w:ascii="宋体" w:hAnsi="宋体" w:cs="宋体"/>
          <w:szCs w:val="22"/>
        </w:rPr>
        <w:t>1.7.2 发包人接收文件的地点：</w:t>
      </w:r>
      <w:r>
        <w:rPr>
          <w:rFonts w:hint="eastAsia" w:ascii="宋体" w:hAnsi="宋体" w:cs="宋体"/>
          <w:szCs w:val="22"/>
          <w:u w:val="single"/>
        </w:rPr>
        <w:t>发包人办公室；</w:t>
      </w:r>
    </w:p>
    <w:p>
      <w:pPr>
        <w:spacing w:line="400" w:lineRule="exact"/>
        <w:ind w:firstLine="420" w:firstLineChars="200"/>
        <w:rPr>
          <w:rFonts w:ascii="宋体" w:hAnsi="宋体" w:cs="宋体"/>
          <w:szCs w:val="22"/>
          <w:u w:val="single"/>
        </w:rPr>
      </w:pPr>
      <w:r>
        <w:rPr>
          <w:rFonts w:hint="eastAsia" w:ascii="宋体" w:hAnsi="宋体" w:cs="宋体"/>
          <w:szCs w:val="22"/>
        </w:rPr>
        <w:t xml:space="preserve">发包人指定的接收人为： </w:t>
      </w:r>
      <w:r>
        <w:rPr>
          <w:rFonts w:hint="eastAsia" w:ascii="宋体" w:hAnsi="宋体" w:cs="宋体"/>
          <w:szCs w:val="22"/>
          <w:u w:val="single"/>
        </w:rPr>
        <w:t>发包人代表。</w:t>
      </w:r>
    </w:p>
    <w:p>
      <w:pPr>
        <w:spacing w:line="400" w:lineRule="exact"/>
        <w:ind w:firstLine="420" w:firstLineChars="200"/>
        <w:rPr>
          <w:rFonts w:ascii="宋体" w:hAnsi="宋体" w:cs="宋体"/>
          <w:szCs w:val="22"/>
        </w:rPr>
      </w:pPr>
      <w:r>
        <w:rPr>
          <w:rFonts w:hint="eastAsia" w:ascii="宋体" w:hAnsi="宋体" w:cs="宋体"/>
          <w:szCs w:val="22"/>
        </w:rPr>
        <w:t>承包人接收文件的地点：承包人施工场地管理机构的办公地点；</w:t>
      </w:r>
    </w:p>
    <w:p>
      <w:pPr>
        <w:spacing w:line="400" w:lineRule="exact"/>
        <w:ind w:firstLine="420" w:firstLineChars="200"/>
        <w:rPr>
          <w:rFonts w:ascii="宋体" w:hAnsi="宋体" w:cs="宋体"/>
          <w:szCs w:val="22"/>
        </w:rPr>
      </w:pPr>
      <w:r>
        <w:rPr>
          <w:rFonts w:hint="eastAsia" w:ascii="宋体" w:hAnsi="宋体" w:cs="宋体"/>
          <w:szCs w:val="22"/>
        </w:rPr>
        <w:t>承包人指定的接收人为：</w:t>
      </w:r>
      <w:r>
        <w:rPr>
          <w:rFonts w:hint="eastAsia" w:ascii="宋体" w:hAnsi="宋体" w:cs="宋体"/>
          <w:szCs w:val="22"/>
          <w:u w:val="single"/>
        </w:rPr>
        <w:t>本工程项目经理。</w:t>
      </w:r>
    </w:p>
    <w:p>
      <w:pPr>
        <w:spacing w:line="400" w:lineRule="exact"/>
        <w:ind w:firstLine="420" w:firstLineChars="200"/>
        <w:rPr>
          <w:rFonts w:ascii="宋体" w:hAnsi="宋体" w:cs="宋体"/>
          <w:szCs w:val="22"/>
        </w:rPr>
      </w:pPr>
      <w:r>
        <w:rPr>
          <w:rFonts w:hint="eastAsia" w:ascii="宋体" w:hAnsi="宋体" w:cs="宋体"/>
          <w:szCs w:val="22"/>
        </w:rPr>
        <w:t>监理人接收文件的地点：</w:t>
      </w:r>
      <w:r>
        <w:rPr>
          <w:rFonts w:hint="eastAsia" w:ascii="宋体" w:hAnsi="宋体" w:cs="宋体"/>
          <w:szCs w:val="22"/>
          <w:u w:val="single"/>
        </w:rPr>
        <w:t>项目监理办公室；</w:t>
      </w:r>
    </w:p>
    <w:p>
      <w:pPr>
        <w:spacing w:line="400" w:lineRule="exact"/>
        <w:ind w:firstLine="420" w:firstLineChars="200"/>
        <w:rPr>
          <w:rFonts w:ascii="宋体" w:hAnsi="宋体" w:cs="宋体"/>
          <w:szCs w:val="22"/>
        </w:rPr>
      </w:pPr>
      <w:r>
        <w:rPr>
          <w:rFonts w:hint="eastAsia" w:ascii="宋体" w:hAnsi="宋体" w:cs="宋体"/>
          <w:szCs w:val="22"/>
        </w:rPr>
        <w:t>监理人指定的接收人为：项目总监理工程师（如有）。</w:t>
      </w:r>
    </w:p>
    <w:p>
      <w:pPr>
        <w:spacing w:line="400" w:lineRule="exact"/>
        <w:ind w:firstLine="420" w:firstLineChars="200"/>
        <w:rPr>
          <w:rFonts w:ascii="宋体" w:hAnsi="宋体" w:cs="宋体"/>
          <w:szCs w:val="22"/>
        </w:rPr>
      </w:pPr>
      <w:r>
        <w:rPr>
          <w:rFonts w:hint="eastAsia" w:ascii="宋体" w:hAnsi="宋体" w:cs="宋体"/>
          <w:szCs w:val="22"/>
        </w:rPr>
        <w:t>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400" w:lineRule="exact"/>
        <w:ind w:firstLine="420" w:firstLineChars="200"/>
        <w:rPr>
          <w:rFonts w:ascii="宋体" w:hAnsi="宋体" w:cs="宋体"/>
          <w:szCs w:val="22"/>
        </w:rPr>
      </w:pPr>
      <w:r>
        <w:rPr>
          <w:rFonts w:hint="eastAsia" w:ascii="宋体" w:hAnsi="宋体" w:cs="宋体"/>
          <w:szCs w:val="22"/>
        </w:rPr>
        <w:t>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keepNext/>
        <w:keepLines/>
        <w:spacing w:before="260" w:after="260" w:line="412" w:lineRule="auto"/>
        <w:jc w:val="left"/>
        <w:outlineLvl w:val="2"/>
        <w:rPr>
          <w:rFonts w:ascii="Calibri" w:hAnsi="Calibri"/>
          <w:b/>
          <w:szCs w:val="24"/>
        </w:rPr>
      </w:pPr>
      <w:bookmarkStart w:id="75" w:name="_Toc69641865"/>
      <w:bookmarkStart w:id="76" w:name="_Toc55373968"/>
      <w:bookmarkStart w:id="77" w:name="_Toc140098558"/>
      <w:r>
        <w:rPr>
          <w:rFonts w:hint="eastAsia" w:ascii="Calibri" w:hAnsi="Calibri"/>
          <w:b/>
          <w:szCs w:val="24"/>
        </w:rPr>
        <w:t>1.10 交通运输</w:t>
      </w:r>
      <w:bookmarkEnd w:id="75"/>
      <w:bookmarkEnd w:id="76"/>
      <w:bookmarkEnd w:id="77"/>
    </w:p>
    <w:p>
      <w:pPr>
        <w:spacing w:line="400" w:lineRule="exact"/>
        <w:ind w:firstLine="420" w:firstLineChars="200"/>
        <w:rPr>
          <w:rFonts w:ascii="宋体" w:hAnsi="宋体" w:cs="宋体"/>
          <w:szCs w:val="22"/>
        </w:rPr>
      </w:pPr>
      <w:r>
        <w:rPr>
          <w:rFonts w:hint="eastAsia" w:ascii="宋体" w:hAnsi="宋体" w:cs="宋体"/>
          <w:szCs w:val="22"/>
        </w:rPr>
        <w:t>1.10.1 出入现场的权利</w:t>
      </w:r>
    </w:p>
    <w:p>
      <w:pPr>
        <w:spacing w:line="400" w:lineRule="exact"/>
        <w:ind w:firstLine="420" w:firstLineChars="200"/>
        <w:rPr>
          <w:rFonts w:ascii="宋体" w:hAnsi="宋体" w:cs="宋体"/>
          <w:szCs w:val="22"/>
        </w:rPr>
      </w:pPr>
      <w:r>
        <w:rPr>
          <w:rFonts w:hint="eastAsia" w:ascii="宋体" w:hAnsi="宋体" w:cs="宋体"/>
          <w:szCs w:val="22"/>
        </w:rPr>
        <w:t>关于出入现场的权利的约定：取得道路通行权办理人为承包人，其相关费用由承包人承担。</w:t>
      </w:r>
    </w:p>
    <w:p>
      <w:pPr>
        <w:spacing w:line="400" w:lineRule="exact"/>
        <w:ind w:firstLine="420" w:firstLineChars="200"/>
        <w:rPr>
          <w:rFonts w:ascii="宋体" w:hAnsi="宋体" w:cs="宋体"/>
          <w:szCs w:val="22"/>
        </w:rPr>
      </w:pPr>
      <w:r>
        <w:rPr>
          <w:rFonts w:hint="eastAsia" w:ascii="宋体" w:hAnsi="宋体" w:cs="宋体"/>
          <w:szCs w:val="22"/>
        </w:rPr>
        <w:t>1.10.3 场内交通</w:t>
      </w:r>
    </w:p>
    <w:p>
      <w:pPr>
        <w:spacing w:line="400" w:lineRule="exact"/>
        <w:ind w:firstLine="420" w:firstLineChars="200"/>
        <w:rPr>
          <w:rFonts w:ascii="宋体" w:hAnsi="宋体" w:cs="宋体"/>
          <w:szCs w:val="22"/>
        </w:rPr>
      </w:pPr>
      <w:r>
        <w:rPr>
          <w:rFonts w:hint="eastAsia" w:ascii="宋体" w:hAnsi="宋体" w:cs="宋体"/>
          <w:szCs w:val="22"/>
        </w:rPr>
        <w:t xml:space="preserve">关于场外交通和场内交通的边界的约定：项目用地红线，可到发包人处申请查阅。  </w:t>
      </w:r>
    </w:p>
    <w:p>
      <w:pPr>
        <w:spacing w:line="400" w:lineRule="exact"/>
        <w:ind w:firstLine="420" w:firstLineChars="200"/>
        <w:rPr>
          <w:rFonts w:ascii="宋体" w:hAnsi="宋体" w:cs="宋体"/>
          <w:szCs w:val="22"/>
          <w:u w:val="single"/>
        </w:rPr>
      </w:pPr>
      <w:r>
        <w:rPr>
          <w:rFonts w:hint="eastAsia" w:ascii="宋体" w:hAnsi="宋体" w:cs="宋体"/>
          <w:szCs w:val="22"/>
        </w:rPr>
        <w:t>关于发包人向承包人免费提供满足工程施工需要的场内道路和交通设施的约定：</w:t>
      </w:r>
      <w:r>
        <w:rPr>
          <w:rFonts w:hint="eastAsia" w:ascii="宋体" w:hAnsi="宋体" w:cs="宋体"/>
          <w:szCs w:val="22"/>
          <w:u w:val="single"/>
        </w:rPr>
        <w:t xml:space="preserve">以现场实际施工条件为准。 </w:t>
      </w:r>
    </w:p>
    <w:p>
      <w:pPr>
        <w:spacing w:line="400" w:lineRule="exact"/>
        <w:ind w:firstLine="420" w:firstLineChars="200"/>
        <w:rPr>
          <w:rFonts w:ascii="宋体" w:hAnsi="宋体" w:cs="宋体"/>
          <w:szCs w:val="22"/>
        </w:rPr>
      </w:pPr>
      <w:r>
        <w:rPr>
          <w:rFonts w:hint="eastAsia" w:ascii="宋体" w:hAnsi="宋体" w:cs="宋体"/>
          <w:szCs w:val="22"/>
        </w:rPr>
        <w:t>1.10.4超大件和超重件的运输</w:t>
      </w:r>
    </w:p>
    <w:p>
      <w:pPr>
        <w:spacing w:line="400" w:lineRule="exact"/>
        <w:ind w:firstLine="420" w:firstLineChars="200"/>
        <w:rPr>
          <w:rFonts w:ascii="宋体" w:hAnsi="宋体" w:cs="宋体"/>
          <w:szCs w:val="22"/>
        </w:rPr>
      </w:pPr>
      <w:r>
        <w:rPr>
          <w:rFonts w:hint="eastAsia" w:ascii="宋体" w:hAnsi="宋体" w:cs="宋体"/>
          <w:szCs w:val="22"/>
        </w:rPr>
        <w:t>运输超大件或超重件所需的道路和桥梁临时加固改造费用和其他有关费用由</w:t>
      </w:r>
      <w:r>
        <w:rPr>
          <w:rFonts w:hint="eastAsia" w:ascii="宋体" w:hAnsi="宋体" w:cs="宋体"/>
          <w:szCs w:val="22"/>
          <w:u w:val="single"/>
        </w:rPr>
        <w:t>承包人</w:t>
      </w:r>
      <w:r>
        <w:rPr>
          <w:rFonts w:hint="eastAsia" w:ascii="宋体" w:hAnsi="宋体" w:cs="宋体"/>
          <w:szCs w:val="22"/>
        </w:rPr>
        <w:t>承担。</w:t>
      </w:r>
    </w:p>
    <w:p>
      <w:pPr>
        <w:keepNext/>
        <w:keepLines/>
        <w:spacing w:before="260" w:after="260" w:line="412" w:lineRule="auto"/>
        <w:jc w:val="left"/>
        <w:outlineLvl w:val="2"/>
        <w:rPr>
          <w:rFonts w:ascii="Calibri" w:hAnsi="Calibri"/>
          <w:b/>
          <w:szCs w:val="24"/>
        </w:rPr>
      </w:pPr>
      <w:bookmarkStart w:id="78" w:name="_Toc55373969"/>
      <w:bookmarkStart w:id="79" w:name="_Toc69641866"/>
      <w:bookmarkStart w:id="80" w:name="_Toc140098559"/>
      <w:r>
        <w:rPr>
          <w:rFonts w:hint="eastAsia" w:ascii="Calibri" w:hAnsi="Calibri"/>
          <w:b/>
          <w:szCs w:val="24"/>
        </w:rPr>
        <w:t>1.11 知识产权</w:t>
      </w:r>
      <w:bookmarkEnd w:id="78"/>
      <w:bookmarkEnd w:id="79"/>
      <w:bookmarkEnd w:id="80"/>
    </w:p>
    <w:p>
      <w:pPr>
        <w:spacing w:line="400" w:lineRule="exact"/>
        <w:ind w:firstLine="420" w:firstLineChars="200"/>
        <w:rPr>
          <w:rFonts w:ascii="宋体" w:hAnsi="宋体" w:cs="宋体"/>
          <w:szCs w:val="22"/>
        </w:rPr>
      </w:pPr>
      <w:r>
        <w:rPr>
          <w:rFonts w:hint="eastAsia" w:ascii="宋体" w:hAnsi="宋体" w:cs="宋体"/>
          <w:szCs w:val="22"/>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Cs w:val="22"/>
          <w:u w:val="single"/>
        </w:rPr>
        <w:t xml:space="preserve"> 发包人 </w:t>
      </w:r>
      <w:r>
        <w:rPr>
          <w:rFonts w:hint="eastAsia" w:ascii="宋体" w:hAnsi="宋体" w:cs="宋体"/>
          <w:szCs w:val="22"/>
        </w:rPr>
        <w:t>。</w:t>
      </w:r>
    </w:p>
    <w:p>
      <w:pPr>
        <w:spacing w:line="400" w:lineRule="exact"/>
        <w:ind w:firstLine="420" w:firstLineChars="200"/>
        <w:rPr>
          <w:rFonts w:ascii="宋体" w:hAnsi="宋体" w:cs="宋体"/>
          <w:szCs w:val="22"/>
        </w:rPr>
      </w:pPr>
      <w:r>
        <w:rPr>
          <w:rFonts w:hint="eastAsia" w:ascii="宋体" w:hAnsi="宋体" w:cs="宋体"/>
          <w:szCs w:val="22"/>
        </w:rPr>
        <w:t>关于发包人提供的上述文件的使用限制的要求：仅限在本合同工期内用于本承包范围内的工程。</w:t>
      </w:r>
    </w:p>
    <w:p>
      <w:pPr>
        <w:spacing w:line="400" w:lineRule="exact"/>
        <w:ind w:firstLine="420" w:firstLineChars="200"/>
        <w:rPr>
          <w:rFonts w:ascii="宋体" w:hAnsi="宋体" w:cs="宋体"/>
          <w:szCs w:val="22"/>
          <w:u w:val="single"/>
        </w:rPr>
      </w:pPr>
      <w:r>
        <w:rPr>
          <w:rFonts w:hint="eastAsia" w:ascii="宋体" w:hAnsi="宋体" w:cs="宋体"/>
          <w:szCs w:val="22"/>
        </w:rPr>
        <w:t>1.11.2 关于承包人为实施工程所编制文件的著作权的归属：</w:t>
      </w:r>
      <w:r>
        <w:rPr>
          <w:rFonts w:hint="eastAsia" w:ascii="宋体" w:hAnsi="宋体" w:cs="宋体"/>
          <w:szCs w:val="22"/>
          <w:u w:val="single"/>
        </w:rPr>
        <w:t>发包人。</w:t>
      </w:r>
    </w:p>
    <w:p>
      <w:pPr>
        <w:spacing w:line="400" w:lineRule="exact"/>
        <w:ind w:firstLine="420" w:firstLineChars="200"/>
        <w:rPr>
          <w:rFonts w:ascii="宋体" w:hAnsi="宋体" w:cs="宋体"/>
          <w:szCs w:val="22"/>
        </w:rPr>
      </w:pPr>
      <w:r>
        <w:rPr>
          <w:rFonts w:hint="eastAsia" w:ascii="宋体" w:hAnsi="宋体" w:cs="宋体"/>
          <w:szCs w:val="22"/>
        </w:rPr>
        <w:t>关于承包人提供的上述文件的使用限制的要求：</w:t>
      </w:r>
      <w:r>
        <w:rPr>
          <w:rFonts w:hint="eastAsia" w:ascii="宋体" w:hAnsi="宋体" w:cs="宋体"/>
          <w:szCs w:val="22"/>
          <w:u w:val="single"/>
        </w:rPr>
        <w:t>仅限用于本工程。</w:t>
      </w:r>
    </w:p>
    <w:p>
      <w:pPr>
        <w:spacing w:line="400" w:lineRule="exact"/>
        <w:ind w:firstLine="420" w:firstLineChars="200"/>
        <w:rPr>
          <w:rFonts w:ascii="宋体" w:hAnsi="宋体" w:cs="宋体"/>
          <w:szCs w:val="22"/>
          <w:u w:val="single"/>
        </w:rPr>
      </w:pPr>
      <w:r>
        <w:rPr>
          <w:rFonts w:hint="eastAsia" w:ascii="宋体" w:hAnsi="宋体" w:cs="宋体"/>
          <w:szCs w:val="22"/>
        </w:rPr>
        <w:t>1.11.4 承包人在施工过程中所采用的专利、专有技术、技术秘密的使用费的承担方式：</w:t>
      </w:r>
      <w:r>
        <w:rPr>
          <w:rFonts w:hint="eastAsia" w:ascii="宋体" w:hAnsi="宋体" w:cs="宋体"/>
          <w:szCs w:val="22"/>
          <w:u w:val="single"/>
        </w:rPr>
        <w:t>由承包人承担。</w:t>
      </w:r>
    </w:p>
    <w:p>
      <w:pPr>
        <w:keepNext/>
        <w:keepLines/>
        <w:spacing w:before="260" w:after="260" w:line="412" w:lineRule="auto"/>
        <w:jc w:val="left"/>
        <w:outlineLvl w:val="2"/>
        <w:rPr>
          <w:rFonts w:ascii="Calibri" w:hAnsi="Calibri"/>
          <w:b/>
          <w:szCs w:val="24"/>
        </w:rPr>
      </w:pPr>
      <w:bookmarkStart w:id="81" w:name="_Toc140098560"/>
      <w:bookmarkStart w:id="82" w:name="_Toc55373970"/>
      <w:bookmarkStart w:id="83" w:name="_Toc69641867"/>
      <w:r>
        <w:rPr>
          <w:rFonts w:hint="eastAsia" w:ascii="Calibri" w:hAnsi="Calibri"/>
          <w:b/>
          <w:szCs w:val="24"/>
        </w:rPr>
        <w:t>1.13工程量清单错误的修正</w:t>
      </w:r>
      <w:bookmarkEnd w:id="81"/>
      <w:bookmarkEnd w:id="82"/>
      <w:bookmarkEnd w:id="83"/>
    </w:p>
    <w:p>
      <w:pPr>
        <w:spacing w:line="400" w:lineRule="exact"/>
        <w:ind w:firstLine="420" w:firstLineChars="200"/>
        <w:rPr>
          <w:rFonts w:ascii="宋体" w:hAnsi="宋体" w:cs="宋体"/>
          <w:szCs w:val="22"/>
        </w:rPr>
      </w:pPr>
      <w:r>
        <w:rPr>
          <w:rFonts w:hint="eastAsia" w:ascii="宋体" w:hAnsi="宋体" w:cs="宋体"/>
          <w:szCs w:val="22"/>
        </w:rPr>
        <w:t>出现工程量清单工程量偏差时，是否调整合同价格：调整，工程量清单存在缺项、漏项情况下予以调整。</w:t>
      </w:r>
    </w:p>
    <w:p>
      <w:pPr>
        <w:spacing w:line="400" w:lineRule="exact"/>
        <w:ind w:firstLine="420" w:firstLineChars="200"/>
        <w:rPr>
          <w:rFonts w:ascii="宋体" w:hAnsi="宋体" w:cs="宋体"/>
          <w:szCs w:val="22"/>
        </w:rPr>
      </w:pPr>
      <w:r>
        <w:rPr>
          <w:rFonts w:hint="eastAsia" w:ascii="宋体" w:hAnsi="宋体" w:cs="宋体"/>
          <w:szCs w:val="22"/>
        </w:rPr>
        <w:t>允许调整合同价格的工程量偏差范围及其调整办法：</w:t>
      </w:r>
      <w:r>
        <w:rPr>
          <w:rFonts w:hint="eastAsia" w:ascii="宋体" w:hAnsi="宋体" w:cs="宋体"/>
          <w:szCs w:val="22"/>
          <w:u w:val="single"/>
        </w:rPr>
        <w:t>按第12.1条款执行。</w:t>
      </w:r>
      <w:bookmarkStart w:id="84" w:name="_Toc55373971"/>
      <w:bookmarkStart w:id="85" w:name="_Toc69641868"/>
      <w:bookmarkStart w:id="86" w:name="_Toc140098561"/>
    </w:p>
    <w:p>
      <w:pPr>
        <w:keepNext/>
        <w:keepLines/>
        <w:spacing w:before="260" w:after="260" w:line="412" w:lineRule="auto"/>
        <w:ind w:firstLine="422" w:firstLineChars="200"/>
        <w:jc w:val="left"/>
        <w:outlineLvl w:val="1"/>
        <w:rPr>
          <w:rFonts w:ascii="Arial" w:hAnsi="Arial" w:cs="宋体"/>
          <w:b/>
          <w:szCs w:val="22"/>
        </w:rPr>
      </w:pPr>
      <w:r>
        <w:rPr>
          <w:rFonts w:hint="eastAsia" w:ascii="Arial" w:hAnsi="Arial" w:cs="宋体"/>
          <w:b/>
          <w:szCs w:val="22"/>
        </w:rPr>
        <w:t>2. 发包人</w:t>
      </w:r>
      <w:bookmarkEnd w:id="84"/>
      <w:bookmarkEnd w:id="85"/>
      <w:bookmarkEnd w:id="86"/>
    </w:p>
    <w:p>
      <w:pPr>
        <w:keepNext/>
        <w:keepLines/>
        <w:spacing w:before="260" w:after="260" w:line="412" w:lineRule="auto"/>
        <w:jc w:val="left"/>
        <w:outlineLvl w:val="2"/>
        <w:rPr>
          <w:rFonts w:ascii="Calibri" w:hAnsi="Calibri"/>
          <w:b/>
          <w:szCs w:val="24"/>
        </w:rPr>
      </w:pPr>
      <w:bookmarkStart w:id="87" w:name="_Toc140098562"/>
      <w:bookmarkStart w:id="88" w:name="_Toc55373972"/>
      <w:bookmarkStart w:id="89" w:name="_Toc69641869"/>
      <w:r>
        <w:rPr>
          <w:rFonts w:hint="eastAsia" w:ascii="Calibri" w:hAnsi="Calibri"/>
          <w:b/>
          <w:szCs w:val="24"/>
        </w:rPr>
        <w:t>2.2 发包人代表</w:t>
      </w:r>
      <w:bookmarkEnd w:id="87"/>
      <w:bookmarkEnd w:id="88"/>
      <w:bookmarkEnd w:id="89"/>
    </w:p>
    <w:p>
      <w:pPr>
        <w:spacing w:line="400" w:lineRule="exact"/>
        <w:ind w:firstLine="420" w:firstLineChars="200"/>
        <w:rPr>
          <w:rFonts w:ascii="宋体" w:hAnsi="宋体" w:cs="宋体"/>
          <w:szCs w:val="22"/>
        </w:rPr>
      </w:pPr>
      <w:r>
        <w:rPr>
          <w:rFonts w:hint="eastAsia" w:ascii="宋体" w:hAnsi="宋体" w:cs="宋体"/>
          <w:szCs w:val="22"/>
        </w:rPr>
        <w:t>发包人代表：                       ；</w:t>
      </w:r>
    </w:p>
    <w:p>
      <w:pPr>
        <w:spacing w:line="400" w:lineRule="exact"/>
        <w:ind w:firstLine="420" w:firstLineChars="200"/>
        <w:rPr>
          <w:rFonts w:ascii="宋体" w:hAnsi="宋体" w:cs="宋体"/>
          <w:szCs w:val="22"/>
        </w:rPr>
      </w:pPr>
      <w:r>
        <w:rPr>
          <w:rFonts w:hint="eastAsia" w:ascii="宋体" w:hAnsi="宋体" w:cs="宋体"/>
          <w:szCs w:val="22"/>
        </w:rPr>
        <w:t>联系电话：                       ；</w:t>
      </w:r>
    </w:p>
    <w:p>
      <w:pPr>
        <w:spacing w:line="400" w:lineRule="exact"/>
        <w:ind w:firstLine="420" w:firstLineChars="200"/>
        <w:rPr>
          <w:rFonts w:ascii="宋体" w:hAnsi="宋体" w:cs="宋体"/>
          <w:szCs w:val="22"/>
        </w:rPr>
      </w:pPr>
      <w:r>
        <w:rPr>
          <w:rFonts w:hint="eastAsia" w:ascii="宋体" w:hAnsi="宋体" w:cs="宋体"/>
          <w:szCs w:val="22"/>
        </w:rPr>
        <w:t>通信地址：广西桂林市建干路12号      。</w:t>
      </w:r>
    </w:p>
    <w:p>
      <w:pPr>
        <w:spacing w:line="400" w:lineRule="exact"/>
        <w:ind w:firstLine="420" w:firstLineChars="200"/>
        <w:rPr>
          <w:rFonts w:ascii="宋体" w:hAnsi="宋体" w:cs="宋体"/>
          <w:szCs w:val="22"/>
        </w:rPr>
      </w:pPr>
      <w:r>
        <w:rPr>
          <w:rFonts w:hint="eastAsia" w:ascii="宋体" w:hAnsi="宋体" w:cs="宋体"/>
          <w:szCs w:val="22"/>
        </w:rPr>
        <w:t>发包人对发包人代表的授权范围如下：对工程安全、进度、质量进行监督，组织相关单位参加已完工程现场验收并办理验收手续，组织相关单位对变更工程量现场确认并会签草签单，负责对设计变更、现场签证、索赔等事项复核并上报，待审批后落实审批意见，负责核实承包人提交的竣工结算资料（工程量增减及变更、签证、索赔审批意见的真伪，资料的全面、完整等）并移交审计部门，解决由发包人授权处理的其他事宜。</w:t>
      </w:r>
    </w:p>
    <w:p>
      <w:pPr>
        <w:keepNext/>
        <w:keepLines/>
        <w:spacing w:before="260" w:after="260" w:line="412" w:lineRule="auto"/>
        <w:jc w:val="left"/>
        <w:outlineLvl w:val="2"/>
        <w:rPr>
          <w:rFonts w:ascii="Calibri" w:hAnsi="Calibri"/>
          <w:b/>
          <w:szCs w:val="24"/>
        </w:rPr>
      </w:pPr>
      <w:bookmarkStart w:id="90" w:name="_Toc140098563"/>
      <w:bookmarkStart w:id="91" w:name="_Toc55373973"/>
      <w:bookmarkStart w:id="92" w:name="_Toc69641870"/>
      <w:r>
        <w:rPr>
          <w:rFonts w:hint="eastAsia" w:ascii="Calibri" w:hAnsi="Calibri"/>
          <w:b/>
          <w:szCs w:val="24"/>
        </w:rPr>
        <w:t>2.4 施工现场、施工条件和基础资料的提供</w:t>
      </w:r>
      <w:bookmarkEnd w:id="90"/>
      <w:bookmarkEnd w:id="91"/>
      <w:bookmarkEnd w:id="92"/>
    </w:p>
    <w:p>
      <w:pPr>
        <w:spacing w:line="400" w:lineRule="exact"/>
        <w:ind w:firstLine="420" w:firstLineChars="200"/>
        <w:rPr>
          <w:rFonts w:ascii="宋体" w:hAnsi="宋体" w:cs="宋体"/>
          <w:szCs w:val="22"/>
        </w:rPr>
      </w:pPr>
      <w:r>
        <w:rPr>
          <w:rFonts w:hint="eastAsia" w:ascii="宋体" w:hAnsi="宋体" w:cs="宋体"/>
          <w:szCs w:val="22"/>
        </w:rPr>
        <w:t>2.4.1 提供施工现场</w:t>
      </w:r>
    </w:p>
    <w:p>
      <w:pPr>
        <w:spacing w:line="400" w:lineRule="exact"/>
        <w:ind w:firstLine="420" w:firstLineChars="200"/>
        <w:rPr>
          <w:rFonts w:ascii="宋体" w:hAnsi="宋体" w:cs="宋体"/>
          <w:szCs w:val="22"/>
        </w:rPr>
      </w:pPr>
      <w:r>
        <w:rPr>
          <w:rFonts w:hint="eastAsia" w:ascii="宋体" w:hAnsi="宋体" w:cs="宋体"/>
          <w:szCs w:val="22"/>
        </w:rPr>
        <w:t>关于发包人移交施工现场的期限要求：</w:t>
      </w:r>
      <w:r>
        <w:rPr>
          <w:rFonts w:hint="eastAsia" w:ascii="宋体" w:hAnsi="宋体" w:cs="宋体"/>
          <w:szCs w:val="22"/>
          <w:u w:val="single"/>
        </w:rPr>
        <w:t>合同签订后7日内。</w:t>
      </w:r>
    </w:p>
    <w:p>
      <w:pPr>
        <w:spacing w:line="400" w:lineRule="exact"/>
        <w:ind w:firstLine="420" w:firstLineChars="200"/>
        <w:rPr>
          <w:rFonts w:ascii="宋体" w:hAnsi="宋体" w:cs="宋体"/>
          <w:szCs w:val="22"/>
        </w:rPr>
      </w:pPr>
      <w:r>
        <w:rPr>
          <w:rFonts w:hint="eastAsia" w:ascii="宋体" w:hAnsi="宋体" w:cs="宋体"/>
          <w:szCs w:val="22"/>
        </w:rPr>
        <w:t>2.4.2 提供施工条件</w:t>
      </w:r>
    </w:p>
    <w:p>
      <w:pPr>
        <w:spacing w:line="400" w:lineRule="exact"/>
        <w:ind w:firstLine="420" w:firstLineChars="200"/>
        <w:rPr>
          <w:rFonts w:ascii="宋体" w:hAnsi="宋体" w:cs="宋体"/>
          <w:szCs w:val="22"/>
        </w:rPr>
      </w:pPr>
      <w:r>
        <w:rPr>
          <w:rFonts w:hint="eastAsia" w:ascii="宋体" w:hAnsi="宋体" w:cs="宋体"/>
          <w:szCs w:val="22"/>
        </w:rPr>
        <w:t>关于发包人应负责提供施工所需要的条件，包括：发包人在开工前7日将施工现场用水、用电引入项目场区围墙边，承包人负责按发包人的临时用水、用电场区整体规划从水、电接入点引入工程施工现场。</w:t>
      </w:r>
    </w:p>
    <w:p>
      <w:pPr>
        <w:keepNext/>
        <w:keepLines/>
        <w:spacing w:before="260" w:after="260" w:line="412" w:lineRule="auto"/>
        <w:jc w:val="left"/>
        <w:outlineLvl w:val="2"/>
        <w:rPr>
          <w:rFonts w:ascii="Calibri" w:hAnsi="Calibri"/>
          <w:b/>
          <w:szCs w:val="24"/>
        </w:rPr>
      </w:pPr>
      <w:bookmarkStart w:id="93" w:name="_Toc55373974"/>
      <w:bookmarkStart w:id="94" w:name="_Toc69641871"/>
      <w:bookmarkStart w:id="95" w:name="_Toc140098564"/>
      <w:r>
        <w:rPr>
          <w:rFonts w:hint="eastAsia" w:ascii="Calibri" w:hAnsi="Calibri"/>
          <w:b/>
          <w:szCs w:val="24"/>
        </w:rPr>
        <w:t>2.5 资金来源证明及支付担保</w:t>
      </w:r>
      <w:bookmarkEnd w:id="93"/>
      <w:bookmarkEnd w:id="94"/>
      <w:bookmarkEnd w:id="95"/>
    </w:p>
    <w:p>
      <w:pPr>
        <w:spacing w:line="400" w:lineRule="exact"/>
        <w:ind w:firstLine="420" w:firstLineChars="200"/>
        <w:rPr>
          <w:rFonts w:ascii="宋体" w:hAnsi="宋体" w:cs="宋体"/>
          <w:szCs w:val="22"/>
        </w:rPr>
      </w:pPr>
      <w:r>
        <w:rPr>
          <w:rFonts w:hint="eastAsia" w:ascii="宋体" w:hAnsi="宋体" w:cs="宋体"/>
          <w:szCs w:val="22"/>
        </w:rPr>
        <w:t>发包人提供资金来源证明的期限要求：</w:t>
      </w:r>
      <w:r>
        <w:rPr>
          <w:rFonts w:hint="eastAsia" w:ascii="宋体" w:hAnsi="宋体" w:cs="宋体"/>
          <w:szCs w:val="22"/>
          <w:u w:val="single"/>
        </w:rPr>
        <w:t xml:space="preserve">   /           </w:t>
      </w:r>
      <w:r>
        <w:rPr>
          <w:rFonts w:hint="eastAsia" w:ascii="宋体" w:hAnsi="宋体" w:cs="宋体"/>
          <w:szCs w:val="22"/>
        </w:rPr>
        <w:t>。</w:t>
      </w:r>
    </w:p>
    <w:p>
      <w:pPr>
        <w:spacing w:line="400" w:lineRule="exact"/>
        <w:ind w:firstLine="420" w:firstLineChars="200"/>
        <w:rPr>
          <w:rFonts w:ascii="宋体" w:hAnsi="宋体" w:cs="宋体"/>
          <w:szCs w:val="22"/>
        </w:rPr>
      </w:pPr>
      <w:r>
        <w:rPr>
          <w:rFonts w:hint="eastAsia" w:ascii="宋体" w:hAnsi="宋体" w:cs="宋体"/>
          <w:szCs w:val="22"/>
        </w:rPr>
        <w:t>发包人是否提供支付担保：       /            。</w:t>
      </w:r>
    </w:p>
    <w:p>
      <w:pPr>
        <w:spacing w:line="400" w:lineRule="exact"/>
        <w:ind w:firstLine="420" w:firstLineChars="200"/>
        <w:rPr>
          <w:rFonts w:ascii="宋体" w:hAnsi="宋体" w:cs="宋体"/>
          <w:szCs w:val="22"/>
        </w:rPr>
      </w:pPr>
      <w:r>
        <w:rPr>
          <w:rFonts w:hint="eastAsia" w:ascii="宋体" w:hAnsi="宋体" w:cs="宋体"/>
          <w:szCs w:val="22"/>
        </w:rPr>
        <w:t>发包人提供支付担保的形式：      /           。</w:t>
      </w:r>
    </w:p>
    <w:p>
      <w:pPr>
        <w:keepNext/>
        <w:keepLines/>
        <w:spacing w:before="260" w:after="260" w:line="412" w:lineRule="auto"/>
        <w:ind w:firstLine="422" w:firstLineChars="200"/>
        <w:jc w:val="left"/>
        <w:outlineLvl w:val="1"/>
        <w:rPr>
          <w:rFonts w:ascii="Arial" w:hAnsi="Arial" w:cs="宋体"/>
          <w:b/>
          <w:szCs w:val="22"/>
        </w:rPr>
      </w:pPr>
      <w:bookmarkStart w:id="96" w:name="_Toc55373975"/>
      <w:bookmarkStart w:id="97" w:name="_Toc69641872"/>
      <w:bookmarkStart w:id="98" w:name="_Toc140098565"/>
      <w:r>
        <w:rPr>
          <w:rFonts w:hint="eastAsia" w:ascii="Arial" w:hAnsi="Arial" w:cs="宋体"/>
          <w:b/>
          <w:szCs w:val="22"/>
        </w:rPr>
        <w:t>3. 承包人</w:t>
      </w:r>
      <w:bookmarkEnd w:id="96"/>
      <w:bookmarkEnd w:id="97"/>
      <w:bookmarkEnd w:id="98"/>
    </w:p>
    <w:p>
      <w:pPr>
        <w:keepNext/>
        <w:keepLines/>
        <w:spacing w:before="260" w:after="260" w:line="412" w:lineRule="auto"/>
        <w:jc w:val="left"/>
        <w:outlineLvl w:val="2"/>
        <w:rPr>
          <w:rFonts w:ascii="Calibri" w:hAnsi="Calibri"/>
          <w:b/>
          <w:szCs w:val="24"/>
        </w:rPr>
      </w:pPr>
      <w:bookmarkStart w:id="99" w:name="_Toc69641873"/>
      <w:bookmarkStart w:id="100" w:name="_Toc55373976"/>
      <w:bookmarkStart w:id="101" w:name="_Toc140098566"/>
      <w:r>
        <w:rPr>
          <w:rFonts w:hint="eastAsia" w:ascii="Calibri" w:hAnsi="Calibri"/>
          <w:b/>
          <w:szCs w:val="24"/>
        </w:rPr>
        <w:t>3.1 承包人的一般义务</w:t>
      </w:r>
      <w:bookmarkEnd w:id="99"/>
      <w:bookmarkEnd w:id="100"/>
      <w:bookmarkEnd w:id="101"/>
    </w:p>
    <w:p>
      <w:pPr>
        <w:spacing w:line="360" w:lineRule="auto"/>
        <w:ind w:firstLine="210"/>
        <w:jc w:val="left"/>
        <w:rPr>
          <w:rFonts w:ascii="宋体" w:hAnsi="宋体" w:cs="宋体"/>
          <w:szCs w:val="24"/>
          <w:u w:val="single"/>
        </w:rPr>
      </w:pPr>
      <w:r>
        <w:rPr>
          <w:rFonts w:hint="eastAsia" w:ascii="宋体" w:hAnsi="宋体" w:cs="宋体"/>
          <w:szCs w:val="24"/>
        </w:rPr>
        <w:t>（9）承包人提交的竣工资料的内容：</w:t>
      </w:r>
      <w:r>
        <w:rPr>
          <w:rFonts w:hint="eastAsia" w:ascii="宋体" w:hAnsi="宋体" w:cs="宋体"/>
          <w:szCs w:val="24"/>
          <w:u w:val="single"/>
        </w:rPr>
        <w:t>①竣工图纸；②设计变更、洽商记录、现场签证；③施工资料：控制资料(含：材料检试验报告、施工记录、检验批质量、隐蔽工程记录、分项工程验收记录、分部工程验收记录)；④管理资料（含：开工报审表、施工日志、施工组织设计）；⑤提交上级建设主管部门的备案资料；⑥桂林市档案馆需要提供的其他资料。</w:t>
      </w:r>
    </w:p>
    <w:p>
      <w:pPr>
        <w:spacing w:line="400" w:lineRule="exact"/>
        <w:ind w:firstLine="420" w:firstLineChars="200"/>
        <w:rPr>
          <w:rFonts w:ascii="宋体" w:hAnsi="宋体" w:cs="宋体"/>
          <w:szCs w:val="22"/>
        </w:rPr>
      </w:pPr>
      <w:r>
        <w:rPr>
          <w:rFonts w:hint="eastAsia" w:ascii="宋体" w:hAnsi="宋体" w:cs="宋体"/>
          <w:szCs w:val="22"/>
        </w:rPr>
        <w:t>承包人需要提交的竣工资料套数： 承包人向发包人提交纸质竣工图纸为一式三份（至少两份为原件）及完整的电子档案一份（含隐蔽工程影像资料），结算资料一式两份。</w:t>
      </w:r>
    </w:p>
    <w:p>
      <w:pPr>
        <w:spacing w:line="400" w:lineRule="exact"/>
        <w:ind w:firstLine="420" w:firstLineChars="200"/>
        <w:rPr>
          <w:rFonts w:ascii="宋体" w:hAnsi="宋体" w:cs="宋体"/>
          <w:szCs w:val="22"/>
        </w:rPr>
      </w:pPr>
      <w:r>
        <w:rPr>
          <w:rFonts w:hint="eastAsia" w:ascii="宋体" w:hAnsi="宋体" w:cs="宋体"/>
          <w:szCs w:val="22"/>
        </w:rPr>
        <w:t>承包人提交的竣工资料的费用承担：</w:t>
      </w:r>
      <w:r>
        <w:rPr>
          <w:rFonts w:hint="eastAsia" w:ascii="宋体" w:hAnsi="宋体" w:cs="宋体"/>
          <w:szCs w:val="22"/>
          <w:u w:val="single"/>
        </w:rPr>
        <w:t>承包人 。</w:t>
      </w:r>
    </w:p>
    <w:p>
      <w:pPr>
        <w:spacing w:line="400" w:lineRule="exact"/>
        <w:ind w:firstLine="420" w:firstLineChars="200"/>
        <w:rPr>
          <w:rFonts w:ascii="宋体" w:hAnsi="宋体" w:cs="宋体"/>
          <w:szCs w:val="22"/>
          <w:u w:val="single"/>
        </w:rPr>
      </w:pPr>
      <w:r>
        <w:rPr>
          <w:rFonts w:hint="eastAsia" w:ascii="宋体" w:hAnsi="宋体" w:cs="宋体"/>
          <w:szCs w:val="22"/>
        </w:rPr>
        <w:t>承包人提交的竣工资料移交时间：</w:t>
      </w:r>
      <w:r>
        <w:rPr>
          <w:rFonts w:hint="eastAsia" w:ascii="宋体" w:hAnsi="宋体" w:cs="宋体"/>
          <w:szCs w:val="22"/>
          <w:u w:val="single"/>
        </w:rPr>
        <w:t>竣工验收合格后30天内。</w:t>
      </w:r>
    </w:p>
    <w:p>
      <w:pPr>
        <w:spacing w:line="400" w:lineRule="exact"/>
        <w:ind w:firstLine="420" w:firstLineChars="200"/>
        <w:rPr>
          <w:rFonts w:ascii="宋体" w:hAnsi="宋体" w:cs="宋体"/>
          <w:szCs w:val="22"/>
        </w:rPr>
      </w:pPr>
      <w:r>
        <w:rPr>
          <w:rFonts w:hint="eastAsia" w:ascii="宋体" w:hAnsi="宋体" w:cs="宋体"/>
          <w:szCs w:val="22"/>
        </w:rPr>
        <w:t>由于承包人原因未按专用条款3.1条约定提交竣工资料，每延迟一天，罚款2000元，直至承包人提交竣工资料为止。</w:t>
      </w:r>
    </w:p>
    <w:p>
      <w:pPr>
        <w:spacing w:line="360" w:lineRule="auto"/>
        <w:ind w:firstLine="420"/>
        <w:jc w:val="left"/>
        <w:rPr>
          <w:rFonts w:ascii="宋体" w:hAnsi="宋体" w:cs="宋体"/>
          <w:szCs w:val="24"/>
          <w:u w:val="single"/>
        </w:rPr>
      </w:pPr>
      <w:r>
        <w:rPr>
          <w:rFonts w:hint="eastAsia" w:ascii="宋体" w:hAnsi="宋体" w:cs="宋体"/>
          <w:szCs w:val="24"/>
        </w:rPr>
        <w:t>承包人提交的竣工资料形式要求：</w:t>
      </w:r>
      <w:r>
        <w:rPr>
          <w:rFonts w:ascii="宋体" w:hAnsi="宋体" w:cs="宋体"/>
          <w:szCs w:val="24"/>
          <w:u w:val="single"/>
        </w:rPr>
        <w:t>按竣工资料整理要求编制形成纸质资料并装订成册（达到市档案馆收件标准），并移交发包人。</w:t>
      </w:r>
    </w:p>
    <w:p>
      <w:pPr>
        <w:spacing w:line="400" w:lineRule="exact"/>
        <w:ind w:firstLine="420" w:firstLineChars="200"/>
        <w:rPr>
          <w:rFonts w:ascii="宋体" w:hAnsi="宋体" w:cs="宋体"/>
          <w:szCs w:val="22"/>
        </w:rPr>
      </w:pPr>
      <w:r>
        <w:rPr>
          <w:rFonts w:hint="eastAsia" w:ascii="宋体" w:hAnsi="宋体" w:cs="宋体"/>
          <w:szCs w:val="22"/>
        </w:rPr>
        <w:t>（10）承包人应履行的其他义务：</w:t>
      </w:r>
    </w:p>
    <w:p>
      <w:pPr>
        <w:spacing w:line="400" w:lineRule="exact"/>
        <w:ind w:firstLine="420" w:firstLineChars="200"/>
        <w:rPr>
          <w:rFonts w:ascii="宋体" w:hAnsi="宋体" w:cs="宋体"/>
          <w:szCs w:val="22"/>
        </w:rPr>
      </w:pPr>
      <w:r>
        <w:rPr>
          <w:rFonts w:hint="eastAsia" w:ascii="宋体" w:hAnsi="宋体" w:cs="宋体"/>
          <w:szCs w:val="22"/>
        </w:rPr>
        <w:t>①施工用水、用电按表计量，费用由承包人承担，由承包人指派专人配合发包人的计量工作，水费及电费按发包人要求进行缴纳；单位工程内其他单位用水、用电由承包人与相关用水、用电单位协商解决。</w:t>
      </w:r>
    </w:p>
    <w:p>
      <w:pPr>
        <w:spacing w:line="400" w:lineRule="exact"/>
        <w:ind w:firstLine="420" w:firstLineChars="200"/>
        <w:rPr>
          <w:rFonts w:ascii="宋体" w:hAnsi="宋体" w:cs="宋体"/>
          <w:szCs w:val="22"/>
        </w:rPr>
      </w:pPr>
      <w:r>
        <w:rPr>
          <w:rFonts w:hint="eastAsia" w:ascii="宋体" w:hAnsi="宋体" w:cs="宋体"/>
          <w:szCs w:val="22"/>
        </w:rPr>
        <w:t>②本工程在施工过程中如存在多个施工单位同时作业时，承包人必须顾全大局、相互协作、密切配合，严格服从发包人和监理单位的协调指挥；承包人须积极协调解决施工过程中存在的各类问题，处理好与相邻施工单位的施工接口关系，否则，发包人有权要求承包人整改或另行指定其他单位来完成相关配合工作，其发生的费用从承包人的工程进度款中扣除，且并不需要承包人同意。承包人应始终采取各种合理的预防措施，对于存在的问题及时反映，对于需要发包人协调解决的问题，要提前五个工作日书面提出，否则，由此所造成的损失由承包人承担。</w:t>
      </w:r>
    </w:p>
    <w:p>
      <w:pPr>
        <w:spacing w:line="400" w:lineRule="exact"/>
        <w:ind w:firstLine="420" w:firstLineChars="200"/>
        <w:rPr>
          <w:rFonts w:ascii="宋体" w:hAnsi="宋体" w:cs="宋体"/>
          <w:szCs w:val="22"/>
        </w:rPr>
      </w:pPr>
      <w:r>
        <w:rPr>
          <w:rFonts w:hint="eastAsia" w:ascii="宋体" w:hAnsi="宋体" w:cs="宋体"/>
          <w:szCs w:val="22"/>
        </w:rPr>
        <w:t>③承包人负责办理施工有关的环卫、环保和噪音等审批手续，并承担相关费用，如因承包人未交纳相关费用，发包人有权从工程款中扣除用于支付相关费用并计入结算。承包人负责对施工场地内的化石、文物具有保护责任，并承担相应费用。承包人负责满足施工期间行政主管部门对工地消防设施有关要求，工程完工后，配合发包人完成相关消防管理制度上墙，并承担相关费用。</w:t>
      </w:r>
    </w:p>
    <w:p>
      <w:pPr>
        <w:spacing w:line="400" w:lineRule="exact"/>
        <w:ind w:firstLine="420" w:firstLineChars="200"/>
        <w:rPr>
          <w:rFonts w:ascii="宋体" w:hAnsi="宋体" w:cs="宋体"/>
          <w:szCs w:val="22"/>
        </w:rPr>
      </w:pPr>
      <w:r>
        <w:rPr>
          <w:rFonts w:hint="eastAsia" w:ascii="宋体" w:hAnsi="宋体" w:cs="宋体"/>
          <w:szCs w:val="22"/>
        </w:rPr>
        <w:t>④承包人应负责协调解决来自当地居民对工程施工的人为干扰，并承担相关费用。</w:t>
      </w:r>
    </w:p>
    <w:p>
      <w:pPr>
        <w:spacing w:line="400" w:lineRule="exact"/>
        <w:ind w:firstLine="420" w:firstLineChars="200"/>
        <w:rPr>
          <w:rFonts w:ascii="宋体" w:hAnsi="宋体" w:cs="宋体"/>
          <w:szCs w:val="22"/>
        </w:rPr>
      </w:pPr>
      <w:r>
        <w:rPr>
          <w:rFonts w:hint="eastAsia" w:ascii="宋体" w:hAnsi="宋体" w:cs="宋体"/>
          <w:szCs w:val="22"/>
        </w:rPr>
        <w:t>⑤承包人应始终采取各种合理的预防措施，防止承包人员或其内部发生任何非法的、骚动的或无序的行为，以保持安定，保护现场及第三人的财产和人身安全。</w:t>
      </w:r>
    </w:p>
    <w:p>
      <w:pPr>
        <w:spacing w:line="400" w:lineRule="exact"/>
        <w:ind w:firstLine="420" w:firstLineChars="200"/>
        <w:rPr>
          <w:rFonts w:ascii="宋体" w:hAnsi="宋体" w:cs="宋体"/>
          <w:szCs w:val="22"/>
        </w:rPr>
      </w:pPr>
      <w:r>
        <w:rPr>
          <w:rFonts w:hint="eastAsia" w:ascii="宋体" w:hAnsi="宋体" w:cs="宋体"/>
          <w:szCs w:val="22"/>
        </w:rPr>
        <w:t>⑥为发包人依法发包的专业工程承包商提供总承包施工现场管理与协调服务、汇总整理竣工资料，并为专业工程承包商提供一切施工方便。为发包人和监理人在施工现场提供必要的办公室和办公桌椅等设备。</w:t>
      </w:r>
    </w:p>
    <w:p>
      <w:pPr>
        <w:spacing w:line="400" w:lineRule="exact"/>
        <w:ind w:firstLine="420" w:firstLineChars="200"/>
        <w:rPr>
          <w:rFonts w:ascii="宋体" w:hAnsi="宋体" w:cs="宋体"/>
          <w:szCs w:val="22"/>
        </w:rPr>
      </w:pPr>
      <w:r>
        <w:rPr>
          <w:rFonts w:hint="eastAsia" w:ascii="宋体" w:hAnsi="宋体" w:cs="宋体"/>
          <w:szCs w:val="22"/>
        </w:rPr>
        <w:t>⑦根据《广西壮族自治区工程建设领域农民工工资专用账户管理暂行办法实施细则的通知》（桂人社规[2022]5号）文件第八条规定，工程建设项目可以免于开立专用账户，由总包单位将农民工工资直接支付到农民工本人的银行账户。</w:t>
      </w:r>
    </w:p>
    <w:p>
      <w:pPr>
        <w:spacing w:line="400" w:lineRule="exact"/>
        <w:ind w:firstLine="420" w:firstLineChars="200"/>
        <w:rPr>
          <w:rFonts w:ascii="宋体" w:hAnsi="宋体" w:cs="宋体"/>
          <w:szCs w:val="22"/>
        </w:rPr>
      </w:pPr>
      <w:r>
        <w:rPr>
          <w:rFonts w:hint="eastAsia" w:ascii="宋体" w:hAnsi="宋体" w:cs="宋体"/>
          <w:szCs w:val="22"/>
        </w:rPr>
        <w:fldChar w:fldCharType="begin"/>
      </w:r>
      <w:r>
        <w:rPr>
          <w:rFonts w:hint="eastAsia" w:ascii="宋体" w:hAnsi="宋体" w:cs="宋体"/>
          <w:szCs w:val="22"/>
        </w:rPr>
        <w:instrText xml:space="preserve"> = 8 \* GB3 </w:instrText>
      </w:r>
      <w:r>
        <w:rPr>
          <w:rFonts w:hint="eastAsia" w:ascii="宋体" w:hAnsi="宋体" w:cs="宋体"/>
          <w:szCs w:val="22"/>
        </w:rPr>
        <w:fldChar w:fldCharType="separate"/>
      </w:r>
      <w:r>
        <w:rPr>
          <w:rFonts w:hint="eastAsia" w:ascii="宋体" w:hAnsi="宋体" w:cs="宋体"/>
          <w:szCs w:val="22"/>
        </w:rPr>
        <w:t>⑧</w:t>
      </w:r>
      <w:r>
        <w:rPr>
          <w:rFonts w:hint="eastAsia" w:ascii="宋体" w:hAnsi="宋体" w:cs="宋体"/>
          <w:szCs w:val="22"/>
        </w:rPr>
        <w:fldChar w:fldCharType="end"/>
      </w:r>
      <w:r>
        <w:rPr>
          <w:rFonts w:hint="eastAsia" w:ascii="宋体" w:hAnsi="宋体" w:cs="宋体"/>
          <w:szCs w:val="22"/>
        </w:rPr>
        <w:t>承包人为有经验的承包商，对发包人提供的交底资料应负责核验，资料存在差错的，及时向发包人提出，且不得依据错误的资料进行施工安装。</w:t>
      </w:r>
    </w:p>
    <w:p>
      <w:pPr>
        <w:spacing w:line="400" w:lineRule="exact"/>
        <w:ind w:firstLine="420" w:firstLineChars="200"/>
        <w:rPr>
          <w:rFonts w:ascii="宋体" w:hAnsi="宋体" w:cs="宋体"/>
          <w:szCs w:val="22"/>
        </w:rPr>
      </w:pPr>
      <w:r>
        <w:rPr>
          <w:rFonts w:hint="eastAsia" w:ascii="宋体" w:hAnsi="宋体" w:cs="宋体"/>
          <w:szCs w:val="22"/>
        </w:rPr>
        <w:t>⑨承包人需维护校园环境干净、整洁，不得在校园内倾倒建筑垃圾；若有渣土洒漏，需及时清理干净。承包人需加强对发包人校园内已建成建筑物、构筑物、道路、管线、景观等的保护，如因承包人原因损坏，及时恢复原状，并承担相关费用。施工期间和施工完毕后，均应及时对施工场地和为其施工提供的公共道路进行保洁、维护以及维修，产生的垃圾和被破坏的场地，必须遵照监理工程师和发包人的指示进行清理、修复，并根据实际情况将场地恢复到原有状态，费用自理</w:t>
      </w:r>
      <w:r>
        <w:rPr>
          <w:rFonts w:ascii="宋体" w:hAnsi="宋体" w:cs="宋体"/>
          <w:szCs w:val="22"/>
        </w:rPr>
        <w:t>。</w:t>
      </w:r>
    </w:p>
    <w:p>
      <w:pPr>
        <w:spacing w:line="400" w:lineRule="exact"/>
        <w:ind w:firstLine="420" w:firstLineChars="200"/>
        <w:rPr>
          <w:rFonts w:ascii="宋体" w:hAnsi="宋体" w:cs="宋体"/>
          <w:szCs w:val="22"/>
        </w:rPr>
      </w:pPr>
      <w:r>
        <w:rPr>
          <w:rFonts w:hint="eastAsia" w:ascii="宋体" w:hAnsi="宋体" w:cs="宋体"/>
          <w:szCs w:val="22"/>
        </w:rPr>
        <w:fldChar w:fldCharType="begin"/>
      </w:r>
      <w:r>
        <w:rPr>
          <w:rFonts w:hint="eastAsia" w:ascii="宋体" w:hAnsi="宋体" w:cs="宋体"/>
          <w:szCs w:val="22"/>
        </w:rPr>
        <w:instrText xml:space="preserve"> = 10 \* GB3 </w:instrText>
      </w:r>
      <w:r>
        <w:rPr>
          <w:rFonts w:hint="eastAsia" w:ascii="宋体" w:hAnsi="宋体" w:cs="宋体"/>
          <w:szCs w:val="22"/>
        </w:rPr>
        <w:fldChar w:fldCharType="separate"/>
      </w:r>
      <w:r>
        <w:rPr>
          <w:rFonts w:hint="eastAsia" w:ascii="宋体" w:hAnsi="宋体" w:cs="宋体"/>
          <w:szCs w:val="22"/>
        </w:rPr>
        <w:t>⑩</w:t>
      </w:r>
      <w:r>
        <w:rPr>
          <w:rFonts w:hint="eastAsia" w:ascii="宋体" w:hAnsi="宋体" w:cs="宋体"/>
          <w:szCs w:val="22"/>
        </w:rPr>
        <w:fldChar w:fldCharType="end"/>
      </w:r>
      <w:r>
        <w:rPr>
          <w:rFonts w:hint="eastAsia" w:ascii="宋体" w:hAnsi="宋体" w:cs="宋体"/>
          <w:szCs w:val="22"/>
        </w:rPr>
        <w:t>按建设行政主管部门有关规定配合发包人其他工程的施工等。安全生产、文明施工必须符合当地建设行政主管部门规定。</w:t>
      </w:r>
    </w:p>
    <w:p>
      <w:pPr>
        <w:keepNext/>
        <w:keepLines/>
        <w:spacing w:before="260" w:after="260" w:line="412" w:lineRule="auto"/>
        <w:jc w:val="left"/>
        <w:outlineLvl w:val="2"/>
        <w:rPr>
          <w:rFonts w:ascii="Calibri" w:hAnsi="Calibri"/>
          <w:b/>
          <w:szCs w:val="24"/>
        </w:rPr>
      </w:pPr>
      <w:bookmarkStart w:id="102" w:name="_Toc140098567"/>
      <w:bookmarkStart w:id="103" w:name="_Toc55373977"/>
      <w:bookmarkStart w:id="104" w:name="_Toc69641874"/>
      <w:r>
        <w:rPr>
          <w:rFonts w:hint="eastAsia" w:ascii="Calibri" w:hAnsi="Calibri"/>
          <w:b/>
          <w:szCs w:val="24"/>
        </w:rPr>
        <w:t>3.2 项目经理</w:t>
      </w:r>
      <w:bookmarkEnd w:id="102"/>
      <w:bookmarkEnd w:id="103"/>
      <w:bookmarkEnd w:id="104"/>
    </w:p>
    <w:p>
      <w:pPr>
        <w:spacing w:line="400" w:lineRule="exact"/>
        <w:ind w:firstLine="420" w:firstLineChars="200"/>
        <w:rPr>
          <w:rFonts w:ascii="宋体" w:hAnsi="宋体" w:cs="宋体"/>
          <w:szCs w:val="22"/>
        </w:rPr>
      </w:pPr>
      <w:r>
        <w:rPr>
          <w:rFonts w:hint="eastAsia" w:ascii="宋体" w:hAnsi="宋体" w:cs="宋体"/>
          <w:szCs w:val="22"/>
        </w:rPr>
        <w:t>3.2.1 项目经理：</w:t>
      </w:r>
    </w:p>
    <w:p>
      <w:pPr>
        <w:spacing w:line="400" w:lineRule="exact"/>
        <w:ind w:firstLine="420" w:firstLineChars="200"/>
        <w:rPr>
          <w:rFonts w:ascii="宋体" w:cs="宋体"/>
          <w:szCs w:val="24"/>
        </w:rPr>
      </w:pPr>
      <w:r>
        <w:rPr>
          <w:rFonts w:hint="eastAsia" w:ascii="宋体" w:hAnsi="宋体" w:cs="宋体"/>
          <w:szCs w:val="24"/>
        </w:rPr>
        <w:t>姓</w:t>
      </w:r>
      <w:r>
        <w:rPr>
          <w:rFonts w:ascii="宋体" w:hAnsi="宋体" w:cs="宋体"/>
          <w:szCs w:val="24"/>
        </w:rPr>
        <w:t xml:space="preserve">    </w:t>
      </w:r>
      <w:r>
        <w:rPr>
          <w:rFonts w:hint="eastAsia" w:ascii="宋体" w:hAnsi="宋体" w:cs="宋体"/>
          <w:szCs w:val="24"/>
        </w:rPr>
        <w:t>名：</w:t>
      </w:r>
      <w:r>
        <w:rPr>
          <w:rFonts w:hint="eastAsia" w:ascii="宋体" w:hAnsi="宋体" w:cs="宋体"/>
          <w:szCs w:val="24"/>
          <w:u w:val="single"/>
        </w:rPr>
        <w:t xml:space="preserve">      </w:t>
      </w:r>
      <w:r>
        <w:rPr>
          <w:rFonts w:ascii="宋体" w:hAnsi="宋体" w:cs="宋体"/>
          <w:szCs w:val="24"/>
          <w:u w:val="single"/>
        </w:rPr>
        <w:t xml:space="preserve">      </w:t>
      </w:r>
      <w:r>
        <w:rPr>
          <w:rFonts w:hint="eastAsia" w:ascii="宋体" w:hAnsi="宋体" w:cs="宋体"/>
          <w:szCs w:val="24"/>
          <w:u w:val="single"/>
        </w:rPr>
        <w:t xml:space="preserve"> </w:t>
      </w:r>
      <w:r>
        <w:rPr>
          <w:rFonts w:ascii="宋体" w:hAnsi="宋体" w:cs="宋体"/>
          <w:szCs w:val="24"/>
          <w:u w:val="single"/>
        </w:rPr>
        <w:t xml:space="preserve"> </w:t>
      </w:r>
      <w:r>
        <w:rPr>
          <w:rFonts w:hint="eastAsia" w:ascii="宋体" w:hAnsi="宋体" w:cs="宋体"/>
          <w:szCs w:val="24"/>
          <w:u w:val="single"/>
        </w:rPr>
        <w:t xml:space="preserve"> </w:t>
      </w:r>
      <w:r>
        <w:rPr>
          <w:rFonts w:ascii="宋体" w:hAnsi="宋体" w:cs="宋体"/>
          <w:szCs w:val="24"/>
          <w:u w:val="single"/>
        </w:rPr>
        <w:t xml:space="preserve"> </w:t>
      </w:r>
      <w:r>
        <w:rPr>
          <w:rFonts w:hint="eastAsia" w:ascii="宋体" w:hAnsi="宋体" w:cs="宋体"/>
          <w:szCs w:val="24"/>
          <w:u w:val="single"/>
        </w:rPr>
        <w:t xml:space="preserve">      </w:t>
      </w:r>
      <w:r>
        <w:rPr>
          <w:rFonts w:ascii="宋体" w:hAnsi="宋体" w:cs="宋体"/>
          <w:szCs w:val="24"/>
          <w:u w:val="single"/>
        </w:rPr>
        <w:t xml:space="preserve">   </w:t>
      </w:r>
      <w:r>
        <w:rPr>
          <w:rFonts w:hint="eastAsia" w:ascii="宋体" w:hAnsi="宋体" w:cs="宋体"/>
          <w:szCs w:val="24"/>
          <w:u w:val="single"/>
        </w:rPr>
        <w:t></w:t>
      </w:r>
      <w:r>
        <w:rPr>
          <w:rFonts w:ascii="宋体" w:hAnsi="宋体" w:cs="宋体"/>
          <w:szCs w:val="24"/>
          <w:u w:val="single"/>
        </w:rPr>
        <w:t xml:space="preserve"> </w:t>
      </w:r>
      <w:r>
        <w:rPr>
          <w:rFonts w:hint="eastAsia" w:ascii="宋体" w:hAnsi="宋体" w:cs="宋体"/>
          <w:szCs w:val="24"/>
        </w:rPr>
        <w:t>；</w:t>
      </w:r>
    </w:p>
    <w:p>
      <w:pPr>
        <w:spacing w:line="400" w:lineRule="exact"/>
        <w:ind w:firstLine="420" w:firstLineChars="200"/>
        <w:rPr>
          <w:rFonts w:ascii="宋体" w:cs="宋体"/>
          <w:szCs w:val="24"/>
        </w:rPr>
      </w:pPr>
      <w:r>
        <w:rPr>
          <w:rFonts w:hint="eastAsia" w:ascii="宋体" w:hAnsi="宋体" w:cs="宋体"/>
          <w:szCs w:val="24"/>
        </w:rPr>
        <w:t>身份证号：</w:t>
      </w:r>
      <w:r>
        <w:rPr>
          <w:rFonts w:ascii="宋体" w:hAnsi="宋体" w:cs="宋体"/>
          <w:szCs w:val="24"/>
          <w:u w:val="single"/>
        </w:rPr>
        <w:t xml:space="preserve"> </w:t>
      </w:r>
      <w:r>
        <w:rPr>
          <w:rFonts w:hint="eastAsia" w:ascii="宋体" w:hAnsi="宋体" w:cs="宋体"/>
          <w:szCs w:val="24"/>
          <w:u w:val="single"/>
        </w:rPr>
        <w:t xml:space="preserve">                          </w:t>
      </w:r>
      <w:r>
        <w:rPr>
          <w:rFonts w:ascii="宋体" w:hAnsi="宋体" w:cs="宋体"/>
          <w:szCs w:val="24"/>
          <w:u w:val="single"/>
        </w:rPr>
        <w:t xml:space="preserve">   </w:t>
      </w:r>
      <w:r>
        <w:rPr>
          <w:rFonts w:hint="eastAsia" w:ascii="宋体" w:hAnsi="宋体" w:cs="宋体"/>
          <w:szCs w:val="24"/>
        </w:rPr>
        <w:t>；</w:t>
      </w:r>
    </w:p>
    <w:p>
      <w:pPr>
        <w:spacing w:line="400" w:lineRule="exact"/>
        <w:ind w:firstLine="420" w:firstLineChars="200"/>
        <w:rPr>
          <w:rFonts w:ascii="宋体" w:cs="宋体"/>
          <w:szCs w:val="24"/>
        </w:rPr>
      </w:pPr>
      <w:r>
        <w:rPr>
          <w:rFonts w:hint="eastAsia" w:ascii="宋体" w:hAnsi="宋体" w:cs="宋体"/>
          <w:szCs w:val="24"/>
        </w:rPr>
        <w:t>建造师执业资格等级：</w:t>
      </w:r>
      <w:r>
        <w:rPr>
          <w:rFonts w:hint="eastAsia" w:ascii="宋体" w:hAnsi="宋体" w:cs="宋体"/>
          <w:szCs w:val="24"/>
          <w:u w:val="single"/>
        </w:rPr>
        <w:t xml:space="preserve">                </w:t>
      </w:r>
      <w:r>
        <w:rPr>
          <w:rFonts w:ascii="宋体" w:hAnsi="宋体" w:cs="宋体"/>
          <w:szCs w:val="24"/>
          <w:u w:val="single"/>
        </w:rPr>
        <w:t xml:space="preserve">  </w:t>
      </w:r>
      <w:r>
        <w:rPr>
          <w:rFonts w:hint="eastAsia" w:ascii="宋体" w:hAnsi="宋体" w:cs="宋体"/>
          <w:szCs w:val="24"/>
        </w:rPr>
        <w:t>；</w:t>
      </w:r>
    </w:p>
    <w:p>
      <w:pPr>
        <w:spacing w:line="400" w:lineRule="exact"/>
        <w:ind w:firstLine="420" w:firstLineChars="200"/>
        <w:rPr>
          <w:rFonts w:ascii="宋体" w:cs="宋体"/>
          <w:szCs w:val="24"/>
        </w:rPr>
      </w:pPr>
      <w:r>
        <w:rPr>
          <w:rFonts w:hint="eastAsia" w:ascii="宋体" w:hAnsi="宋体" w:cs="宋体"/>
          <w:szCs w:val="24"/>
        </w:rPr>
        <w:t>建造师注册证书号：</w:t>
      </w:r>
      <w:r>
        <w:rPr>
          <w:rFonts w:hint="eastAsia" w:ascii="宋体" w:hAnsi="宋体" w:cs="宋体"/>
          <w:szCs w:val="24"/>
          <w:u w:val="single"/>
        </w:rPr>
        <w:t>                  </w:t>
      </w:r>
      <w:r>
        <w:rPr>
          <w:rFonts w:hint="eastAsia" w:ascii="宋体" w:hAnsi="宋体" w:cs="宋体"/>
          <w:szCs w:val="24"/>
        </w:rPr>
        <w:t>；</w:t>
      </w:r>
    </w:p>
    <w:p>
      <w:pPr>
        <w:spacing w:line="400" w:lineRule="exact"/>
        <w:ind w:firstLine="420" w:firstLineChars="200"/>
        <w:rPr>
          <w:rFonts w:ascii="宋体" w:cs="宋体"/>
          <w:szCs w:val="24"/>
        </w:rPr>
      </w:pPr>
      <w:r>
        <w:rPr>
          <w:rFonts w:hint="eastAsia" w:ascii="宋体" w:hAnsi="宋体" w:cs="宋体"/>
          <w:szCs w:val="24"/>
        </w:rPr>
        <w:t>建造师执业印章号：</w:t>
      </w:r>
      <w:r>
        <w:rPr>
          <w:rFonts w:hint="eastAsia" w:ascii="宋体" w:hAnsi="宋体" w:cs="宋体"/>
          <w:szCs w:val="24"/>
          <w:u w:val="single"/>
        </w:rPr>
        <w:t xml:space="preserve">                    </w:t>
      </w:r>
      <w:r>
        <w:rPr>
          <w:rFonts w:ascii="宋体" w:hAnsi="宋体" w:cs="宋体"/>
          <w:szCs w:val="24"/>
          <w:u w:val="single"/>
        </w:rPr>
        <w:t xml:space="preserve">  </w:t>
      </w:r>
      <w:r>
        <w:rPr>
          <w:rFonts w:hint="eastAsia" w:ascii="宋体" w:hAnsi="宋体" w:cs="宋体"/>
          <w:szCs w:val="24"/>
        </w:rPr>
        <w:t>；</w:t>
      </w:r>
    </w:p>
    <w:p>
      <w:pPr>
        <w:spacing w:line="400" w:lineRule="exact"/>
        <w:ind w:firstLine="420" w:firstLineChars="200"/>
        <w:rPr>
          <w:rFonts w:ascii="宋体" w:cs="宋体"/>
          <w:szCs w:val="24"/>
        </w:rPr>
      </w:pPr>
      <w:r>
        <w:rPr>
          <w:rFonts w:hint="eastAsia" w:ascii="宋体" w:hAnsi="宋体" w:cs="宋体"/>
          <w:szCs w:val="24"/>
        </w:rPr>
        <w:t>安全生产考核合格证书号：</w:t>
      </w:r>
      <w:r>
        <w:rPr>
          <w:rFonts w:hint="eastAsia" w:ascii="宋体" w:hAnsi="宋体" w:cs="宋体"/>
          <w:szCs w:val="24"/>
          <w:u w:val="single"/>
        </w:rPr>
        <w:t xml:space="preserve">                </w:t>
      </w:r>
      <w:r>
        <w:rPr>
          <w:rFonts w:hint="eastAsia" w:ascii="宋体" w:hAnsi="宋体" w:cs="宋体"/>
          <w:szCs w:val="24"/>
        </w:rPr>
        <w:t>；</w:t>
      </w:r>
    </w:p>
    <w:p>
      <w:pPr>
        <w:spacing w:line="400" w:lineRule="exact"/>
        <w:ind w:firstLine="420" w:firstLineChars="200"/>
        <w:rPr>
          <w:rFonts w:ascii="宋体" w:cs="宋体"/>
          <w:szCs w:val="24"/>
        </w:rPr>
      </w:pPr>
      <w:r>
        <w:rPr>
          <w:rFonts w:hint="eastAsia" w:ascii="宋体" w:hAnsi="宋体" w:cs="宋体"/>
          <w:szCs w:val="24"/>
        </w:rPr>
        <w:t>联系电话：</w:t>
      </w:r>
      <w:r>
        <w:rPr>
          <w:rFonts w:hint="eastAsia" w:ascii="宋体" w:hAnsi="宋体" w:cs="宋体"/>
          <w:szCs w:val="24"/>
          <w:u w:val="single"/>
        </w:rPr>
        <w:t xml:space="preserve">    </w:t>
      </w:r>
      <w:r>
        <w:rPr>
          <w:rFonts w:ascii="宋体" w:hAnsi="宋体" w:cs="宋体"/>
          <w:szCs w:val="24"/>
          <w:u w:val="single"/>
        </w:rPr>
        <w:t xml:space="preserve">             </w:t>
      </w:r>
      <w:r>
        <w:rPr>
          <w:rFonts w:hint="eastAsia" w:ascii="宋体" w:hAnsi="宋体" w:cs="宋体"/>
          <w:szCs w:val="24"/>
          <w:u w:val="single"/>
        </w:rPr>
        <w:t xml:space="preserve">      </w:t>
      </w:r>
      <w:r>
        <w:rPr>
          <w:rFonts w:ascii="宋体" w:hAnsi="宋体" w:cs="宋体"/>
          <w:szCs w:val="24"/>
          <w:u w:val="single"/>
        </w:rPr>
        <w:t xml:space="preserve">       </w:t>
      </w:r>
      <w:r>
        <w:rPr>
          <w:rFonts w:hint="eastAsia" w:ascii="宋体" w:hAnsi="宋体" w:cs="宋体"/>
          <w:szCs w:val="24"/>
        </w:rPr>
        <w:t>；</w:t>
      </w:r>
    </w:p>
    <w:p>
      <w:pPr>
        <w:spacing w:line="400" w:lineRule="exact"/>
        <w:ind w:firstLine="420" w:firstLineChars="200"/>
        <w:rPr>
          <w:rFonts w:ascii="宋体" w:hAnsi="宋体" w:cs="宋体"/>
          <w:szCs w:val="22"/>
        </w:rPr>
      </w:pPr>
      <w:r>
        <w:rPr>
          <w:rFonts w:hint="eastAsia" w:ascii="宋体" w:hAnsi="宋体" w:cs="宋体"/>
          <w:szCs w:val="22"/>
        </w:rPr>
        <w:t>电子信箱：     /    ；</w:t>
      </w:r>
    </w:p>
    <w:p>
      <w:pPr>
        <w:spacing w:line="400" w:lineRule="exact"/>
        <w:ind w:firstLine="420" w:firstLineChars="200"/>
        <w:rPr>
          <w:rFonts w:ascii="宋体" w:hAnsi="宋体" w:cs="宋体"/>
          <w:szCs w:val="22"/>
        </w:rPr>
      </w:pPr>
      <w:r>
        <w:rPr>
          <w:rFonts w:hint="eastAsia" w:ascii="宋体" w:hAnsi="宋体" w:cs="宋体"/>
          <w:szCs w:val="22"/>
        </w:rPr>
        <w:t>通信地址：/     ；</w:t>
      </w:r>
    </w:p>
    <w:p>
      <w:pPr>
        <w:spacing w:line="400" w:lineRule="exact"/>
        <w:ind w:firstLine="420" w:firstLineChars="200"/>
        <w:rPr>
          <w:rFonts w:ascii="宋体" w:hAnsi="宋体" w:cs="宋体"/>
          <w:szCs w:val="22"/>
        </w:rPr>
      </w:pPr>
      <w:r>
        <w:rPr>
          <w:rFonts w:hint="eastAsia" w:ascii="宋体" w:hAnsi="宋体" w:cs="宋体"/>
          <w:szCs w:val="22"/>
        </w:rPr>
        <w:t>承包人对项目经理的授权范围如下：（1）对本工程的建设进行全面管理，行使合同约定的权利，履行合同约定的义务；（2）负责本工程的施工组织方案制定和施工组织设计；（3）负责本工程的劳动力组织和机械设备组织；（4）经发包人同意分包的专业工程，项目经理参与选择并使用具有相应资质的分包人（由发包人指定分包的除外）；（5）合同约定由承包人采购的材料、工程设备，项目经理参与选择物资供应单位；（6）在授权范围内协调与项目有关的内、外部关系；（7）负责与发包人、监理人办理设计变更、现场签证等手续，及时办理本工程相关索赔；（8）负责签收发包人、监理人往来函件，承包人的要求、通知均应以书面形式由承包人项目经理签字并加盖承包人公司公章后递交发包人；（9）代表承包人接受监理工程师或发包人现场代表发出的指示和指令。但未经承包人盖章同意不得以承包人和（或本工程项目部）名义向外融资、采购材料设备、租用建筑周转材料、雇佣劳动力、签订分包合同等从事一切为承包人设立义务或责任的行为。</w:t>
      </w:r>
    </w:p>
    <w:p>
      <w:pPr>
        <w:spacing w:line="400" w:lineRule="exact"/>
        <w:ind w:firstLine="420" w:firstLineChars="200"/>
        <w:rPr>
          <w:rFonts w:ascii="宋体" w:hAnsi="宋体" w:cs="宋体"/>
          <w:szCs w:val="22"/>
        </w:rPr>
      </w:pPr>
      <w:r>
        <w:rPr>
          <w:rFonts w:hint="eastAsia" w:ascii="宋体" w:hAnsi="宋体" w:cs="宋体"/>
          <w:szCs w:val="22"/>
        </w:rPr>
        <w:t>关于项目经理每月在施工现场的时间要求：</w:t>
      </w:r>
      <w:r>
        <w:rPr>
          <w:rFonts w:hint="eastAsia" w:ascii="宋体" w:hAnsi="宋体" w:cs="宋体"/>
          <w:szCs w:val="22"/>
          <w:u w:val="single"/>
        </w:rPr>
        <w:t>不少于24天。</w:t>
      </w:r>
    </w:p>
    <w:p>
      <w:pPr>
        <w:spacing w:line="400" w:lineRule="exact"/>
        <w:ind w:firstLine="420" w:firstLineChars="200"/>
        <w:rPr>
          <w:rFonts w:ascii="宋体" w:hAnsi="宋体" w:cs="宋体"/>
          <w:szCs w:val="22"/>
        </w:rPr>
      </w:pPr>
      <w:r>
        <w:rPr>
          <w:rFonts w:hint="eastAsia" w:ascii="宋体" w:hAnsi="宋体" w:cs="宋体"/>
          <w:szCs w:val="22"/>
        </w:rPr>
        <w:t>项目经理未经批准，擅自离开施工现场的违约责任：项目经理每月在岗带班时间不得少于当月施工时间的80%。未经发包人同意或无正当理由，项目经理每月在岗带班时间少于当月施工时间80%的，少在岗带班一天，发包人有权处违约金2000元/日（人民币）。</w:t>
      </w:r>
    </w:p>
    <w:p>
      <w:pPr>
        <w:spacing w:line="400" w:lineRule="exact"/>
        <w:ind w:firstLine="420" w:firstLineChars="200"/>
        <w:rPr>
          <w:rFonts w:ascii="宋体" w:hAnsi="宋体" w:cs="宋体"/>
          <w:szCs w:val="22"/>
        </w:rPr>
      </w:pPr>
      <w:r>
        <w:rPr>
          <w:rFonts w:hint="eastAsia" w:ascii="宋体" w:hAnsi="宋体" w:cs="宋体"/>
          <w:szCs w:val="22"/>
        </w:rPr>
        <w:t>承包人未提交劳动合同，以及没有为项目经理缴纳社会保险证明的违约责任：</w:t>
      </w:r>
      <w:r>
        <w:rPr>
          <w:rFonts w:hint="eastAsia" w:ascii="宋体" w:hAnsi="宋体" w:cs="宋体"/>
          <w:szCs w:val="22"/>
          <w:u w:val="single"/>
        </w:rPr>
        <w:t>承包人应立即整改，发包人有权处违约金10000元（人民币）。</w:t>
      </w:r>
    </w:p>
    <w:p>
      <w:pPr>
        <w:spacing w:line="400" w:lineRule="exact"/>
        <w:ind w:firstLine="420" w:firstLineChars="200"/>
        <w:rPr>
          <w:rFonts w:ascii="宋体" w:hAnsi="宋体" w:cs="宋体"/>
          <w:szCs w:val="22"/>
        </w:rPr>
      </w:pPr>
      <w:r>
        <w:rPr>
          <w:rFonts w:hint="eastAsia" w:ascii="宋体" w:hAnsi="宋体" w:cs="宋体"/>
          <w:szCs w:val="22"/>
        </w:rPr>
        <w:t>3.2.3 承包人擅自更换项目经理的违约责任：承包人项目经理必须与承包人参与磋商时所承诺的人员一致，并在开工前7天到任。在监理人向承包人颁发本工程已竣工证明前，项目经理不得同时兼任其他任何项目的项目经理（符合桂建管【2013】17号文及桂建管【2016】70号除外）。未经发包人书面同意，承包人擅自更换项目经理的视为违约，发包人有权处违约金10000 元/人•次（人民币）并责令该项目经理到岗或令承包人调换与该项目经理同等业绩及能力的人担任本工程的项目经理。</w:t>
      </w:r>
    </w:p>
    <w:p>
      <w:pPr>
        <w:spacing w:line="400" w:lineRule="exact"/>
        <w:ind w:firstLine="420" w:firstLineChars="200"/>
        <w:rPr>
          <w:rFonts w:ascii="宋体" w:hAnsi="宋体" w:cs="宋体"/>
          <w:szCs w:val="22"/>
        </w:rPr>
      </w:pPr>
      <w:r>
        <w:rPr>
          <w:rFonts w:hint="eastAsia" w:ascii="宋体" w:hAnsi="宋体" w:cs="宋体"/>
          <w:szCs w:val="22"/>
        </w:rPr>
        <w:t>3.2.4 承包人无正当理由拒绝更换项目经理的违约责任：因承包人项目经理不称职，发包人要求调换而未及时调换的，视为承包人违约，发包人有权处违约金10000 元/人•次（人民币）并责令承包人调换经发包人认可的本工程项目经理。</w:t>
      </w:r>
    </w:p>
    <w:p>
      <w:pPr>
        <w:keepNext/>
        <w:keepLines/>
        <w:spacing w:before="260" w:after="260" w:line="412" w:lineRule="auto"/>
        <w:jc w:val="left"/>
        <w:outlineLvl w:val="2"/>
        <w:rPr>
          <w:rFonts w:ascii="Calibri" w:hAnsi="Calibri"/>
          <w:b/>
          <w:szCs w:val="24"/>
        </w:rPr>
      </w:pPr>
      <w:bookmarkStart w:id="105" w:name="_Toc69641875"/>
      <w:bookmarkStart w:id="106" w:name="_Toc55373978"/>
      <w:bookmarkStart w:id="107" w:name="_Toc140098568"/>
      <w:r>
        <w:rPr>
          <w:rFonts w:hint="eastAsia" w:ascii="Calibri" w:hAnsi="Calibri"/>
          <w:b/>
          <w:szCs w:val="24"/>
        </w:rPr>
        <w:t>3.3 承包人人员</w:t>
      </w:r>
      <w:bookmarkEnd w:id="105"/>
      <w:bookmarkEnd w:id="106"/>
      <w:bookmarkEnd w:id="107"/>
    </w:p>
    <w:p>
      <w:pPr>
        <w:spacing w:line="400" w:lineRule="exact"/>
        <w:ind w:firstLine="420" w:firstLineChars="200"/>
        <w:rPr>
          <w:rFonts w:ascii="宋体" w:hAnsi="宋体" w:cs="宋体"/>
          <w:szCs w:val="22"/>
        </w:rPr>
      </w:pPr>
      <w:r>
        <w:rPr>
          <w:rFonts w:hint="eastAsia" w:ascii="宋体" w:hAnsi="宋体" w:cs="宋体"/>
          <w:szCs w:val="22"/>
        </w:rPr>
        <w:t>3.3.1 承包人提交项目管理机构及施工现场管理人员安排（格式见合同附件6）报告的期限：</w:t>
      </w:r>
      <w:r>
        <w:rPr>
          <w:rFonts w:hint="eastAsia" w:ascii="宋体" w:hAnsi="宋体" w:cs="宋体"/>
          <w:szCs w:val="22"/>
          <w:u w:val="single"/>
        </w:rPr>
        <w:t>开工前7天。</w:t>
      </w:r>
    </w:p>
    <w:p>
      <w:pPr>
        <w:spacing w:line="400" w:lineRule="exact"/>
        <w:ind w:firstLine="420" w:firstLineChars="200"/>
        <w:rPr>
          <w:rFonts w:ascii="宋体" w:hAnsi="宋体" w:cs="宋体"/>
          <w:szCs w:val="22"/>
        </w:rPr>
      </w:pPr>
      <w:r>
        <w:rPr>
          <w:rFonts w:hint="eastAsia" w:ascii="宋体" w:hAnsi="宋体" w:cs="宋体"/>
          <w:szCs w:val="22"/>
        </w:rPr>
        <w:t>3.3.3 承包人无正当理由拒绝撤换主要施工管理人员的违约责任：因承包人主要施工管理人员不称职，发包人要求调换而无正当理由拒绝撤换或未及时调换的，视为承包人违约，必须向发包人交纳违约金，违约金标准：技术负责人5000元/人•次（人民币）；专业工程师2000元/人•次（人民币）。</w:t>
      </w:r>
    </w:p>
    <w:p>
      <w:pPr>
        <w:spacing w:line="400" w:lineRule="exact"/>
        <w:ind w:firstLine="420" w:firstLineChars="200"/>
        <w:rPr>
          <w:rFonts w:ascii="宋体" w:hAnsi="宋体" w:cs="宋体"/>
          <w:szCs w:val="22"/>
        </w:rPr>
      </w:pPr>
      <w:r>
        <w:rPr>
          <w:rFonts w:hint="eastAsia" w:ascii="宋体" w:hAnsi="宋体" w:cs="宋体"/>
          <w:szCs w:val="22"/>
        </w:rPr>
        <w:t>3.3.4 承包人主要施工管理人员离开施工现场的批准要求：离开施工现场每月累计不超过5天的，应报监理人同意（执行通用条款）。</w:t>
      </w:r>
    </w:p>
    <w:p>
      <w:pPr>
        <w:spacing w:line="400" w:lineRule="exact"/>
        <w:ind w:firstLine="420" w:firstLineChars="200"/>
        <w:rPr>
          <w:rFonts w:ascii="宋体" w:hAnsi="宋体" w:cs="宋体"/>
          <w:szCs w:val="22"/>
        </w:rPr>
      </w:pPr>
      <w:r>
        <w:rPr>
          <w:rFonts w:hint="eastAsia" w:ascii="宋体" w:hAnsi="宋体" w:cs="宋体"/>
          <w:szCs w:val="22"/>
        </w:rPr>
        <w:t>3.3.5承包人擅自更换主要施工管理人员的违约责任：项目技术负责人、专职安全员及其承诺的其他在场管理人员未经发包人书面同意不准擅自更换，擅自更换项目技术负责人处6000元/人•次（人民币）违约金；擅自更换专职安全员处2500元/人•次（人民币）违约金；擅自更换其它在场管理人员处1000元/人•次（人民币）违约金；成交后，如承包人确需更换项目经理和技术负责人（不得同时更换），应至少提前7天以书面形式通知发包人，并征得发包人同意后方可更换，更换的人员要有同等资格及业绩证明，后任应继续行使合同约定的前任的职权，履行前任的义务；未经发包人同意承包人擅自更换项目班子主要人员，且拒绝执行发包人要求其调回原项目班子主要人员或调换同等胜任该职位的人员的，以违约论处，发包人有权终止合同并要求承包人限期离场。</w:t>
      </w:r>
    </w:p>
    <w:p>
      <w:pPr>
        <w:spacing w:line="400" w:lineRule="exact"/>
        <w:ind w:firstLine="420" w:firstLineChars="200"/>
        <w:rPr>
          <w:rFonts w:ascii="宋体" w:hAnsi="宋体" w:cs="宋体"/>
          <w:szCs w:val="22"/>
        </w:rPr>
      </w:pPr>
      <w:r>
        <w:rPr>
          <w:rFonts w:hint="eastAsia" w:ascii="宋体" w:hAnsi="宋体" w:cs="宋体"/>
          <w:szCs w:val="22"/>
        </w:rPr>
        <w:t>承包人主要施工管理人员擅自离开施工现场的违约责任：未经发包人同意，项目技术负责人擅自离岗的，视为承包人违约，发包人有权处违约金500元/人•次（人民币）；未经发包人同意，专职安全员擅自离岗的，视为承包人违约，发包人有权处违约金200元/人•次（人民币）；其它在场管理人员擅自离岗的，视为承包人违约，发包人有权处违约金100 元/人•次（人民币）。</w:t>
      </w:r>
    </w:p>
    <w:p>
      <w:pPr>
        <w:spacing w:line="400" w:lineRule="exact"/>
        <w:ind w:firstLine="420" w:firstLineChars="200"/>
        <w:rPr>
          <w:rFonts w:ascii="宋体" w:hAnsi="宋体" w:cs="宋体"/>
          <w:szCs w:val="22"/>
        </w:rPr>
      </w:pPr>
      <w:r>
        <w:rPr>
          <w:rFonts w:hint="eastAsia" w:ascii="宋体" w:hAnsi="宋体" w:cs="宋体"/>
          <w:szCs w:val="22"/>
        </w:rPr>
        <w:t>因承包人项目主要施工管理人员不称职，发包人要求调换而未及时调换的，视为承包人违约，发包人有权处违约金5000 元/人•次（人民币）并责令承包人调换可以胜任本工程相应岗位的管理人员。</w:t>
      </w:r>
    </w:p>
    <w:p>
      <w:pPr>
        <w:keepNext/>
        <w:keepLines/>
        <w:spacing w:before="260" w:after="260" w:line="412" w:lineRule="auto"/>
        <w:jc w:val="left"/>
        <w:outlineLvl w:val="2"/>
        <w:rPr>
          <w:rFonts w:ascii="Calibri" w:hAnsi="Calibri"/>
          <w:b/>
          <w:szCs w:val="24"/>
        </w:rPr>
      </w:pPr>
      <w:bookmarkStart w:id="108" w:name="_Toc69641876"/>
      <w:bookmarkStart w:id="109" w:name="_Toc140098569"/>
      <w:bookmarkStart w:id="110" w:name="_Toc55373979"/>
      <w:r>
        <w:rPr>
          <w:rFonts w:hint="eastAsia" w:ascii="Calibri" w:hAnsi="Calibri"/>
          <w:b/>
          <w:szCs w:val="24"/>
        </w:rPr>
        <w:t>3.5 分包</w:t>
      </w:r>
      <w:bookmarkEnd w:id="108"/>
      <w:bookmarkEnd w:id="109"/>
      <w:bookmarkEnd w:id="110"/>
    </w:p>
    <w:p>
      <w:pPr>
        <w:spacing w:line="400" w:lineRule="exact"/>
        <w:ind w:firstLine="420" w:firstLineChars="200"/>
        <w:rPr>
          <w:rFonts w:ascii="宋体" w:hAnsi="宋体" w:cs="宋体"/>
          <w:szCs w:val="22"/>
        </w:rPr>
      </w:pPr>
      <w:r>
        <w:rPr>
          <w:rFonts w:hint="eastAsia" w:ascii="宋体" w:hAnsi="宋体" w:cs="宋体"/>
          <w:szCs w:val="22"/>
        </w:rPr>
        <w:t>3.5.1 分包的一般约定</w:t>
      </w:r>
    </w:p>
    <w:p>
      <w:pPr>
        <w:spacing w:line="400" w:lineRule="exact"/>
        <w:ind w:firstLine="420" w:firstLineChars="200"/>
        <w:rPr>
          <w:rFonts w:ascii="宋体" w:hAnsi="宋体" w:cs="宋体"/>
          <w:szCs w:val="22"/>
        </w:rPr>
      </w:pPr>
      <w:r>
        <w:rPr>
          <w:rFonts w:hint="eastAsia" w:ascii="宋体" w:hAnsi="宋体" w:cs="宋体"/>
          <w:szCs w:val="22"/>
        </w:rPr>
        <w:t>禁止分包的工程包括： 按通用条款执行（除劳务分包以外）。</w:t>
      </w:r>
    </w:p>
    <w:p>
      <w:pPr>
        <w:spacing w:line="400" w:lineRule="exact"/>
        <w:ind w:firstLine="420" w:firstLineChars="200"/>
        <w:rPr>
          <w:rFonts w:ascii="宋体" w:hAnsi="宋体" w:cs="宋体"/>
          <w:szCs w:val="22"/>
        </w:rPr>
      </w:pPr>
      <w:r>
        <w:rPr>
          <w:rFonts w:hint="eastAsia" w:ascii="宋体" w:hAnsi="宋体" w:cs="宋体"/>
          <w:szCs w:val="22"/>
        </w:rPr>
        <w:t>主体结构、关键性工作的范围：承包范围内各单位工程的地基基础工程、砌体工程、混凝土工程、钢筋工程、室外道路、室外管线等。</w:t>
      </w:r>
    </w:p>
    <w:p>
      <w:pPr>
        <w:spacing w:line="400" w:lineRule="exact"/>
        <w:ind w:firstLine="420" w:firstLineChars="200"/>
        <w:rPr>
          <w:rFonts w:ascii="宋体" w:hAnsi="宋体" w:cs="宋体"/>
          <w:szCs w:val="22"/>
        </w:rPr>
      </w:pPr>
      <w:r>
        <w:rPr>
          <w:rFonts w:hint="eastAsia" w:ascii="宋体" w:hAnsi="宋体" w:cs="宋体"/>
          <w:szCs w:val="22"/>
        </w:rPr>
        <w:t>3.5.2分包的确定</w:t>
      </w:r>
    </w:p>
    <w:p>
      <w:pPr>
        <w:spacing w:line="400" w:lineRule="exact"/>
        <w:ind w:firstLine="420" w:firstLineChars="200"/>
        <w:rPr>
          <w:rFonts w:ascii="宋体" w:hAnsi="宋体" w:cs="宋体"/>
          <w:szCs w:val="22"/>
        </w:rPr>
      </w:pPr>
      <w:r>
        <w:rPr>
          <w:rFonts w:hint="eastAsia" w:ascii="宋体" w:hAnsi="宋体" w:cs="宋体"/>
          <w:szCs w:val="22"/>
        </w:rPr>
        <w:t>允许分包的专业工程包括：</w:t>
      </w:r>
      <w:r>
        <w:rPr>
          <w:rFonts w:hint="eastAsia" w:ascii="宋体" w:hAnsi="宋体" w:cs="宋体"/>
          <w:szCs w:val="22"/>
          <w:u w:val="single"/>
        </w:rPr>
        <w:t xml:space="preserve">无    </w:t>
      </w:r>
      <w:r>
        <w:rPr>
          <w:rFonts w:hint="eastAsia" w:ascii="宋体" w:hAnsi="宋体" w:cs="宋体"/>
          <w:szCs w:val="22"/>
        </w:rPr>
        <w:t>。</w:t>
      </w:r>
    </w:p>
    <w:p>
      <w:pPr>
        <w:spacing w:line="400" w:lineRule="exact"/>
        <w:ind w:firstLine="420" w:firstLineChars="200"/>
        <w:rPr>
          <w:rFonts w:ascii="宋体" w:hAnsi="宋体" w:cs="宋体"/>
          <w:szCs w:val="22"/>
        </w:rPr>
      </w:pPr>
      <w:r>
        <w:rPr>
          <w:rFonts w:hint="eastAsia" w:ascii="宋体" w:hAnsi="宋体" w:cs="宋体"/>
          <w:szCs w:val="22"/>
        </w:rPr>
        <w:t>3.5.4 分包合同价款</w:t>
      </w:r>
    </w:p>
    <w:p>
      <w:pPr>
        <w:spacing w:line="400" w:lineRule="exact"/>
        <w:ind w:firstLine="420" w:firstLineChars="200"/>
        <w:rPr>
          <w:rFonts w:ascii="宋体" w:hAnsi="宋体" w:cs="宋体"/>
          <w:szCs w:val="22"/>
        </w:rPr>
      </w:pPr>
      <w:r>
        <w:rPr>
          <w:rFonts w:hint="eastAsia" w:ascii="宋体" w:hAnsi="宋体" w:cs="宋体"/>
          <w:szCs w:val="22"/>
        </w:rPr>
        <w:t>关于分包合同价款支付的约定：</w:t>
      </w:r>
      <w:r>
        <w:rPr>
          <w:rFonts w:hint="eastAsia" w:ascii="宋体" w:hAnsi="宋体" w:cs="宋体"/>
          <w:szCs w:val="22"/>
          <w:u w:val="single"/>
        </w:rPr>
        <w:t>无    。</w:t>
      </w:r>
    </w:p>
    <w:p>
      <w:pPr>
        <w:keepNext/>
        <w:keepLines/>
        <w:spacing w:before="260" w:after="260" w:line="412" w:lineRule="auto"/>
        <w:jc w:val="left"/>
        <w:outlineLvl w:val="2"/>
        <w:rPr>
          <w:rFonts w:ascii="Calibri" w:hAnsi="Calibri"/>
          <w:b/>
          <w:szCs w:val="24"/>
        </w:rPr>
      </w:pPr>
      <w:bookmarkStart w:id="111" w:name="_Toc69641877"/>
      <w:bookmarkStart w:id="112" w:name="_Toc55373980"/>
      <w:bookmarkStart w:id="113" w:name="_Toc140098570"/>
      <w:r>
        <w:rPr>
          <w:rFonts w:hint="eastAsia" w:ascii="Calibri" w:hAnsi="Calibri"/>
          <w:b/>
          <w:szCs w:val="24"/>
        </w:rPr>
        <w:t>3.6 工程照管与成品、半成品保护</w:t>
      </w:r>
      <w:bookmarkEnd w:id="111"/>
      <w:bookmarkEnd w:id="112"/>
      <w:bookmarkEnd w:id="113"/>
    </w:p>
    <w:p>
      <w:pPr>
        <w:spacing w:line="400" w:lineRule="exact"/>
        <w:ind w:firstLine="420" w:firstLineChars="200"/>
        <w:rPr>
          <w:rFonts w:ascii="宋体" w:hAnsi="宋体" w:cs="宋体"/>
          <w:szCs w:val="22"/>
          <w:u w:val="single"/>
        </w:rPr>
      </w:pPr>
      <w:r>
        <w:rPr>
          <w:rFonts w:hint="eastAsia" w:ascii="宋体" w:hAnsi="宋体" w:cs="宋体"/>
          <w:szCs w:val="22"/>
        </w:rPr>
        <w:t>承包人负责照管工程及工程相关的材料、工程设备的起始时间：</w:t>
      </w:r>
      <w:r>
        <w:rPr>
          <w:rFonts w:hint="eastAsia" w:ascii="宋体" w:hAnsi="宋体" w:cs="宋体"/>
          <w:szCs w:val="22"/>
          <w:u w:val="single"/>
        </w:rPr>
        <w:t>按通用条款，无特殊约定。</w:t>
      </w:r>
    </w:p>
    <w:p>
      <w:pPr>
        <w:keepNext/>
        <w:keepLines/>
        <w:spacing w:before="260" w:after="260" w:line="412" w:lineRule="auto"/>
        <w:jc w:val="left"/>
        <w:outlineLvl w:val="2"/>
        <w:rPr>
          <w:rFonts w:ascii="Calibri" w:hAnsi="Calibri"/>
          <w:b/>
          <w:szCs w:val="24"/>
        </w:rPr>
      </w:pPr>
      <w:bookmarkStart w:id="114" w:name="_Toc69641878"/>
      <w:bookmarkStart w:id="115" w:name="_Toc55373981"/>
      <w:bookmarkStart w:id="116" w:name="_Toc140098571"/>
      <w:r>
        <w:rPr>
          <w:rFonts w:hint="eastAsia" w:ascii="Calibri" w:hAnsi="Calibri"/>
          <w:b/>
          <w:szCs w:val="24"/>
        </w:rPr>
        <w:t>3.7 履约担保</w:t>
      </w:r>
      <w:bookmarkEnd w:id="114"/>
      <w:bookmarkEnd w:id="115"/>
      <w:bookmarkEnd w:id="116"/>
    </w:p>
    <w:p>
      <w:pPr>
        <w:spacing w:line="400" w:lineRule="exact"/>
        <w:ind w:firstLine="420" w:firstLineChars="200"/>
        <w:rPr>
          <w:rFonts w:ascii="宋体" w:hAnsi="宋体" w:cs="宋体"/>
          <w:szCs w:val="22"/>
        </w:rPr>
      </w:pPr>
      <w:r>
        <w:rPr>
          <w:rFonts w:hint="eastAsia" w:ascii="宋体" w:hAnsi="宋体" w:cs="宋体"/>
          <w:szCs w:val="22"/>
        </w:rPr>
        <w:t>承包人是否提供履约担保：</w:t>
      </w:r>
      <w:r>
        <w:rPr>
          <w:rFonts w:hint="eastAsia" w:ascii="宋体" w:hAnsi="宋体" w:cs="宋体"/>
          <w:szCs w:val="22"/>
          <w:u w:val="single"/>
        </w:rPr>
        <w:t xml:space="preserve"> 提供 。</w:t>
      </w:r>
    </w:p>
    <w:p>
      <w:pPr>
        <w:spacing w:line="400" w:lineRule="exact"/>
        <w:ind w:firstLine="420" w:firstLineChars="200"/>
        <w:jc w:val="left"/>
        <w:rPr>
          <w:rFonts w:ascii="宋体" w:hAnsi="宋体" w:cs="宋体"/>
          <w:szCs w:val="24"/>
          <w:u w:val="single"/>
        </w:rPr>
      </w:pPr>
      <w:r>
        <w:rPr>
          <w:rFonts w:hint="eastAsia" w:ascii="宋体" w:hAnsi="宋体" w:cs="宋体"/>
          <w:szCs w:val="24"/>
        </w:rPr>
        <w:t>承包人提供履约担保的形式、金额及期限的：</w:t>
      </w:r>
      <w:r>
        <w:rPr>
          <w:rFonts w:hint="eastAsia" w:hAnsi="宋体" w:cs="宋体"/>
          <w:u w:val="single"/>
        </w:rPr>
        <w:t>在合同签订之前，承包人按成交金额的5%（如承包人为中小微企业的，按成交金额的2%）向发包人交纳履约保证金</w:t>
      </w:r>
      <w:r>
        <w:rPr>
          <w:rFonts w:hAnsi="宋体" w:cs="宋体"/>
          <w:u w:val="single"/>
        </w:rPr>
        <w:t>。</w:t>
      </w:r>
      <w:r>
        <w:rPr>
          <w:rFonts w:hint="eastAsia" w:hAnsi="宋体" w:cs="宋体"/>
          <w:u w:val="single"/>
        </w:rPr>
        <w:t>履约担保的有效期应当自本合同生效之日起至发包人签认并由监理人向承包人出具建设</w:t>
      </w:r>
      <w:r>
        <w:rPr>
          <w:rFonts w:hint="eastAsia" w:ascii="宋体" w:hAnsi="宋体" w:cs="宋体"/>
          <w:szCs w:val="24"/>
          <w:u w:val="single"/>
        </w:rPr>
        <w:t>工程竣工验收意见书</w:t>
      </w:r>
      <w:r>
        <w:rPr>
          <w:rFonts w:hint="eastAsia" w:hAnsi="宋体" w:cs="宋体"/>
          <w:u w:val="single"/>
        </w:rPr>
        <w:t>之日止。如果承包人无法获得一份不带具体截止日期的担保，履约担保中应当有</w:t>
      </w:r>
      <w:r>
        <w:rPr>
          <w:u w:val="single"/>
        </w:rPr>
        <w:t>“</w:t>
      </w:r>
      <w:r>
        <w:rPr>
          <w:rFonts w:hint="eastAsia" w:hAnsi="宋体" w:cs="宋体"/>
          <w:u w:val="single"/>
        </w:rPr>
        <w:t>变更工程竣工日期的，保证期间按照变更后的竣工日期做相应调整</w:t>
      </w:r>
      <w:r>
        <w:rPr>
          <w:u w:val="single"/>
        </w:rPr>
        <w:t>”</w:t>
      </w:r>
      <w:r>
        <w:rPr>
          <w:rFonts w:hint="eastAsia" w:hAnsi="宋体" w:cs="宋体"/>
          <w:u w:val="single"/>
        </w:rPr>
        <w:t>或类似约定的条款。</w:t>
      </w:r>
      <w:r>
        <w:rPr>
          <w:rFonts w:hint="eastAsia" w:ascii="宋体" w:hAnsi="宋体" w:cs="宋体"/>
          <w:szCs w:val="24"/>
          <w:u w:val="single"/>
        </w:rPr>
        <w:t>若承包人未及时提供履约担保，发包人暂停支付工程款。</w:t>
      </w:r>
    </w:p>
    <w:p>
      <w:pPr>
        <w:spacing w:line="400" w:lineRule="exact"/>
        <w:ind w:firstLine="420" w:firstLineChars="200"/>
        <w:jc w:val="left"/>
        <w:rPr>
          <w:rFonts w:hAnsi="宋体" w:cs="宋体"/>
          <w:szCs w:val="24"/>
          <w:u w:val="single"/>
        </w:rPr>
      </w:pPr>
      <w:r>
        <w:rPr>
          <w:rFonts w:hint="eastAsia" w:hAnsi="宋体" w:cs="宋体"/>
          <w:szCs w:val="24"/>
        </w:rPr>
        <w:t>承包人提供履约担保的形式：</w:t>
      </w:r>
      <w:r>
        <w:rPr>
          <w:rFonts w:hint="eastAsia"/>
          <w:szCs w:val="24"/>
          <w:u w:val="single"/>
        </w:rPr>
        <w:t>可以是</w:t>
      </w:r>
      <w:r>
        <w:rPr>
          <w:rFonts w:hint="eastAsia" w:hAnsi="宋体" w:cs="宋体"/>
          <w:szCs w:val="24"/>
          <w:u w:val="single"/>
        </w:rPr>
        <w:t>银行转账、电汇或网上支付、保函【银行保函</w:t>
      </w:r>
      <w:r>
        <w:rPr>
          <w:rFonts w:hint="eastAsia" w:ascii="宋体" w:hAnsi="宋体" w:cs="宋体"/>
          <w:szCs w:val="24"/>
          <w:u w:val="single"/>
        </w:rPr>
        <w:t>（详见附件10）、</w:t>
      </w:r>
      <w:r>
        <w:rPr>
          <w:rFonts w:hint="eastAsia" w:hAnsi="宋体" w:cs="宋体"/>
          <w:szCs w:val="24"/>
          <w:u w:val="single"/>
        </w:rPr>
        <w:t>电子</w:t>
      </w:r>
      <w:r>
        <w:rPr>
          <w:rFonts w:hAnsi="宋体" w:cs="宋体"/>
          <w:szCs w:val="24"/>
          <w:u w:val="single"/>
        </w:rPr>
        <w:t>保函</w:t>
      </w:r>
      <w:r>
        <w:rPr>
          <w:rFonts w:hint="eastAsia" w:hAnsi="宋体" w:cs="宋体"/>
          <w:szCs w:val="24"/>
          <w:u w:val="single"/>
        </w:rPr>
        <w:t>、保证保险保函、工程担保保函</w:t>
      </w:r>
      <w:r>
        <w:rPr>
          <w:rFonts w:hint="eastAsia" w:ascii="宋体" w:hAnsi="宋体" w:cs="宋体"/>
          <w:szCs w:val="24"/>
          <w:u w:val="single"/>
        </w:rPr>
        <w:t>（详见附件9）</w:t>
      </w:r>
      <w:r>
        <w:rPr>
          <w:rFonts w:hint="eastAsia" w:hAnsi="宋体" w:cs="宋体"/>
          <w:szCs w:val="24"/>
          <w:u w:val="single"/>
        </w:rPr>
        <w:t>】</w:t>
      </w:r>
      <w:r>
        <w:rPr>
          <w:rFonts w:hint="eastAsia" w:hAnsi="宋体"/>
          <w:szCs w:val="24"/>
          <w:u w:val="single"/>
        </w:rPr>
        <w:t>等</w:t>
      </w:r>
      <w:r>
        <w:rPr>
          <w:rFonts w:hint="eastAsia" w:hAnsi="宋体" w:cs="宋体"/>
          <w:szCs w:val="24"/>
          <w:u w:val="single"/>
        </w:rPr>
        <w:t>形</w:t>
      </w:r>
      <w:r>
        <w:rPr>
          <w:rFonts w:hint="eastAsia" w:hAnsi="宋体"/>
          <w:szCs w:val="24"/>
          <w:u w:val="single"/>
        </w:rPr>
        <w:t>式</w:t>
      </w:r>
      <w:r>
        <w:rPr>
          <w:rFonts w:hint="eastAsia" w:hAnsi="宋体" w:cs="宋体"/>
          <w:szCs w:val="24"/>
          <w:u w:val="single"/>
        </w:rPr>
        <w:t>。</w:t>
      </w:r>
    </w:p>
    <w:p>
      <w:pPr>
        <w:spacing w:line="400" w:lineRule="exact"/>
        <w:ind w:firstLine="420" w:firstLineChars="200"/>
        <w:rPr>
          <w:rFonts w:ascii="宋体" w:hAnsi="宋体" w:cs="宋体"/>
          <w:szCs w:val="22"/>
        </w:rPr>
      </w:pPr>
      <w:r>
        <w:rPr>
          <w:rFonts w:hint="eastAsia" w:ascii="宋体" w:hAnsi="宋体" w:cs="宋体"/>
          <w:szCs w:val="22"/>
        </w:rPr>
        <w:t>履约保证金不计利息，工程竣工验收合格并对验收发现的问题完成整改合格后，承包人可向发包人申请退还履约保证金，发包人应在收到申请之日起5个工作日内扣减承包人赔偿金和其他应从承包人扣回的款项后，将履约保证金的余额退还给承包人。（承包人若有违约，按专用条款7.5.2条执行，发包人可从应向承包人支付的任何金额中扣除违约款或以其他方式收回此款）。</w:t>
      </w:r>
    </w:p>
    <w:p>
      <w:pPr>
        <w:spacing w:line="400" w:lineRule="exact"/>
        <w:ind w:firstLine="420" w:firstLineChars="200"/>
        <w:jc w:val="left"/>
        <w:rPr>
          <w:rFonts w:hAnsi="宋体"/>
          <w:u w:val="single"/>
        </w:rPr>
      </w:pPr>
    </w:p>
    <w:p>
      <w:pPr>
        <w:adjustRightInd w:val="0"/>
        <w:spacing w:line="380" w:lineRule="exact"/>
        <w:ind w:firstLine="420" w:firstLineChars="200"/>
        <w:jc w:val="left"/>
        <w:rPr>
          <w:rFonts w:hAnsi="宋体"/>
        </w:rPr>
      </w:pPr>
      <w:r>
        <w:rPr>
          <w:rFonts w:hint="eastAsia" w:hAnsi="宋体"/>
        </w:rPr>
        <w:t>备</w:t>
      </w:r>
      <w:r>
        <w:rPr>
          <w:rFonts w:hAnsi="宋体"/>
        </w:rPr>
        <w:t xml:space="preserve">    </w:t>
      </w:r>
      <w:r>
        <w:rPr>
          <w:rFonts w:hint="eastAsia" w:hAnsi="宋体"/>
        </w:rPr>
        <w:t>注：</w:t>
      </w:r>
    </w:p>
    <w:p>
      <w:pPr>
        <w:spacing w:line="400" w:lineRule="exact"/>
        <w:ind w:firstLine="420" w:firstLineChars="200"/>
        <w:rPr>
          <w:rFonts w:ascii="宋体" w:hAnsi="宋体" w:cs="宋体"/>
          <w:szCs w:val="22"/>
          <w:u w:val="single"/>
        </w:rPr>
      </w:pPr>
      <w:r>
        <w:rPr>
          <w:rFonts w:hint="eastAsia" w:ascii="宋体" w:hAnsi="宋体" w:cs="宋体"/>
          <w:szCs w:val="22"/>
        </w:rPr>
        <w:t>履约保证金不足额缴纳的（包含保函额度不足的），或者不按规定提交方式提交的，或者保函有效期低于合同履行期限（即合同中规定的当事人履行自己的义务，如交付标的工程、价款或者报酬，履行劳务、完成工作的时间界限）的，不予签订合同。</w:t>
      </w:r>
    </w:p>
    <w:p>
      <w:pPr>
        <w:keepNext/>
        <w:keepLines/>
        <w:spacing w:before="260" w:after="260" w:line="412" w:lineRule="auto"/>
        <w:ind w:firstLine="422" w:firstLineChars="200"/>
        <w:jc w:val="left"/>
        <w:outlineLvl w:val="1"/>
        <w:rPr>
          <w:rFonts w:ascii="Arial" w:hAnsi="Arial" w:cs="宋体"/>
          <w:b/>
          <w:szCs w:val="22"/>
        </w:rPr>
      </w:pPr>
      <w:bookmarkStart w:id="117" w:name="_Toc69641879"/>
      <w:bookmarkStart w:id="118" w:name="_Toc55373982"/>
      <w:bookmarkStart w:id="119" w:name="_Toc140098572"/>
      <w:r>
        <w:rPr>
          <w:rFonts w:hint="eastAsia" w:ascii="Arial" w:hAnsi="Arial" w:cs="宋体"/>
          <w:b/>
          <w:szCs w:val="22"/>
        </w:rPr>
        <w:t>4. 监理人</w:t>
      </w:r>
      <w:bookmarkEnd w:id="117"/>
      <w:bookmarkEnd w:id="118"/>
      <w:bookmarkEnd w:id="119"/>
    </w:p>
    <w:p>
      <w:pPr>
        <w:keepNext/>
        <w:keepLines/>
        <w:spacing w:before="260" w:after="260" w:line="412" w:lineRule="auto"/>
        <w:jc w:val="left"/>
        <w:outlineLvl w:val="2"/>
        <w:rPr>
          <w:rFonts w:ascii="Calibri" w:hAnsi="Calibri"/>
          <w:b/>
          <w:szCs w:val="24"/>
        </w:rPr>
      </w:pPr>
      <w:bookmarkStart w:id="120" w:name="_Toc55373983"/>
      <w:bookmarkStart w:id="121" w:name="_Toc69641880"/>
      <w:bookmarkStart w:id="122" w:name="_Toc140098573"/>
      <w:r>
        <w:rPr>
          <w:rFonts w:hint="eastAsia" w:ascii="Calibri" w:hAnsi="Calibri"/>
          <w:b/>
          <w:szCs w:val="24"/>
        </w:rPr>
        <w:t>4.1监理人的一般规定</w:t>
      </w:r>
      <w:bookmarkEnd w:id="120"/>
      <w:bookmarkEnd w:id="121"/>
      <w:bookmarkEnd w:id="122"/>
    </w:p>
    <w:p>
      <w:pPr>
        <w:spacing w:line="400" w:lineRule="exact"/>
        <w:ind w:firstLine="420" w:firstLineChars="200"/>
        <w:rPr>
          <w:rFonts w:ascii="宋体" w:hAnsi="宋体" w:cs="宋体"/>
          <w:szCs w:val="22"/>
        </w:rPr>
      </w:pPr>
      <w:r>
        <w:rPr>
          <w:rFonts w:hint="eastAsia" w:ascii="宋体" w:hAnsi="宋体" w:cs="宋体"/>
          <w:szCs w:val="22"/>
        </w:rPr>
        <w:t>关于监理人的监理内容：</w:t>
      </w:r>
      <w:r>
        <w:rPr>
          <w:rFonts w:hint="eastAsia" w:ascii="宋体" w:hAnsi="宋体" w:cs="宋体"/>
          <w:szCs w:val="22"/>
          <w:u w:val="single"/>
        </w:rPr>
        <w:t xml:space="preserve"> 见监理合同。</w:t>
      </w:r>
    </w:p>
    <w:p>
      <w:pPr>
        <w:spacing w:line="400" w:lineRule="exact"/>
        <w:ind w:firstLine="420" w:firstLineChars="200"/>
        <w:rPr>
          <w:rFonts w:ascii="宋体" w:hAnsi="宋体" w:cs="宋体"/>
          <w:szCs w:val="22"/>
        </w:rPr>
      </w:pPr>
      <w:r>
        <w:rPr>
          <w:rFonts w:hint="eastAsia" w:ascii="宋体" w:hAnsi="宋体" w:cs="宋体"/>
          <w:szCs w:val="22"/>
        </w:rPr>
        <w:t>关于监理人的监理权限：</w:t>
      </w:r>
      <w:r>
        <w:rPr>
          <w:rFonts w:hint="eastAsia" w:ascii="宋体" w:hAnsi="宋体" w:cs="宋体"/>
          <w:szCs w:val="22"/>
          <w:u w:val="single"/>
        </w:rPr>
        <w:t>见监理合同。</w:t>
      </w:r>
      <w:r>
        <w:rPr>
          <w:rFonts w:hint="eastAsia" w:ascii="宋体" w:hAnsi="宋体" w:cs="宋体"/>
          <w:szCs w:val="22"/>
        </w:rPr>
        <w:t xml:space="preserve"> </w:t>
      </w:r>
    </w:p>
    <w:p>
      <w:pPr>
        <w:spacing w:line="400" w:lineRule="exact"/>
        <w:ind w:firstLine="420" w:firstLineChars="200"/>
        <w:rPr>
          <w:rFonts w:ascii="宋体" w:hAnsi="宋体" w:cs="宋体"/>
          <w:szCs w:val="22"/>
        </w:rPr>
      </w:pPr>
      <w:r>
        <w:rPr>
          <w:rFonts w:hint="eastAsia" w:ascii="宋体" w:hAnsi="宋体" w:cs="宋体"/>
          <w:szCs w:val="22"/>
        </w:rPr>
        <w:t>关于监理人在施工现场的办公场所、生活场所的提供和费用承担的约定：向监理人提供本工程办公室及相关办公桌椅。提供有关条件的内容和可能发生的费用由承包人承担。</w:t>
      </w:r>
    </w:p>
    <w:p>
      <w:pPr>
        <w:keepNext/>
        <w:keepLines/>
        <w:spacing w:before="260" w:after="260" w:line="412" w:lineRule="auto"/>
        <w:jc w:val="left"/>
        <w:outlineLvl w:val="2"/>
        <w:rPr>
          <w:rFonts w:ascii="Calibri" w:hAnsi="Calibri"/>
          <w:b/>
          <w:szCs w:val="24"/>
        </w:rPr>
      </w:pPr>
      <w:bookmarkStart w:id="123" w:name="_Toc69641881"/>
      <w:bookmarkStart w:id="124" w:name="_Toc140098574"/>
      <w:bookmarkStart w:id="125" w:name="_Toc55373984"/>
      <w:r>
        <w:rPr>
          <w:rFonts w:hint="eastAsia" w:ascii="Calibri" w:hAnsi="Calibri"/>
          <w:b/>
          <w:szCs w:val="24"/>
        </w:rPr>
        <w:t>4.2 监理人员</w:t>
      </w:r>
      <w:bookmarkEnd w:id="123"/>
      <w:bookmarkEnd w:id="124"/>
      <w:bookmarkEnd w:id="125"/>
    </w:p>
    <w:p>
      <w:pPr>
        <w:spacing w:line="400" w:lineRule="exact"/>
        <w:ind w:firstLine="420" w:firstLineChars="200"/>
        <w:rPr>
          <w:rFonts w:ascii="宋体" w:hAnsi="宋体" w:cs="宋体"/>
          <w:szCs w:val="22"/>
        </w:rPr>
      </w:pPr>
      <w:r>
        <w:rPr>
          <w:rFonts w:hint="eastAsia" w:ascii="宋体" w:hAnsi="宋体" w:cs="宋体"/>
          <w:szCs w:val="22"/>
        </w:rPr>
        <w:t xml:space="preserve">总监理工程师： </w:t>
      </w:r>
    </w:p>
    <w:p>
      <w:pPr>
        <w:spacing w:line="400" w:lineRule="exact"/>
        <w:ind w:firstLine="420" w:firstLineChars="200"/>
        <w:rPr>
          <w:rFonts w:ascii="宋体" w:hAnsi="宋体" w:cs="宋体"/>
          <w:szCs w:val="22"/>
        </w:rPr>
      </w:pPr>
      <w:r>
        <w:rPr>
          <w:rFonts w:hint="eastAsia" w:ascii="宋体" w:hAnsi="宋体" w:cs="宋体"/>
          <w:szCs w:val="22"/>
        </w:rPr>
        <w:t>姓    名：                                   ；</w:t>
      </w:r>
    </w:p>
    <w:p>
      <w:pPr>
        <w:spacing w:line="400" w:lineRule="exact"/>
        <w:ind w:firstLine="420" w:firstLineChars="200"/>
        <w:rPr>
          <w:rFonts w:ascii="宋体" w:hAnsi="宋体" w:cs="宋体"/>
          <w:szCs w:val="22"/>
        </w:rPr>
      </w:pPr>
      <w:r>
        <w:rPr>
          <w:rFonts w:hint="eastAsia" w:ascii="宋体" w:hAnsi="宋体" w:cs="宋体"/>
          <w:szCs w:val="22"/>
        </w:rPr>
        <w:t>监理工程师执业资格证书号：                   ；</w:t>
      </w:r>
    </w:p>
    <w:p>
      <w:pPr>
        <w:spacing w:line="400" w:lineRule="exact"/>
        <w:ind w:firstLine="440" w:firstLineChars="200"/>
        <w:rPr>
          <w:rFonts w:ascii="宋体" w:hAnsi="宋体" w:cs="宋体"/>
          <w:szCs w:val="22"/>
        </w:rPr>
      </w:pPr>
      <w:r>
        <w:rPr>
          <w:rFonts w:hint="eastAsia" w:ascii="宋体" w:hAnsi="宋体" w:cs="宋体"/>
          <w:sz w:val="22"/>
          <w:szCs w:val="22"/>
        </w:rPr>
        <w:t xml:space="preserve">   </w:t>
      </w:r>
      <w:r>
        <w:rPr>
          <w:rFonts w:hint="eastAsia" w:ascii="宋体" w:hAnsi="宋体" w:cs="宋体"/>
          <w:szCs w:val="22"/>
        </w:rPr>
        <w:t>联系电话：                                   。</w:t>
      </w:r>
    </w:p>
    <w:p>
      <w:pPr>
        <w:keepNext/>
        <w:keepLines/>
        <w:spacing w:before="260" w:after="260" w:line="412" w:lineRule="auto"/>
        <w:jc w:val="left"/>
        <w:outlineLvl w:val="2"/>
        <w:rPr>
          <w:rFonts w:ascii="Calibri" w:hAnsi="Calibri"/>
          <w:b/>
          <w:szCs w:val="24"/>
        </w:rPr>
      </w:pPr>
      <w:bookmarkStart w:id="126" w:name="_Toc55373985"/>
      <w:bookmarkStart w:id="127" w:name="_Toc140098575"/>
      <w:bookmarkStart w:id="128" w:name="_Toc69641882"/>
      <w:r>
        <w:rPr>
          <w:rFonts w:hint="eastAsia" w:ascii="Calibri" w:hAnsi="Calibri"/>
          <w:b/>
          <w:szCs w:val="24"/>
        </w:rPr>
        <w:t>4.4 商定或确定</w:t>
      </w:r>
      <w:bookmarkEnd w:id="126"/>
      <w:bookmarkEnd w:id="127"/>
      <w:bookmarkEnd w:id="128"/>
    </w:p>
    <w:p>
      <w:pPr>
        <w:spacing w:line="400" w:lineRule="exact"/>
        <w:ind w:firstLine="420" w:firstLineChars="200"/>
        <w:rPr>
          <w:rFonts w:ascii="宋体" w:hAnsi="宋体" w:cs="宋体"/>
          <w:szCs w:val="22"/>
        </w:rPr>
      </w:pPr>
      <w:r>
        <w:rPr>
          <w:rFonts w:hint="eastAsia" w:ascii="宋体" w:hAnsi="宋体" w:cs="宋体"/>
          <w:szCs w:val="22"/>
        </w:rPr>
        <w:t>在发包人和承包人不能通过协商达成一致意见时，发包人授权监理人对以下事项进行确定：</w:t>
      </w:r>
    </w:p>
    <w:p>
      <w:pPr>
        <w:spacing w:line="400" w:lineRule="exact"/>
        <w:ind w:firstLine="420" w:firstLineChars="200"/>
        <w:rPr>
          <w:rFonts w:ascii="宋体" w:hAnsi="宋体" w:cs="宋体"/>
          <w:szCs w:val="22"/>
        </w:rPr>
      </w:pPr>
      <w:r>
        <w:rPr>
          <w:rFonts w:hint="eastAsia" w:ascii="宋体" w:hAnsi="宋体" w:cs="宋体"/>
          <w:szCs w:val="22"/>
        </w:rPr>
        <w:t>（1）合同约定总监理工程师应按照本款对任何事项进行商定或确定时，总监理工程师应与合同当事人协商，尽量达成一致。不能达成一致的，总监理工程师应认真研究后审慎确定。</w:t>
      </w:r>
    </w:p>
    <w:p>
      <w:pPr>
        <w:spacing w:line="400" w:lineRule="exact"/>
        <w:ind w:firstLine="420" w:firstLineChars="200"/>
        <w:rPr>
          <w:rFonts w:ascii="宋体" w:hAnsi="宋体" w:cs="宋体"/>
          <w:kern w:val="0"/>
          <w:szCs w:val="22"/>
        </w:rPr>
      </w:pPr>
      <w:r>
        <w:rPr>
          <w:rFonts w:hint="eastAsia" w:ascii="宋体" w:hAnsi="宋体" w:cs="宋体"/>
          <w:szCs w:val="22"/>
        </w:rPr>
        <w:t>（2）总监理工程师应将商定或确定的事项通知合同当事人，并附详细依据。对总监理工程师的确定有异议的，构成争议，按照按专用条款第20条的约定处理。按照按专用条款第20条的约定对总监理工程师的确定作出修改的，按修改后的结果执行。</w:t>
      </w:r>
    </w:p>
    <w:p>
      <w:pPr>
        <w:keepNext/>
        <w:keepLines/>
        <w:spacing w:before="260" w:after="260" w:line="412" w:lineRule="auto"/>
        <w:ind w:firstLine="422" w:firstLineChars="200"/>
        <w:jc w:val="left"/>
        <w:outlineLvl w:val="1"/>
        <w:rPr>
          <w:rFonts w:ascii="Arial" w:hAnsi="Arial" w:cs="宋体"/>
          <w:b/>
          <w:szCs w:val="22"/>
        </w:rPr>
      </w:pPr>
      <w:bookmarkStart w:id="129" w:name="_Toc55373986"/>
      <w:bookmarkStart w:id="130" w:name="_Toc69641883"/>
      <w:bookmarkStart w:id="131" w:name="_Toc140098576"/>
      <w:r>
        <w:rPr>
          <w:rFonts w:hint="eastAsia" w:ascii="Arial" w:hAnsi="Arial" w:cs="宋体"/>
          <w:b/>
          <w:szCs w:val="22"/>
        </w:rPr>
        <w:t>5. 工程质量</w:t>
      </w:r>
      <w:bookmarkEnd w:id="129"/>
      <w:bookmarkEnd w:id="130"/>
      <w:bookmarkEnd w:id="131"/>
    </w:p>
    <w:p>
      <w:pPr>
        <w:keepNext/>
        <w:keepLines/>
        <w:spacing w:before="260" w:after="260" w:line="412" w:lineRule="auto"/>
        <w:jc w:val="left"/>
        <w:outlineLvl w:val="2"/>
        <w:rPr>
          <w:rFonts w:ascii="Calibri" w:hAnsi="Calibri"/>
          <w:b/>
          <w:szCs w:val="24"/>
        </w:rPr>
      </w:pPr>
      <w:bookmarkStart w:id="132" w:name="_Toc55373987"/>
      <w:bookmarkStart w:id="133" w:name="_Toc140098577"/>
      <w:bookmarkStart w:id="134" w:name="_Toc69641884"/>
      <w:r>
        <w:rPr>
          <w:rFonts w:hint="eastAsia" w:ascii="Calibri" w:hAnsi="Calibri"/>
          <w:b/>
          <w:szCs w:val="24"/>
        </w:rPr>
        <w:t>5.1 质量要求</w:t>
      </w:r>
      <w:bookmarkEnd w:id="132"/>
      <w:bookmarkEnd w:id="133"/>
      <w:bookmarkEnd w:id="134"/>
    </w:p>
    <w:p>
      <w:pPr>
        <w:spacing w:line="400" w:lineRule="exact"/>
        <w:ind w:firstLine="420" w:firstLineChars="200"/>
        <w:rPr>
          <w:rFonts w:ascii="宋体" w:hAnsi="宋体" w:cs="宋体"/>
          <w:szCs w:val="22"/>
        </w:rPr>
      </w:pPr>
      <w:r>
        <w:rPr>
          <w:rFonts w:hint="eastAsia" w:ascii="宋体" w:hAnsi="宋体" w:cs="宋体"/>
          <w:szCs w:val="22"/>
        </w:rPr>
        <w:t>5.1.1 特殊质量标准和要求：</w:t>
      </w:r>
      <w:r>
        <w:rPr>
          <w:rFonts w:hint="eastAsia" w:ascii="宋体" w:hAnsi="宋体" w:cs="宋体"/>
          <w:szCs w:val="22"/>
          <w:u w:val="single"/>
        </w:rPr>
        <w:t xml:space="preserve">   /   </w:t>
      </w:r>
      <w:r>
        <w:rPr>
          <w:rFonts w:hint="eastAsia" w:ascii="宋体" w:hAnsi="宋体" w:cs="宋体"/>
          <w:szCs w:val="22"/>
        </w:rPr>
        <w:t>。</w:t>
      </w:r>
    </w:p>
    <w:p>
      <w:pPr>
        <w:spacing w:line="400" w:lineRule="exact"/>
        <w:ind w:firstLine="420" w:firstLineChars="200"/>
        <w:rPr>
          <w:rFonts w:ascii="宋体" w:hAnsi="宋体" w:cs="宋体"/>
          <w:szCs w:val="22"/>
        </w:rPr>
      </w:pPr>
      <w:r>
        <w:rPr>
          <w:rFonts w:hint="eastAsia" w:ascii="宋体" w:hAnsi="宋体" w:cs="宋体"/>
          <w:szCs w:val="22"/>
        </w:rPr>
        <w:t>关于工程奖项的约定：</w:t>
      </w:r>
      <w:r>
        <w:rPr>
          <w:rFonts w:hint="eastAsia" w:ascii="宋体" w:hAnsi="宋体" w:cs="宋体"/>
          <w:szCs w:val="22"/>
          <w:u w:val="single"/>
        </w:rPr>
        <w:t xml:space="preserve">    无   </w:t>
      </w:r>
      <w:r>
        <w:rPr>
          <w:rFonts w:hint="eastAsia" w:ascii="宋体" w:hAnsi="宋体" w:cs="宋体"/>
          <w:szCs w:val="22"/>
        </w:rPr>
        <w:t>。</w:t>
      </w:r>
    </w:p>
    <w:p>
      <w:pPr>
        <w:keepNext/>
        <w:keepLines/>
        <w:spacing w:before="260" w:after="260" w:line="412" w:lineRule="auto"/>
        <w:jc w:val="left"/>
        <w:outlineLvl w:val="2"/>
        <w:rPr>
          <w:rFonts w:ascii="Calibri" w:hAnsi="Calibri"/>
          <w:b/>
          <w:szCs w:val="24"/>
        </w:rPr>
      </w:pPr>
      <w:bookmarkStart w:id="135" w:name="_Toc140098578"/>
      <w:bookmarkStart w:id="136" w:name="_Toc69641885"/>
      <w:bookmarkStart w:id="137" w:name="_Toc55373988"/>
      <w:r>
        <w:rPr>
          <w:rFonts w:hint="eastAsia" w:ascii="Calibri" w:hAnsi="Calibri"/>
          <w:b/>
          <w:szCs w:val="24"/>
        </w:rPr>
        <w:t>5.3 隐蔽工程检查</w:t>
      </w:r>
      <w:bookmarkEnd w:id="135"/>
      <w:bookmarkEnd w:id="136"/>
      <w:bookmarkEnd w:id="137"/>
    </w:p>
    <w:p>
      <w:pPr>
        <w:spacing w:line="400" w:lineRule="exact"/>
        <w:ind w:firstLine="420" w:firstLineChars="200"/>
        <w:rPr>
          <w:rFonts w:ascii="宋体" w:hAnsi="宋体" w:cs="宋体"/>
          <w:szCs w:val="22"/>
        </w:rPr>
      </w:pPr>
      <w:r>
        <w:rPr>
          <w:rFonts w:hint="eastAsia" w:ascii="宋体" w:hAnsi="宋体" w:cs="宋体"/>
          <w:szCs w:val="22"/>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spacing w:line="400" w:lineRule="exact"/>
        <w:ind w:firstLine="420" w:firstLineChars="200"/>
        <w:rPr>
          <w:rFonts w:ascii="宋体" w:hAnsi="宋体" w:cs="宋体"/>
          <w:szCs w:val="22"/>
        </w:rPr>
      </w:pPr>
      <w:r>
        <w:rPr>
          <w:rFonts w:hint="eastAsia" w:ascii="宋体" w:hAnsi="宋体" w:cs="宋体"/>
          <w:szCs w:val="22"/>
        </w:rPr>
        <w:t>监理人不能按时进行检查时，应提前</w:t>
      </w:r>
      <w:r>
        <w:rPr>
          <w:rFonts w:hint="eastAsia" w:ascii="宋体" w:hAnsi="宋体" w:cs="宋体"/>
          <w:szCs w:val="22"/>
          <w:u w:val="single"/>
        </w:rPr>
        <w:t xml:space="preserve"> 24 </w:t>
      </w:r>
      <w:r>
        <w:rPr>
          <w:rFonts w:hint="eastAsia" w:ascii="宋体" w:hAnsi="宋体" w:cs="宋体"/>
          <w:szCs w:val="22"/>
        </w:rPr>
        <w:t>小时提交书面延期要求。</w:t>
      </w:r>
    </w:p>
    <w:p>
      <w:pPr>
        <w:spacing w:line="400" w:lineRule="exact"/>
        <w:ind w:firstLine="420" w:firstLineChars="200"/>
        <w:rPr>
          <w:rFonts w:ascii="宋体" w:hAnsi="宋体" w:cs="宋体"/>
          <w:szCs w:val="22"/>
        </w:rPr>
      </w:pPr>
      <w:r>
        <w:rPr>
          <w:rFonts w:hint="eastAsia" w:ascii="宋体" w:hAnsi="宋体" w:cs="宋体"/>
          <w:szCs w:val="22"/>
        </w:rPr>
        <w:t>关于延期最长不得超过：</w:t>
      </w:r>
      <w:r>
        <w:rPr>
          <w:rFonts w:hint="eastAsia" w:ascii="宋体" w:hAnsi="宋体" w:cs="宋体"/>
          <w:szCs w:val="22"/>
          <w:u w:val="single"/>
        </w:rPr>
        <w:t xml:space="preserve"> 48 </w:t>
      </w:r>
      <w:r>
        <w:rPr>
          <w:rFonts w:hint="eastAsia" w:ascii="宋体" w:hAnsi="宋体" w:cs="宋体"/>
          <w:szCs w:val="22"/>
        </w:rPr>
        <w:t>小时。</w:t>
      </w:r>
    </w:p>
    <w:p>
      <w:pPr>
        <w:spacing w:line="400" w:lineRule="exact"/>
        <w:ind w:firstLine="420" w:firstLineChars="200"/>
        <w:rPr>
          <w:rFonts w:ascii="宋体" w:hAnsi="宋体" w:cs="宋体"/>
          <w:szCs w:val="22"/>
        </w:rPr>
      </w:pPr>
      <w:r>
        <w:rPr>
          <w:rFonts w:hint="eastAsia" w:ascii="宋体" w:hAnsi="宋体" w:cs="宋体"/>
          <w:szCs w:val="22"/>
        </w:rPr>
        <w:t>承包人应保留并向监理人、发包人提供隐蔽工程施工过程及验收时的图片、视频等电子资料。</w:t>
      </w:r>
    </w:p>
    <w:p>
      <w:pPr>
        <w:keepNext/>
        <w:keepLines/>
        <w:spacing w:before="260" w:after="260" w:line="412" w:lineRule="auto"/>
        <w:ind w:firstLine="422" w:firstLineChars="200"/>
        <w:jc w:val="left"/>
        <w:outlineLvl w:val="1"/>
        <w:rPr>
          <w:rFonts w:ascii="Arial" w:hAnsi="Arial" w:cs="宋体"/>
          <w:b/>
          <w:szCs w:val="22"/>
        </w:rPr>
      </w:pPr>
      <w:bookmarkStart w:id="138" w:name="_Toc55373989"/>
      <w:bookmarkStart w:id="139" w:name="_Toc69641886"/>
      <w:bookmarkStart w:id="140" w:name="_Toc140098579"/>
      <w:r>
        <w:rPr>
          <w:rFonts w:hint="eastAsia" w:ascii="Arial" w:hAnsi="Arial" w:cs="宋体"/>
          <w:b/>
          <w:szCs w:val="22"/>
        </w:rPr>
        <w:t>6. 安全文明施工与环境保护</w:t>
      </w:r>
      <w:bookmarkEnd w:id="138"/>
      <w:bookmarkEnd w:id="139"/>
      <w:bookmarkEnd w:id="140"/>
    </w:p>
    <w:p>
      <w:pPr>
        <w:keepNext/>
        <w:keepLines/>
        <w:spacing w:before="260" w:after="260" w:line="412" w:lineRule="auto"/>
        <w:jc w:val="left"/>
        <w:outlineLvl w:val="2"/>
        <w:rPr>
          <w:rFonts w:ascii="Calibri" w:hAnsi="Calibri"/>
          <w:b/>
          <w:szCs w:val="24"/>
        </w:rPr>
      </w:pPr>
      <w:bookmarkStart w:id="141" w:name="_Toc69641887"/>
      <w:bookmarkStart w:id="142" w:name="_Toc55373990"/>
      <w:bookmarkStart w:id="143" w:name="_Toc140098580"/>
      <w:r>
        <w:rPr>
          <w:rFonts w:hint="eastAsia" w:ascii="Calibri" w:hAnsi="Calibri"/>
          <w:b/>
          <w:szCs w:val="24"/>
        </w:rPr>
        <w:t>6.1安全文明施工</w:t>
      </w:r>
      <w:bookmarkEnd w:id="141"/>
      <w:bookmarkEnd w:id="142"/>
      <w:bookmarkEnd w:id="143"/>
    </w:p>
    <w:p>
      <w:pPr>
        <w:spacing w:line="400" w:lineRule="exact"/>
        <w:ind w:firstLine="420" w:firstLineChars="200"/>
        <w:rPr>
          <w:rFonts w:ascii="宋体" w:hAnsi="宋体" w:cs="宋体"/>
          <w:szCs w:val="22"/>
        </w:rPr>
      </w:pPr>
      <w:r>
        <w:rPr>
          <w:rFonts w:hint="eastAsia" w:ascii="宋体" w:hAnsi="宋体" w:cs="宋体"/>
          <w:szCs w:val="22"/>
        </w:rPr>
        <w:t>6.1.1项目安全生产的达标目标及相应事项的约定：</w:t>
      </w:r>
    </w:p>
    <w:p>
      <w:pPr>
        <w:spacing w:line="400" w:lineRule="exact"/>
        <w:ind w:firstLine="420" w:firstLineChars="200"/>
        <w:rPr>
          <w:rFonts w:ascii="宋体" w:hAnsi="宋体" w:cs="宋体"/>
          <w:szCs w:val="22"/>
        </w:rPr>
      </w:pPr>
      <w:r>
        <w:rPr>
          <w:rFonts w:hint="eastAsia" w:ascii="宋体" w:hAnsi="宋体" w:cs="宋体"/>
          <w:szCs w:val="22"/>
        </w:rPr>
        <w:t>（1）除执行各项合同条款以外，承包人须按照国家、广西区和桂林市有关规定做好现场安全及文明施工。承包人对单位工程内的安全负全部责任，由于承包人安全措施不力而造成安全事故和人身伤亡的，承包人承担全部责任、并承担因此发生的全部费用，发包人不承担任何责任；若因此造成发包人损失或被第三方索赔的，承包人须承担一切责任及费用。</w:t>
      </w:r>
    </w:p>
    <w:p>
      <w:pPr>
        <w:spacing w:line="400" w:lineRule="exact"/>
        <w:ind w:firstLine="420" w:firstLineChars="200"/>
        <w:rPr>
          <w:rFonts w:ascii="宋体" w:hAnsi="宋体" w:cs="宋体"/>
          <w:szCs w:val="22"/>
        </w:rPr>
      </w:pPr>
      <w:r>
        <w:rPr>
          <w:rFonts w:hint="eastAsia" w:ascii="宋体" w:hAnsi="宋体" w:cs="宋体"/>
          <w:szCs w:val="22"/>
        </w:rPr>
        <w:t>（2）在合同期内承包人对施工现场的安全生产管理必须严格执行《建筑施工安全检查标准》（JGJ59-2011）、《建设工程安全生产管理条例》（中华人民共和国国务院令第393号）和广西壮族自治区和桂林市有安全施工的有关规定，其费用已包含在相关工作的合同价格中；对检查不合格的，监理工程师有权下达限期停工整改通知，承包人在期限内无条件整改直至达到合格，造成工期延误的，工期不予顺延，由此造成的损失由承包人负责。</w:t>
      </w:r>
    </w:p>
    <w:p>
      <w:pPr>
        <w:spacing w:line="400" w:lineRule="exact"/>
        <w:ind w:firstLine="420" w:firstLineChars="200"/>
        <w:rPr>
          <w:rFonts w:ascii="宋体" w:hAnsi="宋体" w:cs="宋体"/>
          <w:szCs w:val="24"/>
          <w:u w:val="single"/>
        </w:rPr>
      </w:pPr>
      <w:r>
        <w:rPr>
          <w:rFonts w:hint="eastAsia" w:ascii="宋体" w:hAnsi="宋体" w:cs="宋体"/>
          <w:szCs w:val="24"/>
          <w:u w:val="single"/>
        </w:rPr>
        <w:t>（3）承包人须与发包人签订《安全生产协议书》详见附件13。</w:t>
      </w:r>
    </w:p>
    <w:p>
      <w:pPr>
        <w:spacing w:line="400" w:lineRule="exact"/>
        <w:ind w:firstLine="420" w:firstLineChars="200"/>
        <w:rPr>
          <w:rFonts w:ascii="宋体" w:hAnsi="宋体" w:cs="宋体"/>
          <w:szCs w:val="22"/>
        </w:rPr>
      </w:pPr>
      <w:r>
        <w:rPr>
          <w:rFonts w:hint="eastAsia" w:ascii="宋体" w:hAnsi="宋体" w:cs="宋体"/>
          <w:szCs w:val="22"/>
        </w:rPr>
        <w:t xml:space="preserve">6.1.4 关于治安保卫的特别约定：承包人应承担施工安全保卫工作及非夜间施工照明的责任，承包人应采取一切合理的预防措施，防止人员伤亡、财产损失事故，费用由承包人承担；承包人生活设施及施工现场应自费配备消防设备，防止火灾发生；承包人应保证其现场人员不得对项目整个场区内已建成的其他建筑和已安装的设备造成伤害。 </w:t>
      </w:r>
    </w:p>
    <w:p>
      <w:pPr>
        <w:spacing w:line="400" w:lineRule="exact"/>
        <w:ind w:firstLine="420" w:firstLineChars="200"/>
        <w:rPr>
          <w:rFonts w:ascii="宋体" w:hAnsi="宋体" w:cs="宋体"/>
          <w:szCs w:val="22"/>
        </w:rPr>
      </w:pPr>
      <w:r>
        <w:rPr>
          <w:rFonts w:hint="eastAsia" w:ascii="宋体" w:hAnsi="宋体" w:cs="宋体"/>
          <w:szCs w:val="22"/>
        </w:rPr>
        <w:t>关于编制施工场地治安管理计划的约定：由承包人编制，并在开工前7天向发包人和监理人提交。</w:t>
      </w:r>
    </w:p>
    <w:p>
      <w:pPr>
        <w:spacing w:line="400" w:lineRule="exact"/>
        <w:ind w:firstLine="420" w:firstLineChars="200"/>
        <w:rPr>
          <w:rFonts w:ascii="宋体" w:hAnsi="宋体" w:cs="宋体"/>
          <w:szCs w:val="22"/>
        </w:rPr>
      </w:pPr>
      <w:r>
        <w:rPr>
          <w:rFonts w:hint="eastAsia" w:ascii="宋体" w:hAnsi="宋体" w:cs="宋体"/>
          <w:szCs w:val="22"/>
        </w:rPr>
        <w:t>6.1.5 文明施工</w:t>
      </w:r>
    </w:p>
    <w:p>
      <w:pPr>
        <w:spacing w:line="400" w:lineRule="exact"/>
        <w:ind w:firstLine="420" w:firstLineChars="200"/>
        <w:rPr>
          <w:rFonts w:ascii="宋体" w:hAnsi="宋体" w:cs="宋体"/>
          <w:szCs w:val="22"/>
        </w:rPr>
      </w:pPr>
      <w:r>
        <w:rPr>
          <w:rFonts w:hint="eastAsia" w:ascii="宋体" w:hAnsi="宋体" w:cs="宋体"/>
          <w:szCs w:val="22"/>
        </w:rPr>
        <w:t>合同当事人对文明施工的要求：</w:t>
      </w:r>
      <w:r>
        <w:rPr>
          <w:rFonts w:hint="eastAsia" w:ascii="宋体" w:hAnsi="宋体" w:cs="宋体"/>
          <w:szCs w:val="22"/>
          <w:u w:val="single"/>
        </w:rPr>
        <w:t xml:space="preserve"> 执行通用条款。</w:t>
      </w:r>
    </w:p>
    <w:p>
      <w:pPr>
        <w:spacing w:line="400" w:lineRule="exact"/>
        <w:ind w:firstLine="420" w:firstLineChars="200"/>
        <w:rPr>
          <w:rFonts w:ascii="宋体" w:hAnsi="宋体" w:cs="宋体"/>
          <w:szCs w:val="22"/>
        </w:rPr>
      </w:pPr>
      <w:r>
        <w:rPr>
          <w:rFonts w:hint="eastAsia" w:ascii="宋体" w:hAnsi="宋体" w:cs="宋体"/>
          <w:szCs w:val="22"/>
        </w:rPr>
        <w:t>6.1.6 关于安全文明施工费支付比例和支付期限的约定：</w:t>
      </w:r>
      <w:bookmarkStart w:id="144" w:name="_Toc55373991"/>
      <w:bookmarkStart w:id="145" w:name="_Toc69641888"/>
      <w:bookmarkStart w:id="146" w:name="_Toc140098581"/>
      <w:r>
        <w:rPr>
          <w:rFonts w:ascii="宋体" w:hAnsi="宋体" w:cs="宋体"/>
          <w:szCs w:val="22"/>
        </w:rPr>
        <w:t>具体按《广西壮族自治区建筑工程安全防护、文明施工措施费及管理细则》（桂建质〔2015〕16 号）和当地建设行政主管部门要求执行。</w:t>
      </w:r>
    </w:p>
    <w:p>
      <w:pPr>
        <w:spacing w:line="400" w:lineRule="exact"/>
        <w:ind w:firstLine="420" w:firstLineChars="200"/>
        <w:rPr>
          <w:rFonts w:ascii="宋体" w:hAnsi="宋体" w:cs="宋体"/>
          <w:szCs w:val="22"/>
        </w:rPr>
      </w:pPr>
      <w:r>
        <w:rPr>
          <w:rFonts w:hint="eastAsia" w:ascii="宋体" w:hAnsi="宋体" w:cs="宋体"/>
          <w:szCs w:val="22"/>
        </w:rPr>
        <w:t>6.3 环境保护</w:t>
      </w:r>
      <w:bookmarkEnd w:id="144"/>
      <w:bookmarkEnd w:id="145"/>
      <w:bookmarkEnd w:id="146"/>
    </w:p>
    <w:p>
      <w:pPr>
        <w:spacing w:line="400" w:lineRule="exact"/>
        <w:ind w:firstLine="420" w:firstLineChars="200"/>
        <w:jc w:val="left"/>
        <w:rPr>
          <w:szCs w:val="24"/>
          <w:u w:val="single"/>
        </w:rPr>
      </w:pPr>
      <w:r>
        <w:rPr>
          <w:rFonts w:hint="eastAsia" w:ascii="宋体" w:hAnsi="宋体" w:cs="宋体"/>
          <w:szCs w:val="24"/>
          <w:u w:val="single"/>
        </w:rPr>
        <w:t>在施工期间对环境主要影响是机械噪声和废水、废渣、尘埃，对此承包人应采取相应的防治措施和严格管理，严格控制污染物排放，污染物排放前必须处理，达到排污标准后再排放。施工完毕后，承包人应及时将被破坏的场地，遵照监理工程师的指示进行清理、修正，并根据实际情况将场地恢复。施工期间因环境保护需办理的相关手续由承包人办理，并承担相关费用，如因承包人未交纳相关费用，发包人有权从工程款中扣除用于支付相关费用并计入结算。</w:t>
      </w:r>
      <w:r>
        <w:rPr>
          <w:rFonts w:hint="eastAsia" w:hAnsi="宋体" w:cs="宋体"/>
          <w:szCs w:val="24"/>
          <w:u w:val="single"/>
        </w:rPr>
        <w:t>经过城市道路的施工车辆，必须按交警、城管、运输等部门相关规定执行。由于施工车辆造成的道路、环境等污染，其责任和费用均由承包人承担。</w:t>
      </w:r>
    </w:p>
    <w:p>
      <w:pPr>
        <w:spacing w:line="400" w:lineRule="exact"/>
        <w:ind w:firstLine="420" w:firstLineChars="200"/>
        <w:rPr>
          <w:rFonts w:ascii="宋体" w:hAnsi="宋体" w:cs="宋体"/>
          <w:szCs w:val="22"/>
        </w:rPr>
      </w:pPr>
      <w:r>
        <w:rPr>
          <w:rFonts w:hint="eastAsia" w:ascii="宋体" w:hAnsi="宋体" w:cs="宋体"/>
          <w:szCs w:val="22"/>
        </w:rPr>
        <w:t>扬尘防治：严格执行《关于进一步加强全市建筑工地扬尘治理工作的通知》（市住建[2016]71号）的相关规定。关于扬尘防治费支付比例和支付期限的约定为：按《关于市建成区、临桂新区、灵川县范围内建筑工程新增扬尘防治费用的通知》（市住建[2016]34号）、《关于市建成区、临桂新区、灵川县范围内建筑工程新增扬尘防治费用通知的补充说明》（市住建[2016]156号）等的相关规定执行。</w:t>
      </w:r>
    </w:p>
    <w:p>
      <w:pPr>
        <w:keepNext/>
        <w:keepLines/>
        <w:spacing w:before="260" w:after="260" w:line="412" w:lineRule="auto"/>
        <w:ind w:firstLine="422" w:firstLineChars="200"/>
        <w:jc w:val="left"/>
        <w:outlineLvl w:val="1"/>
        <w:rPr>
          <w:rFonts w:ascii="Arial" w:hAnsi="Arial" w:cs="宋体"/>
          <w:b/>
          <w:szCs w:val="22"/>
        </w:rPr>
      </w:pPr>
      <w:bookmarkStart w:id="147" w:name="_Toc140098582"/>
      <w:bookmarkStart w:id="148" w:name="_Toc55373992"/>
      <w:bookmarkStart w:id="149" w:name="_Toc69641889"/>
      <w:r>
        <w:rPr>
          <w:rFonts w:hint="eastAsia" w:ascii="Arial" w:hAnsi="Arial" w:cs="宋体"/>
          <w:b/>
          <w:szCs w:val="22"/>
        </w:rPr>
        <w:t>7. 工期和进度</w:t>
      </w:r>
      <w:bookmarkEnd w:id="147"/>
      <w:bookmarkEnd w:id="148"/>
      <w:bookmarkEnd w:id="149"/>
    </w:p>
    <w:p>
      <w:pPr>
        <w:keepNext/>
        <w:keepLines/>
        <w:spacing w:before="260" w:after="260" w:line="412" w:lineRule="auto"/>
        <w:jc w:val="left"/>
        <w:outlineLvl w:val="2"/>
        <w:rPr>
          <w:rFonts w:ascii="Calibri" w:hAnsi="Calibri"/>
          <w:b/>
          <w:szCs w:val="24"/>
        </w:rPr>
      </w:pPr>
      <w:bookmarkStart w:id="150" w:name="_Toc140098583"/>
      <w:bookmarkStart w:id="151" w:name="_Toc55373993"/>
      <w:bookmarkStart w:id="152" w:name="_Toc69641890"/>
      <w:r>
        <w:rPr>
          <w:rFonts w:hint="eastAsia" w:ascii="Calibri" w:hAnsi="Calibri"/>
          <w:b/>
          <w:szCs w:val="24"/>
        </w:rPr>
        <w:t>7.1 施工组织设计</w:t>
      </w:r>
      <w:bookmarkEnd w:id="150"/>
      <w:bookmarkEnd w:id="151"/>
      <w:bookmarkEnd w:id="152"/>
    </w:p>
    <w:p>
      <w:pPr>
        <w:spacing w:line="400" w:lineRule="exact"/>
        <w:ind w:firstLine="420" w:firstLineChars="200"/>
        <w:rPr>
          <w:rFonts w:ascii="宋体" w:hAnsi="宋体" w:cs="宋体"/>
          <w:szCs w:val="22"/>
        </w:rPr>
      </w:pPr>
      <w:r>
        <w:rPr>
          <w:rFonts w:hint="eastAsia" w:ascii="宋体" w:hAnsi="宋体" w:cs="宋体"/>
          <w:szCs w:val="22"/>
        </w:rPr>
        <w:t>7.1.1 合同当事人约定的施工组织设计应包括的其他内容：1、施工进度计划包括总进度计划、分阶段和分项进度计划、设备材料人员进场计划；施工方案说明包括分部、分项工程或工程部位的名称及施工顺序和方法；2、管理人员名单、职称、职务、上岗证等；3、按照国家及地方有关规定应当提交的内容。</w:t>
      </w:r>
    </w:p>
    <w:p>
      <w:pPr>
        <w:spacing w:line="400" w:lineRule="exact"/>
        <w:ind w:firstLine="420" w:firstLineChars="200"/>
        <w:rPr>
          <w:rFonts w:ascii="宋体" w:hAnsi="宋体" w:cs="宋体"/>
          <w:szCs w:val="22"/>
        </w:rPr>
      </w:pPr>
      <w:r>
        <w:rPr>
          <w:rFonts w:hint="eastAsia" w:ascii="宋体" w:hAnsi="宋体" w:cs="宋体"/>
          <w:szCs w:val="22"/>
        </w:rPr>
        <w:t>7.1.2 施工组织设计的提交和修改</w:t>
      </w:r>
    </w:p>
    <w:p>
      <w:pPr>
        <w:spacing w:line="400" w:lineRule="exact"/>
        <w:ind w:firstLine="420" w:firstLineChars="200"/>
        <w:rPr>
          <w:rFonts w:ascii="宋体" w:hAnsi="宋体" w:cs="宋体"/>
          <w:szCs w:val="22"/>
          <w:u w:val="single"/>
        </w:rPr>
      </w:pPr>
      <w:r>
        <w:rPr>
          <w:rFonts w:hint="eastAsia" w:ascii="宋体" w:hAnsi="宋体" w:cs="宋体"/>
          <w:szCs w:val="22"/>
        </w:rPr>
        <w:t>承包人提交详细施工组织设计的期限的约定：</w:t>
      </w:r>
      <w:r>
        <w:rPr>
          <w:rFonts w:hint="eastAsia" w:ascii="宋体" w:hAnsi="宋体" w:cs="宋体"/>
          <w:szCs w:val="22"/>
          <w:u w:val="single"/>
        </w:rPr>
        <w:t xml:space="preserve"> 开工前7天。</w:t>
      </w:r>
    </w:p>
    <w:p>
      <w:pPr>
        <w:spacing w:line="400" w:lineRule="exact"/>
        <w:ind w:firstLine="420" w:firstLineChars="200"/>
        <w:rPr>
          <w:rFonts w:ascii="宋体" w:hAnsi="宋体" w:cs="宋体"/>
          <w:szCs w:val="22"/>
          <w:u w:val="single"/>
        </w:rPr>
      </w:pPr>
      <w:r>
        <w:rPr>
          <w:rFonts w:hint="eastAsia" w:ascii="宋体" w:hAnsi="宋体" w:cs="宋体"/>
          <w:szCs w:val="22"/>
        </w:rPr>
        <w:t>发包人和监理人在收到详细的施工组织设计后确认或提出修改意见的期限：</w:t>
      </w:r>
      <w:r>
        <w:rPr>
          <w:rFonts w:hint="eastAsia" w:ascii="宋体" w:hAnsi="宋体" w:cs="宋体"/>
          <w:szCs w:val="22"/>
          <w:u w:val="single"/>
        </w:rPr>
        <w:t>收到文件后7日内。</w:t>
      </w:r>
    </w:p>
    <w:p>
      <w:pPr>
        <w:keepNext/>
        <w:keepLines/>
        <w:spacing w:before="260" w:after="260" w:line="412" w:lineRule="auto"/>
        <w:jc w:val="left"/>
        <w:outlineLvl w:val="2"/>
        <w:rPr>
          <w:rFonts w:ascii="Calibri" w:hAnsi="Calibri"/>
          <w:b/>
          <w:szCs w:val="24"/>
        </w:rPr>
      </w:pPr>
      <w:bookmarkStart w:id="153" w:name="_Toc69641891"/>
      <w:bookmarkStart w:id="154" w:name="_Toc140098584"/>
      <w:bookmarkStart w:id="155" w:name="_Toc55373994"/>
      <w:r>
        <w:rPr>
          <w:rFonts w:hint="eastAsia" w:ascii="Calibri" w:hAnsi="Calibri"/>
          <w:b/>
          <w:szCs w:val="24"/>
        </w:rPr>
        <w:t>7.2 施工进度计划</w:t>
      </w:r>
      <w:bookmarkEnd w:id="153"/>
      <w:bookmarkEnd w:id="154"/>
      <w:bookmarkEnd w:id="155"/>
    </w:p>
    <w:p>
      <w:pPr>
        <w:spacing w:line="400" w:lineRule="exact"/>
        <w:ind w:firstLine="420" w:firstLineChars="200"/>
        <w:rPr>
          <w:rFonts w:ascii="宋体" w:hAnsi="宋体" w:cs="宋体"/>
          <w:szCs w:val="22"/>
        </w:rPr>
      </w:pPr>
      <w:r>
        <w:rPr>
          <w:rFonts w:hint="eastAsia" w:ascii="宋体" w:hAnsi="宋体" w:cs="宋体"/>
          <w:szCs w:val="22"/>
        </w:rPr>
        <w:t>7.2.1 施工进度计划的编制</w:t>
      </w:r>
    </w:p>
    <w:p>
      <w:pPr>
        <w:spacing w:line="400" w:lineRule="exact"/>
        <w:ind w:firstLine="420" w:firstLineChars="200"/>
        <w:rPr>
          <w:rFonts w:ascii="宋体" w:hAnsi="宋体" w:cs="宋体"/>
          <w:szCs w:val="22"/>
        </w:rPr>
      </w:pPr>
      <w:r>
        <w:rPr>
          <w:rFonts w:hint="eastAsia" w:ascii="宋体" w:hAnsi="宋体" w:cs="宋体"/>
          <w:szCs w:val="22"/>
        </w:rPr>
        <w:t>监理人及时督促承包人提交施工进度计划，若承包人不按规定时间提交施工进度计划的，造成的一切损失由承包人承担，并从工程款中扣除违约金5000～20000元/项（人民币）。</w:t>
      </w:r>
    </w:p>
    <w:p>
      <w:pPr>
        <w:spacing w:line="400" w:lineRule="exact"/>
        <w:ind w:firstLine="420" w:firstLineChars="200"/>
        <w:rPr>
          <w:rFonts w:ascii="宋体" w:hAnsi="宋体" w:cs="宋体"/>
          <w:szCs w:val="22"/>
        </w:rPr>
      </w:pPr>
      <w:r>
        <w:rPr>
          <w:rFonts w:hint="eastAsia" w:ascii="宋体" w:hAnsi="宋体" w:cs="宋体"/>
          <w:szCs w:val="22"/>
        </w:rPr>
        <w:t>7.2.2 施工进度计划的修订</w:t>
      </w:r>
    </w:p>
    <w:p>
      <w:pPr>
        <w:spacing w:line="400" w:lineRule="exact"/>
        <w:ind w:firstLine="420" w:firstLineChars="200"/>
        <w:rPr>
          <w:rFonts w:ascii="宋体" w:hAnsi="宋体" w:cs="宋体"/>
          <w:szCs w:val="22"/>
          <w:u w:val="single"/>
        </w:rPr>
      </w:pPr>
      <w:r>
        <w:rPr>
          <w:rFonts w:hint="eastAsia" w:ascii="宋体" w:hAnsi="宋体" w:cs="宋体"/>
          <w:szCs w:val="22"/>
        </w:rPr>
        <w:t>发包人和监理人在收到修订的施工进度计划后确认或提出修改意见的期限：</w:t>
      </w:r>
      <w:r>
        <w:rPr>
          <w:rFonts w:hint="eastAsia" w:ascii="宋体" w:hAnsi="宋体" w:cs="宋体"/>
          <w:szCs w:val="22"/>
          <w:u w:val="single"/>
        </w:rPr>
        <w:t>收到文件后7日内。</w:t>
      </w:r>
    </w:p>
    <w:p>
      <w:pPr>
        <w:keepNext/>
        <w:keepLines/>
        <w:spacing w:before="260" w:after="260" w:line="412" w:lineRule="auto"/>
        <w:jc w:val="left"/>
        <w:outlineLvl w:val="2"/>
        <w:rPr>
          <w:rFonts w:ascii="Calibri" w:hAnsi="Calibri"/>
          <w:b/>
          <w:szCs w:val="24"/>
        </w:rPr>
      </w:pPr>
      <w:bookmarkStart w:id="156" w:name="_Toc69641892"/>
      <w:bookmarkStart w:id="157" w:name="_Toc55373995"/>
      <w:bookmarkStart w:id="158" w:name="_Toc140098585"/>
      <w:r>
        <w:rPr>
          <w:rFonts w:hint="eastAsia" w:ascii="Calibri" w:hAnsi="Calibri"/>
          <w:b/>
          <w:szCs w:val="24"/>
        </w:rPr>
        <w:t>7.3 开工</w:t>
      </w:r>
      <w:bookmarkEnd w:id="156"/>
      <w:bookmarkEnd w:id="157"/>
      <w:bookmarkEnd w:id="158"/>
    </w:p>
    <w:p>
      <w:pPr>
        <w:spacing w:line="400" w:lineRule="exact"/>
        <w:ind w:firstLine="420" w:firstLineChars="200"/>
        <w:rPr>
          <w:rFonts w:ascii="宋体" w:hAnsi="宋体" w:cs="宋体"/>
          <w:szCs w:val="22"/>
        </w:rPr>
      </w:pPr>
      <w:r>
        <w:rPr>
          <w:rFonts w:hint="eastAsia" w:ascii="宋体" w:hAnsi="宋体" w:cs="宋体"/>
          <w:szCs w:val="22"/>
        </w:rPr>
        <w:t>7.3.1 开工准备</w:t>
      </w:r>
    </w:p>
    <w:p>
      <w:pPr>
        <w:spacing w:line="400" w:lineRule="exact"/>
        <w:ind w:firstLine="420" w:firstLineChars="200"/>
        <w:rPr>
          <w:rFonts w:ascii="宋体" w:hAnsi="宋体" w:cs="宋体"/>
          <w:szCs w:val="22"/>
          <w:u w:val="single"/>
        </w:rPr>
      </w:pPr>
      <w:r>
        <w:rPr>
          <w:rFonts w:hint="eastAsia" w:ascii="宋体" w:hAnsi="宋体" w:cs="宋体"/>
          <w:szCs w:val="22"/>
        </w:rPr>
        <w:t>关于承包人提交工程开工报审表的期限：</w:t>
      </w:r>
      <w:r>
        <w:rPr>
          <w:rFonts w:hint="eastAsia" w:ascii="宋体" w:hAnsi="宋体" w:cs="宋体"/>
          <w:szCs w:val="22"/>
          <w:u w:val="single"/>
        </w:rPr>
        <w:t>执行通用条款。</w:t>
      </w:r>
    </w:p>
    <w:p>
      <w:pPr>
        <w:spacing w:line="400" w:lineRule="exact"/>
        <w:ind w:firstLine="420" w:firstLineChars="200"/>
        <w:rPr>
          <w:rFonts w:ascii="宋体" w:hAnsi="宋体" w:cs="宋体"/>
          <w:szCs w:val="22"/>
          <w:u w:val="single"/>
        </w:rPr>
      </w:pPr>
      <w:r>
        <w:rPr>
          <w:rFonts w:hint="eastAsia" w:ascii="宋体" w:hAnsi="宋体" w:cs="宋体"/>
          <w:szCs w:val="22"/>
        </w:rPr>
        <w:t>关于发包人应完成的其他开工准备工作及期限：</w:t>
      </w:r>
      <w:r>
        <w:rPr>
          <w:rFonts w:hint="eastAsia" w:ascii="宋体" w:hAnsi="宋体" w:cs="宋体"/>
          <w:szCs w:val="22"/>
          <w:u w:val="single"/>
        </w:rPr>
        <w:t>执行通用条款。</w:t>
      </w:r>
    </w:p>
    <w:p>
      <w:pPr>
        <w:spacing w:line="400" w:lineRule="exact"/>
        <w:ind w:firstLine="420" w:firstLineChars="200"/>
        <w:rPr>
          <w:rFonts w:ascii="宋体" w:hAnsi="宋体" w:cs="宋体"/>
          <w:szCs w:val="22"/>
        </w:rPr>
      </w:pPr>
      <w:r>
        <w:rPr>
          <w:rFonts w:hint="eastAsia" w:ascii="宋体" w:hAnsi="宋体" w:cs="宋体"/>
          <w:szCs w:val="22"/>
        </w:rPr>
        <w:t>关于承包人应完成的其他开工准备工作及期限：</w:t>
      </w:r>
      <w:r>
        <w:rPr>
          <w:rFonts w:hint="eastAsia" w:ascii="宋体" w:hAnsi="宋体" w:cs="宋体"/>
          <w:szCs w:val="22"/>
          <w:u w:val="single"/>
        </w:rPr>
        <w:t>执行通用条款。</w:t>
      </w:r>
    </w:p>
    <w:p>
      <w:pPr>
        <w:spacing w:line="400" w:lineRule="exact"/>
        <w:ind w:firstLine="420" w:firstLineChars="200"/>
        <w:rPr>
          <w:rFonts w:ascii="宋体" w:hAnsi="宋体" w:cs="宋体"/>
          <w:szCs w:val="22"/>
        </w:rPr>
      </w:pPr>
      <w:r>
        <w:rPr>
          <w:rFonts w:hint="eastAsia" w:ascii="宋体" w:hAnsi="宋体" w:cs="宋体"/>
          <w:szCs w:val="22"/>
        </w:rPr>
        <w:t>7.3.2开工通知</w:t>
      </w:r>
    </w:p>
    <w:p>
      <w:pPr>
        <w:spacing w:line="360" w:lineRule="auto"/>
        <w:ind w:firstLine="420"/>
        <w:rPr>
          <w:rFonts w:ascii="宋体" w:hAnsi="宋体" w:cs="宋体"/>
          <w:b/>
          <w:bCs/>
          <w:szCs w:val="24"/>
        </w:rPr>
      </w:pPr>
      <w:bookmarkStart w:id="159" w:name="_Toc69641893"/>
      <w:bookmarkStart w:id="160" w:name="_Toc140098586"/>
      <w:bookmarkStart w:id="161" w:name="_Toc55373996"/>
      <w:r>
        <w:rPr>
          <w:rFonts w:hint="eastAsia"/>
          <w:b/>
          <w:bCs/>
          <w:szCs w:val="24"/>
        </w:rPr>
        <w:t>成交结果公示无异议后，发包人向承包人签发开工令即为开工之日。开工时间已满2</w:t>
      </w:r>
      <w:r>
        <w:rPr>
          <w:rFonts w:hint="eastAsia" w:ascii="宋体" w:hAnsi="宋体" w:cs="宋体"/>
          <w:b/>
          <w:bCs/>
        </w:rPr>
        <w:t>个日历天，</w:t>
      </w:r>
      <w:r>
        <w:rPr>
          <w:rFonts w:hint="eastAsia"/>
          <w:b/>
          <w:bCs/>
          <w:szCs w:val="24"/>
        </w:rPr>
        <w:t>承包人仍没有安排人员与发包人进行工作对接并派人员进场施工的，发包人有权解除合同。</w:t>
      </w:r>
    </w:p>
    <w:p>
      <w:pPr>
        <w:keepNext/>
        <w:keepLines/>
        <w:spacing w:before="260" w:after="260" w:line="412" w:lineRule="auto"/>
        <w:jc w:val="left"/>
        <w:outlineLvl w:val="2"/>
        <w:rPr>
          <w:rFonts w:ascii="Calibri" w:hAnsi="Calibri"/>
          <w:b/>
          <w:szCs w:val="24"/>
        </w:rPr>
      </w:pPr>
      <w:r>
        <w:rPr>
          <w:rFonts w:hint="eastAsia" w:ascii="Calibri" w:hAnsi="Calibri"/>
          <w:b/>
          <w:szCs w:val="24"/>
        </w:rPr>
        <w:t>7.4 测量放线</w:t>
      </w:r>
      <w:bookmarkEnd w:id="159"/>
      <w:bookmarkEnd w:id="160"/>
      <w:bookmarkEnd w:id="161"/>
    </w:p>
    <w:p>
      <w:pPr>
        <w:spacing w:line="400" w:lineRule="exact"/>
        <w:ind w:firstLine="420" w:firstLineChars="200"/>
        <w:rPr>
          <w:rFonts w:ascii="宋体" w:hAnsi="宋体" w:cs="宋体"/>
          <w:szCs w:val="22"/>
          <w:u w:val="single"/>
        </w:rPr>
      </w:pPr>
      <w:r>
        <w:rPr>
          <w:rFonts w:hint="eastAsia" w:ascii="宋体" w:hAnsi="宋体" w:cs="宋体"/>
          <w:szCs w:val="22"/>
        </w:rPr>
        <w:t>7.4.1发包人通过监理人向承包人提供测量基准点、基准线和水准点及其书面资料的期限：</w:t>
      </w:r>
      <w:r>
        <w:rPr>
          <w:rFonts w:hint="eastAsia" w:ascii="宋体" w:hAnsi="宋体" w:cs="宋体"/>
          <w:szCs w:val="22"/>
          <w:u w:val="single"/>
        </w:rPr>
        <w:t>开工前3天。</w:t>
      </w:r>
    </w:p>
    <w:p>
      <w:pPr>
        <w:keepNext/>
        <w:keepLines/>
        <w:spacing w:before="260" w:after="260" w:line="412" w:lineRule="auto"/>
        <w:jc w:val="left"/>
        <w:outlineLvl w:val="2"/>
        <w:rPr>
          <w:rFonts w:ascii="Calibri" w:hAnsi="Calibri"/>
          <w:b/>
          <w:szCs w:val="24"/>
        </w:rPr>
      </w:pPr>
      <w:bookmarkStart w:id="162" w:name="_Toc69641894"/>
      <w:bookmarkStart w:id="163" w:name="_Toc55373997"/>
      <w:bookmarkStart w:id="164" w:name="_Toc140098587"/>
      <w:r>
        <w:rPr>
          <w:rFonts w:hint="eastAsia" w:ascii="Calibri" w:hAnsi="Calibri"/>
          <w:b/>
          <w:szCs w:val="24"/>
        </w:rPr>
        <w:t>7.5 工期延误</w:t>
      </w:r>
      <w:bookmarkEnd w:id="162"/>
      <w:bookmarkEnd w:id="163"/>
      <w:bookmarkEnd w:id="164"/>
    </w:p>
    <w:p>
      <w:pPr>
        <w:spacing w:line="400" w:lineRule="exact"/>
        <w:ind w:firstLine="420" w:firstLineChars="200"/>
        <w:rPr>
          <w:rFonts w:ascii="宋体" w:hAnsi="宋体" w:cs="宋体"/>
          <w:szCs w:val="22"/>
        </w:rPr>
      </w:pPr>
      <w:r>
        <w:rPr>
          <w:rFonts w:hint="eastAsia" w:ascii="宋体" w:hAnsi="宋体" w:cs="宋体"/>
          <w:szCs w:val="22"/>
        </w:rPr>
        <w:t>7.5.1 因发包人原因导致工期延误</w:t>
      </w:r>
    </w:p>
    <w:p>
      <w:pPr>
        <w:spacing w:line="400" w:lineRule="exact"/>
        <w:ind w:firstLine="420" w:firstLineChars="200"/>
        <w:rPr>
          <w:rFonts w:ascii="宋体" w:hAnsi="宋体" w:cs="宋体"/>
          <w:szCs w:val="22"/>
        </w:rPr>
      </w:pPr>
      <w:r>
        <w:rPr>
          <w:rFonts w:hint="eastAsia" w:ascii="宋体" w:hAnsi="宋体" w:cs="宋体"/>
          <w:szCs w:val="22"/>
        </w:rPr>
        <w:t>（7）因发包人原因导致工期延误的其他情形：①重大图纸变更影响关健线路工序施工；②施工期间如因停电、停水连续</w:t>
      </w:r>
      <w:r>
        <w:rPr>
          <w:rFonts w:ascii="宋体" w:hAnsi="宋体" w:cs="宋体"/>
          <w:szCs w:val="22"/>
        </w:rPr>
        <w:t>8</w:t>
      </w:r>
      <w:r>
        <w:rPr>
          <w:rFonts w:hint="eastAsia" w:ascii="宋体" w:hAnsi="宋体" w:cs="宋体"/>
          <w:szCs w:val="22"/>
        </w:rPr>
        <w:t>小时以上或一周内间歇性停水、停电累计</w:t>
      </w:r>
      <w:r>
        <w:rPr>
          <w:rFonts w:ascii="宋体" w:hAnsi="宋体" w:cs="宋体"/>
          <w:szCs w:val="22"/>
        </w:rPr>
        <w:t>8</w:t>
      </w:r>
      <w:r>
        <w:rPr>
          <w:rFonts w:hint="eastAsia" w:ascii="宋体" w:hAnsi="宋体" w:cs="宋体"/>
          <w:szCs w:val="22"/>
        </w:rPr>
        <w:t>小时（含</w:t>
      </w:r>
      <w:r>
        <w:rPr>
          <w:rFonts w:ascii="宋体" w:hAnsi="宋体" w:cs="宋体"/>
          <w:szCs w:val="22"/>
        </w:rPr>
        <w:t>8</w:t>
      </w:r>
      <w:r>
        <w:rPr>
          <w:rFonts w:hint="eastAsia" w:ascii="宋体" w:hAnsi="宋体" w:cs="宋体"/>
          <w:szCs w:val="22"/>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ascii="宋体" w:hAnsi="宋体" w:cs="宋体"/>
          <w:szCs w:val="22"/>
        </w:rPr>
        <w:t xml:space="preserve"> </w:t>
      </w:r>
      <w:r>
        <w:rPr>
          <w:rFonts w:hint="eastAsia" w:ascii="宋体" w:hAnsi="宋体" w:cs="宋体"/>
          <w:szCs w:val="22"/>
        </w:rPr>
        <w:t>。</w:t>
      </w:r>
    </w:p>
    <w:p>
      <w:pPr>
        <w:spacing w:line="400" w:lineRule="exact"/>
        <w:ind w:firstLine="420" w:firstLineChars="200"/>
        <w:rPr>
          <w:rFonts w:ascii="宋体" w:hAnsi="宋体" w:cs="宋体"/>
          <w:szCs w:val="22"/>
        </w:rPr>
      </w:pPr>
      <w:r>
        <w:rPr>
          <w:rFonts w:hint="eastAsia" w:ascii="宋体" w:hAnsi="宋体" w:cs="宋体"/>
          <w:szCs w:val="22"/>
        </w:rPr>
        <w:t>7.5.2 因承包人原因导致工期延误</w:t>
      </w:r>
    </w:p>
    <w:p>
      <w:pPr>
        <w:spacing w:line="400" w:lineRule="exact"/>
        <w:ind w:firstLine="420" w:firstLineChars="200"/>
        <w:rPr>
          <w:rFonts w:ascii="宋体" w:hAnsi="宋体" w:cs="宋体"/>
          <w:szCs w:val="22"/>
        </w:rPr>
      </w:pPr>
      <w:r>
        <w:rPr>
          <w:rFonts w:hint="eastAsia" w:ascii="宋体" w:hAnsi="宋体" w:cs="宋体"/>
          <w:szCs w:val="22"/>
        </w:rPr>
        <w:t>因承包人原因造成工期延误，逾期竣工违约金的计算方法为：按逾期竣工的单项工程罚款，每延误一天</w:t>
      </w:r>
      <w:r>
        <w:rPr>
          <w:rFonts w:ascii="宋体" w:hAnsi="宋体" w:cs="宋体"/>
          <w:szCs w:val="22"/>
        </w:rPr>
        <w:t>,</w:t>
      </w:r>
      <w:r>
        <w:rPr>
          <w:rFonts w:hint="eastAsia" w:ascii="宋体" w:hAnsi="宋体" w:cs="宋体"/>
          <w:szCs w:val="22"/>
        </w:rPr>
        <w:t>按单项工程应支付给承包人的结算造价的万分之四处罚</w:t>
      </w:r>
      <w:r>
        <w:rPr>
          <w:rFonts w:ascii="宋体" w:hAnsi="宋体" w:cs="宋体"/>
          <w:szCs w:val="22"/>
        </w:rPr>
        <w:t>,</w:t>
      </w:r>
      <w:r>
        <w:rPr>
          <w:rFonts w:hint="eastAsia" w:ascii="宋体" w:hAnsi="宋体" w:cs="宋体"/>
          <w:szCs w:val="22"/>
        </w:rPr>
        <w:t>罚款直接从结算款中扣除。误期时间从规定竣工日期（以《＜竣工（整改）完成认可文件＞收讫告知书》注明的竣工日期为准）起直到实际竣工日期的天数（扣除发包人批准顺延的工期）。因承包人原因造成工期延误，逾期竣工违约金的上限：逾期竣工的单项工程结算造价的3</w:t>
      </w:r>
      <w:r>
        <w:rPr>
          <w:rFonts w:ascii="宋体" w:hAnsi="宋体" w:cs="宋体"/>
          <w:szCs w:val="22"/>
        </w:rPr>
        <w:t>%</w:t>
      </w:r>
      <w:r>
        <w:rPr>
          <w:rFonts w:hint="eastAsia" w:ascii="宋体" w:hAnsi="宋体" w:cs="宋体"/>
          <w:szCs w:val="22"/>
        </w:rPr>
        <w:t>。</w:t>
      </w:r>
    </w:p>
    <w:p>
      <w:pPr>
        <w:spacing w:line="400" w:lineRule="exact"/>
        <w:ind w:firstLine="420" w:firstLineChars="200"/>
        <w:rPr>
          <w:rFonts w:ascii="宋体" w:hAnsi="宋体" w:cs="宋体"/>
          <w:szCs w:val="22"/>
        </w:rPr>
      </w:pPr>
      <w:r>
        <w:rPr>
          <w:rFonts w:hint="eastAsia" w:ascii="宋体" w:hAnsi="宋体" w:cs="宋体"/>
          <w:szCs w:val="22"/>
        </w:rPr>
        <w:t>发包人可从应向承包人支付的任何金额中扣除此项罚款或其他方式收回此款，此罚款的支付并不能解除承包人应完成工程的责任及修补缺陷的义务。由于承包人原因造成本工程延期超过一个月的，发包人除按签约合同价的万分之四/天扣除工期违约金外，发包人有权终止合同，并依法追究承包人的违约责任，由此造成的一切损失均由承包人负责。</w:t>
      </w:r>
    </w:p>
    <w:p>
      <w:pPr>
        <w:spacing w:line="400" w:lineRule="exact"/>
        <w:ind w:firstLine="420" w:firstLineChars="200"/>
        <w:rPr>
          <w:rFonts w:ascii="宋体" w:hAnsi="宋体" w:cs="宋体"/>
          <w:szCs w:val="22"/>
        </w:rPr>
      </w:pPr>
      <w:r>
        <w:rPr>
          <w:rFonts w:hint="eastAsia" w:ascii="宋体" w:hAnsi="宋体" w:cs="宋体"/>
          <w:szCs w:val="22"/>
        </w:rPr>
        <w:t>如因承包人原因导致工期延误，承包人还须承担工期延误导致的工程监理费的增加。计算标准：每日0.2万元。该部分费用最高限额为发包人与项目监理单位签订监理合同总价的10%。</w:t>
      </w:r>
    </w:p>
    <w:p>
      <w:pPr>
        <w:spacing w:line="400" w:lineRule="exact"/>
        <w:ind w:firstLine="420" w:firstLineChars="200"/>
        <w:rPr>
          <w:rFonts w:ascii="宋体" w:hAnsi="宋体" w:cs="宋体"/>
          <w:szCs w:val="22"/>
        </w:rPr>
      </w:pPr>
      <w:r>
        <w:rPr>
          <w:rFonts w:hint="eastAsia" w:ascii="宋体" w:hAnsi="宋体" w:cs="宋体"/>
          <w:szCs w:val="22"/>
        </w:rPr>
        <w:t>因非承包人原因和政府行为造成工期延误，经发包人和监理人同意给予顺延；由于客观原因（既不是发包人，也不是承包人的原因）造成工程的拖延，发包人不给承包人经济补偿，但是给予适当的工期补偿。</w:t>
      </w:r>
    </w:p>
    <w:p>
      <w:pPr>
        <w:keepNext/>
        <w:keepLines/>
        <w:spacing w:before="260" w:after="260" w:line="412" w:lineRule="auto"/>
        <w:jc w:val="left"/>
        <w:outlineLvl w:val="2"/>
        <w:rPr>
          <w:rFonts w:ascii="Calibri" w:hAnsi="Calibri"/>
          <w:b/>
          <w:szCs w:val="24"/>
        </w:rPr>
      </w:pPr>
      <w:bookmarkStart w:id="165" w:name="_Toc140098588"/>
      <w:bookmarkStart w:id="166" w:name="_Toc69641895"/>
      <w:bookmarkStart w:id="167" w:name="_Toc55373998"/>
      <w:r>
        <w:rPr>
          <w:rFonts w:hint="eastAsia" w:ascii="Calibri" w:hAnsi="Calibri"/>
          <w:b/>
          <w:szCs w:val="24"/>
        </w:rPr>
        <w:t>7.6 不利物质条件</w:t>
      </w:r>
      <w:bookmarkEnd w:id="165"/>
      <w:bookmarkEnd w:id="166"/>
      <w:bookmarkEnd w:id="167"/>
    </w:p>
    <w:p>
      <w:pPr>
        <w:spacing w:line="400" w:lineRule="exact"/>
        <w:ind w:firstLine="420" w:firstLineChars="200"/>
        <w:rPr>
          <w:rFonts w:ascii="宋体" w:hAnsi="宋体" w:cs="宋体"/>
          <w:szCs w:val="22"/>
          <w:u w:val="single"/>
        </w:rPr>
      </w:pPr>
      <w:r>
        <w:rPr>
          <w:rFonts w:hint="eastAsia" w:ascii="宋体" w:hAnsi="宋体" w:cs="宋体"/>
          <w:szCs w:val="22"/>
        </w:rPr>
        <w:t>不利物质条件的其他情形和有关约定：</w:t>
      </w:r>
      <w:r>
        <w:rPr>
          <w:rFonts w:hint="eastAsia" w:ascii="宋体" w:hAnsi="宋体" w:cs="宋体"/>
          <w:szCs w:val="22"/>
          <w:u w:val="single"/>
        </w:rPr>
        <w:t>同通用条款，无特殊约定 。</w:t>
      </w:r>
    </w:p>
    <w:p>
      <w:pPr>
        <w:keepNext/>
        <w:keepLines/>
        <w:spacing w:before="260" w:after="260" w:line="412" w:lineRule="auto"/>
        <w:jc w:val="left"/>
        <w:outlineLvl w:val="2"/>
        <w:rPr>
          <w:rFonts w:ascii="Calibri" w:hAnsi="Calibri"/>
          <w:b/>
          <w:szCs w:val="24"/>
        </w:rPr>
      </w:pPr>
      <w:bookmarkStart w:id="168" w:name="_Toc140098589"/>
      <w:bookmarkStart w:id="169" w:name="_Toc69641896"/>
      <w:bookmarkStart w:id="170" w:name="_Toc55373999"/>
      <w:r>
        <w:rPr>
          <w:rFonts w:hint="eastAsia" w:ascii="Calibri" w:hAnsi="Calibri"/>
          <w:b/>
          <w:szCs w:val="24"/>
        </w:rPr>
        <w:t>7.7异常恶劣的气候条件</w:t>
      </w:r>
      <w:bookmarkEnd w:id="168"/>
      <w:bookmarkEnd w:id="169"/>
      <w:bookmarkEnd w:id="170"/>
    </w:p>
    <w:p>
      <w:pPr>
        <w:spacing w:line="400" w:lineRule="exact"/>
        <w:ind w:firstLine="420" w:firstLineChars="200"/>
        <w:rPr>
          <w:rFonts w:ascii="宋体" w:hAnsi="宋体" w:cs="宋体"/>
          <w:szCs w:val="22"/>
        </w:rPr>
      </w:pPr>
      <w:r>
        <w:rPr>
          <w:rFonts w:hint="eastAsia" w:ascii="宋体" w:hAnsi="宋体" w:cs="宋体"/>
          <w:szCs w:val="22"/>
        </w:rPr>
        <w:t>发包人和承包人同意以下情形视为异常恶劣的气候条件：</w:t>
      </w:r>
    </w:p>
    <w:p>
      <w:pPr>
        <w:spacing w:line="400" w:lineRule="exact"/>
        <w:ind w:firstLine="420" w:firstLineChars="200"/>
        <w:rPr>
          <w:rFonts w:ascii="宋体" w:hAnsi="宋体" w:cs="宋体"/>
          <w:szCs w:val="22"/>
        </w:rPr>
      </w:pPr>
      <w:r>
        <w:rPr>
          <w:rFonts w:hint="eastAsia" w:ascii="宋体" w:hAnsi="宋体" w:cs="宋体"/>
          <w:szCs w:val="22"/>
        </w:rPr>
        <w:t>（1） 10 级以上持续 1 天的大风；</w:t>
      </w:r>
    </w:p>
    <w:p>
      <w:pPr>
        <w:spacing w:line="400" w:lineRule="exact"/>
        <w:ind w:firstLine="420" w:firstLineChars="200"/>
        <w:rPr>
          <w:rFonts w:ascii="宋体" w:hAnsi="宋体" w:cs="宋体"/>
          <w:szCs w:val="22"/>
        </w:rPr>
      </w:pPr>
      <w:r>
        <w:rPr>
          <w:rFonts w:hint="eastAsia" w:ascii="宋体" w:hAnsi="宋体" w:cs="宋体"/>
          <w:szCs w:val="22"/>
        </w:rPr>
        <w:t>（2） 暴雨级以上持续 1 天的大雨；</w:t>
      </w:r>
    </w:p>
    <w:p>
      <w:pPr>
        <w:spacing w:line="400" w:lineRule="exact"/>
        <w:ind w:firstLine="420" w:firstLineChars="200"/>
        <w:rPr>
          <w:rFonts w:ascii="宋体" w:hAnsi="宋体" w:cs="宋体"/>
          <w:szCs w:val="22"/>
        </w:rPr>
      </w:pPr>
      <w:r>
        <w:rPr>
          <w:rFonts w:hint="eastAsia" w:ascii="宋体" w:hAnsi="宋体" w:cs="宋体"/>
          <w:szCs w:val="22"/>
        </w:rPr>
        <w:t>（3）50年以上未发生过的持续 2 天的高温天气；</w:t>
      </w:r>
    </w:p>
    <w:p>
      <w:pPr>
        <w:spacing w:line="400" w:lineRule="exact"/>
        <w:ind w:firstLine="420" w:firstLineChars="200"/>
        <w:rPr>
          <w:rFonts w:ascii="宋体" w:hAnsi="宋体" w:cs="宋体"/>
          <w:szCs w:val="22"/>
        </w:rPr>
      </w:pPr>
      <w:r>
        <w:rPr>
          <w:rFonts w:hint="eastAsia" w:ascii="宋体" w:hAnsi="宋体" w:cs="宋体"/>
          <w:szCs w:val="22"/>
        </w:rPr>
        <w:t>（4）50年以上未发生的持续 2 天的低温天气。</w:t>
      </w:r>
    </w:p>
    <w:p>
      <w:pPr>
        <w:spacing w:line="400" w:lineRule="exact"/>
        <w:ind w:firstLine="420" w:firstLineChars="200"/>
        <w:rPr>
          <w:rFonts w:ascii="宋体" w:hAnsi="宋体" w:cs="宋体"/>
          <w:szCs w:val="22"/>
        </w:rPr>
      </w:pPr>
      <w:r>
        <w:rPr>
          <w:rFonts w:hint="eastAsia" w:ascii="宋体" w:hAnsi="宋体" w:cs="宋体"/>
          <w:szCs w:val="22"/>
        </w:rPr>
        <w:t>以上异常恶劣的气候条件以当地气象局发布的信息为准。</w:t>
      </w:r>
    </w:p>
    <w:p>
      <w:pPr>
        <w:keepNext/>
        <w:keepLines/>
        <w:spacing w:before="260" w:after="260" w:line="412" w:lineRule="auto"/>
        <w:jc w:val="left"/>
        <w:outlineLvl w:val="2"/>
        <w:rPr>
          <w:rFonts w:ascii="Calibri" w:hAnsi="Calibri"/>
          <w:b/>
          <w:szCs w:val="24"/>
        </w:rPr>
      </w:pPr>
      <w:bookmarkStart w:id="171" w:name="_Toc69641897"/>
      <w:bookmarkStart w:id="172" w:name="_Toc55374000"/>
      <w:bookmarkStart w:id="173" w:name="_Toc140098590"/>
      <w:r>
        <w:rPr>
          <w:rFonts w:hint="eastAsia" w:ascii="Calibri" w:hAnsi="Calibri"/>
          <w:b/>
          <w:szCs w:val="24"/>
        </w:rPr>
        <w:t>7.9 提前竣工的奖励</w:t>
      </w:r>
      <w:bookmarkEnd w:id="171"/>
      <w:bookmarkEnd w:id="172"/>
      <w:bookmarkEnd w:id="173"/>
    </w:p>
    <w:p>
      <w:pPr>
        <w:spacing w:line="400" w:lineRule="exact"/>
        <w:ind w:firstLine="420" w:firstLineChars="200"/>
        <w:rPr>
          <w:rFonts w:ascii="宋体" w:hAnsi="宋体" w:cs="宋体"/>
          <w:szCs w:val="22"/>
          <w:u w:val="single"/>
        </w:rPr>
      </w:pPr>
      <w:r>
        <w:rPr>
          <w:rFonts w:hint="eastAsia" w:ascii="宋体" w:hAnsi="宋体" w:cs="宋体"/>
          <w:szCs w:val="22"/>
        </w:rPr>
        <w:t>7.9.2提前竣工的奖励：</w:t>
      </w:r>
      <w:r>
        <w:rPr>
          <w:rFonts w:hint="eastAsia" w:ascii="宋体" w:hAnsi="宋体" w:cs="宋体"/>
          <w:szCs w:val="22"/>
          <w:u w:val="single"/>
        </w:rPr>
        <w:t xml:space="preserve"> /  </w:t>
      </w:r>
      <w:r>
        <w:rPr>
          <w:rFonts w:hint="eastAsia" w:ascii="宋体" w:hAnsi="宋体" w:cs="宋体"/>
          <w:szCs w:val="22"/>
        </w:rPr>
        <w:t xml:space="preserve">  。</w:t>
      </w:r>
    </w:p>
    <w:p>
      <w:pPr>
        <w:keepNext/>
        <w:keepLines/>
        <w:spacing w:before="260" w:after="260" w:line="412" w:lineRule="auto"/>
        <w:ind w:firstLine="422" w:firstLineChars="200"/>
        <w:jc w:val="left"/>
        <w:outlineLvl w:val="1"/>
        <w:rPr>
          <w:rFonts w:ascii="Arial" w:hAnsi="Arial" w:cs="宋体"/>
          <w:b/>
          <w:szCs w:val="22"/>
        </w:rPr>
      </w:pPr>
      <w:bookmarkStart w:id="174" w:name="_Toc55374001"/>
      <w:bookmarkStart w:id="175" w:name="_Toc140098591"/>
      <w:bookmarkStart w:id="176" w:name="_Toc69641898"/>
      <w:r>
        <w:rPr>
          <w:rFonts w:hint="eastAsia" w:ascii="Arial" w:hAnsi="Arial" w:cs="宋体"/>
          <w:b/>
          <w:szCs w:val="22"/>
        </w:rPr>
        <w:t>8. 材料与设备</w:t>
      </w:r>
      <w:bookmarkEnd w:id="174"/>
      <w:bookmarkEnd w:id="175"/>
      <w:bookmarkEnd w:id="176"/>
    </w:p>
    <w:p>
      <w:pPr>
        <w:keepNext/>
        <w:keepLines/>
        <w:spacing w:before="260" w:after="260" w:line="412" w:lineRule="auto"/>
        <w:jc w:val="left"/>
        <w:outlineLvl w:val="2"/>
        <w:rPr>
          <w:rFonts w:ascii="Calibri" w:hAnsi="Calibri"/>
          <w:b/>
          <w:szCs w:val="24"/>
        </w:rPr>
      </w:pPr>
      <w:bookmarkStart w:id="177" w:name="_Toc69641899"/>
      <w:bookmarkStart w:id="178" w:name="_Toc55374002"/>
      <w:bookmarkStart w:id="179" w:name="_Toc140098592"/>
      <w:r>
        <w:rPr>
          <w:rFonts w:hint="eastAsia" w:ascii="Calibri" w:hAnsi="Calibri"/>
          <w:b/>
          <w:szCs w:val="24"/>
        </w:rPr>
        <w:t>8.1 发包人供应材料与工程设备</w:t>
      </w:r>
      <w:bookmarkEnd w:id="177"/>
      <w:bookmarkEnd w:id="178"/>
      <w:bookmarkEnd w:id="179"/>
    </w:p>
    <w:p>
      <w:pPr>
        <w:spacing w:line="400" w:lineRule="exact"/>
        <w:ind w:firstLine="420" w:firstLineChars="200"/>
        <w:rPr>
          <w:rFonts w:ascii="宋体" w:hAnsi="宋体" w:cs="宋体"/>
          <w:szCs w:val="22"/>
        </w:rPr>
      </w:pPr>
      <w:r>
        <w:rPr>
          <w:rFonts w:hint="eastAsia" w:ascii="宋体" w:hAnsi="宋体" w:cs="宋体"/>
          <w:szCs w:val="22"/>
        </w:rPr>
        <w:t>发包人自行供应材料、工程设备：</w:t>
      </w:r>
      <w:r>
        <w:rPr>
          <w:rFonts w:hint="eastAsia" w:ascii="宋体" w:hAnsi="宋体" w:cs="宋体"/>
          <w:szCs w:val="22"/>
          <w:u w:val="single"/>
        </w:rPr>
        <w:tab/>
      </w:r>
      <w:r>
        <w:rPr>
          <w:rFonts w:hint="eastAsia" w:ascii="宋体" w:hAnsi="宋体" w:cs="宋体"/>
          <w:szCs w:val="22"/>
          <w:u w:val="single"/>
        </w:rPr>
        <w:t>无</w:t>
      </w:r>
      <w:r>
        <w:rPr>
          <w:rFonts w:hint="eastAsia" w:ascii="宋体" w:hAnsi="宋体" w:cs="宋体"/>
          <w:szCs w:val="22"/>
          <w:u w:val="single"/>
        </w:rPr>
        <w:tab/>
      </w:r>
      <w:r>
        <w:rPr>
          <w:rFonts w:hint="eastAsia" w:ascii="宋体" w:hAnsi="宋体" w:cs="宋体"/>
          <w:szCs w:val="22"/>
        </w:rPr>
        <w:t>。</w:t>
      </w:r>
    </w:p>
    <w:p>
      <w:pPr>
        <w:keepNext/>
        <w:keepLines/>
        <w:spacing w:before="260" w:after="260" w:line="412" w:lineRule="auto"/>
        <w:jc w:val="left"/>
        <w:outlineLvl w:val="2"/>
        <w:rPr>
          <w:rFonts w:ascii="Calibri" w:hAnsi="Calibri"/>
          <w:b/>
          <w:szCs w:val="24"/>
        </w:rPr>
      </w:pPr>
      <w:bookmarkStart w:id="180" w:name="_Toc140098593"/>
      <w:bookmarkStart w:id="181" w:name="_Toc69641900"/>
      <w:bookmarkStart w:id="182" w:name="_Toc55374003"/>
      <w:r>
        <w:rPr>
          <w:rFonts w:hint="eastAsia" w:ascii="Calibri" w:hAnsi="Calibri"/>
          <w:b/>
          <w:szCs w:val="24"/>
        </w:rPr>
        <w:t>8.2 承包人供应材料与工程设备</w:t>
      </w:r>
      <w:bookmarkEnd w:id="180"/>
      <w:bookmarkEnd w:id="181"/>
      <w:bookmarkEnd w:id="182"/>
    </w:p>
    <w:p>
      <w:pPr>
        <w:spacing w:line="400" w:lineRule="exact"/>
        <w:ind w:firstLine="420" w:firstLineChars="200"/>
        <w:rPr>
          <w:rFonts w:ascii="宋体" w:hAnsi="宋体" w:cs="宋体"/>
          <w:szCs w:val="22"/>
        </w:rPr>
      </w:pPr>
      <w:r>
        <w:rPr>
          <w:rFonts w:hint="eastAsia" w:ascii="宋体" w:hAnsi="宋体" w:cs="宋体"/>
          <w:szCs w:val="22"/>
        </w:rPr>
        <w:t>8.2.1除专用合同条款第8.1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专用条款第10.7.1项的约定，由发包人和承包人以招标方式确定专项供应商。发包人负责提供的主要材料和工程设备清单见合同附件2“发包人供应材料和设备一览表”。</w:t>
      </w:r>
    </w:p>
    <w:p>
      <w:pPr>
        <w:spacing w:line="400" w:lineRule="exact"/>
        <w:ind w:firstLine="420" w:firstLineChars="200"/>
        <w:rPr>
          <w:rFonts w:ascii="宋体" w:hAnsi="宋体" w:cs="宋体"/>
          <w:szCs w:val="22"/>
        </w:rPr>
      </w:pPr>
      <w:r>
        <w:rPr>
          <w:rFonts w:hint="eastAsia" w:ascii="宋体" w:hAnsi="宋体" w:cs="宋体"/>
          <w:szCs w:val="22"/>
        </w:rPr>
        <w:t>8.2.2 承包人提供的材料和工程设备的供货人及品种、规格、数量和供货时间等报送监理人审批的时间：承包人应在材料、设备订货前15个日历日前向监理人报送材料采购计划、专项材料采购计划等。监理人于收到之日起5个日历日内批复。</w:t>
      </w:r>
    </w:p>
    <w:p>
      <w:pPr>
        <w:spacing w:line="400" w:lineRule="exact"/>
        <w:ind w:firstLine="420" w:firstLineChars="200"/>
        <w:rPr>
          <w:rFonts w:ascii="宋体" w:hAnsi="宋体" w:cs="宋体"/>
          <w:szCs w:val="22"/>
        </w:rPr>
      </w:pPr>
      <w:r>
        <w:rPr>
          <w:rFonts w:hint="eastAsia" w:ascii="宋体" w:hAnsi="宋体" w:cs="宋体"/>
          <w:szCs w:val="22"/>
        </w:rPr>
        <w:t>8.2.3 承包人采购材料和设备的约定：</w:t>
      </w:r>
    </w:p>
    <w:p>
      <w:pPr>
        <w:spacing w:line="400" w:lineRule="exact"/>
        <w:ind w:firstLine="420" w:firstLineChars="200"/>
        <w:rPr>
          <w:rFonts w:ascii="宋体" w:hAnsi="宋体" w:cs="宋体"/>
          <w:szCs w:val="22"/>
        </w:rPr>
      </w:pPr>
      <w:r>
        <w:rPr>
          <w:rFonts w:hint="eastAsia" w:ascii="宋体" w:hAnsi="宋体" w:cs="宋体"/>
          <w:szCs w:val="22"/>
        </w:rPr>
        <w:t>（1）承包人采购的材料设备的品种、规格、型号、质量应满足设计文件、竞争性磋商文件、响应文件和现行《建筑工程施工质量与验收规范》的要求；对发包人在招标时，没有明确约定参照或相当于*</w:t>
      </w:r>
      <w:r>
        <w:rPr>
          <w:rFonts w:ascii="宋体" w:hAnsi="宋体" w:cs="宋体"/>
          <w:szCs w:val="22"/>
        </w:rPr>
        <w:t>*</w:t>
      </w:r>
      <w:r>
        <w:rPr>
          <w:rFonts w:hint="eastAsia" w:ascii="宋体" w:hAnsi="宋体" w:cs="宋体"/>
          <w:szCs w:val="22"/>
        </w:rPr>
        <w:t>品牌、档次的材料和设备，或双方对材料和设备选择有争议的，发包人有权要求承包人按不低于招标控制价相同细目的材料或设备价格进行采购。</w:t>
      </w:r>
    </w:p>
    <w:p>
      <w:pPr>
        <w:spacing w:line="400" w:lineRule="exact"/>
        <w:ind w:firstLine="420" w:firstLineChars="200"/>
        <w:rPr>
          <w:rFonts w:ascii="宋体" w:hAnsi="宋体" w:cs="宋体"/>
          <w:szCs w:val="22"/>
        </w:rPr>
      </w:pPr>
      <w:r>
        <w:rPr>
          <w:rFonts w:hint="eastAsia" w:ascii="宋体" w:hAnsi="宋体" w:cs="宋体"/>
          <w:szCs w:val="22"/>
        </w:rPr>
        <w:t>（2）承包人采购的主要材料、设备等必须注明产品名称、规格、型号、数量、品牌及生产厂家，并在采购前 15 个日历日内书面通知发包人现场代表，提交其负责提供的材料和工程设备的质量证明文件，取得发包人的书面同意（该同意及相关检验测试、验收均不因此免除承包人的任何质量责任）方可进行采购；未经发包人同意，如已用于本工程，承包人须按发包人因此提出的相关指令无条件执行，所造成的损失由承包人负责。</w:t>
      </w:r>
    </w:p>
    <w:p>
      <w:pPr>
        <w:spacing w:line="400" w:lineRule="exact"/>
        <w:ind w:firstLine="420" w:firstLineChars="200"/>
        <w:rPr>
          <w:rFonts w:ascii="宋体" w:hAnsi="宋体" w:cs="宋体"/>
          <w:szCs w:val="22"/>
        </w:rPr>
      </w:pPr>
      <w:r>
        <w:rPr>
          <w:rFonts w:hint="eastAsia" w:ascii="宋体" w:hAnsi="宋体" w:cs="宋体"/>
          <w:szCs w:val="22"/>
        </w:rPr>
        <w:t>（3）承包人采购的材料设备的检验或实验必须满足设计文件及国家现行的有关标准的要求，需送检的材料设备由承包人负责；送检时，应通知监理工程师、发包人现场代表见证，未经监理工程师、发包人现场代表见证的送检材料，不能用于本工程，否则，因此所造成的损失由承包人负责。</w:t>
      </w:r>
    </w:p>
    <w:p>
      <w:pPr>
        <w:spacing w:line="400" w:lineRule="exact"/>
        <w:ind w:firstLine="420" w:firstLineChars="200"/>
        <w:rPr>
          <w:rFonts w:ascii="宋体" w:hAnsi="宋体" w:cs="宋体"/>
          <w:szCs w:val="22"/>
        </w:rPr>
      </w:pPr>
      <w:r>
        <w:rPr>
          <w:rFonts w:hint="eastAsia" w:ascii="宋体" w:hAnsi="宋体" w:cs="宋体"/>
          <w:szCs w:val="22"/>
        </w:rPr>
        <w:t>（4）竞争性磋商文件对承包人自行采购的材料、设备有规定的，承包人须严格执行；材料应严格保证质量，若有个别用材发现以次品冒充，责令全部更换，更换后须经监理人检验，并对承包人按违约处理。承包人参与磋商时所报的材料品牌原则上不允许更换，确需更换时须经发包人认可，擅自采用其他品牌的，结算时材料价格不计入综合单价中。监理人发现承包人使用了不合格的材料和工程设备，应实时发出指示，要求承包人立即改正，并禁止在工程中继续使用不合格的材料和工程设备。承包人若使用了次品或不合格或不符合约定的材料和工程设备，不予改正的，不按提供样品采购的，发包人有权对其不予结算和验收。</w:t>
      </w:r>
    </w:p>
    <w:p>
      <w:pPr>
        <w:spacing w:line="400" w:lineRule="exact"/>
        <w:ind w:firstLine="420" w:firstLineChars="200"/>
        <w:rPr>
          <w:rFonts w:ascii="宋体" w:hAnsi="宋体" w:cs="宋体"/>
          <w:szCs w:val="22"/>
        </w:rPr>
      </w:pPr>
      <w:r>
        <w:rPr>
          <w:rFonts w:hint="eastAsia" w:ascii="宋体" w:hAnsi="宋体" w:cs="宋体"/>
          <w:szCs w:val="22"/>
        </w:rPr>
        <w:t>（5）对承包人提供的材料和工程设备，承包人须会同监理人进行检验和交货验收，查验材料合格证明和产品合格证书，并按合同约定和监理人指示，进行材料的抽样检验和工程设备的检验测试，检验和测试结果应提交监理人，所需费用由承包人承担。</w:t>
      </w:r>
    </w:p>
    <w:p>
      <w:pPr>
        <w:spacing w:line="400" w:lineRule="exact"/>
        <w:ind w:firstLine="420" w:firstLineChars="200"/>
        <w:rPr>
          <w:rFonts w:ascii="宋体" w:hAnsi="宋体" w:cs="宋体"/>
          <w:szCs w:val="22"/>
        </w:rPr>
      </w:pPr>
      <w:r>
        <w:rPr>
          <w:rFonts w:hint="eastAsia" w:ascii="宋体" w:hAnsi="宋体" w:cs="宋体"/>
          <w:szCs w:val="22"/>
        </w:rPr>
        <w:t>（6）承包人用于本工程的模板，必须符合模板验收技术规范。</w:t>
      </w:r>
    </w:p>
    <w:p>
      <w:pPr>
        <w:spacing w:line="400" w:lineRule="exact"/>
        <w:ind w:firstLine="420" w:firstLineChars="200"/>
        <w:rPr>
          <w:rFonts w:ascii="宋体" w:hAnsi="宋体" w:cs="宋体"/>
          <w:szCs w:val="22"/>
        </w:rPr>
      </w:pPr>
      <w:r>
        <w:rPr>
          <w:rFonts w:hint="eastAsia" w:ascii="宋体" w:hAnsi="宋体" w:cs="宋体"/>
          <w:szCs w:val="22"/>
        </w:rPr>
        <w:t>（7）禁止使用松木、松木包装材料设备、种子、苗木、花卉及繁殖材料。</w:t>
      </w:r>
    </w:p>
    <w:p>
      <w:pPr>
        <w:spacing w:line="400" w:lineRule="exact"/>
        <w:ind w:firstLine="420" w:firstLineChars="200"/>
        <w:rPr>
          <w:rFonts w:ascii="宋体" w:hAnsi="宋体" w:cs="宋体"/>
          <w:szCs w:val="22"/>
        </w:rPr>
      </w:pPr>
      <w:r>
        <w:rPr>
          <w:rFonts w:hint="eastAsia" w:ascii="宋体" w:hAnsi="宋体" w:cs="宋体"/>
          <w:szCs w:val="22"/>
        </w:rPr>
        <w:t>（8）承包人采购的所有材料、设备均应达到国家规范“合格”标准以上并符合本合同有关要求，每发现一个质量问题或不符合合同要求的，发包人将从工程款内扣除 1000 元的违约金；每发现一个批次质量问题，发包人将从工程款内扣除 10000 元的违约金。若发现不符合标准或约定的材料、设备用于工程中，承包人无条件返工且费用自理。</w:t>
      </w:r>
    </w:p>
    <w:p>
      <w:pPr>
        <w:keepNext/>
        <w:keepLines/>
        <w:spacing w:before="260" w:after="260" w:line="412" w:lineRule="auto"/>
        <w:jc w:val="left"/>
        <w:outlineLvl w:val="2"/>
        <w:rPr>
          <w:rFonts w:ascii="Calibri" w:hAnsi="Calibri"/>
          <w:b/>
          <w:szCs w:val="24"/>
        </w:rPr>
      </w:pPr>
      <w:bookmarkStart w:id="183" w:name="_Toc140098594"/>
      <w:bookmarkStart w:id="184" w:name="_Toc55374004"/>
      <w:bookmarkStart w:id="185" w:name="_Toc69641901"/>
      <w:r>
        <w:rPr>
          <w:rFonts w:hint="eastAsia" w:ascii="Calibri" w:hAnsi="Calibri"/>
          <w:b/>
          <w:szCs w:val="24"/>
        </w:rPr>
        <w:t>8.4材料与工程设备的保管与使用</w:t>
      </w:r>
      <w:bookmarkEnd w:id="183"/>
      <w:bookmarkEnd w:id="184"/>
      <w:bookmarkEnd w:id="185"/>
    </w:p>
    <w:p>
      <w:pPr>
        <w:spacing w:line="400" w:lineRule="exact"/>
        <w:ind w:firstLine="420" w:firstLineChars="200"/>
        <w:rPr>
          <w:rFonts w:ascii="宋体" w:hAnsi="宋体" w:cs="宋体"/>
          <w:szCs w:val="22"/>
        </w:rPr>
      </w:pPr>
      <w:r>
        <w:rPr>
          <w:rFonts w:hint="eastAsia" w:ascii="宋体" w:hAnsi="宋体" w:cs="宋体"/>
          <w:szCs w:val="22"/>
        </w:rPr>
        <w:t>8.4.1发包人供应的材料设备的保管费用的承担：由发包人提供的材料和工程设备验收后，由承包人负责接收、运输和保管。</w:t>
      </w:r>
    </w:p>
    <w:p>
      <w:pPr>
        <w:keepNext/>
        <w:keepLines/>
        <w:spacing w:before="260" w:after="260" w:line="412" w:lineRule="auto"/>
        <w:jc w:val="left"/>
        <w:outlineLvl w:val="2"/>
        <w:rPr>
          <w:rFonts w:ascii="Calibri" w:hAnsi="Calibri"/>
          <w:b/>
          <w:szCs w:val="24"/>
        </w:rPr>
      </w:pPr>
      <w:bookmarkStart w:id="186" w:name="_Toc69641902"/>
      <w:bookmarkStart w:id="187" w:name="_Toc55374005"/>
      <w:bookmarkStart w:id="188" w:name="_Toc140098595"/>
      <w:r>
        <w:rPr>
          <w:rFonts w:hint="eastAsia" w:ascii="Calibri" w:hAnsi="Calibri"/>
          <w:b/>
          <w:szCs w:val="24"/>
        </w:rPr>
        <w:t>8.6 样品</w:t>
      </w:r>
      <w:bookmarkEnd w:id="186"/>
      <w:bookmarkEnd w:id="187"/>
      <w:bookmarkEnd w:id="188"/>
    </w:p>
    <w:p>
      <w:pPr>
        <w:spacing w:line="400" w:lineRule="exact"/>
        <w:ind w:firstLine="420" w:firstLineChars="200"/>
        <w:rPr>
          <w:rFonts w:ascii="宋体" w:hAnsi="宋体" w:cs="宋体"/>
          <w:szCs w:val="22"/>
        </w:rPr>
      </w:pPr>
      <w:r>
        <w:rPr>
          <w:rFonts w:hint="eastAsia" w:ascii="宋体" w:hAnsi="宋体" w:cs="宋体"/>
          <w:szCs w:val="22"/>
        </w:rPr>
        <w:t>8.6.1 样品的报送与封存</w:t>
      </w:r>
    </w:p>
    <w:p>
      <w:pPr>
        <w:spacing w:line="400" w:lineRule="exact"/>
        <w:ind w:firstLine="420" w:firstLineChars="200"/>
        <w:rPr>
          <w:rFonts w:ascii="宋体" w:hAnsi="宋体" w:cs="宋体"/>
          <w:szCs w:val="22"/>
        </w:rPr>
      </w:pPr>
      <w:r>
        <w:rPr>
          <w:rFonts w:hint="eastAsia" w:ascii="宋体" w:hAnsi="宋体" w:cs="宋体"/>
          <w:szCs w:val="22"/>
        </w:rPr>
        <w:t>需要承包人报送样品的材料或工程设备，样品的种类、名称、规格、数量要求：主要材料涉及品种、款式、颜色等方面内容的，承包人应提交准备合格的材料样品送发包人选定。选定的样品应封存于现场，承包人应在现场为保存样品提供适当和固定的场所并保持适当和良好的储存环境条件，特别是主要装饰、安装工程材料样品至少封存到竣工结算审定完成后（根据工程设计实施情况，包括但不限于地面、天面、内外墙面装饰材料，防水材料，门窗，电线电缆，桥架，给排水管等材料）。</w:t>
      </w:r>
      <w:bookmarkStart w:id="189" w:name="_Toc140098596"/>
      <w:bookmarkStart w:id="190" w:name="_Toc55374006"/>
      <w:bookmarkStart w:id="191" w:name="_Toc69641903"/>
    </w:p>
    <w:p>
      <w:pPr>
        <w:keepNext/>
        <w:keepLines/>
        <w:spacing w:before="260" w:after="260" w:line="412" w:lineRule="auto"/>
        <w:jc w:val="left"/>
        <w:outlineLvl w:val="2"/>
        <w:rPr>
          <w:rFonts w:ascii="Calibri" w:hAnsi="Calibri"/>
          <w:b/>
          <w:szCs w:val="24"/>
        </w:rPr>
      </w:pPr>
      <w:r>
        <w:rPr>
          <w:rFonts w:hint="eastAsia" w:ascii="Calibri" w:hAnsi="Calibri"/>
          <w:b/>
          <w:szCs w:val="24"/>
        </w:rPr>
        <w:t>8.8 施工设备和临时设施</w:t>
      </w:r>
      <w:bookmarkEnd w:id="189"/>
      <w:bookmarkEnd w:id="190"/>
      <w:bookmarkEnd w:id="191"/>
    </w:p>
    <w:p>
      <w:pPr>
        <w:spacing w:line="400" w:lineRule="exact"/>
        <w:ind w:firstLine="420" w:firstLineChars="200"/>
        <w:rPr>
          <w:rFonts w:ascii="宋体" w:hAnsi="宋体" w:cs="宋体"/>
          <w:szCs w:val="22"/>
        </w:rPr>
      </w:pPr>
      <w:r>
        <w:rPr>
          <w:rFonts w:hint="eastAsia" w:ascii="宋体" w:hAnsi="宋体" w:cs="宋体"/>
          <w:szCs w:val="22"/>
        </w:rPr>
        <w:t>8.8.1 承包人提供的施工设备和临时设施</w:t>
      </w:r>
    </w:p>
    <w:p>
      <w:pPr>
        <w:spacing w:line="400" w:lineRule="exact"/>
        <w:ind w:firstLine="420" w:firstLineChars="200"/>
        <w:rPr>
          <w:rFonts w:ascii="宋体" w:hAnsi="宋体" w:cs="宋体"/>
          <w:szCs w:val="22"/>
        </w:rPr>
      </w:pPr>
      <w:r>
        <w:rPr>
          <w:rFonts w:hint="eastAsia" w:ascii="宋体" w:hAnsi="宋体" w:cs="宋体"/>
          <w:szCs w:val="22"/>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5。</w:t>
      </w:r>
    </w:p>
    <w:p>
      <w:pPr>
        <w:spacing w:line="400" w:lineRule="exact"/>
        <w:ind w:firstLine="420" w:firstLineChars="200"/>
        <w:rPr>
          <w:rFonts w:ascii="宋体" w:hAnsi="宋体" w:cs="宋体"/>
          <w:szCs w:val="22"/>
        </w:rPr>
      </w:pPr>
      <w:r>
        <w:rPr>
          <w:rFonts w:hint="eastAsia" w:ascii="宋体" w:hAnsi="宋体" w:cs="宋体"/>
          <w:szCs w:val="22"/>
        </w:rPr>
        <w:t>关于修建临时设施费用承担的约定：</w:t>
      </w:r>
    </w:p>
    <w:p>
      <w:pPr>
        <w:spacing w:line="400" w:lineRule="exact"/>
        <w:ind w:firstLine="420" w:firstLineChars="200"/>
        <w:rPr>
          <w:rFonts w:ascii="宋体" w:hAnsi="宋体" w:cs="宋体"/>
          <w:szCs w:val="22"/>
        </w:rPr>
      </w:pPr>
      <w:r>
        <w:rPr>
          <w:rFonts w:hint="eastAsia" w:ascii="宋体" w:hAnsi="宋体" w:cs="宋体"/>
          <w:szCs w:val="22"/>
        </w:rPr>
        <w:t>①承包人的临时用地（含项目部驻地等）租用费（含拆迁补偿）、临时用地的环保、恢复、临时用地的青苗补偿及地面附着物拆除等费用均由承包人负责，以上费用在报价中综合考虑。</w:t>
      </w:r>
    </w:p>
    <w:p>
      <w:pPr>
        <w:spacing w:line="400" w:lineRule="exact"/>
        <w:ind w:firstLine="420" w:firstLineChars="200"/>
        <w:rPr>
          <w:rFonts w:ascii="宋体" w:hAnsi="宋体" w:cs="宋体"/>
          <w:szCs w:val="22"/>
        </w:rPr>
      </w:pPr>
      <w:r>
        <w:rPr>
          <w:rFonts w:hint="eastAsia" w:ascii="宋体" w:hAnsi="宋体" w:cs="宋体"/>
          <w:szCs w:val="22"/>
        </w:rPr>
        <w:t>②承包人负责合同实施期间其合同段内临时交通道路（含场内外连接公共交通道路）和交通设施的修建、维修、养护和交通管理工作，并承担一切费用。</w:t>
      </w:r>
    </w:p>
    <w:p>
      <w:pPr>
        <w:spacing w:line="400" w:lineRule="exact"/>
        <w:ind w:firstLine="420" w:firstLineChars="200"/>
        <w:rPr>
          <w:rFonts w:ascii="宋体" w:hAnsi="宋体" w:cs="宋体"/>
          <w:szCs w:val="22"/>
        </w:rPr>
      </w:pPr>
      <w:r>
        <w:rPr>
          <w:rFonts w:hint="eastAsia" w:ascii="宋体" w:hAnsi="宋体" w:cs="宋体"/>
          <w:szCs w:val="22"/>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spacing w:line="400" w:lineRule="exact"/>
        <w:ind w:firstLine="420" w:firstLineChars="200"/>
        <w:rPr>
          <w:rFonts w:ascii="宋体" w:hAnsi="宋体" w:cs="宋体"/>
          <w:szCs w:val="22"/>
        </w:rPr>
      </w:pPr>
      <w:r>
        <w:rPr>
          <w:rFonts w:hint="eastAsia" w:ascii="宋体" w:hAnsi="宋体" w:cs="宋体"/>
          <w:szCs w:val="22"/>
        </w:rPr>
        <w:t>8.8.2 发包人提供的施工设备和临时设施</w:t>
      </w:r>
    </w:p>
    <w:p>
      <w:pPr>
        <w:spacing w:line="400" w:lineRule="exact"/>
        <w:ind w:firstLine="420" w:firstLineChars="200"/>
        <w:rPr>
          <w:rFonts w:ascii="宋体" w:hAnsi="宋体" w:cs="宋体"/>
          <w:szCs w:val="22"/>
        </w:rPr>
      </w:pPr>
      <w:r>
        <w:rPr>
          <w:rFonts w:hint="eastAsia" w:ascii="宋体" w:hAnsi="宋体" w:cs="宋体"/>
          <w:szCs w:val="22"/>
        </w:rPr>
        <w:t>发包人提供的施工设备和临时设施：</w:t>
      </w:r>
      <w:r>
        <w:rPr>
          <w:rFonts w:hint="eastAsia" w:ascii="宋体" w:hAnsi="宋体" w:cs="宋体"/>
          <w:szCs w:val="22"/>
        </w:rPr>
        <w:tab/>
      </w:r>
      <w:r>
        <w:rPr>
          <w:rFonts w:hint="eastAsia" w:ascii="宋体" w:hAnsi="宋体" w:cs="宋体"/>
          <w:szCs w:val="22"/>
        </w:rPr>
        <w:t>项目场区内临时用水、用电接驳点</w:t>
      </w:r>
      <w:r>
        <w:rPr>
          <w:rFonts w:hint="eastAsia" w:ascii="宋体" w:hAnsi="宋体" w:cs="宋体"/>
          <w:szCs w:val="22"/>
        </w:rPr>
        <w:tab/>
      </w:r>
      <w:r>
        <w:rPr>
          <w:rFonts w:hint="eastAsia" w:ascii="宋体" w:hAnsi="宋体" w:cs="宋体"/>
          <w:szCs w:val="22"/>
        </w:rPr>
        <w:t>。</w:t>
      </w:r>
    </w:p>
    <w:p>
      <w:pPr>
        <w:spacing w:line="400" w:lineRule="exact"/>
        <w:ind w:firstLine="420" w:firstLineChars="200"/>
        <w:rPr>
          <w:rFonts w:ascii="宋体" w:hAnsi="宋体" w:cs="宋体"/>
          <w:szCs w:val="22"/>
          <w:u w:val="single"/>
        </w:rPr>
      </w:pPr>
      <w:r>
        <w:rPr>
          <w:rFonts w:hint="eastAsia" w:ascii="宋体" w:hAnsi="宋体" w:cs="宋体"/>
          <w:szCs w:val="22"/>
        </w:rPr>
        <w:t>发包人提供的施工设备和临时设施的运行、维护、拆除、清运费用的承担人：</w:t>
      </w:r>
      <w:r>
        <w:rPr>
          <w:rFonts w:hint="eastAsia" w:ascii="宋体" w:hAnsi="宋体" w:cs="宋体"/>
          <w:szCs w:val="22"/>
          <w:u w:val="single"/>
        </w:rPr>
        <w:tab/>
      </w:r>
      <w:r>
        <w:rPr>
          <w:rFonts w:hint="eastAsia" w:ascii="宋体" w:hAnsi="宋体" w:cs="宋体"/>
          <w:szCs w:val="22"/>
          <w:u w:val="single"/>
        </w:rPr>
        <w:t>承包人</w:t>
      </w:r>
      <w:r>
        <w:rPr>
          <w:rFonts w:hint="eastAsia" w:ascii="宋体" w:hAnsi="宋体" w:cs="宋体"/>
          <w:szCs w:val="22"/>
          <w:u w:val="single"/>
        </w:rPr>
        <w:tab/>
      </w:r>
      <w:r>
        <w:rPr>
          <w:rFonts w:hint="eastAsia" w:ascii="宋体" w:hAnsi="宋体" w:cs="宋体"/>
          <w:szCs w:val="22"/>
          <w:u w:val="single"/>
        </w:rPr>
        <w:t>。</w:t>
      </w:r>
    </w:p>
    <w:p>
      <w:pPr>
        <w:keepNext/>
        <w:keepLines/>
        <w:spacing w:before="260" w:after="260" w:line="412" w:lineRule="auto"/>
        <w:ind w:firstLine="422" w:firstLineChars="200"/>
        <w:jc w:val="left"/>
        <w:outlineLvl w:val="1"/>
        <w:rPr>
          <w:rFonts w:ascii="Arial" w:hAnsi="Arial" w:cs="宋体"/>
          <w:b/>
          <w:szCs w:val="22"/>
        </w:rPr>
      </w:pPr>
      <w:bookmarkStart w:id="192" w:name="_Toc55374007"/>
      <w:bookmarkStart w:id="193" w:name="_Toc140098597"/>
      <w:bookmarkStart w:id="194" w:name="_Toc69641904"/>
      <w:r>
        <w:rPr>
          <w:rFonts w:hint="eastAsia" w:ascii="Arial" w:hAnsi="Arial" w:cs="宋体"/>
          <w:b/>
          <w:szCs w:val="22"/>
        </w:rPr>
        <w:t>9. 试验与检验</w:t>
      </w:r>
      <w:bookmarkEnd w:id="192"/>
      <w:bookmarkEnd w:id="193"/>
      <w:bookmarkEnd w:id="194"/>
    </w:p>
    <w:p>
      <w:pPr>
        <w:keepNext/>
        <w:keepLines/>
        <w:spacing w:before="260" w:after="260" w:line="412" w:lineRule="auto"/>
        <w:jc w:val="left"/>
        <w:outlineLvl w:val="2"/>
        <w:rPr>
          <w:rFonts w:ascii="Calibri" w:hAnsi="Calibri"/>
          <w:b/>
          <w:szCs w:val="24"/>
        </w:rPr>
      </w:pPr>
      <w:bookmarkStart w:id="195" w:name="_Toc55374008"/>
      <w:bookmarkStart w:id="196" w:name="_Toc140098598"/>
      <w:bookmarkStart w:id="197" w:name="_Toc69641905"/>
      <w:r>
        <w:rPr>
          <w:rFonts w:hint="eastAsia" w:ascii="Calibri" w:hAnsi="Calibri"/>
          <w:b/>
          <w:szCs w:val="24"/>
        </w:rPr>
        <w:t>9.1试验设备与试验人员</w:t>
      </w:r>
      <w:bookmarkEnd w:id="195"/>
      <w:bookmarkEnd w:id="196"/>
      <w:bookmarkEnd w:id="197"/>
    </w:p>
    <w:p>
      <w:pPr>
        <w:spacing w:line="400" w:lineRule="exact"/>
        <w:ind w:firstLine="420" w:firstLineChars="200"/>
        <w:rPr>
          <w:rFonts w:ascii="宋体" w:hAnsi="宋体" w:cs="宋体"/>
          <w:szCs w:val="22"/>
        </w:rPr>
      </w:pPr>
      <w:r>
        <w:rPr>
          <w:rFonts w:hint="eastAsia" w:ascii="宋体" w:hAnsi="宋体" w:cs="宋体"/>
          <w:szCs w:val="22"/>
        </w:rPr>
        <w:t>9.1.2 试验设备</w:t>
      </w:r>
    </w:p>
    <w:p>
      <w:pPr>
        <w:spacing w:line="400" w:lineRule="exact"/>
        <w:ind w:firstLine="420" w:firstLineChars="200"/>
        <w:rPr>
          <w:rFonts w:ascii="宋体" w:hAnsi="宋体" w:cs="宋体"/>
          <w:szCs w:val="22"/>
        </w:rPr>
      </w:pPr>
      <w:r>
        <w:rPr>
          <w:rFonts w:hint="eastAsia" w:ascii="宋体" w:hAnsi="宋体" w:cs="宋体"/>
          <w:szCs w:val="22"/>
        </w:rPr>
        <w:t>施工现场需要配置的试验场所：</w:t>
      </w:r>
      <w:r>
        <w:rPr>
          <w:rFonts w:hint="eastAsia" w:ascii="宋体" w:hAnsi="宋体" w:cs="宋体"/>
          <w:szCs w:val="22"/>
          <w:u w:val="single"/>
        </w:rPr>
        <w:t xml:space="preserve"> 混凝土或砂浆试块养护场所</w:t>
      </w:r>
      <w:r>
        <w:rPr>
          <w:rFonts w:hint="eastAsia" w:ascii="宋体" w:hAnsi="宋体" w:cs="宋体"/>
          <w:szCs w:val="22"/>
          <w:u w:val="single"/>
        </w:rPr>
        <w:tab/>
      </w:r>
      <w:r>
        <w:rPr>
          <w:rFonts w:hint="eastAsia" w:ascii="宋体" w:hAnsi="宋体" w:cs="宋体"/>
          <w:szCs w:val="22"/>
          <w:u w:val="single"/>
        </w:rPr>
        <w:t xml:space="preserve"> </w:t>
      </w:r>
    </w:p>
    <w:p>
      <w:pPr>
        <w:spacing w:line="400" w:lineRule="exact"/>
        <w:ind w:firstLine="420" w:firstLineChars="200"/>
        <w:rPr>
          <w:rFonts w:ascii="宋体" w:hAnsi="宋体" w:cs="宋体"/>
          <w:szCs w:val="22"/>
          <w:u w:val="single"/>
        </w:rPr>
      </w:pPr>
      <w:r>
        <w:rPr>
          <w:rFonts w:hint="eastAsia" w:ascii="宋体" w:hAnsi="宋体" w:cs="宋体"/>
          <w:szCs w:val="22"/>
        </w:rPr>
        <w:t>施工现场需要配备的试验设备：</w:t>
      </w:r>
      <w:r>
        <w:rPr>
          <w:rFonts w:hint="eastAsia" w:ascii="宋体" w:hAnsi="宋体" w:cs="宋体"/>
          <w:szCs w:val="22"/>
          <w:u w:val="single"/>
        </w:rPr>
        <w:t xml:space="preserve"> 按国家有关规定配备</w:t>
      </w:r>
    </w:p>
    <w:p>
      <w:pPr>
        <w:spacing w:line="400" w:lineRule="exact"/>
        <w:ind w:firstLine="420" w:firstLineChars="200"/>
        <w:rPr>
          <w:rFonts w:ascii="宋体" w:hAnsi="宋体" w:cs="宋体"/>
          <w:szCs w:val="22"/>
          <w:u w:val="single"/>
        </w:rPr>
      </w:pPr>
      <w:r>
        <w:rPr>
          <w:rFonts w:hint="eastAsia" w:ascii="宋体" w:hAnsi="宋体" w:cs="宋体"/>
          <w:szCs w:val="22"/>
        </w:rPr>
        <w:t>施工现场需要具备的其他试验条件：</w:t>
      </w:r>
      <w:r>
        <w:rPr>
          <w:rFonts w:hint="eastAsia" w:ascii="宋体" w:hAnsi="宋体" w:cs="宋体"/>
          <w:szCs w:val="22"/>
          <w:u w:val="single"/>
        </w:rPr>
        <w:t xml:space="preserve">    /  。</w:t>
      </w:r>
    </w:p>
    <w:p>
      <w:pPr>
        <w:keepNext/>
        <w:keepLines/>
        <w:spacing w:before="260" w:after="260" w:line="412" w:lineRule="auto"/>
        <w:jc w:val="left"/>
        <w:outlineLvl w:val="2"/>
        <w:rPr>
          <w:rFonts w:ascii="Calibri" w:hAnsi="Calibri"/>
          <w:b/>
          <w:szCs w:val="24"/>
        </w:rPr>
      </w:pPr>
      <w:bookmarkStart w:id="198" w:name="_Toc69641906"/>
      <w:bookmarkStart w:id="199" w:name="_Toc140098599"/>
      <w:bookmarkStart w:id="200" w:name="_Toc55374009"/>
      <w:r>
        <w:rPr>
          <w:rFonts w:hint="eastAsia" w:ascii="Calibri" w:hAnsi="Calibri"/>
          <w:b/>
          <w:szCs w:val="24"/>
        </w:rPr>
        <w:t>9.4 现场工艺试验</w:t>
      </w:r>
      <w:bookmarkEnd w:id="198"/>
      <w:bookmarkEnd w:id="199"/>
      <w:bookmarkEnd w:id="200"/>
      <w:r>
        <w:rPr>
          <w:rFonts w:hint="eastAsia" w:ascii="Calibri" w:hAnsi="Calibri"/>
          <w:b/>
          <w:szCs w:val="24"/>
        </w:rPr>
        <w:t xml:space="preserve"> </w:t>
      </w:r>
    </w:p>
    <w:p>
      <w:pPr>
        <w:spacing w:line="400" w:lineRule="exact"/>
        <w:ind w:firstLine="420" w:firstLineChars="200"/>
        <w:rPr>
          <w:rFonts w:ascii="宋体" w:hAnsi="宋体" w:cs="宋体"/>
          <w:szCs w:val="22"/>
          <w:u w:val="single"/>
        </w:rPr>
      </w:pPr>
      <w:r>
        <w:rPr>
          <w:rFonts w:hint="eastAsia" w:ascii="宋体" w:hAnsi="宋体" w:cs="宋体"/>
          <w:szCs w:val="22"/>
        </w:rPr>
        <w:t>现场工艺试验的有关约定：</w:t>
      </w:r>
      <w:r>
        <w:rPr>
          <w:rFonts w:hint="eastAsia" w:ascii="宋体" w:hAnsi="宋体" w:cs="宋体"/>
          <w:szCs w:val="22"/>
          <w:u w:val="single"/>
        </w:rPr>
        <w:t xml:space="preserve">    /   。</w:t>
      </w:r>
    </w:p>
    <w:p>
      <w:pPr>
        <w:keepNext/>
        <w:keepLines/>
        <w:spacing w:before="260" w:after="260" w:line="412" w:lineRule="auto"/>
        <w:jc w:val="left"/>
        <w:outlineLvl w:val="2"/>
        <w:rPr>
          <w:rFonts w:ascii="Calibri" w:hAnsi="Calibri"/>
          <w:b/>
          <w:szCs w:val="24"/>
        </w:rPr>
      </w:pPr>
      <w:bookmarkStart w:id="201" w:name="_Toc140098600"/>
      <w:bookmarkStart w:id="202" w:name="_Toc55374010"/>
      <w:bookmarkStart w:id="203" w:name="_Toc69641907"/>
      <w:r>
        <w:rPr>
          <w:rFonts w:hint="eastAsia" w:ascii="Calibri" w:hAnsi="Calibri"/>
          <w:b/>
          <w:szCs w:val="24"/>
        </w:rPr>
        <w:t>9.5 检验费用</w:t>
      </w:r>
      <w:bookmarkEnd w:id="201"/>
      <w:bookmarkEnd w:id="202"/>
      <w:bookmarkEnd w:id="203"/>
    </w:p>
    <w:p>
      <w:pPr>
        <w:spacing w:line="400" w:lineRule="exact"/>
        <w:ind w:firstLine="420" w:firstLineChars="200"/>
        <w:rPr>
          <w:rFonts w:ascii="宋体" w:hAnsi="宋体" w:cs="宋体"/>
          <w:szCs w:val="22"/>
        </w:rPr>
      </w:pPr>
      <w:r>
        <w:rPr>
          <w:rFonts w:hint="eastAsia" w:ascii="宋体" w:hAnsi="宋体" w:cs="宋体"/>
          <w:szCs w:val="22"/>
        </w:rPr>
        <w:t>根据《建设工程质量检测管理办法》（建设部令第 57 号）以及《广西壮族自治区建设工程质量检测管理规定》（桂建管〔2013〕11 号）规定，工程质量检测业务由招标人委托有相应资质的检测机构检测。费用从招标人的项目建设经费中支出并直接支付给检测机构，不计入合同价款内。</w:t>
      </w:r>
    </w:p>
    <w:p>
      <w:pPr>
        <w:keepNext/>
        <w:keepLines/>
        <w:spacing w:before="260" w:after="260" w:line="412" w:lineRule="auto"/>
        <w:ind w:firstLine="422" w:firstLineChars="200"/>
        <w:jc w:val="left"/>
        <w:outlineLvl w:val="1"/>
        <w:rPr>
          <w:rFonts w:ascii="Arial" w:hAnsi="Arial" w:cs="宋体"/>
          <w:b/>
          <w:szCs w:val="22"/>
        </w:rPr>
      </w:pPr>
      <w:bookmarkStart w:id="204" w:name="_Toc55374011"/>
      <w:bookmarkStart w:id="205" w:name="_Toc69641908"/>
      <w:bookmarkStart w:id="206" w:name="_Toc140098601"/>
      <w:r>
        <w:rPr>
          <w:rFonts w:hint="eastAsia" w:ascii="Arial" w:hAnsi="Arial" w:cs="宋体"/>
          <w:b/>
          <w:szCs w:val="22"/>
        </w:rPr>
        <w:t>10. 变更</w:t>
      </w:r>
      <w:bookmarkEnd w:id="204"/>
      <w:bookmarkEnd w:id="205"/>
      <w:bookmarkEnd w:id="206"/>
    </w:p>
    <w:p>
      <w:pPr>
        <w:keepNext/>
        <w:keepLines/>
        <w:spacing w:before="260" w:after="260" w:line="412" w:lineRule="auto"/>
        <w:jc w:val="left"/>
        <w:outlineLvl w:val="2"/>
        <w:rPr>
          <w:rFonts w:ascii="Calibri" w:hAnsi="Calibri"/>
          <w:b/>
          <w:szCs w:val="24"/>
        </w:rPr>
      </w:pPr>
      <w:bookmarkStart w:id="207" w:name="_Toc69641909"/>
      <w:bookmarkStart w:id="208" w:name="_Toc55374012"/>
      <w:bookmarkStart w:id="209" w:name="_Toc140098602"/>
      <w:r>
        <w:rPr>
          <w:rFonts w:hint="eastAsia" w:ascii="Calibri" w:hAnsi="Calibri"/>
          <w:b/>
          <w:szCs w:val="24"/>
        </w:rPr>
        <w:t>10.1变更的范围</w:t>
      </w:r>
      <w:bookmarkEnd w:id="207"/>
      <w:bookmarkEnd w:id="208"/>
      <w:bookmarkEnd w:id="209"/>
    </w:p>
    <w:p>
      <w:pPr>
        <w:spacing w:line="400" w:lineRule="exact"/>
        <w:ind w:firstLine="420" w:firstLineChars="200"/>
        <w:rPr>
          <w:rFonts w:ascii="宋体" w:hAnsi="宋体" w:cs="宋体"/>
          <w:szCs w:val="22"/>
        </w:rPr>
      </w:pPr>
      <w:r>
        <w:rPr>
          <w:rFonts w:hint="eastAsia" w:ascii="宋体" w:hAnsi="宋体" w:cs="宋体"/>
          <w:szCs w:val="22"/>
        </w:rPr>
        <w:t>⑴本工程合同实施期间因不可预见因素或设计及发包人要求所发生的工程量增减（因变更、签证产生），其工程量按实际发生并经监理工程师和发包人现场会签草签单，工程量变更申请（附相关预算）须附经认可的会签草签单且加盖发包人指定的专用章认可。承包人提交的工程量变更申请，未附经认可的会签草签单的，监理人不予批准，责令承包人补充完整资料后再上报。</w:t>
      </w:r>
    </w:p>
    <w:p>
      <w:pPr>
        <w:spacing w:line="400" w:lineRule="exact"/>
        <w:ind w:firstLine="420" w:firstLineChars="200"/>
        <w:rPr>
          <w:rFonts w:ascii="宋体" w:hAnsi="宋体" w:cs="宋体"/>
          <w:szCs w:val="22"/>
        </w:rPr>
      </w:pPr>
      <w:r>
        <w:rPr>
          <w:rFonts w:hint="eastAsia" w:ascii="宋体" w:hAnsi="宋体" w:cs="宋体"/>
          <w:szCs w:val="22"/>
        </w:rPr>
        <w:t>⑵减少或取消工程量的工程联系函可以直接作为结算依据。</w:t>
      </w:r>
    </w:p>
    <w:p>
      <w:pPr>
        <w:spacing w:line="400" w:lineRule="exact"/>
        <w:ind w:firstLine="420" w:firstLineChars="200"/>
        <w:rPr>
          <w:rFonts w:ascii="宋体" w:hAnsi="宋体" w:cs="宋体"/>
          <w:szCs w:val="22"/>
        </w:rPr>
      </w:pPr>
      <w:r>
        <w:rPr>
          <w:rFonts w:hint="eastAsia" w:ascii="宋体" w:hAnsi="宋体" w:cs="宋体"/>
          <w:szCs w:val="22"/>
        </w:rPr>
        <w:t>⑶增加工程量的工程联系函必须附相应的签证单或发包人确认已施工的说明方可作为结算依据。</w:t>
      </w:r>
    </w:p>
    <w:p>
      <w:pPr>
        <w:spacing w:line="400" w:lineRule="exact"/>
        <w:ind w:firstLine="420" w:firstLineChars="200"/>
        <w:rPr>
          <w:rFonts w:ascii="宋体" w:hAnsi="宋体" w:cs="宋体"/>
          <w:szCs w:val="22"/>
        </w:rPr>
      </w:pPr>
      <w:r>
        <w:rPr>
          <w:rFonts w:hint="eastAsia" w:ascii="宋体" w:hAnsi="宋体" w:cs="宋体"/>
          <w:szCs w:val="22"/>
        </w:rPr>
        <w:t>应当进行变更的其他情形：</w:t>
      </w:r>
    </w:p>
    <w:p>
      <w:pPr>
        <w:spacing w:line="400" w:lineRule="exact"/>
        <w:ind w:firstLine="420" w:firstLineChars="200"/>
        <w:rPr>
          <w:rFonts w:ascii="宋体" w:hAnsi="宋体" w:cs="宋体"/>
          <w:szCs w:val="22"/>
        </w:rPr>
      </w:pPr>
      <w:r>
        <w:rPr>
          <w:rFonts w:hint="eastAsia" w:ascii="宋体" w:hAnsi="宋体" w:cs="宋体"/>
          <w:szCs w:val="22"/>
        </w:rPr>
        <w:t>①由于承包人现场施工组织、技术能力、施工质量或施工进度等不能满足发包人需要，发包人可根据情况要求承包人限时整改，承包人拒不整改或整改不及时或经整改仍无法满足有关要求的，发包人有权取消合同项下的相关工作，由发包人或其他人实施，相关费用从合同价款中扣除。</w:t>
      </w:r>
    </w:p>
    <w:p>
      <w:pPr>
        <w:spacing w:line="400" w:lineRule="exact"/>
        <w:ind w:firstLine="420" w:firstLineChars="200"/>
        <w:rPr>
          <w:rFonts w:ascii="宋体" w:hAnsi="宋体" w:cs="宋体"/>
          <w:szCs w:val="22"/>
        </w:rPr>
      </w:pPr>
      <w:r>
        <w:rPr>
          <w:rFonts w:hint="eastAsia" w:ascii="宋体" w:hAnsi="宋体" w:cs="宋体"/>
          <w:szCs w:val="22"/>
        </w:rPr>
        <w:t>②非承包人原因引起工程项目缓建、中途停建、设计变更或设计错误造成的返工，发包人应采取措施，同时经有关部门审定后赔偿承包人由此造成的停工、窝工、倒运、人员和机械的调迁，材料和构件积压等损失。如因承包人原因造成停工、窝工、倒运、人员和机械的调迁，材料和构件积压等损失，由承包人负责。</w:t>
      </w:r>
    </w:p>
    <w:p>
      <w:pPr>
        <w:spacing w:line="400" w:lineRule="exact"/>
        <w:ind w:firstLine="420" w:firstLineChars="200"/>
        <w:rPr>
          <w:rFonts w:ascii="宋体" w:hAnsi="宋体" w:cs="宋体"/>
          <w:szCs w:val="22"/>
        </w:rPr>
      </w:pPr>
      <w:r>
        <w:rPr>
          <w:rFonts w:hint="eastAsia" w:ascii="宋体" w:hAnsi="宋体" w:cs="宋体"/>
          <w:szCs w:val="22"/>
        </w:rPr>
        <w:t>③承包人不能擅自变更，否则承担全部的违约责任，工期不予顺延。</w:t>
      </w:r>
    </w:p>
    <w:p>
      <w:pPr>
        <w:spacing w:line="400" w:lineRule="exact"/>
        <w:ind w:firstLine="420" w:firstLineChars="200"/>
        <w:rPr>
          <w:rFonts w:ascii="宋体" w:hAnsi="宋体" w:cs="宋体"/>
          <w:szCs w:val="22"/>
        </w:rPr>
      </w:pPr>
      <w:r>
        <w:rPr>
          <w:rFonts w:hint="eastAsia" w:ascii="宋体" w:hAnsi="宋体" w:cs="宋体"/>
          <w:szCs w:val="22"/>
        </w:rPr>
        <w:t>⑷承包人在合同签订后一个月内依据施工图纸按发包人要求提交标后工程量清单（含缺项、漏项的）报监理人、发包人审核。标后工程量清单经发包人与承包人双方确认后，原则上不得更改。特殊情况双方协商解决。</w:t>
      </w:r>
    </w:p>
    <w:p>
      <w:pPr>
        <w:keepNext/>
        <w:keepLines/>
        <w:spacing w:before="260" w:after="260" w:line="412" w:lineRule="auto"/>
        <w:jc w:val="left"/>
        <w:outlineLvl w:val="2"/>
        <w:rPr>
          <w:rFonts w:ascii="Calibri" w:hAnsi="Calibri"/>
          <w:b/>
          <w:szCs w:val="24"/>
        </w:rPr>
      </w:pPr>
      <w:bookmarkStart w:id="210" w:name="_Toc69641910"/>
      <w:bookmarkStart w:id="211" w:name="_Toc140098603"/>
      <w:bookmarkStart w:id="212" w:name="_Toc55374013"/>
      <w:r>
        <w:rPr>
          <w:rFonts w:hint="eastAsia" w:ascii="Calibri" w:hAnsi="Calibri"/>
          <w:b/>
          <w:szCs w:val="24"/>
        </w:rPr>
        <w:t>10.3 变更程序</w:t>
      </w:r>
      <w:bookmarkEnd w:id="210"/>
      <w:bookmarkEnd w:id="211"/>
      <w:bookmarkEnd w:id="212"/>
    </w:p>
    <w:p>
      <w:pPr>
        <w:spacing w:line="400" w:lineRule="exact"/>
        <w:ind w:firstLine="420" w:firstLineChars="200"/>
        <w:rPr>
          <w:rFonts w:ascii="宋体" w:hAnsi="宋体" w:cs="宋体"/>
          <w:szCs w:val="22"/>
        </w:rPr>
      </w:pPr>
      <w:r>
        <w:rPr>
          <w:rFonts w:hint="eastAsia" w:ascii="宋体" w:hAnsi="宋体" w:cs="宋体"/>
          <w:szCs w:val="22"/>
        </w:rPr>
        <w:t>10.3.1 国有投资项目：</w:t>
      </w:r>
    </w:p>
    <w:p>
      <w:pPr>
        <w:spacing w:line="400" w:lineRule="exact"/>
        <w:ind w:firstLine="420" w:firstLineChars="200"/>
        <w:rPr>
          <w:rFonts w:ascii="宋体" w:hAnsi="宋体" w:cs="宋体"/>
          <w:szCs w:val="22"/>
          <w:u w:val="single"/>
        </w:rPr>
      </w:pPr>
      <w:r>
        <w:rPr>
          <w:rFonts w:hint="eastAsia" w:ascii="宋体" w:hAnsi="宋体" w:cs="宋体"/>
          <w:szCs w:val="22"/>
        </w:rPr>
        <w:t>⑴设计变更和工程签证，按各市政府或相关部门的规定办理。承包人应及时办理正式签证，如在五方预验收后14日内仍未办理签证的，不再予以补签。属不可抗力（自然灾害、突发事件等）造成变更的，按特事特办原则予以办理。</w:t>
      </w:r>
    </w:p>
    <w:p>
      <w:pPr>
        <w:spacing w:line="400" w:lineRule="exact"/>
        <w:ind w:firstLine="420" w:firstLineChars="200"/>
        <w:rPr>
          <w:rFonts w:ascii="宋体" w:hAnsi="宋体" w:cs="宋体"/>
          <w:szCs w:val="22"/>
        </w:rPr>
      </w:pPr>
      <w:r>
        <w:rPr>
          <w:rFonts w:hint="eastAsia" w:ascii="宋体" w:hAnsi="宋体" w:cs="宋体"/>
          <w:szCs w:val="22"/>
        </w:rPr>
        <w:t>⑵建设单位在实施项目过程中，若发生单价变动，由建设单位、监理单位、施工单位及其他相关单位共同商定并签字确认。</w:t>
      </w:r>
    </w:p>
    <w:p>
      <w:pPr>
        <w:spacing w:line="400" w:lineRule="exact"/>
        <w:ind w:firstLine="420" w:firstLineChars="200"/>
        <w:rPr>
          <w:rFonts w:ascii="宋体" w:hAnsi="宋体" w:cs="宋体"/>
          <w:szCs w:val="22"/>
        </w:rPr>
      </w:pPr>
      <w:r>
        <w:rPr>
          <w:rFonts w:hint="eastAsia" w:ascii="宋体" w:hAnsi="宋体" w:cs="宋体"/>
          <w:szCs w:val="22"/>
        </w:rPr>
        <w:t>⑶当合同规定的合同价款调整情况发生后，承包人未在规定时间内通知发包人，或者未在规定时间内提出调整报告，发包人可以根据有关资料，决定是否调整和调整的金额，并书面通知承包人。</w:t>
      </w:r>
    </w:p>
    <w:p>
      <w:pPr>
        <w:spacing w:line="400" w:lineRule="exact"/>
        <w:ind w:firstLine="420" w:firstLineChars="200"/>
        <w:rPr>
          <w:rFonts w:ascii="宋体" w:hAnsi="宋体" w:cs="宋体"/>
          <w:szCs w:val="22"/>
        </w:rPr>
      </w:pPr>
      <w:r>
        <w:rPr>
          <w:rFonts w:hint="eastAsia" w:ascii="宋体" w:hAnsi="宋体" w:cs="宋体"/>
          <w:szCs w:val="22"/>
        </w:rPr>
        <w:t>10.3.2 非国有投资项目：</w:t>
      </w:r>
      <w:r>
        <w:rPr>
          <w:rFonts w:hint="eastAsia" w:ascii="宋体" w:hAnsi="宋体" w:cs="宋体"/>
          <w:szCs w:val="22"/>
          <w:u w:val="single"/>
        </w:rPr>
        <w:tab/>
      </w:r>
      <w:r>
        <w:rPr>
          <w:rFonts w:hint="eastAsia" w:ascii="宋体" w:hAnsi="宋体" w:cs="宋体"/>
          <w:szCs w:val="22"/>
          <w:u w:val="single"/>
        </w:rPr>
        <w:t>/</w:t>
      </w:r>
      <w:r>
        <w:rPr>
          <w:rFonts w:hint="eastAsia" w:ascii="宋体" w:hAnsi="宋体" w:cs="宋体"/>
          <w:szCs w:val="22"/>
          <w:u w:val="single"/>
        </w:rPr>
        <w:tab/>
      </w:r>
      <w:r>
        <w:rPr>
          <w:rFonts w:hint="eastAsia" w:ascii="宋体" w:hAnsi="宋体" w:cs="宋体"/>
          <w:szCs w:val="22"/>
        </w:rPr>
        <w:t>。</w:t>
      </w:r>
    </w:p>
    <w:p>
      <w:pPr>
        <w:keepNext/>
        <w:keepLines/>
        <w:spacing w:before="260" w:after="260" w:line="412" w:lineRule="auto"/>
        <w:jc w:val="left"/>
        <w:outlineLvl w:val="2"/>
        <w:rPr>
          <w:rFonts w:ascii="Calibri" w:hAnsi="Calibri"/>
          <w:b/>
          <w:szCs w:val="24"/>
        </w:rPr>
      </w:pPr>
      <w:bookmarkStart w:id="213" w:name="_Toc140098604"/>
      <w:bookmarkStart w:id="214" w:name="_Toc69641911"/>
      <w:bookmarkStart w:id="215" w:name="_Toc55374014"/>
      <w:r>
        <w:rPr>
          <w:rFonts w:hint="eastAsia" w:ascii="Calibri" w:hAnsi="Calibri"/>
          <w:b/>
          <w:szCs w:val="24"/>
        </w:rPr>
        <w:t>10.4 变更估价</w:t>
      </w:r>
      <w:bookmarkEnd w:id="213"/>
      <w:bookmarkEnd w:id="214"/>
      <w:bookmarkEnd w:id="215"/>
    </w:p>
    <w:p>
      <w:pPr>
        <w:spacing w:line="400" w:lineRule="exact"/>
        <w:ind w:firstLine="420" w:firstLineChars="200"/>
        <w:rPr>
          <w:rFonts w:ascii="宋体" w:hAnsi="宋体" w:cs="宋体"/>
          <w:szCs w:val="22"/>
          <w:u w:val="single"/>
        </w:rPr>
      </w:pPr>
      <w:r>
        <w:rPr>
          <w:rFonts w:hint="eastAsia" w:ascii="宋体" w:hAnsi="宋体" w:cs="宋体"/>
          <w:szCs w:val="22"/>
        </w:rPr>
        <w:t xml:space="preserve">10.4.1 关于变更估价的约定: </w:t>
      </w:r>
      <w:r>
        <w:rPr>
          <w:rFonts w:hint="eastAsia" w:ascii="宋体" w:hAnsi="宋体" w:cs="宋体"/>
          <w:szCs w:val="22"/>
          <w:u w:val="single"/>
        </w:rPr>
        <w:t>按第12.1款执行。</w:t>
      </w:r>
    </w:p>
    <w:p>
      <w:pPr>
        <w:keepNext/>
        <w:keepLines/>
        <w:spacing w:before="260" w:after="260" w:line="412" w:lineRule="auto"/>
        <w:jc w:val="left"/>
        <w:outlineLvl w:val="2"/>
        <w:rPr>
          <w:rFonts w:ascii="Calibri" w:hAnsi="Calibri"/>
          <w:b/>
          <w:szCs w:val="24"/>
        </w:rPr>
      </w:pPr>
      <w:bookmarkStart w:id="216" w:name="_Toc55374015"/>
      <w:bookmarkStart w:id="217" w:name="_Toc140098605"/>
      <w:bookmarkStart w:id="218" w:name="_Toc69641912"/>
      <w:r>
        <w:rPr>
          <w:rFonts w:hint="eastAsia" w:ascii="Calibri" w:hAnsi="Calibri"/>
          <w:b/>
          <w:szCs w:val="24"/>
        </w:rPr>
        <w:t>10.5承包人的合理化建议</w:t>
      </w:r>
      <w:bookmarkEnd w:id="216"/>
      <w:bookmarkEnd w:id="217"/>
      <w:bookmarkEnd w:id="218"/>
    </w:p>
    <w:p>
      <w:pPr>
        <w:spacing w:line="400" w:lineRule="exact"/>
        <w:ind w:firstLine="420" w:firstLineChars="200"/>
        <w:rPr>
          <w:rFonts w:ascii="宋体" w:hAnsi="宋体" w:cs="宋体"/>
          <w:szCs w:val="22"/>
          <w:u w:val="single"/>
        </w:rPr>
      </w:pPr>
      <w:r>
        <w:rPr>
          <w:rFonts w:hint="eastAsia" w:ascii="宋体" w:hAnsi="宋体" w:cs="宋体"/>
          <w:szCs w:val="22"/>
        </w:rPr>
        <w:t>监理人审查承包人合理化建议的期限：</w:t>
      </w:r>
      <w:r>
        <w:rPr>
          <w:rFonts w:hint="eastAsia" w:ascii="宋体" w:hAnsi="宋体" w:cs="宋体"/>
          <w:szCs w:val="22"/>
          <w:u w:val="single"/>
        </w:rPr>
        <w:t xml:space="preserve"> 收到文件后3个工作日 </w:t>
      </w:r>
    </w:p>
    <w:p>
      <w:pPr>
        <w:spacing w:line="400" w:lineRule="exact"/>
        <w:ind w:firstLine="420" w:firstLineChars="200"/>
        <w:rPr>
          <w:rFonts w:ascii="宋体" w:hAnsi="宋体" w:cs="宋体"/>
          <w:szCs w:val="22"/>
        </w:rPr>
      </w:pPr>
      <w:r>
        <w:rPr>
          <w:rFonts w:hint="eastAsia" w:ascii="宋体" w:hAnsi="宋体" w:cs="宋体"/>
          <w:szCs w:val="22"/>
        </w:rPr>
        <w:t>发包人审批承包人合理化建议的期限：收到监理提交的审查文件后5个工作日  。</w:t>
      </w:r>
    </w:p>
    <w:p>
      <w:pPr>
        <w:spacing w:line="400" w:lineRule="exact"/>
        <w:ind w:firstLine="420" w:firstLineChars="200"/>
        <w:rPr>
          <w:rFonts w:ascii="宋体" w:hAnsi="宋体" w:cs="宋体"/>
          <w:szCs w:val="22"/>
          <w:u w:val="single"/>
        </w:rPr>
      </w:pPr>
      <w:r>
        <w:rPr>
          <w:rFonts w:hint="eastAsia" w:ascii="宋体" w:hAnsi="宋体" w:cs="宋体"/>
          <w:szCs w:val="22"/>
        </w:rPr>
        <w:t>承包人提出的合理化建议降低了合同价格或者提高了工程经济效益的奖励的方法和金额为：</w:t>
      </w:r>
      <w:r>
        <w:rPr>
          <w:rFonts w:hint="eastAsia" w:ascii="宋体" w:hAnsi="宋体" w:cs="宋体"/>
          <w:szCs w:val="22"/>
          <w:u w:val="single"/>
        </w:rPr>
        <w:t xml:space="preserve"> 无 。</w:t>
      </w:r>
    </w:p>
    <w:p>
      <w:pPr>
        <w:keepNext/>
        <w:keepLines/>
        <w:spacing w:before="260" w:after="260" w:line="412" w:lineRule="auto"/>
        <w:jc w:val="left"/>
        <w:outlineLvl w:val="2"/>
        <w:rPr>
          <w:rFonts w:ascii="Calibri" w:hAnsi="Calibri"/>
          <w:b/>
          <w:szCs w:val="24"/>
        </w:rPr>
      </w:pPr>
      <w:bookmarkStart w:id="219" w:name="_Toc55374016"/>
      <w:bookmarkStart w:id="220" w:name="_Toc140098606"/>
      <w:bookmarkStart w:id="221" w:name="_Toc69641913"/>
      <w:r>
        <w:rPr>
          <w:rFonts w:hint="eastAsia" w:ascii="Calibri" w:hAnsi="Calibri"/>
          <w:b/>
          <w:szCs w:val="24"/>
        </w:rPr>
        <w:t>10.7 暂估价</w:t>
      </w:r>
      <w:bookmarkEnd w:id="219"/>
      <w:bookmarkEnd w:id="220"/>
      <w:bookmarkEnd w:id="221"/>
    </w:p>
    <w:p>
      <w:pPr>
        <w:spacing w:line="400" w:lineRule="exact"/>
        <w:ind w:firstLine="420" w:firstLineChars="200"/>
        <w:rPr>
          <w:rFonts w:ascii="宋体" w:hAnsi="宋体" w:cs="宋体"/>
          <w:szCs w:val="22"/>
        </w:rPr>
      </w:pPr>
      <w:r>
        <w:rPr>
          <w:rFonts w:hint="eastAsia" w:ascii="宋体" w:hAnsi="宋体" w:cs="宋体"/>
          <w:szCs w:val="22"/>
        </w:rPr>
        <w:t>暂估价材料和工程设备的明细详见附件</w:t>
      </w:r>
      <w:r>
        <w:rPr>
          <w:rFonts w:ascii="宋体" w:hAnsi="宋体" w:cs="宋体"/>
          <w:szCs w:val="22"/>
        </w:rPr>
        <w:t>8</w:t>
      </w:r>
      <w:r>
        <w:rPr>
          <w:rFonts w:hint="eastAsia" w:ascii="宋体" w:hAnsi="宋体" w:cs="宋体"/>
          <w:szCs w:val="22"/>
        </w:rPr>
        <w:t>：暂估价一览表。</w:t>
      </w:r>
    </w:p>
    <w:p>
      <w:pPr>
        <w:spacing w:line="400" w:lineRule="exact"/>
        <w:ind w:firstLine="420" w:firstLineChars="200"/>
        <w:rPr>
          <w:rFonts w:ascii="宋体" w:hAnsi="宋体" w:cs="宋体"/>
          <w:szCs w:val="22"/>
        </w:rPr>
      </w:pPr>
      <w:r>
        <w:rPr>
          <w:rFonts w:hint="eastAsia" w:ascii="宋体" w:hAnsi="宋体" w:cs="宋体"/>
          <w:szCs w:val="22"/>
        </w:rPr>
        <w:t>10.7.1 依法必须招标的暂估价项目</w:t>
      </w:r>
    </w:p>
    <w:p>
      <w:pPr>
        <w:spacing w:line="400" w:lineRule="exact"/>
        <w:ind w:firstLine="420" w:firstLineChars="200"/>
        <w:rPr>
          <w:rFonts w:ascii="宋体" w:hAnsi="宋体" w:cs="宋体"/>
          <w:szCs w:val="22"/>
        </w:rPr>
      </w:pPr>
      <w:r>
        <w:rPr>
          <w:rFonts w:hint="eastAsia" w:ascii="宋体" w:hAnsi="宋体" w:cs="宋体"/>
          <w:szCs w:val="22"/>
        </w:rPr>
        <w:t>对于依法必须招标的暂估价项目的确认和批准采取第</w:t>
      </w:r>
      <w:r>
        <w:rPr>
          <w:rFonts w:hint="eastAsia" w:ascii="宋体" w:hAnsi="宋体" w:cs="宋体"/>
          <w:szCs w:val="22"/>
          <w:u w:val="single"/>
        </w:rPr>
        <w:t xml:space="preserve"> /  </w:t>
      </w:r>
      <w:r>
        <w:rPr>
          <w:rFonts w:hint="eastAsia" w:ascii="宋体" w:hAnsi="宋体" w:cs="宋体"/>
          <w:szCs w:val="22"/>
        </w:rPr>
        <w:t>种方式确定。</w:t>
      </w:r>
    </w:p>
    <w:p>
      <w:pPr>
        <w:spacing w:line="400" w:lineRule="exact"/>
        <w:ind w:firstLine="420" w:firstLineChars="200"/>
        <w:rPr>
          <w:rFonts w:ascii="宋体" w:hAnsi="宋体" w:cs="宋体"/>
          <w:szCs w:val="22"/>
        </w:rPr>
      </w:pPr>
      <w:r>
        <w:rPr>
          <w:rFonts w:hint="eastAsia" w:ascii="宋体" w:hAnsi="宋体" w:cs="宋体"/>
          <w:szCs w:val="22"/>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成交人后，由发包人、承包人与成交人共同签订暂估价合同。</w:t>
      </w:r>
    </w:p>
    <w:p>
      <w:pPr>
        <w:spacing w:line="400" w:lineRule="exact"/>
        <w:ind w:firstLine="420" w:firstLineChars="200"/>
        <w:rPr>
          <w:rFonts w:ascii="宋体" w:hAnsi="宋体" w:cs="宋体"/>
          <w:szCs w:val="22"/>
        </w:rPr>
      </w:pPr>
      <w:r>
        <w:rPr>
          <w:rFonts w:hint="eastAsia" w:ascii="宋体" w:hAnsi="宋体" w:cs="宋体"/>
          <w:szCs w:val="22"/>
        </w:rPr>
        <w:t>10.7.2 不属于依法必须招标的暂估价项目</w:t>
      </w:r>
    </w:p>
    <w:p>
      <w:pPr>
        <w:spacing w:line="400" w:lineRule="exact"/>
        <w:ind w:firstLine="420" w:firstLineChars="200"/>
        <w:rPr>
          <w:rFonts w:ascii="宋体" w:hAnsi="宋体" w:cs="宋体"/>
          <w:szCs w:val="22"/>
        </w:rPr>
      </w:pPr>
      <w:r>
        <w:rPr>
          <w:rFonts w:hint="eastAsia" w:ascii="宋体" w:hAnsi="宋体" w:cs="宋体"/>
          <w:szCs w:val="22"/>
        </w:rPr>
        <w:t>对于不属于依法必须招标的暂估价项目的确认和批准采取第</w:t>
      </w:r>
      <w:r>
        <w:rPr>
          <w:rFonts w:hint="eastAsia" w:ascii="宋体" w:hAnsi="宋体" w:cs="宋体"/>
          <w:szCs w:val="22"/>
          <w:u w:val="single"/>
        </w:rPr>
        <w:t xml:space="preserve"> 1  </w:t>
      </w:r>
      <w:r>
        <w:rPr>
          <w:rFonts w:hint="eastAsia" w:ascii="宋体" w:hAnsi="宋体" w:cs="宋体"/>
          <w:szCs w:val="22"/>
        </w:rPr>
        <w:t>种方式确定。</w:t>
      </w:r>
    </w:p>
    <w:p>
      <w:pPr>
        <w:spacing w:line="400" w:lineRule="exact"/>
        <w:ind w:firstLine="420" w:firstLineChars="200"/>
        <w:rPr>
          <w:rFonts w:ascii="宋体" w:hAnsi="宋体" w:cs="宋体"/>
          <w:szCs w:val="22"/>
        </w:rPr>
      </w:pPr>
      <w:r>
        <w:rPr>
          <w:rFonts w:hint="eastAsia" w:ascii="宋体" w:hAnsi="宋体" w:cs="宋体"/>
          <w:szCs w:val="22"/>
        </w:rPr>
        <w:t>第1种方式：对于不属于依法必须招标的暂估价项目，按本项约定确认和批准：</w:t>
      </w:r>
    </w:p>
    <w:p>
      <w:pPr>
        <w:spacing w:line="400" w:lineRule="exact"/>
        <w:ind w:firstLine="420" w:firstLineChars="200"/>
        <w:rPr>
          <w:rFonts w:ascii="宋体" w:hAnsi="宋体" w:cs="宋体"/>
          <w:szCs w:val="22"/>
        </w:rPr>
      </w:pPr>
      <w:r>
        <w:rPr>
          <w:rFonts w:hint="eastAsia" w:ascii="宋体" w:hAnsi="宋体" w:cs="宋体"/>
          <w:szCs w:val="22"/>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400" w:lineRule="exact"/>
        <w:ind w:firstLine="420" w:firstLineChars="200"/>
        <w:rPr>
          <w:rFonts w:ascii="宋体" w:hAnsi="宋体" w:cs="宋体"/>
          <w:szCs w:val="22"/>
        </w:rPr>
      </w:pPr>
      <w:r>
        <w:rPr>
          <w:rFonts w:hint="eastAsia" w:ascii="宋体" w:hAnsi="宋体" w:cs="宋体"/>
          <w:szCs w:val="22"/>
        </w:rPr>
        <w:t>（2）发包人认为承包人确定的供应商、分包人无法满足工程质量或合同要求的，发包人可以要求承包人重新确定暂估价项目的供应商、分包人；</w:t>
      </w:r>
    </w:p>
    <w:p>
      <w:pPr>
        <w:spacing w:line="400" w:lineRule="exact"/>
        <w:ind w:firstLine="420" w:firstLineChars="200"/>
        <w:rPr>
          <w:rFonts w:ascii="宋体" w:hAnsi="宋体" w:cs="宋体"/>
          <w:szCs w:val="22"/>
        </w:rPr>
      </w:pPr>
      <w:r>
        <w:rPr>
          <w:rFonts w:hint="eastAsia" w:ascii="宋体" w:hAnsi="宋体" w:cs="宋体"/>
          <w:szCs w:val="22"/>
        </w:rPr>
        <w:t>（3）承包人应当在签订暂估价合同后7天内，将暂估价合同副本报送发包人留存。</w:t>
      </w:r>
    </w:p>
    <w:p>
      <w:pPr>
        <w:keepNext/>
        <w:keepLines/>
        <w:spacing w:before="260" w:after="260" w:line="412" w:lineRule="auto"/>
        <w:jc w:val="left"/>
        <w:outlineLvl w:val="2"/>
        <w:rPr>
          <w:rFonts w:ascii="Calibri" w:hAnsi="Calibri"/>
          <w:b/>
          <w:szCs w:val="24"/>
        </w:rPr>
      </w:pPr>
      <w:bookmarkStart w:id="222" w:name="_Toc69641914"/>
      <w:bookmarkStart w:id="223" w:name="_Toc140098607"/>
      <w:bookmarkStart w:id="224" w:name="_Toc55374017"/>
      <w:r>
        <w:rPr>
          <w:rFonts w:hint="eastAsia" w:ascii="Calibri" w:hAnsi="Calibri"/>
          <w:b/>
          <w:szCs w:val="24"/>
        </w:rPr>
        <w:t>10.8 暂列金额</w:t>
      </w:r>
      <w:bookmarkEnd w:id="222"/>
      <w:bookmarkEnd w:id="223"/>
      <w:bookmarkEnd w:id="224"/>
    </w:p>
    <w:p>
      <w:pPr>
        <w:spacing w:line="400" w:lineRule="exact"/>
        <w:ind w:firstLine="420" w:firstLineChars="200"/>
        <w:rPr>
          <w:rFonts w:ascii="宋体" w:hAnsi="宋体" w:cs="宋体"/>
          <w:szCs w:val="22"/>
        </w:rPr>
      </w:pPr>
      <w:r>
        <w:rPr>
          <w:rFonts w:hint="eastAsia" w:ascii="宋体" w:hAnsi="宋体" w:cs="宋体"/>
          <w:szCs w:val="22"/>
        </w:rPr>
        <w:t>合同当事人关于暂列金额使用的约定：（1）已签约合同价中的暂列金额由发包人掌握使用。（2）发包人按照规定所作支付后，暂列金额如有余额归发包人。</w:t>
      </w:r>
    </w:p>
    <w:p>
      <w:pPr>
        <w:keepNext/>
        <w:keepLines/>
        <w:spacing w:before="260" w:after="260" w:line="412" w:lineRule="auto"/>
        <w:ind w:firstLine="422" w:firstLineChars="200"/>
        <w:jc w:val="left"/>
        <w:outlineLvl w:val="1"/>
        <w:rPr>
          <w:rFonts w:ascii="Arial" w:hAnsi="Arial" w:cs="宋体"/>
          <w:b/>
          <w:szCs w:val="22"/>
        </w:rPr>
      </w:pPr>
      <w:bookmarkStart w:id="225" w:name="_Toc69641915"/>
      <w:bookmarkStart w:id="226" w:name="_Toc140098608"/>
      <w:bookmarkStart w:id="227" w:name="_Toc55374018"/>
      <w:r>
        <w:rPr>
          <w:rFonts w:hint="eastAsia" w:ascii="Arial" w:hAnsi="Arial" w:cs="宋体"/>
          <w:b/>
          <w:szCs w:val="22"/>
        </w:rPr>
        <w:t>11. 价格调整</w:t>
      </w:r>
      <w:bookmarkEnd w:id="225"/>
      <w:bookmarkEnd w:id="226"/>
      <w:bookmarkEnd w:id="227"/>
    </w:p>
    <w:p>
      <w:pPr>
        <w:keepNext/>
        <w:keepLines/>
        <w:spacing w:before="260" w:after="260" w:line="412" w:lineRule="auto"/>
        <w:jc w:val="left"/>
        <w:outlineLvl w:val="2"/>
        <w:rPr>
          <w:rFonts w:ascii="Calibri" w:hAnsi="Calibri"/>
          <w:b/>
          <w:szCs w:val="24"/>
        </w:rPr>
      </w:pPr>
      <w:bookmarkStart w:id="228" w:name="_Toc140098609"/>
      <w:bookmarkStart w:id="229" w:name="_Toc55374019"/>
      <w:bookmarkStart w:id="230" w:name="_Toc69641916"/>
      <w:r>
        <w:rPr>
          <w:rFonts w:hint="eastAsia" w:ascii="Calibri" w:hAnsi="Calibri"/>
          <w:b/>
          <w:szCs w:val="24"/>
        </w:rPr>
        <w:t>11.1 市场价格波动引起的调整</w:t>
      </w:r>
      <w:bookmarkEnd w:id="228"/>
      <w:bookmarkEnd w:id="229"/>
      <w:bookmarkEnd w:id="230"/>
    </w:p>
    <w:p>
      <w:pPr>
        <w:spacing w:line="400" w:lineRule="exact"/>
        <w:ind w:firstLine="420" w:firstLineChars="200"/>
        <w:rPr>
          <w:rFonts w:ascii="宋体" w:hAnsi="宋体" w:cs="宋体"/>
          <w:szCs w:val="22"/>
          <w:u w:val="single"/>
        </w:rPr>
      </w:pPr>
      <w:r>
        <w:rPr>
          <w:rFonts w:hint="eastAsia" w:ascii="宋体" w:hAnsi="宋体" w:cs="宋体"/>
          <w:szCs w:val="22"/>
        </w:rPr>
        <w:t>市场价格波动是否调整合同价格的约定：</w:t>
      </w:r>
      <w:r>
        <w:rPr>
          <w:rFonts w:hint="eastAsia" w:ascii="宋体" w:hAnsi="宋体" w:cs="宋体"/>
          <w:szCs w:val="22"/>
          <w:u w:val="single"/>
        </w:rPr>
        <w:t xml:space="preserve">  是  。</w:t>
      </w:r>
    </w:p>
    <w:p>
      <w:pPr>
        <w:spacing w:line="400" w:lineRule="exact"/>
        <w:ind w:firstLine="420" w:firstLineChars="200"/>
        <w:rPr>
          <w:rFonts w:ascii="宋体" w:hAnsi="宋体" w:cs="宋体"/>
          <w:szCs w:val="22"/>
        </w:rPr>
      </w:pPr>
      <w:r>
        <w:rPr>
          <w:rFonts w:hint="eastAsia" w:ascii="宋体" w:hAnsi="宋体" w:cs="宋体"/>
          <w:szCs w:val="22"/>
        </w:rPr>
        <w:t>因市场价格波动调整合同价格，采用以下第</w:t>
      </w:r>
      <w:r>
        <w:rPr>
          <w:rFonts w:hint="eastAsia" w:ascii="宋体" w:hAnsi="宋体" w:cs="宋体"/>
          <w:szCs w:val="22"/>
          <w:u w:val="single"/>
        </w:rPr>
        <w:t>2</w:t>
      </w:r>
      <w:r>
        <w:rPr>
          <w:rFonts w:hint="eastAsia" w:ascii="宋体" w:hAnsi="宋体" w:cs="宋体"/>
          <w:szCs w:val="22"/>
        </w:rPr>
        <w:t xml:space="preserve">种方式对合同价格进行调整： </w:t>
      </w:r>
    </w:p>
    <w:p>
      <w:pPr>
        <w:spacing w:line="400" w:lineRule="exact"/>
        <w:ind w:firstLine="420" w:firstLineChars="200"/>
        <w:rPr>
          <w:rFonts w:ascii="宋体" w:hAnsi="宋体" w:cs="宋体"/>
          <w:szCs w:val="22"/>
        </w:rPr>
      </w:pPr>
      <w:r>
        <w:rPr>
          <w:rFonts w:hint="eastAsia" w:ascii="宋体" w:hAnsi="宋体" w:cs="宋体"/>
          <w:szCs w:val="22"/>
        </w:rPr>
        <w:t>第2种方式：采用造价信息进行价格调整。</w:t>
      </w:r>
    </w:p>
    <w:p>
      <w:pPr>
        <w:spacing w:line="400" w:lineRule="exact"/>
        <w:ind w:firstLine="420" w:firstLineChars="200"/>
        <w:rPr>
          <w:rFonts w:ascii="宋体" w:hAnsi="宋体" w:cs="宋体"/>
          <w:szCs w:val="22"/>
        </w:rPr>
      </w:pPr>
      <w:r>
        <w:rPr>
          <w:rFonts w:hint="eastAsia" w:ascii="宋体" w:hAnsi="宋体" w:cs="宋体"/>
          <w:szCs w:val="22"/>
        </w:rPr>
        <w:t>（1）允许调整的主要材料（设备）、基期价格、风险系数、竞标报价详见《允许调整主要材料和工程设备一览表》</w:t>
      </w:r>
      <w:r>
        <w:rPr>
          <w:rFonts w:hint="eastAsia" w:ascii="宋体" w:hAnsi="宋体" w:cs="宋体"/>
          <w:kern w:val="0"/>
          <w:sz w:val="20"/>
          <w:szCs w:val="22"/>
        </w:rPr>
        <w:t>（表</w:t>
      </w:r>
      <w:r>
        <w:rPr>
          <w:rFonts w:ascii="宋体" w:hAnsi="宋体" w:cs="宋体"/>
          <w:kern w:val="0"/>
          <w:sz w:val="20"/>
          <w:szCs w:val="22"/>
        </w:rPr>
        <w:t>-22</w:t>
      </w:r>
      <w:r>
        <w:rPr>
          <w:rFonts w:hint="eastAsia" w:ascii="宋体" w:hAnsi="宋体" w:cs="宋体"/>
          <w:kern w:val="0"/>
          <w:sz w:val="20"/>
          <w:szCs w:val="22"/>
        </w:rPr>
        <w:t>）</w:t>
      </w:r>
      <w:r>
        <w:rPr>
          <w:rFonts w:hint="eastAsia" w:ascii="宋体" w:hAnsi="宋体" w:cs="宋体"/>
          <w:szCs w:val="22"/>
        </w:rPr>
        <w:t>,价差调整部分仅计算税金，除此表列明的材料、设备外，其余材料设备价差原则上不予调整。</w:t>
      </w:r>
    </w:p>
    <w:p>
      <w:pPr>
        <w:spacing w:line="400" w:lineRule="exact"/>
        <w:ind w:firstLine="420" w:firstLineChars="200"/>
        <w:rPr>
          <w:rFonts w:ascii="宋体" w:hAnsi="宋体" w:cs="宋体"/>
          <w:szCs w:val="22"/>
        </w:rPr>
      </w:pPr>
      <w:r>
        <w:rPr>
          <w:rFonts w:hint="eastAsia" w:ascii="宋体" w:hAnsi="宋体" w:cs="宋体"/>
          <w:szCs w:val="22"/>
        </w:rPr>
        <w:t>（2）主要材料确认价：</w:t>
      </w:r>
    </w:p>
    <w:p>
      <w:pPr>
        <w:spacing w:line="400" w:lineRule="exact"/>
        <w:ind w:firstLine="420" w:firstLineChars="200"/>
        <w:rPr>
          <w:rFonts w:ascii="宋体" w:hAnsi="宋体" w:cs="宋体"/>
          <w:szCs w:val="22"/>
          <w:u w:val="single"/>
        </w:rPr>
      </w:pPr>
      <w:r>
        <w:rPr>
          <w:rFonts w:hint="eastAsia" w:ascii="宋体" w:hAnsi="宋体" w:cs="宋体"/>
          <w:szCs w:val="22"/>
        </w:rPr>
        <w:t>关于基准价格的约定：</w:t>
      </w:r>
      <w:r>
        <w:rPr>
          <w:rFonts w:hint="eastAsia" w:ascii="宋体" w:hAnsi="宋体" w:cs="宋体"/>
          <w:szCs w:val="22"/>
          <w:u w:val="single"/>
        </w:rPr>
        <w:t>以2024年第4期</w:t>
      </w:r>
      <w:r>
        <w:rPr>
          <w:rFonts w:hint="eastAsia" w:ascii="宋体" w:hAnsi="宋体" w:cs="宋体"/>
          <w:szCs w:val="22"/>
        </w:rPr>
        <w:t>《桂林市建设工程造价信息》中的信息价为基准价格。</w:t>
      </w:r>
    </w:p>
    <w:p>
      <w:pPr>
        <w:spacing w:line="400" w:lineRule="exact"/>
        <w:ind w:firstLine="420" w:firstLineChars="200"/>
        <w:rPr>
          <w:rFonts w:ascii="宋体" w:hAnsi="宋体" w:cs="宋体"/>
          <w:szCs w:val="22"/>
        </w:rPr>
      </w:pPr>
      <w:r>
        <w:rPr>
          <w:rFonts w:hint="eastAsia" w:ascii="宋体" w:hAnsi="宋体" w:cs="宋体"/>
          <w:szCs w:val="22"/>
        </w:rPr>
        <w:t>按施工期间《桂林市建设工程造价信息》材料信息价的平均值计算。因承包方的原因造成工期延误，延误期间内所完成的工程材料价格上涨由承包人承担。</w:t>
      </w:r>
    </w:p>
    <w:p>
      <w:pPr>
        <w:spacing w:line="400" w:lineRule="exact"/>
        <w:ind w:firstLine="420" w:firstLineChars="200"/>
        <w:rPr>
          <w:rFonts w:ascii="宋体" w:hAnsi="宋体" w:cs="宋体"/>
          <w:szCs w:val="22"/>
        </w:rPr>
      </w:pPr>
      <w:r>
        <w:rPr>
          <w:rFonts w:hint="eastAsia" w:ascii="宋体" w:hAnsi="宋体" w:cs="宋体"/>
          <w:szCs w:val="22"/>
        </w:rPr>
        <w:t>《允许调整主要材料和工程设备一览表》中《桂林市建设工程造价信息》未公布价格的主要材料（设备）价格，承包人需在采购前十个工作日内向发包人提交工程联系函，书面告知发包人，经发包人批准后方可实施。</w:t>
      </w:r>
    </w:p>
    <w:p>
      <w:pPr>
        <w:spacing w:line="400" w:lineRule="exact"/>
        <w:ind w:firstLine="420" w:firstLineChars="200"/>
        <w:rPr>
          <w:rFonts w:ascii="宋体" w:hAnsi="宋体" w:cs="宋体"/>
          <w:szCs w:val="22"/>
        </w:rPr>
      </w:pPr>
      <w:r>
        <w:rPr>
          <w:rFonts w:hint="eastAsia" w:ascii="宋体" w:hAnsi="宋体" w:cs="宋体"/>
          <w:szCs w:val="22"/>
        </w:rPr>
        <w:t>（3）价差计算方法：</w:t>
      </w:r>
    </w:p>
    <w:p>
      <w:pPr>
        <w:spacing w:line="400" w:lineRule="exact"/>
        <w:ind w:firstLine="420" w:firstLineChars="200"/>
        <w:rPr>
          <w:rFonts w:ascii="宋体" w:hAnsi="宋体" w:cs="宋体"/>
          <w:szCs w:val="22"/>
        </w:rPr>
      </w:pPr>
      <w:r>
        <w:rPr>
          <w:rFonts w:hint="eastAsia" w:ascii="宋体" w:hAnsi="宋体" w:cs="宋体"/>
          <w:szCs w:val="22"/>
        </w:rPr>
        <w:t>①《允许调整主要材料和工程设备一览表》中载明的材料和设备最后报价低于基准价格的：合同履行期间材料和设备单价涨幅以基准价格为基础超过5%的风险范围时，或材料和设备单价跌幅以最后报价为基础超过5%的风险范围时，其超过部分据实调整，价差计算公式：价格上涨价差=确认价-基准价*（1+风险系数），价格下跌价差=确认价-最后报价*（1+风险系数）。</w:t>
      </w:r>
    </w:p>
    <w:p>
      <w:pPr>
        <w:spacing w:line="400" w:lineRule="exact"/>
        <w:ind w:firstLine="420" w:firstLineChars="200"/>
        <w:rPr>
          <w:rFonts w:ascii="宋体" w:hAnsi="宋体" w:cs="宋体"/>
          <w:szCs w:val="22"/>
        </w:rPr>
      </w:pPr>
      <w:r>
        <w:rPr>
          <w:rFonts w:hint="eastAsia" w:ascii="宋体" w:hAnsi="宋体" w:cs="宋体"/>
          <w:szCs w:val="22"/>
        </w:rPr>
        <w:t>②承包人在《允许调整主要材料和工程设备一览表》中载明的材料和设备最后报价高于基准价格的：专用合同条款合同履行期间材料和设备单价跌幅以基准价格为基础超过5%的风险范围时，材料和设备单价涨幅以最后报价为基础超过5%的风险范围时，其超过部分据实调整。价差计算公式：价格上涨价差=确认价-最后报价*（1+风险系数），价格下跌价差=确认价-基准价*（1+风险系数）。</w:t>
      </w:r>
    </w:p>
    <w:p>
      <w:pPr>
        <w:spacing w:line="400" w:lineRule="exact"/>
        <w:ind w:firstLine="420" w:firstLineChars="200"/>
        <w:rPr>
          <w:rFonts w:ascii="宋体" w:hAnsi="宋体" w:cs="宋体"/>
          <w:szCs w:val="22"/>
        </w:rPr>
      </w:pPr>
      <w:r>
        <w:rPr>
          <w:rFonts w:hint="eastAsia" w:ascii="宋体" w:hAnsi="宋体" w:cs="宋体"/>
          <w:szCs w:val="22"/>
        </w:rPr>
        <w:t>③承包人在《允许调整主要材料和工程设备一览表》中载明的材料和设备单价等于基准单价的：合同履行期间材料和设备单价涨跌幅以基准单价为基础超过5%的风险范围时，其超过部分据实调整。价差计算公式：上涨或下跌价差=确认价-基准单价*（1+风险系数）。</w:t>
      </w:r>
    </w:p>
    <w:p>
      <w:pPr>
        <w:keepNext/>
        <w:keepLines/>
        <w:spacing w:before="260" w:after="260" w:line="412" w:lineRule="auto"/>
        <w:ind w:firstLine="422" w:firstLineChars="200"/>
        <w:jc w:val="left"/>
        <w:outlineLvl w:val="1"/>
        <w:rPr>
          <w:rFonts w:ascii="Arial" w:hAnsi="Arial" w:cs="宋体"/>
          <w:b/>
          <w:szCs w:val="22"/>
        </w:rPr>
      </w:pPr>
      <w:bookmarkStart w:id="231" w:name="_Toc140098610"/>
      <w:bookmarkStart w:id="232" w:name="_Toc69641917"/>
      <w:bookmarkStart w:id="233" w:name="_Toc55374020"/>
      <w:r>
        <w:rPr>
          <w:rFonts w:hint="eastAsia" w:ascii="Arial" w:hAnsi="Arial" w:cs="宋体"/>
          <w:b/>
          <w:szCs w:val="22"/>
        </w:rPr>
        <w:t>12. 合同价格、计量与支付</w:t>
      </w:r>
      <w:bookmarkEnd w:id="231"/>
      <w:bookmarkEnd w:id="232"/>
      <w:bookmarkEnd w:id="233"/>
    </w:p>
    <w:p>
      <w:pPr>
        <w:keepNext/>
        <w:keepLines/>
        <w:spacing w:before="260" w:after="260" w:line="412" w:lineRule="auto"/>
        <w:jc w:val="left"/>
        <w:outlineLvl w:val="2"/>
        <w:rPr>
          <w:rFonts w:ascii="Calibri" w:hAnsi="Calibri"/>
          <w:b/>
          <w:szCs w:val="24"/>
        </w:rPr>
      </w:pPr>
      <w:bookmarkStart w:id="234" w:name="_Toc140098611"/>
      <w:bookmarkStart w:id="235" w:name="_Toc55374021"/>
      <w:bookmarkStart w:id="236" w:name="_Toc69641918"/>
      <w:r>
        <w:rPr>
          <w:rFonts w:hint="eastAsia" w:ascii="Calibri" w:hAnsi="Calibri"/>
          <w:b/>
          <w:szCs w:val="24"/>
        </w:rPr>
        <w:t>12.1 合同价格形式按以下约定：</w:t>
      </w:r>
      <w:bookmarkEnd w:id="234"/>
      <w:bookmarkEnd w:id="235"/>
      <w:bookmarkEnd w:id="236"/>
    </w:p>
    <w:p>
      <w:pPr>
        <w:spacing w:line="400" w:lineRule="exact"/>
        <w:ind w:firstLine="420" w:firstLineChars="200"/>
        <w:rPr>
          <w:rFonts w:ascii="宋体" w:hAnsi="宋体" w:cs="宋体"/>
          <w:szCs w:val="22"/>
        </w:rPr>
      </w:pPr>
      <w:r>
        <w:rPr>
          <w:rFonts w:hint="eastAsia" w:ascii="宋体" w:hAnsi="宋体" w:cs="宋体"/>
          <w:szCs w:val="22"/>
        </w:rPr>
        <w:t>本合同价款采用</w:t>
      </w:r>
      <w:r>
        <w:rPr>
          <w:rFonts w:hint="eastAsia" w:ascii="宋体" w:hAnsi="宋体" w:cs="宋体"/>
          <w:szCs w:val="22"/>
          <w:u w:val="single"/>
        </w:rPr>
        <w:t>固定综合单价</w:t>
      </w:r>
      <w:r>
        <w:rPr>
          <w:rFonts w:hint="eastAsia" w:ascii="宋体" w:hAnsi="宋体" w:cs="宋体"/>
          <w:szCs w:val="22"/>
        </w:rPr>
        <w:t>方式确定，工程量按建设单位、监理单位、施工单位三方确认的与实际相符的竣工图结算。如发现竣工图与实际不符，按不利于施工单位的原则结算。综合单价中包括的风险范围：除工程变更、项目特征不符、工程量清单缺项、工程量偏差、《允许调整主要材料和工程设备一览表》中约定的材料和设备价格变动风险、政策性调整以外的其他风险。</w:t>
      </w:r>
    </w:p>
    <w:p>
      <w:pPr>
        <w:spacing w:line="400" w:lineRule="exact"/>
        <w:ind w:firstLine="420" w:firstLineChars="200"/>
        <w:rPr>
          <w:rFonts w:ascii="宋体" w:hAnsi="宋体" w:cs="宋体"/>
          <w:szCs w:val="22"/>
        </w:rPr>
      </w:pPr>
      <w:r>
        <w:rPr>
          <w:rFonts w:hint="eastAsia" w:ascii="宋体" w:hAnsi="宋体" w:cs="宋体"/>
          <w:szCs w:val="22"/>
        </w:rPr>
        <w:t>风险费用的计算方法：单价采用固定综合单价，风险费用已综合考虑在单价中。</w:t>
      </w:r>
    </w:p>
    <w:p>
      <w:pPr>
        <w:spacing w:line="400" w:lineRule="exact"/>
        <w:ind w:firstLine="420" w:firstLineChars="200"/>
        <w:rPr>
          <w:rFonts w:ascii="宋体" w:hAnsi="宋体" w:cs="宋体"/>
          <w:szCs w:val="22"/>
        </w:rPr>
      </w:pPr>
      <w:r>
        <w:rPr>
          <w:rFonts w:hint="eastAsia" w:ascii="宋体" w:hAnsi="宋体" w:cs="宋体"/>
          <w:szCs w:val="22"/>
        </w:rPr>
        <w:t>①风险范围以外合同价款调整方法：</w:t>
      </w:r>
    </w:p>
    <w:p>
      <w:pPr>
        <w:spacing w:line="400" w:lineRule="exact"/>
        <w:ind w:firstLine="420" w:firstLineChars="200"/>
        <w:rPr>
          <w:rFonts w:ascii="宋体" w:hAnsi="宋体" w:cs="宋体"/>
          <w:szCs w:val="22"/>
        </w:rPr>
      </w:pPr>
      <w:r>
        <w:rPr>
          <w:rFonts w:hint="eastAsia" w:ascii="宋体" w:hAnsi="宋体" w:cs="宋体"/>
          <w:szCs w:val="22"/>
        </w:rPr>
        <w:t>a.本工程合同实施期间因不可预见因素、设计变更、相关签证引起工程项目、工程量任何变化的，变更合同价款按下列方法进行：①合同中已有相同清单项目的，按合同该清单项目价格进行计算；②合同中有类似清单项目的，参照该类似清单项目价格进行计算；③合同中没有适用或类似清单项目的，套用广西现行相关消耗量定额，费率按招标控制价的费率构成计取，《桂林市建设工程造价信息》公布价格的，材料价格按施工期间《桂林市建设工程造价信息》公布的价格（不含产品专项及厂商报价）平均计取，且总价乘以下浮系数：</w:t>
      </w:r>
      <w:r>
        <w:rPr>
          <w:rFonts w:hint="eastAsia" w:ascii="宋体" w:hAnsi="宋体" w:cs="宋体"/>
          <w:spacing w:val="-3"/>
          <w:szCs w:val="22"/>
          <w:u w:val="single"/>
        </w:rPr>
        <w:t xml:space="preserve">           </w:t>
      </w:r>
      <w:r>
        <w:rPr>
          <w:rFonts w:hint="eastAsia" w:ascii="宋体" w:hAnsi="宋体" w:cs="宋体"/>
          <w:szCs w:val="22"/>
        </w:rPr>
        <w:t>（成交价：</w:t>
      </w:r>
      <w:r>
        <w:rPr>
          <w:rFonts w:hint="eastAsia" w:ascii="宋体" w:hAnsi="宋体" w:cs="宋体"/>
          <w:spacing w:val="-3"/>
          <w:szCs w:val="22"/>
          <w:u w:val="single"/>
        </w:rPr>
        <w:t xml:space="preserve"> </w:t>
      </w:r>
      <w:r>
        <w:rPr>
          <w:rFonts w:ascii="宋体" w:hAnsi="宋体" w:cs="宋体"/>
          <w:spacing w:val="-3"/>
          <w:szCs w:val="22"/>
          <w:u w:val="single"/>
        </w:rPr>
        <w:t xml:space="preserve"> </w:t>
      </w:r>
      <w:r>
        <w:rPr>
          <w:rFonts w:hint="eastAsia" w:ascii="宋体" w:hAnsi="宋体" w:cs="宋体"/>
          <w:spacing w:val="-3"/>
          <w:szCs w:val="22"/>
          <w:u w:val="single"/>
        </w:rPr>
        <w:t xml:space="preserve">      </w:t>
      </w:r>
      <w:r>
        <w:rPr>
          <w:rFonts w:hint="eastAsia" w:ascii="宋体" w:hAnsi="宋体" w:cs="宋体"/>
          <w:szCs w:val="22"/>
          <w:u w:val="single"/>
        </w:rPr>
        <w:t xml:space="preserve">  </w:t>
      </w:r>
      <w:r>
        <w:rPr>
          <w:rFonts w:hint="eastAsia" w:ascii="宋体" w:hAnsi="宋体" w:cs="宋体"/>
          <w:szCs w:val="22"/>
        </w:rPr>
        <w:t>元/公布的招标控制价：</w:t>
      </w:r>
      <w:r>
        <w:rPr>
          <w:rFonts w:hint="eastAsia" w:ascii="宋体" w:hAnsi="宋体" w:cs="宋体"/>
          <w:spacing w:val="-5"/>
          <w:szCs w:val="22"/>
          <w:u w:val="single"/>
        </w:rPr>
        <w:t xml:space="preserve">         </w:t>
      </w:r>
      <w:r>
        <w:rPr>
          <w:rFonts w:hint="eastAsia" w:ascii="宋体" w:hAnsi="宋体" w:cs="宋体"/>
          <w:szCs w:val="22"/>
          <w:u w:val="single"/>
          <w:shd w:val="clear" w:color="auto" w:fill="FFFFFF"/>
        </w:rPr>
        <w:t xml:space="preserve">  </w:t>
      </w:r>
      <w:r>
        <w:rPr>
          <w:rFonts w:hint="eastAsia" w:ascii="宋体" w:hAnsi="宋体" w:cs="宋体"/>
          <w:szCs w:val="22"/>
          <w:shd w:val="clear" w:color="auto" w:fill="FFFFFF"/>
        </w:rPr>
        <w:t>元</w:t>
      </w:r>
      <w:r>
        <w:rPr>
          <w:rFonts w:hint="eastAsia" w:ascii="宋体" w:hAnsi="宋体" w:cs="宋体"/>
          <w:szCs w:val="22"/>
        </w:rPr>
        <w:t>）；《桂林市建设工程造价信息》未公布价格的，承包人需在采购前十个工作日内向发包人提交工程联系函，书面告知发包人，经发包人按批准后，材料价格按发包人批准后的价格计取，且总价乘以下浮系数：</w:t>
      </w:r>
      <w:r>
        <w:rPr>
          <w:rFonts w:hint="eastAsia" w:ascii="宋体" w:hAnsi="宋体" w:cs="宋体"/>
          <w:spacing w:val="-3"/>
          <w:szCs w:val="22"/>
          <w:u w:val="single"/>
        </w:rPr>
        <w:t xml:space="preserve">     </w:t>
      </w:r>
      <w:r>
        <w:rPr>
          <w:rFonts w:hint="eastAsia" w:ascii="宋体" w:hAnsi="宋体" w:cs="宋体"/>
          <w:szCs w:val="22"/>
        </w:rPr>
        <w:t>（成交价：</w:t>
      </w:r>
      <w:r>
        <w:rPr>
          <w:rFonts w:hint="eastAsia" w:ascii="宋体" w:hAnsi="宋体" w:cs="宋体"/>
          <w:spacing w:val="-3"/>
          <w:szCs w:val="22"/>
          <w:u w:val="single"/>
        </w:rPr>
        <w:t xml:space="preserve">       </w:t>
      </w:r>
      <w:r>
        <w:rPr>
          <w:rFonts w:hint="eastAsia" w:ascii="宋体" w:hAnsi="宋体" w:cs="宋体"/>
          <w:szCs w:val="22"/>
          <w:u w:val="single"/>
        </w:rPr>
        <w:t xml:space="preserve"> </w:t>
      </w:r>
      <w:r>
        <w:rPr>
          <w:rFonts w:hint="eastAsia" w:ascii="宋体" w:hAnsi="宋体" w:cs="宋体"/>
          <w:szCs w:val="22"/>
        </w:rPr>
        <w:t>元/公布的招标控制价：</w:t>
      </w:r>
      <w:r>
        <w:rPr>
          <w:rFonts w:hint="eastAsia" w:ascii="宋体" w:hAnsi="宋体" w:cs="宋体"/>
          <w:spacing w:val="-5"/>
          <w:szCs w:val="22"/>
          <w:u w:val="single"/>
        </w:rPr>
        <w:t xml:space="preserve">      </w:t>
      </w:r>
      <w:r>
        <w:rPr>
          <w:rFonts w:hint="eastAsia" w:ascii="宋体" w:hAnsi="宋体" w:cs="宋体"/>
          <w:szCs w:val="22"/>
          <w:u w:val="single"/>
        </w:rPr>
        <w:t xml:space="preserve"> </w:t>
      </w:r>
      <w:r>
        <w:rPr>
          <w:rFonts w:hint="eastAsia" w:ascii="宋体" w:hAnsi="宋体" w:cs="宋体"/>
          <w:szCs w:val="22"/>
          <w:shd w:val="clear" w:color="auto" w:fill="FFFFFF"/>
        </w:rPr>
        <w:t>元</w:t>
      </w:r>
      <w:r>
        <w:rPr>
          <w:rFonts w:hint="eastAsia" w:ascii="宋体" w:hAnsi="宋体" w:cs="宋体"/>
          <w:szCs w:val="22"/>
        </w:rPr>
        <w:t>）；④暂估价调整方法为：暂估材料价格部分仅调整合同实施期间材料确定价（由发包人根据实际使用的材料品牌、规格、质量等级来确定）与暂估价之间的价差（按税前项目计），相应的综合单价不再调整；⑤不适用上述条款的项，有相关标准、规范的则按相关标准、规范执行，没有相关标准、规范的则双方协商确定。</w:t>
      </w:r>
    </w:p>
    <w:p>
      <w:pPr>
        <w:spacing w:line="400" w:lineRule="exact"/>
        <w:ind w:firstLine="420" w:firstLineChars="200"/>
        <w:rPr>
          <w:rFonts w:ascii="宋体" w:hAnsi="宋体" w:cs="宋体"/>
          <w:szCs w:val="22"/>
        </w:rPr>
      </w:pPr>
      <w:r>
        <w:rPr>
          <w:rFonts w:hint="eastAsia" w:ascii="宋体" w:hAnsi="宋体" w:cs="宋体"/>
          <w:szCs w:val="22"/>
        </w:rPr>
        <w:t>b.工程量偏差调整方法：如果承包人实际完成工程量与招标工程量偏差超过 15%以上且该单项造价超过合同总价 1%以上的，则超过 15%以上增加部分工程量或减少后剩余部分工程量的综合单价按以下方法计算：有定额的套定额计算，并总价乘以下浮系数：</w:t>
      </w:r>
      <w:r>
        <w:rPr>
          <w:rFonts w:hint="eastAsia" w:ascii="宋体" w:hAnsi="宋体" w:cs="宋体"/>
          <w:spacing w:val="-3"/>
          <w:szCs w:val="22"/>
          <w:u w:val="single"/>
        </w:rPr>
        <w:t xml:space="preserve">     </w:t>
      </w:r>
      <w:r>
        <w:rPr>
          <w:rFonts w:hint="eastAsia" w:ascii="宋体" w:hAnsi="宋体" w:cs="宋体"/>
          <w:szCs w:val="22"/>
        </w:rPr>
        <w:t>（成交价：</w:t>
      </w:r>
      <w:r>
        <w:rPr>
          <w:rFonts w:hint="eastAsia" w:ascii="宋体" w:hAnsi="宋体" w:cs="宋体"/>
          <w:spacing w:val="-3"/>
          <w:szCs w:val="22"/>
          <w:u w:val="single"/>
        </w:rPr>
        <w:t xml:space="preserve">      </w:t>
      </w:r>
      <w:r>
        <w:rPr>
          <w:rFonts w:hint="eastAsia" w:ascii="宋体" w:hAnsi="宋体" w:cs="宋体"/>
          <w:szCs w:val="22"/>
          <w:u w:val="single"/>
        </w:rPr>
        <w:t xml:space="preserve"> </w:t>
      </w:r>
      <w:r>
        <w:rPr>
          <w:rFonts w:hint="eastAsia" w:ascii="宋体" w:hAnsi="宋体" w:cs="宋体"/>
          <w:szCs w:val="22"/>
        </w:rPr>
        <w:t>元/公布的招标控制价：</w:t>
      </w:r>
      <w:r>
        <w:rPr>
          <w:rFonts w:hint="eastAsia" w:ascii="宋体" w:hAnsi="宋体" w:cs="宋体"/>
          <w:spacing w:val="-5"/>
          <w:szCs w:val="22"/>
          <w:u w:val="single"/>
        </w:rPr>
        <w:t xml:space="preserve">     </w:t>
      </w:r>
      <w:r>
        <w:rPr>
          <w:rFonts w:hint="eastAsia" w:ascii="宋体" w:hAnsi="宋体" w:cs="宋体"/>
          <w:szCs w:val="22"/>
          <w:u w:val="single"/>
        </w:rPr>
        <w:t xml:space="preserve"> </w:t>
      </w:r>
      <w:r>
        <w:rPr>
          <w:rFonts w:hint="eastAsia" w:ascii="宋体" w:hAnsi="宋体" w:cs="宋体"/>
          <w:szCs w:val="22"/>
        </w:rPr>
        <w:t>元）结算，其中材料价格有信息价的按施工期间信息价的平均价计取，无信息价的由发包人、监理单位及承包人根据市场价格协商议定。</w:t>
      </w:r>
    </w:p>
    <w:p>
      <w:pPr>
        <w:spacing w:line="400" w:lineRule="exact"/>
        <w:ind w:firstLine="420" w:firstLineChars="200"/>
        <w:rPr>
          <w:rFonts w:ascii="宋体" w:hAnsi="宋体" w:cs="宋体"/>
          <w:szCs w:val="22"/>
        </w:rPr>
      </w:pPr>
      <w:r>
        <w:rPr>
          <w:rFonts w:hint="eastAsia" w:ascii="宋体" w:hAnsi="宋体" w:cs="宋体"/>
          <w:szCs w:val="22"/>
        </w:rPr>
        <w:t>c.材料和设备价格风险的调整方法：</w:t>
      </w:r>
    </w:p>
    <w:p>
      <w:pPr>
        <w:spacing w:line="400" w:lineRule="exact"/>
        <w:ind w:firstLine="420" w:firstLineChars="200"/>
        <w:rPr>
          <w:rFonts w:ascii="宋体" w:hAnsi="宋体" w:cs="宋体"/>
          <w:szCs w:val="22"/>
        </w:rPr>
      </w:pPr>
      <w:r>
        <w:rPr>
          <w:rFonts w:hint="eastAsia" w:ascii="宋体" w:hAnsi="宋体" w:cs="宋体"/>
          <w:szCs w:val="22"/>
        </w:rPr>
        <w:t>基准价格的约定：基准价格按照竞争性磋商文件约定的材料设备信息价，无信息价的参考招标控制价的材料设备价格。</w:t>
      </w:r>
    </w:p>
    <w:p>
      <w:pPr>
        <w:spacing w:line="400" w:lineRule="exact"/>
        <w:ind w:firstLine="420" w:firstLineChars="200"/>
        <w:rPr>
          <w:rFonts w:ascii="宋体" w:hAnsi="宋体" w:cs="宋体"/>
          <w:szCs w:val="22"/>
        </w:rPr>
      </w:pPr>
      <w:r>
        <w:rPr>
          <w:rFonts w:hint="eastAsia" w:ascii="宋体" w:hAnsi="宋体" w:cs="宋体"/>
          <w:szCs w:val="22"/>
        </w:rPr>
        <w:t>材料及设备风险的约定：允许调整的主要材料、设备及风险系数详见《允许调整主要材料和工程设备一览表》），调整方法按 11.1 第 2 种方式（3）执行，调整部分仅计差额及相应税金。其余材料、设备不予调整。</w:t>
      </w:r>
    </w:p>
    <w:p>
      <w:pPr>
        <w:spacing w:line="400" w:lineRule="exact"/>
        <w:ind w:firstLine="420" w:firstLineChars="200"/>
        <w:rPr>
          <w:rFonts w:ascii="宋体" w:hAnsi="宋体" w:cs="宋体"/>
          <w:szCs w:val="22"/>
        </w:rPr>
      </w:pPr>
      <w:r>
        <w:rPr>
          <w:rFonts w:hint="eastAsia" w:ascii="宋体" w:hAnsi="宋体" w:cs="宋体"/>
          <w:szCs w:val="22"/>
        </w:rPr>
        <w:t>d.措施项目费调整原则按《（GB50500-2013）建设工程工程量清单计价规范-广西壮族自治区实施细则》第 9.3.2 款执行。</w:t>
      </w:r>
    </w:p>
    <w:p>
      <w:pPr>
        <w:spacing w:line="400" w:lineRule="exact"/>
        <w:ind w:firstLine="420" w:firstLineChars="200"/>
        <w:rPr>
          <w:rFonts w:ascii="宋体" w:hAnsi="宋体" w:cs="宋体"/>
          <w:szCs w:val="22"/>
        </w:rPr>
      </w:pPr>
      <w:r>
        <w:rPr>
          <w:rFonts w:hint="eastAsia" w:ascii="宋体" w:hAnsi="宋体" w:cs="宋体"/>
          <w:szCs w:val="22"/>
        </w:rPr>
        <w:t>e.本项目招标控制价执行①2015年《广西壮族自治区安装工程消耗量定额》及配套费用定额；②2013年《广西壮族自治区建筑装饰工程消耗量定额》及配套费用定额；③广西建设厅《关于颁布2016年&lt;广西壮族自治区建设工程费用定额&gt;的通知》（桂建标[2016]16号文）；④广西建设厅《关于调整建设工程计价增值税税率的通知》(桂建标[2018]14号文)；⑤广西建设厅《关于调整建设工程定额人工费及有关费率的通知》（桂建标[2023]7号文）；⑥广西造价总站《关于调整除税价计算适用增值税税率的通知》（桂造价[2019]10号文）；⑦广西壮族自治区住房和城乡建设厅《关于印发广西壮族自治区房屋建筑和市政基础设施工程安全生产责任保险计价规定的通知》（桂建发[2023]6号。结算时不因国家和自治区政策性费用标准及消耗量定额进行调整。</w:t>
      </w:r>
    </w:p>
    <w:p>
      <w:pPr>
        <w:spacing w:line="400" w:lineRule="exact"/>
        <w:ind w:firstLine="420" w:firstLineChars="200"/>
        <w:rPr>
          <w:rFonts w:ascii="宋体" w:hAnsi="宋体" w:cs="宋体"/>
          <w:szCs w:val="22"/>
        </w:rPr>
      </w:pPr>
      <w:r>
        <w:rPr>
          <w:rFonts w:hint="eastAsia" w:ascii="宋体" w:hAnsi="宋体" w:cs="宋体"/>
          <w:szCs w:val="22"/>
        </w:rPr>
        <w:t>f.无约定的参照我区现行《建设工程工程量清单计价规范》相关规定执行。</w:t>
      </w:r>
    </w:p>
    <w:p>
      <w:pPr>
        <w:keepNext/>
        <w:keepLines/>
        <w:spacing w:before="260" w:after="260" w:line="412" w:lineRule="auto"/>
        <w:jc w:val="left"/>
        <w:outlineLvl w:val="2"/>
        <w:rPr>
          <w:rFonts w:ascii="Calibri" w:hAnsi="Calibri"/>
          <w:b/>
          <w:szCs w:val="24"/>
        </w:rPr>
      </w:pPr>
      <w:bookmarkStart w:id="237" w:name="_Toc69641919"/>
      <w:bookmarkStart w:id="238" w:name="_Toc140098612"/>
      <w:bookmarkStart w:id="239" w:name="_Toc55374022"/>
      <w:r>
        <w:rPr>
          <w:rFonts w:hint="eastAsia" w:ascii="Calibri" w:hAnsi="Calibri"/>
          <w:b/>
          <w:szCs w:val="24"/>
        </w:rPr>
        <w:t>12.2 预付款</w:t>
      </w:r>
      <w:bookmarkEnd w:id="237"/>
      <w:bookmarkEnd w:id="238"/>
      <w:bookmarkEnd w:id="239"/>
    </w:p>
    <w:p>
      <w:pPr>
        <w:spacing w:line="400" w:lineRule="exact"/>
        <w:ind w:firstLine="420" w:firstLineChars="200"/>
        <w:rPr>
          <w:rFonts w:ascii="宋体" w:hAnsi="宋体" w:cs="宋体"/>
          <w:szCs w:val="22"/>
        </w:rPr>
      </w:pPr>
      <w:r>
        <w:rPr>
          <w:rFonts w:hint="eastAsia" w:ascii="宋体" w:hAnsi="宋体" w:cs="宋体"/>
          <w:szCs w:val="22"/>
        </w:rPr>
        <w:t>12.2.1 预付款的支付</w:t>
      </w:r>
    </w:p>
    <w:p>
      <w:pPr>
        <w:spacing w:line="400" w:lineRule="exact"/>
        <w:ind w:firstLine="420" w:firstLineChars="200"/>
        <w:rPr>
          <w:rFonts w:ascii="宋体" w:hAnsi="宋体" w:cs="宋体"/>
          <w:szCs w:val="22"/>
        </w:rPr>
      </w:pPr>
      <w:r>
        <w:rPr>
          <w:rFonts w:hint="eastAsia" w:ascii="宋体" w:hAnsi="宋体" w:cs="宋体"/>
          <w:szCs w:val="22"/>
        </w:rPr>
        <w:t>预付款支付比例或金额：</w:t>
      </w:r>
      <w:bookmarkStart w:id="240" w:name="_Hlk170309261"/>
      <w:r>
        <w:rPr>
          <w:rFonts w:hint="eastAsia" w:ascii="宋体" w:hAnsi="宋体" w:cs="宋体"/>
          <w:szCs w:val="22"/>
          <w:u w:val="single"/>
        </w:rPr>
        <w:t xml:space="preserve">/ </w:t>
      </w:r>
      <w:r>
        <w:rPr>
          <w:rFonts w:hint="eastAsia" w:ascii="宋体" w:hAnsi="宋体" w:cs="宋体"/>
          <w:szCs w:val="22"/>
        </w:rPr>
        <w:t>。</w:t>
      </w:r>
      <w:bookmarkEnd w:id="240"/>
    </w:p>
    <w:p>
      <w:pPr>
        <w:spacing w:line="400" w:lineRule="exact"/>
        <w:ind w:firstLine="420" w:firstLineChars="200"/>
        <w:rPr>
          <w:rFonts w:ascii="宋体" w:hAnsi="宋体" w:cs="宋体"/>
          <w:szCs w:val="22"/>
        </w:rPr>
      </w:pPr>
      <w:r>
        <w:rPr>
          <w:rFonts w:hint="eastAsia" w:ascii="宋体" w:hAnsi="宋体" w:cs="宋体"/>
          <w:szCs w:val="22"/>
        </w:rPr>
        <w:t>预付款支付期限：</w:t>
      </w:r>
      <w:r>
        <w:rPr>
          <w:rFonts w:hint="eastAsia" w:ascii="宋体" w:hAnsi="宋体" w:cs="宋体"/>
          <w:szCs w:val="22"/>
          <w:u w:val="single"/>
        </w:rPr>
        <w:t>/</w:t>
      </w:r>
      <w:r>
        <w:rPr>
          <w:rFonts w:hint="eastAsia" w:ascii="宋体" w:hAnsi="宋体" w:cs="宋体"/>
          <w:szCs w:val="22"/>
        </w:rPr>
        <w:t>。</w:t>
      </w:r>
    </w:p>
    <w:p>
      <w:pPr>
        <w:spacing w:line="400" w:lineRule="exact"/>
        <w:ind w:firstLine="420" w:firstLineChars="200"/>
        <w:rPr>
          <w:rFonts w:ascii="宋体" w:hAnsi="宋体" w:cs="宋体"/>
          <w:szCs w:val="22"/>
        </w:rPr>
      </w:pPr>
      <w:r>
        <w:rPr>
          <w:rFonts w:hint="eastAsia" w:ascii="宋体" w:hAnsi="宋体" w:cs="宋体"/>
          <w:szCs w:val="22"/>
        </w:rPr>
        <w:t>预付款预付办法：</w:t>
      </w:r>
      <w:r>
        <w:rPr>
          <w:rFonts w:hint="eastAsia" w:ascii="宋体" w:hAnsi="宋体" w:cs="宋体"/>
          <w:szCs w:val="22"/>
          <w:u w:val="single"/>
        </w:rPr>
        <w:t xml:space="preserve">/  </w:t>
      </w:r>
      <w:r>
        <w:rPr>
          <w:rFonts w:hint="eastAsia" w:ascii="宋体" w:hAnsi="宋体" w:cs="宋体"/>
          <w:szCs w:val="22"/>
        </w:rPr>
        <w:t>。</w:t>
      </w:r>
    </w:p>
    <w:p>
      <w:pPr>
        <w:spacing w:line="400" w:lineRule="exact"/>
        <w:ind w:firstLine="420" w:firstLineChars="200"/>
        <w:rPr>
          <w:rFonts w:ascii="宋体" w:hAnsi="宋体" w:cs="宋体"/>
          <w:szCs w:val="22"/>
        </w:rPr>
      </w:pPr>
      <w:r>
        <w:rPr>
          <w:rFonts w:hint="eastAsia" w:ascii="宋体" w:hAnsi="宋体" w:cs="宋体"/>
          <w:szCs w:val="22"/>
        </w:rPr>
        <w:t>预付款扣回的方式：</w:t>
      </w:r>
      <w:r>
        <w:rPr>
          <w:rFonts w:hint="eastAsia" w:ascii="宋体" w:hAnsi="宋体" w:cs="宋体"/>
          <w:szCs w:val="22"/>
          <w:u w:val="single"/>
        </w:rPr>
        <w:t xml:space="preserve">/ </w:t>
      </w:r>
      <w:r>
        <w:rPr>
          <w:rFonts w:hint="eastAsia" w:ascii="宋体" w:hAnsi="宋体" w:cs="宋体"/>
          <w:szCs w:val="22"/>
        </w:rPr>
        <w:t>。</w:t>
      </w:r>
    </w:p>
    <w:p>
      <w:pPr>
        <w:spacing w:line="400" w:lineRule="exact"/>
        <w:ind w:firstLine="420" w:firstLineChars="200"/>
        <w:rPr>
          <w:rFonts w:ascii="宋体" w:hAnsi="宋体" w:cs="宋体"/>
          <w:szCs w:val="22"/>
        </w:rPr>
      </w:pPr>
      <w:r>
        <w:rPr>
          <w:rFonts w:hint="eastAsia" w:ascii="宋体" w:hAnsi="宋体" w:cs="宋体"/>
          <w:szCs w:val="22"/>
        </w:rPr>
        <w:t>12.2.2 预付款担保</w:t>
      </w:r>
    </w:p>
    <w:p>
      <w:pPr>
        <w:spacing w:line="400" w:lineRule="exact"/>
        <w:ind w:firstLine="420" w:firstLineChars="200"/>
        <w:rPr>
          <w:rFonts w:ascii="宋体" w:hAnsi="宋体" w:cs="宋体"/>
          <w:szCs w:val="22"/>
        </w:rPr>
      </w:pPr>
      <w:r>
        <w:rPr>
          <w:rFonts w:hint="eastAsia" w:ascii="宋体" w:hAnsi="宋体" w:cs="宋体"/>
          <w:szCs w:val="22"/>
        </w:rPr>
        <w:t>承包人提交预付款担保的期限：</w:t>
      </w:r>
      <w:r>
        <w:rPr>
          <w:rFonts w:hint="eastAsia" w:ascii="宋体" w:hAnsi="宋体" w:cs="宋体"/>
          <w:szCs w:val="22"/>
          <w:u w:val="single"/>
        </w:rPr>
        <w:t xml:space="preserve">   /   </w:t>
      </w:r>
      <w:r>
        <w:rPr>
          <w:rFonts w:hint="eastAsia" w:ascii="宋体" w:hAnsi="宋体" w:cs="宋体"/>
          <w:szCs w:val="22"/>
        </w:rPr>
        <w:t>。</w:t>
      </w:r>
    </w:p>
    <w:p>
      <w:pPr>
        <w:spacing w:line="400" w:lineRule="exact"/>
        <w:ind w:firstLine="420" w:firstLineChars="200"/>
        <w:rPr>
          <w:rFonts w:ascii="宋体" w:hAnsi="宋体" w:cs="宋体"/>
          <w:szCs w:val="22"/>
        </w:rPr>
      </w:pPr>
      <w:r>
        <w:rPr>
          <w:rFonts w:hint="eastAsia" w:ascii="宋体" w:hAnsi="宋体" w:cs="宋体"/>
          <w:szCs w:val="22"/>
        </w:rPr>
        <w:t xml:space="preserve">预付款担保的形式为： </w:t>
      </w:r>
      <w:r>
        <w:rPr>
          <w:rFonts w:hint="eastAsia" w:ascii="宋体" w:hAnsi="宋体" w:cs="宋体"/>
          <w:szCs w:val="22"/>
          <w:u w:val="single"/>
        </w:rPr>
        <w:t xml:space="preserve"> /  。</w:t>
      </w:r>
    </w:p>
    <w:p>
      <w:pPr>
        <w:keepNext/>
        <w:keepLines/>
        <w:spacing w:before="260" w:after="260" w:line="412" w:lineRule="auto"/>
        <w:jc w:val="left"/>
        <w:outlineLvl w:val="2"/>
        <w:rPr>
          <w:rFonts w:ascii="Calibri" w:hAnsi="Calibri"/>
          <w:b/>
          <w:szCs w:val="24"/>
        </w:rPr>
      </w:pPr>
      <w:bookmarkStart w:id="241" w:name="_Toc140098613"/>
      <w:bookmarkStart w:id="242" w:name="_Toc69641920"/>
      <w:bookmarkStart w:id="243" w:name="_Toc55374023"/>
      <w:r>
        <w:rPr>
          <w:rFonts w:hint="eastAsia" w:ascii="Calibri" w:hAnsi="Calibri"/>
          <w:b/>
          <w:szCs w:val="24"/>
        </w:rPr>
        <w:t>12.3 计量</w:t>
      </w:r>
      <w:bookmarkEnd w:id="241"/>
      <w:bookmarkEnd w:id="242"/>
      <w:bookmarkEnd w:id="243"/>
    </w:p>
    <w:p>
      <w:pPr>
        <w:spacing w:line="400" w:lineRule="exact"/>
        <w:ind w:firstLine="420" w:firstLineChars="200"/>
        <w:rPr>
          <w:rFonts w:ascii="宋体" w:hAnsi="宋体" w:cs="宋体"/>
          <w:szCs w:val="22"/>
        </w:rPr>
      </w:pPr>
      <w:r>
        <w:rPr>
          <w:rFonts w:hint="eastAsia" w:ascii="宋体" w:hAnsi="宋体" w:cs="宋体"/>
          <w:szCs w:val="22"/>
        </w:rPr>
        <w:t>12.3.1 计量原则</w:t>
      </w:r>
    </w:p>
    <w:p>
      <w:pPr>
        <w:spacing w:line="400" w:lineRule="exact"/>
        <w:ind w:firstLine="420" w:firstLineChars="200"/>
        <w:rPr>
          <w:rFonts w:ascii="宋体" w:hAnsi="宋体" w:cs="宋体"/>
          <w:szCs w:val="22"/>
        </w:rPr>
      </w:pPr>
      <w:r>
        <w:rPr>
          <w:rFonts w:hint="eastAsia" w:ascii="宋体" w:hAnsi="宋体" w:cs="宋体"/>
          <w:szCs w:val="22"/>
        </w:rPr>
        <w:t>工程量计算规则：工程的计量均以《建设工程工程量清单计价规范》（GB50500－2013）和及其广西壮族自治区实施细则、各专业《建设工程工程量计算规范》（GB50854～50862－2013）（修订本）及其广西实施细则、本工程补充项目清单为准。</w:t>
      </w:r>
    </w:p>
    <w:p>
      <w:pPr>
        <w:spacing w:line="400" w:lineRule="exact"/>
        <w:ind w:firstLine="420" w:firstLineChars="200"/>
        <w:rPr>
          <w:rFonts w:ascii="宋体" w:hAnsi="宋体" w:cs="宋体"/>
          <w:szCs w:val="22"/>
        </w:rPr>
      </w:pPr>
      <w:r>
        <w:rPr>
          <w:rFonts w:hint="eastAsia" w:ascii="宋体" w:hAnsi="宋体" w:cs="宋体"/>
          <w:szCs w:val="22"/>
        </w:rPr>
        <w:t>12.3.2 计量周期</w:t>
      </w:r>
    </w:p>
    <w:p>
      <w:pPr>
        <w:spacing w:line="400" w:lineRule="exact"/>
        <w:ind w:firstLine="420" w:firstLineChars="200"/>
        <w:rPr>
          <w:rFonts w:ascii="宋体" w:hAnsi="宋体" w:cs="宋体"/>
          <w:szCs w:val="22"/>
        </w:rPr>
      </w:pPr>
      <w:r>
        <w:rPr>
          <w:rFonts w:hint="eastAsia" w:ascii="宋体" w:hAnsi="宋体" w:cs="宋体"/>
          <w:szCs w:val="22"/>
        </w:rPr>
        <w:t>关于计量周期的约定：本合同的计量周期为月，每月25日为当月计量截止日期（不含当日）和下月计量起始日期（含当日）。</w:t>
      </w:r>
    </w:p>
    <w:p>
      <w:pPr>
        <w:spacing w:line="400" w:lineRule="exact"/>
        <w:ind w:firstLine="420" w:firstLineChars="200"/>
        <w:rPr>
          <w:rFonts w:ascii="宋体" w:hAnsi="宋体" w:cs="宋体"/>
          <w:szCs w:val="22"/>
        </w:rPr>
      </w:pPr>
      <w:r>
        <w:rPr>
          <w:rFonts w:hint="eastAsia" w:ascii="宋体" w:hAnsi="宋体" w:cs="宋体"/>
          <w:szCs w:val="22"/>
        </w:rPr>
        <w:t>12.3.3 单价合同的计量</w:t>
      </w:r>
    </w:p>
    <w:p>
      <w:pPr>
        <w:spacing w:line="400" w:lineRule="exact"/>
        <w:ind w:firstLine="420" w:firstLineChars="200"/>
        <w:rPr>
          <w:rFonts w:ascii="宋体" w:hAnsi="宋体" w:cs="宋体"/>
          <w:szCs w:val="22"/>
        </w:rPr>
      </w:pPr>
      <w:r>
        <w:rPr>
          <w:rFonts w:hint="eastAsia" w:ascii="宋体" w:hAnsi="宋体" w:cs="宋体"/>
          <w:szCs w:val="22"/>
        </w:rPr>
        <w:t>关于单价合同计量的约定：</w:t>
      </w:r>
    </w:p>
    <w:p>
      <w:pPr>
        <w:spacing w:line="400" w:lineRule="exact"/>
        <w:ind w:firstLine="420" w:firstLineChars="200"/>
        <w:rPr>
          <w:rFonts w:ascii="宋体" w:hAnsi="宋体" w:cs="宋体"/>
          <w:szCs w:val="22"/>
        </w:rPr>
      </w:pPr>
      <w:r>
        <w:rPr>
          <w:rFonts w:hint="eastAsia" w:ascii="宋体" w:hAnsi="宋体" w:cs="宋体"/>
          <w:szCs w:val="22"/>
        </w:rPr>
        <w:t>（1）工程量清单所列的工程量，不能作为承包人按合同履行其责任依据，实际施工中发生的工程量增加或减少并不影响承包人履行合同的责任，工程结算以完成的实际工程量为准。</w:t>
      </w:r>
    </w:p>
    <w:p>
      <w:pPr>
        <w:spacing w:line="400" w:lineRule="exact"/>
        <w:ind w:firstLine="441" w:firstLineChars="210"/>
        <w:rPr>
          <w:szCs w:val="24"/>
        </w:rPr>
      </w:pPr>
      <w:r>
        <w:rPr>
          <w:rFonts w:hint="eastAsia"/>
          <w:szCs w:val="24"/>
        </w:rPr>
        <w:t>（2）</w:t>
      </w:r>
      <w:r>
        <w:rPr>
          <w:szCs w:val="24"/>
        </w:rPr>
        <w:t xml:space="preserve"> </w:t>
      </w:r>
      <w:r>
        <w:rPr>
          <w:rFonts w:hint="eastAsia" w:hAnsi="宋体" w:cs="宋体"/>
          <w:szCs w:val="24"/>
        </w:rPr>
        <w:t>除另有规定外，工程师应按照合同通过计量来核实确定已完成的工程量和价款，承包人应得到该价款扣除保留金后的金额。当工程师要对已完工的工程量进行计量时，应适时地通知承包人参加。</w:t>
      </w:r>
    </w:p>
    <w:p>
      <w:pPr>
        <w:spacing w:line="400" w:lineRule="exact"/>
        <w:ind w:firstLine="420" w:firstLineChars="200"/>
        <w:rPr>
          <w:rFonts w:ascii="宋体" w:hAnsi="宋体" w:cs="宋体"/>
          <w:szCs w:val="22"/>
        </w:rPr>
      </w:pPr>
      <w:r>
        <w:rPr>
          <w:rFonts w:hint="eastAsia" w:ascii="宋体" w:hAnsi="宋体" w:cs="宋体"/>
          <w:szCs w:val="22"/>
        </w:rPr>
        <w:t>12.3.4 总价合同的计量</w:t>
      </w:r>
    </w:p>
    <w:p>
      <w:pPr>
        <w:spacing w:line="400" w:lineRule="exact"/>
        <w:ind w:firstLine="420" w:firstLineChars="200"/>
        <w:rPr>
          <w:rFonts w:ascii="宋体" w:hAnsi="宋体" w:cs="宋体"/>
          <w:szCs w:val="22"/>
          <w:u w:val="single"/>
        </w:rPr>
      </w:pPr>
      <w:r>
        <w:rPr>
          <w:rFonts w:hint="eastAsia" w:ascii="宋体" w:hAnsi="宋体" w:cs="宋体"/>
          <w:szCs w:val="22"/>
        </w:rPr>
        <w:t>关于总价合同计量的约定：</w:t>
      </w:r>
      <w:r>
        <w:rPr>
          <w:rFonts w:hint="eastAsia" w:ascii="宋体" w:hAnsi="宋体" w:cs="宋体"/>
          <w:szCs w:val="22"/>
          <w:u w:val="single"/>
        </w:rPr>
        <w:t xml:space="preserve">  /     </w:t>
      </w:r>
      <w:r>
        <w:rPr>
          <w:rFonts w:hint="eastAsia" w:ascii="宋体" w:hAnsi="宋体" w:cs="宋体"/>
          <w:szCs w:val="22"/>
        </w:rPr>
        <w:t>。</w:t>
      </w:r>
    </w:p>
    <w:p>
      <w:pPr>
        <w:spacing w:line="400" w:lineRule="exact"/>
        <w:ind w:firstLine="420" w:firstLineChars="200"/>
        <w:rPr>
          <w:rFonts w:ascii="宋体" w:hAnsi="宋体" w:cs="宋体"/>
          <w:szCs w:val="22"/>
        </w:rPr>
      </w:pPr>
      <w:r>
        <w:rPr>
          <w:rFonts w:hint="eastAsia" w:ascii="宋体" w:hAnsi="宋体" w:cs="宋体"/>
          <w:szCs w:val="22"/>
        </w:rPr>
        <w:t>12.3.5总价合同采用支付分解表计量支付的，是否适用第12.3.4 项〔总价合同的计量〕约定进行计量：</w:t>
      </w:r>
      <w:r>
        <w:rPr>
          <w:rFonts w:hint="eastAsia" w:ascii="宋体" w:hAnsi="宋体" w:cs="宋体"/>
          <w:szCs w:val="22"/>
          <w:u w:val="single"/>
        </w:rPr>
        <w:t xml:space="preserve">  /    </w:t>
      </w:r>
      <w:r>
        <w:rPr>
          <w:rFonts w:hint="eastAsia" w:ascii="宋体" w:hAnsi="宋体" w:cs="宋体"/>
          <w:szCs w:val="22"/>
        </w:rPr>
        <w:t>。</w:t>
      </w:r>
    </w:p>
    <w:p>
      <w:pPr>
        <w:spacing w:line="400" w:lineRule="exact"/>
        <w:ind w:firstLine="420" w:firstLineChars="200"/>
        <w:rPr>
          <w:rFonts w:ascii="宋体" w:hAnsi="宋体" w:cs="宋体"/>
          <w:szCs w:val="22"/>
        </w:rPr>
      </w:pPr>
      <w:r>
        <w:rPr>
          <w:rFonts w:hint="eastAsia" w:ascii="宋体" w:hAnsi="宋体" w:cs="宋体"/>
          <w:szCs w:val="22"/>
        </w:rPr>
        <w:t>12.3.6 其他价格形式合同的计量</w:t>
      </w:r>
    </w:p>
    <w:p>
      <w:pPr>
        <w:spacing w:line="400" w:lineRule="exact"/>
        <w:ind w:firstLine="420" w:firstLineChars="200"/>
        <w:rPr>
          <w:rFonts w:ascii="宋体" w:hAnsi="宋体" w:cs="宋体"/>
          <w:szCs w:val="22"/>
        </w:rPr>
      </w:pPr>
      <w:r>
        <w:rPr>
          <w:rFonts w:hint="eastAsia" w:ascii="宋体" w:hAnsi="宋体" w:cs="宋体"/>
          <w:szCs w:val="22"/>
        </w:rPr>
        <w:t>其他价格形式的计量方式和程序：</w:t>
      </w:r>
      <w:r>
        <w:rPr>
          <w:rFonts w:hint="eastAsia" w:ascii="宋体" w:hAnsi="宋体" w:cs="宋体"/>
          <w:szCs w:val="22"/>
          <w:u w:val="single"/>
        </w:rPr>
        <w:t xml:space="preserve">  /  </w:t>
      </w:r>
      <w:r>
        <w:rPr>
          <w:rFonts w:hint="eastAsia" w:ascii="宋体" w:hAnsi="宋体" w:cs="宋体"/>
          <w:szCs w:val="22"/>
        </w:rPr>
        <w:t>。</w:t>
      </w:r>
    </w:p>
    <w:p>
      <w:pPr>
        <w:keepNext/>
        <w:keepLines/>
        <w:spacing w:before="260" w:after="260" w:line="412" w:lineRule="auto"/>
        <w:jc w:val="left"/>
        <w:outlineLvl w:val="2"/>
        <w:rPr>
          <w:rFonts w:ascii="Calibri" w:hAnsi="Calibri"/>
          <w:b/>
          <w:szCs w:val="24"/>
        </w:rPr>
      </w:pPr>
      <w:bookmarkStart w:id="244" w:name="_Toc140098614"/>
      <w:bookmarkStart w:id="245" w:name="_Toc55374024"/>
      <w:bookmarkStart w:id="246" w:name="_Toc69641921"/>
      <w:r>
        <w:rPr>
          <w:rFonts w:hint="eastAsia" w:ascii="Calibri" w:hAnsi="Calibri"/>
          <w:b/>
          <w:szCs w:val="24"/>
        </w:rPr>
        <w:t>12.4 工程进度款支付</w:t>
      </w:r>
      <w:bookmarkEnd w:id="244"/>
      <w:bookmarkEnd w:id="245"/>
      <w:bookmarkEnd w:id="246"/>
    </w:p>
    <w:p>
      <w:pPr>
        <w:spacing w:line="360" w:lineRule="auto"/>
        <w:ind w:firstLine="420" w:firstLineChars="200"/>
        <w:jc w:val="left"/>
        <w:rPr>
          <w:rFonts w:ascii="宋体" w:hAnsi="宋体"/>
          <w:b/>
          <w:bCs/>
          <w:u w:val="single"/>
        </w:rPr>
      </w:pPr>
      <w:r>
        <w:rPr>
          <w:rFonts w:hint="eastAsia" w:ascii="宋体" w:hAnsi="宋体" w:cs="宋体"/>
          <w:szCs w:val="24"/>
        </w:rPr>
        <w:t>12.4.1关于付款周期的约定：</w:t>
      </w:r>
      <w:r>
        <w:rPr>
          <w:rFonts w:ascii="宋体" w:hAnsi="宋体"/>
          <w:b/>
        </w:rPr>
        <w:t>工程竣工验收合格后7日内工程款支付至合同价的80%；结算经</w:t>
      </w:r>
      <w:r>
        <w:rPr>
          <w:rFonts w:hint="eastAsia" w:ascii="宋体" w:hAnsi="宋体"/>
          <w:b/>
        </w:rPr>
        <w:t>发包人</w:t>
      </w:r>
      <w:r>
        <w:rPr>
          <w:rFonts w:ascii="宋体" w:hAnsi="宋体"/>
          <w:b/>
        </w:rPr>
        <w:t>审定且</w:t>
      </w:r>
      <w:r>
        <w:rPr>
          <w:rFonts w:hint="eastAsia" w:ascii="宋体" w:hAnsi="宋体"/>
          <w:b/>
        </w:rPr>
        <w:t>发包人</w:t>
      </w:r>
      <w:r>
        <w:rPr>
          <w:rFonts w:ascii="宋体" w:hAnsi="宋体"/>
          <w:b/>
        </w:rPr>
        <w:t>收到</w:t>
      </w:r>
      <w:r>
        <w:rPr>
          <w:rFonts w:hint="eastAsia" w:ascii="宋体" w:hAnsi="宋体"/>
          <w:b/>
        </w:rPr>
        <w:t>承包人</w:t>
      </w:r>
      <w:r>
        <w:rPr>
          <w:rFonts w:ascii="宋体" w:hAnsi="宋体"/>
          <w:b/>
        </w:rPr>
        <w:t>开具的增值税发票后7日内工程款支付至结算总价的100%（在支付此笔工程款前，</w:t>
      </w:r>
      <w:r>
        <w:rPr>
          <w:rFonts w:hint="eastAsia" w:ascii="宋体" w:hAnsi="宋体"/>
          <w:b/>
        </w:rPr>
        <w:t>承包人</w:t>
      </w:r>
      <w:r>
        <w:rPr>
          <w:rFonts w:ascii="宋体" w:hAnsi="宋体"/>
          <w:b/>
        </w:rPr>
        <w:t>向</w:t>
      </w:r>
      <w:r>
        <w:rPr>
          <w:rFonts w:hint="eastAsia" w:ascii="宋体" w:hAnsi="宋体"/>
          <w:b/>
        </w:rPr>
        <w:t>发包人</w:t>
      </w:r>
      <w:r>
        <w:rPr>
          <w:rFonts w:ascii="宋体" w:hAnsi="宋体"/>
          <w:b/>
        </w:rPr>
        <w:t>对公帐户转入结算总价的3%作为工程质量保修金）；3%的工程质量</w:t>
      </w:r>
      <w:r>
        <w:rPr>
          <w:rFonts w:hint="eastAsia" w:ascii="宋体" w:hAnsi="宋体"/>
          <w:b/>
        </w:rPr>
        <w:t>保证</w:t>
      </w:r>
      <w:r>
        <w:rPr>
          <w:rFonts w:ascii="宋体" w:hAnsi="宋体"/>
          <w:b/>
        </w:rPr>
        <w:t>金待缺陷责任期满，双方确认无质量返修问题后</w:t>
      </w:r>
      <w:r>
        <w:rPr>
          <w:rFonts w:hint="eastAsia" w:ascii="宋体" w:hAnsi="宋体"/>
          <w:b/>
        </w:rPr>
        <w:t>14</w:t>
      </w:r>
      <w:r>
        <w:rPr>
          <w:rFonts w:ascii="宋体" w:hAnsi="宋体"/>
          <w:b/>
        </w:rPr>
        <w:t>天内由</w:t>
      </w:r>
      <w:r>
        <w:rPr>
          <w:rFonts w:hint="eastAsia" w:ascii="宋体" w:hAnsi="宋体"/>
          <w:b/>
        </w:rPr>
        <w:t>发包人</w:t>
      </w:r>
      <w:r>
        <w:rPr>
          <w:rFonts w:ascii="宋体" w:hAnsi="宋体"/>
          <w:b/>
        </w:rPr>
        <w:t>无息一次性向</w:t>
      </w:r>
      <w:r>
        <w:rPr>
          <w:rFonts w:hint="eastAsia" w:ascii="宋体" w:hAnsi="宋体"/>
          <w:b/>
        </w:rPr>
        <w:t>承包人</w:t>
      </w:r>
      <w:r>
        <w:rPr>
          <w:rFonts w:ascii="宋体" w:hAnsi="宋体"/>
          <w:b/>
        </w:rPr>
        <w:t>返还</w:t>
      </w:r>
      <w:r>
        <w:rPr>
          <w:rFonts w:hint="eastAsia" w:ascii="宋体" w:hAnsi="宋体"/>
          <w:b/>
        </w:rPr>
        <w:t>。</w:t>
      </w:r>
    </w:p>
    <w:p>
      <w:pPr>
        <w:spacing w:line="400" w:lineRule="exact"/>
        <w:ind w:firstLine="420" w:firstLineChars="200"/>
        <w:rPr>
          <w:rFonts w:ascii="宋体" w:hAnsi="宋体" w:cs="宋体"/>
          <w:szCs w:val="22"/>
        </w:rPr>
      </w:pPr>
      <w:r>
        <w:rPr>
          <w:rFonts w:hint="eastAsia" w:ascii="宋体" w:hAnsi="宋体" w:cs="宋体"/>
          <w:szCs w:val="22"/>
        </w:rPr>
        <w:t>12.4.2 进度付款申请单的编制</w:t>
      </w:r>
    </w:p>
    <w:p>
      <w:pPr>
        <w:spacing w:line="400" w:lineRule="exact"/>
        <w:ind w:firstLine="420" w:firstLineChars="200"/>
        <w:rPr>
          <w:rFonts w:ascii="宋体" w:hAnsi="宋体" w:cs="宋体"/>
          <w:szCs w:val="22"/>
          <w:u w:val="single"/>
        </w:rPr>
      </w:pPr>
      <w:r>
        <w:rPr>
          <w:rFonts w:hint="eastAsia" w:ascii="宋体" w:hAnsi="宋体" w:cs="宋体"/>
          <w:szCs w:val="22"/>
        </w:rPr>
        <w:t>关于进度付款申请单编制的约定：</w:t>
      </w:r>
      <w:r>
        <w:rPr>
          <w:rFonts w:hint="eastAsia" w:ascii="宋体" w:hAnsi="宋体" w:cs="宋体"/>
          <w:szCs w:val="22"/>
          <w:u w:val="single"/>
        </w:rPr>
        <w:t>进度付款申请单一份。</w:t>
      </w:r>
    </w:p>
    <w:p>
      <w:pPr>
        <w:spacing w:line="400" w:lineRule="exact"/>
        <w:ind w:firstLine="420" w:firstLineChars="200"/>
        <w:rPr>
          <w:rFonts w:ascii="宋体" w:hAnsi="宋体" w:cs="宋体"/>
          <w:szCs w:val="22"/>
        </w:rPr>
      </w:pPr>
      <w:r>
        <w:rPr>
          <w:rFonts w:hint="eastAsia" w:ascii="宋体" w:hAnsi="宋体" w:cs="宋体"/>
          <w:szCs w:val="22"/>
        </w:rPr>
        <w:t>12.4.3 进度付款申请单的提交</w:t>
      </w:r>
    </w:p>
    <w:p>
      <w:pPr>
        <w:spacing w:line="400" w:lineRule="exact"/>
        <w:ind w:firstLine="420" w:firstLineChars="200"/>
        <w:rPr>
          <w:rFonts w:ascii="宋体" w:hAnsi="宋体" w:cs="宋体"/>
          <w:szCs w:val="22"/>
          <w:u w:val="single"/>
        </w:rPr>
      </w:pPr>
      <w:r>
        <w:rPr>
          <w:rFonts w:hint="eastAsia" w:ascii="宋体" w:hAnsi="宋体" w:cs="宋体"/>
          <w:szCs w:val="22"/>
        </w:rPr>
        <w:t>（1）单价合同进度付款申请单提交的约定：</w:t>
      </w:r>
      <w:r>
        <w:rPr>
          <w:rFonts w:hint="eastAsia" w:ascii="宋体" w:hAnsi="宋体" w:cs="宋体"/>
          <w:szCs w:val="22"/>
          <w:u w:val="single"/>
        </w:rPr>
        <w:t>同通用条款,无特殊约定　。</w:t>
      </w:r>
    </w:p>
    <w:p>
      <w:pPr>
        <w:spacing w:line="400" w:lineRule="exact"/>
        <w:ind w:firstLine="420" w:firstLineChars="200"/>
        <w:rPr>
          <w:rFonts w:ascii="宋体" w:hAnsi="宋体" w:cs="宋体"/>
          <w:szCs w:val="22"/>
        </w:rPr>
      </w:pPr>
      <w:r>
        <w:rPr>
          <w:rFonts w:hint="eastAsia" w:ascii="宋体" w:hAnsi="宋体" w:cs="宋体"/>
          <w:szCs w:val="22"/>
        </w:rPr>
        <w:t>（2）总价合同进度付款申请单提交的约定：</w:t>
      </w:r>
      <w:r>
        <w:rPr>
          <w:rFonts w:hint="eastAsia" w:ascii="宋体" w:hAnsi="宋体" w:cs="宋体"/>
          <w:szCs w:val="22"/>
          <w:u w:val="single"/>
        </w:rPr>
        <w:t xml:space="preserve">  无  </w:t>
      </w:r>
      <w:r>
        <w:rPr>
          <w:rFonts w:hint="eastAsia" w:ascii="宋体" w:hAnsi="宋体" w:cs="宋体"/>
          <w:szCs w:val="22"/>
        </w:rPr>
        <w:t>。</w:t>
      </w:r>
    </w:p>
    <w:p>
      <w:pPr>
        <w:spacing w:line="400" w:lineRule="exact"/>
        <w:ind w:firstLine="420" w:firstLineChars="200"/>
        <w:rPr>
          <w:rFonts w:ascii="宋体" w:hAnsi="宋体" w:cs="宋体"/>
          <w:szCs w:val="22"/>
        </w:rPr>
      </w:pPr>
      <w:r>
        <w:rPr>
          <w:rFonts w:hint="eastAsia" w:ascii="宋体" w:hAnsi="宋体" w:cs="宋体"/>
          <w:szCs w:val="22"/>
        </w:rPr>
        <w:t>（3）其他价格形式合同进度付款申请单提交的约定：</w:t>
      </w:r>
      <w:r>
        <w:rPr>
          <w:rFonts w:hint="eastAsia" w:ascii="宋体" w:hAnsi="宋体" w:cs="宋体"/>
          <w:szCs w:val="22"/>
          <w:u w:val="single"/>
        </w:rPr>
        <w:t xml:space="preserve"> 无 </w:t>
      </w:r>
      <w:r>
        <w:rPr>
          <w:rFonts w:hint="eastAsia" w:ascii="宋体" w:hAnsi="宋体" w:cs="宋体"/>
          <w:szCs w:val="22"/>
        </w:rPr>
        <w:t>。</w:t>
      </w:r>
    </w:p>
    <w:p>
      <w:pPr>
        <w:spacing w:line="400" w:lineRule="exact"/>
        <w:ind w:firstLine="420" w:firstLineChars="200"/>
        <w:rPr>
          <w:rFonts w:ascii="宋体" w:hAnsi="宋体" w:cs="宋体"/>
          <w:szCs w:val="22"/>
        </w:rPr>
      </w:pPr>
      <w:r>
        <w:rPr>
          <w:rFonts w:hint="eastAsia" w:ascii="宋体" w:hAnsi="宋体" w:cs="宋体"/>
          <w:szCs w:val="22"/>
        </w:rPr>
        <w:t>12.4.4 进度款审核和支付</w:t>
      </w:r>
    </w:p>
    <w:p>
      <w:pPr>
        <w:spacing w:line="400" w:lineRule="exact"/>
        <w:ind w:firstLine="420" w:firstLineChars="200"/>
        <w:rPr>
          <w:rFonts w:ascii="宋体" w:hAnsi="宋体" w:cs="宋体"/>
          <w:szCs w:val="22"/>
          <w:u w:val="single"/>
        </w:rPr>
      </w:pPr>
      <w:r>
        <w:rPr>
          <w:rFonts w:hint="eastAsia" w:ascii="宋体" w:hAnsi="宋体" w:cs="宋体"/>
          <w:szCs w:val="22"/>
        </w:rPr>
        <w:t>（1）监理人审查并报送发包人的期限：</w:t>
      </w:r>
      <w:r>
        <w:rPr>
          <w:rFonts w:hint="eastAsia" w:ascii="宋体" w:hAnsi="宋体" w:cs="宋体"/>
          <w:szCs w:val="22"/>
          <w:u w:val="single"/>
        </w:rPr>
        <w:t xml:space="preserve"> 收到申请7个日历日</w:t>
      </w:r>
      <w:r>
        <w:rPr>
          <w:rFonts w:hint="eastAsia" w:ascii="宋体" w:hAnsi="宋体" w:cs="宋体"/>
          <w:szCs w:val="22"/>
        </w:rPr>
        <w:t>。</w:t>
      </w:r>
    </w:p>
    <w:p>
      <w:pPr>
        <w:spacing w:line="400" w:lineRule="exact"/>
        <w:ind w:firstLine="420" w:firstLineChars="200"/>
        <w:rPr>
          <w:rFonts w:ascii="宋体" w:hAnsi="宋体" w:cs="宋体"/>
          <w:szCs w:val="22"/>
        </w:rPr>
      </w:pPr>
      <w:r>
        <w:rPr>
          <w:rFonts w:hint="eastAsia" w:ascii="宋体" w:hAnsi="宋体" w:cs="宋体"/>
          <w:szCs w:val="22"/>
        </w:rPr>
        <w:t>发包人完成审批并签发进度款支付证书的期限：   收到监理审查报告后次日起算14个工作日。</w:t>
      </w:r>
    </w:p>
    <w:p>
      <w:pPr>
        <w:spacing w:line="400" w:lineRule="exact"/>
        <w:ind w:firstLine="420" w:firstLineChars="200"/>
        <w:rPr>
          <w:rFonts w:ascii="宋体" w:hAnsi="宋体" w:cs="宋体"/>
          <w:szCs w:val="22"/>
        </w:rPr>
      </w:pPr>
      <w:r>
        <w:rPr>
          <w:rFonts w:hint="eastAsia" w:ascii="宋体" w:hAnsi="宋体" w:cs="宋体"/>
          <w:szCs w:val="22"/>
        </w:rPr>
        <w:t>（2）发包人支付进度款的期限： 收到承包人开具的发票后次日起算10个日历日内。</w:t>
      </w:r>
    </w:p>
    <w:p>
      <w:pPr>
        <w:spacing w:line="400" w:lineRule="exact"/>
        <w:ind w:firstLine="420" w:firstLineChars="200"/>
        <w:rPr>
          <w:rFonts w:ascii="宋体" w:hAnsi="宋体" w:cs="宋体"/>
          <w:szCs w:val="22"/>
          <w:u w:val="single"/>
        </w:rPr>
      </w:pPr>
      <w:r>
        <w:rPr>
          <w:rFonts w:hint="eastAsia" w:ascii="宋体" w:hAnsi="宋体" w:cs="宋体"/>
          <w:szCs w:val="22"/>
        </w:rPr>
        <w:t>发包人逾期支付进度款的违约金的计算方式：</w:t>
      </w:r>
      <w:r>
        <w:rPr>
          <w:rFonts w:hint="eastAsia" w:ascii="宋体" w:hAnsi="宋体" w:cs="宋体"/>
          <w:szCs w:val="22"/>
          <w:u w:val="single"/>
        </w:rPr>
        <w:t>不计违约金 。</w:t>
      </w:r>
    </w:p>
    <w:p>
      <w:pPr>
        <w:spacing w:line="400" w:lineRule="exact"/>
        <w:ind w:firstLine="420" w:firstLineChars="200"/>
        <w:rPr>
          <w:rFonts w:ascii="宋体" w:hAnsi="宋体" w:cs="宋体"/>
          <w:szCs w:val="22"/>
        </w:rPr>
      </w:pPr>
      <w:r>
        <w:rPr>
          <w:rFonts w:hint="eastAsia" w:ascii="宋体" w:hAnsi="宋体" w:cs="宋体"/>
          <w:szCs w:val="22"/>
        </w:rPr>
        <w:t>发包人由于某种原因（自身不能左右的）迟付工程款在 28天内的，承包人应继续按正常计划进度施工，并保证工程顺利完成。</w:t>
      </w:r>
    </w:p>
    <w:p>
      <w:pPr>
        <w:spacing w:line="400" w:lineRule="exact"/>
        <w:ind w:firstLine="420" w:firstLineChars="200"/>
        <w:rPr>
          <w:rFonts w:ascii="宋体" w:hAnsi="宋体" w:cs="宋体"/>
          <w:szCs w:val="22"/>
        </w:rPr>
      </w:pPr>
      <w:r>
        <w:rPr>
          <w:rFonts w:hint="eastAsia" w:ascii="宋体" w:hAnsi="宋体" w:cs="宋体"/>
          <w:szCs w:val="22"/>
        </w:rPr>
        <w:t>（3）进度款支付方式：</w:t>
      </w:r>
      <w:r>
        <w:rPr>
          <w:rFonts w:hint="eastAsia" w:ascii="宋体" w:hAnsi="宋体" w:cs="宋体"/>
          <w:szCs w:val="22"/>
          <w:u w:val="single"/>
        </w:rPr>
        <w:t>银行转账</w:t>
      </w:r>
      <w:r>
        <w:rPr>
          <w:rFonts w:hint="eastAsia" w:ascii="宋体" w:hAnsi="宋体" w:cs="宋体"/>
          <w:szCs w:val="22"/>
        </w:rPr>
        <w:t>。</w:t>
      </w:r>
    </w:p>
    <w:p>
      <w:pPr>
        <w:spacing w:line="400" w:lineRule="exact"/>
        <w:ind w:firstLine="420" w:firstLineChars="200"/>
        <w:rPr>
          <w:rFonts w:ascii="宋体" w:hAnsi="宋体" w:cs="宋体"/>
          <w:szCs w:val="22"/>
        </w:rPr>
      </w:pPr>
      <w:r>
        <w:rPr>
          <w:rFonts w:hint="eastAsia" w:ascii="宋体" w:hAnsi="宋体" w:cs="宋体"/>
          <w:szCs w:val="22"/>
        </w:rPr>
        <w:t>（4）农民工工资支付</w:t>
      </w:r>
    </w:p>
    <w:p>
      <w:pPr>
        <w:spacing w:line="440" w:lineRule="exact"/>
        <w:ind w:firstLine="422" w:firstLineChars="200"/>
        <w:rPr>
          <w:rFonts w:ascii="宋体" w:hAnsi="宋体" w:cs="宋体"/>
          <w:b/>
          <w:bCs/>
          <w:kern w:val="0"/>
          <w:szCs w:val="22"/>
        </w:rPr>
      </w:pPr>
      <w:r>
        <w:rPr>
          <w:rFonts w:hint="eastAsia" w:ascii="宋体" w:hAnsi="宋体" w:cs="宋体"/>
          <w:b/>
          <w:bCs/>
          <w:kern w:val="0"/>
          <w:szCs w:val="22"/>
        </w:rPr>
        <w:t>根据《广西壮族自治区工程建设领域农民工工资专用账户管理暂行办法实施细则的通知》（桂人社规[2022]5号）文件第八条规定，工程建设项目可以免于开立专用账户，由总包单位将农民工工资直接支付到农民工本人的银行账户。</w:t>
      </w:r>
    </w:p>
    <w:p>
      <w:pPr>
        <w:spacing w:line="400" w:lineRule="exact"/>
        <w:ind w:firstLine="420" w:firstLineChars="200"/>
        <w:rPr>
          <w:rFonts w:ascii="宋体" w:hAnsi="宋体" w:cs="宋体"/>
          <w:szCs w:val="22"/>
        </w:rPr>
      </w:pPr>
      <w:r>
        <w:rPr>
          <w:rFonts w:hint="eastAsia" w:ascii="宋体" w:hAnsi="宋体" w:cs="宋体"/>
          <w:szCs w:val="22"/>
        </w:rPr>
        <w:t>12.4.6 支付分解表的编制</w:t>
      </w:r>
    </w:p>
    <w:p>
      <w:pPr>
        <w:spacing w:line="400" w:lineRule="exact"/>
        <w:ind w:firstLine="420" w:firstLineChars="200"/>
        <w:rPr>
          <w:rFonts w:ascii="宋体" w:hAnsi="宋体" w:cs="宋体"/>
          <w:szCs w:val="22"/>
        </w:rPr>
      </w:pPr>
      <w:r>
        <w:rPr>
          <w:rFonts w:hint="eastAsia" w:ascii="宋体" w:hAnsi="宋体" w:cs="宋体"/>
          <w:szCs w:val="22"/>
        </w:rPr>
        <w:t>2、总价合同支付分解表的编制与审批：</w:t>
      </w:r>
      <w:r>
        <w:rPr>
          <w:rFonts w:hint="eastAsia" w:ascii="宋体" w:hAnsi="宋体" w:cs="宋体"/>
          <w:szCs w:val="22"/>
          <w:u w:val="single"/>
        </w:rPr>
        <w:t xml:space="preserve">   /  。</w:t>
      </w:r>
    </w:p>
    <w:p>
      <w:pPr>
        <w:spacing w:line="400" w:lineRule="exact"/>
        <w:ind w:firstLine="420" w:firstLineChars="200"/>
        <w:rPr>
          <w:rFonts w:ascii="宋体" w:hAnsi="宋体" w:cs="宋体"/>
          <w:szCs w:val="22"/>
        </w:rPr>
      </w:pPr>
      <w:r>
        <w:rPr>
          <w:rFonts w:hint="eastAsia" w:ascii="宋体" w:hAnsi="宋体" w:cs="宋体"/>
          <w:szCs w:val="22"/>
        </w:rPr>
        <w:t>3、单价合同的总价项目支付分解表的编制与审批：</w:t>
      </w:r>
      <w:r>
        <w:rPr>
          <w:rFonts w:hint="eastAsia" w:ascii="宋体" w:hAnsi="宋体" w:cs="宋体"/>
          <w:szCs w:val="22"/>
          <w:u w:val="single"/>
        </w:rPr>
        <w:t xml:space="preserve"> /  </w:t>
      </w:r>
      <w:r>
        <w:rPr>
          <w:rFonts w:hint="eastAsia" w:ascii="宋体" w:hAnsi="宋体" w:cs="宋体"/>
          <w:szCs w:val="22"/>
        </w:rPr>
        <w:t xml:space="preserve"> 。</w:t>
      </w:r>
    </w:p>
    <w:p>
      <w:pPr>
        <w:keepNext/>
        <w:keepLines/>
        <w:spacing w:before="260" w:after="260" w:line="412" w:lineRule="auto"/>
        <w:ind w:firstLine="422" w:firstLineChars="200"/>
        <w:jc w:val="left"/>
        <w:outlineLvl w:val="1"/>
        <w:rPr>
          <w:rFonts w:ascii="Arial" w:hAnsi="Arial" w:cs="宋体"/>
          <w:b/>
          <w:szCs w:val="22"/>
        </w:rPr>
      </w:pPr>
      <w:bookmarkStart w:id="247" w:name="_Toc55374025"/>
      <w:bookmarkStart w:id="248" w:name="_Toc140098615"/>
      <w:bookmarkStart w:id="249" w:name="_Toc69641922"/>
      <w:r>
        <w:rPr>
          <w:rFonts w:hint="eastAsia" w:ascii="Arial" w:hAnsi="Arial" w:cs="宋体"/>
          <w:b/>
          <w:szCs w:val="22"/>
        </w:rPr>
        <w:t>13. 验收和工程试车</w:t>
      </w:r>
      <w:bookmarkEnd w:id="247"/>
      <w:bookmarkEnd w:id="248"/>
      <w:bookmarkEnd w:id="249"/>
    </w:p>
    <w:p>
      <w:pPr>
        <w:keepNext/>
        <w:keepLines/>
        <w:spacing w:before="260" w:after="260" w:line="412" w:lineRule="auto"/>
        <w:jc w:val="left"/>
        <w:outlineLvl w:val="2"/>
        <w:rPr>
          <w:rFonts w:ascii="Calibri" w:hAnsi="Calibri"/>
          <w:b/>
          <w:szCs w:val="24"/>
        </w:rPr>
      </w:pPr>
      <w:bookmarkStart w:id="250" w:name="_Toc55374026"/>
      <w:bookmarkStart w:id="251" w:name="_Toc69641923"/>
      <w:bookmarkStart w:id="252" w:name="_Toc140098616"/>
      <w:r>
        <w:rPr>
          <w:rFonts w:hint="eastAsia" w:ascii="Calibri" w:hAnsi="Calibri"/>
          <w:b/>
          <w:szCs w:val="24"/>
        </w:rPr>
        <w:t>13.1 分部分项工程验收</w:t>
      </w:r>
      <w:bookmarkEnd w:id="250"/>
      <w:bookmarkEnd w:id="251"/>
      <w:bookmarkEnd w:id="252"/>
    </w:p>
    <w:p>
      <w:pPr>
        <w:spacing w:line="400" w:lineRule="exact"/>
        <w:ind w:firstLine="420" w:firstLineChars="200"/>
        <w:rPr>
          <w:rFonts w:ascii="宋体" w:hAnsi="宋体" w:cs="宋体"/>
          <w:szCs w:val="22"/>
        </w:rPr>
      </w:pPr>
      <w:r>
        <w:rPr>
          <w:rFonts w:hint="eastAsia" w:ascii="宋体" w:hAnsi="宋体" w:cs="宋体"/>
          <w:szCs w:val="22"/>
        </w:rPr>
        <w:t>13.1.2监理人不能按时进行验收时，应提前</w:t>
      </w:r>
      <w:r>
        <w:rPr>
          <w:rFonts w:hint="eastAsia" w:ascii="宋体" w:hAnsi="宋体" w:cs="宋体"/>
          <w:szCs w:val="22"/>
          <w:u w:val="single"/>
        </w:rPr>
        <w:t xml:space="preserve">  24  </w:t>
      </w:r>
      <w:r>
        <w:rPr>
          <w:rFonts w:hint="eastAsia" w:ascii="宋体" w:hAnsi="宋体" w:cs="宋体"/>
          <w:szCs w:val="22"/>
        </w:rPr>
        <w:t>小时提交书面延期要求。</w:t>
      </w:r>
    </w:p>
    <w:p>
      <w:pPr>
        <w:spacing w:line="400" w:lineRule="exact"/>
        <w:ind w:firstLine="420" w:firstLineChars="200"/>
        <w:rPr>
          <w:rFonts w:ascii="宋体" w:hAnsi="宋体" w:cs="宋体"/>
          <w:b/>
          <w:szCs w:val="22"/>
        </w:rPr>
      </w:pPr>
      <w:r>
        <w:rPr>
          <w:rFonts w:hint="eastAsia" w:ascii="宋体" w:hAnsi="宋体" w:cs="宋体"/>
          <w:szCs w:val="22"/>
        </w:rPr>
        <w:t>关于延期最长不得超过：</w:t>
      </w:r>
      <w:r>
        <w:rPr>
          <w:rFonts w:hint="eastAsia" w:ascii="宋体" w:hAnsi="宋体" w:cs="宋体"/>
          <w:szCs w:val="22"/>
          <w:u w:val="single"/>
        </w:rPr>
        <w:t xml:space="preserve">  48  </w:t>
      </w:r>
      <w:r>
        <w:rPr>
          <w:rFonts w:hint="eastAsia" w:ascii="宋体" w:hAnsi="宋体" w:cs="宋体"/>
          <w:szCs w:val="22"/>
        </w:rPr>
        <w:t>小时。</w:t>
      </w:r>
    </w:p>
    <w:p>
      <w:pPr>
        <w:keepNext/>
        <w:keepLines/>
        <w:spacing w:before="260" w:after="260" w:line="412" w:lineRule="auto"/>
        <w:jc w:val="left"/>
        <w:outlineLvl w:val="2"/>
        <w:rPr>
          <w:rFonts w:ascii="Calibri" w:hAnsi="Calibri"/>
          <w:b/>
          <w:szCs w:val="24"/>
        </w:rPr>
      </w:pPr>
      <w:bookmarkStart w:id="253" w:name="_Toc55374027"/>
      <w:bookmarkStart w:id="254" w:name="_Toc140098617"/>
      <w:bookmarkStart w:id="255" w:name="_Toc69641924"/>
      <w:r>
        <w:rPr>
          <w:rFonts w:hint="eastAsia" w:ascii="Calibri" w:hAnsi="Calibri"/>
          <w:b/>
          <w:szCs w:val="24"/>
        </w:rPr>
        <w:t>13.2 竣工验收</w:t>
      </w:r>
      <w:bookmarkEnd w:id="253"/>
      <w:bookmarkEnd w:id="254"/>
      <w:bookmarkEnd w:id="255"/>
    </w:p>
    <w:p>
      <w:pPr>
        <w:spacing w:line="400" w:lineRule="exact"/>
        <w:ind w:firstLine="420" w:firstLineChars="200"/>
        <w:rPr>
          <w:rFonts w:ascii="宋体" w:hAnsi="宋体" w:cs="宋体"/>
          <w:szCs w:val="22"/>
        </w:rPr>
      </w:pPr>
      <w:r>
        <w:rPr>
          <w:rFonts w:hint="eastAsia" w:ascii="宋体" w:hAnsi="宋体" w:cs="宋体"/>
          <w:szCs w:val="22"/>
        </w:rPr>
        <w:t>13.2.1 竣工验收条件</w:t>
      </w:r>
    </w:p>
    <w:p>
      <w:pPr>
        <w:spacing w:line="400" w:lineRule="exact"/>
        <w:ind w:firstLine="420" w:firstLineChars="200"/>
        <w:rPr>
          <w:rFonts w:ascii="宋体" w:hAnsi="宋体" w:cs="宋体"/>
          <w:szCs w:val="22"/>
          <w:u w:val="single"/>
        </w:rPr>
      </w:pPr>
      <w:r>
        <w:rPr>
          <w:rFonts w:hint="eastAsia" w:ascii="宋体" w:hAnsi="宋体" w:cs="宋体"/>
          <w:szCs w:val="22"/>
        </w:rPr>
        <w:t>（3）承包人负责整理和提交的竣工验收资料应当符合工程所在地建设行政主管部门和（或）城市建设档案管理机构有关施工资料的要求，具体内容包括：</w:t>
      </w:r>
      <w:r>
        <w:rPr>
          <w:rFonts w:hint="eastAsia" w:ascii="宋体" w:hAnsi="宋体" w:cs="宋体"/>
          <w:szCs w:val="22"/>
          <w:u w:val="single"/>
        </w:rPr>
        <w:t>参照桂林市城建馆存档要求及发包人需要</w:t>
      </w:r>
      <w:r>
        <w:rPr>
          <w:rFonts w:hint="eastAsia" w:ascii="宋体" w:hAnsi="宋体" w:cs="宋体"/>
          <w:szCs w:val="22"/>
        </w:rPr>
        <w:t>。</w:t>
      </w:r>
    </w:p>
    <w:p>
      <w:pPr>
        <w:spacing w:line="400" w:lineRule="exact"/>
        <w:ind w:firstLine="420" w:firstLineChars="200"/>
        <w:rPr>
          <w:rFonts w:ascii="宋体" w:hAnsi="宋体" w:cs="宋体"/>
          <w:szCs w:val="22"/>
          <w:u w:val="single"/>
        </w:rPr>
      </w:pPr>
      <w:r>
        <w:rPr>
          <w:rFonts w:hint="eastAsia" w:ascii="宋体" w:hAnsi="宋体" w:cs="宋体"/>
          <w:szCs w:val="22"/>
        </w:rPr>
        <w:t>竣工验收资料的份数：</w:t>
      </w:r>
      <w:r>
        <w:rPr>
          <w:rFonts w:hint="eastAsia" w:ascii="宋体" w:hAnsi="宋体" w:cs="宋体"/>
          <w:szCs w:val="22"/>
          <w:u w:val="single"/>
        </w:rPr>
        <w:t>一式四份。</w:t>
      </w:r>
    </w:p>
    <w:p>
      <w:pPr>
        <w:spacing w:line="400" w:lineRule="exact"/>
        <w:ind w:firstLine="420" w:firstLineChars="200"/>
        <w:rPr>
          <w:rFonts w:ascii="宋体" w:hAnsi="宋体" w:cs="宋体"/>
          <w:szCs w:val="22"/>
        </w:rPr>
      </w:pPr>
      <w:r>
        <w:rPr>
          <w:rFonts w:hint="eastAsia" w:ascii="宋体" w:hAnsi="宋体" w:cs="宋体"/>
          <w:szCs w:val="22"/>
        </w:rPr>
        <w:t>承包人提供竣工图的约定：竣工验收正式通过后15天，提供竣工图的数量为4套，电子版一份。</w:t>
      </w:r>
    </w:p>
    <w:p>
      <w:pPr>
        <w:spacing w:line="400" w:lineRule="exact"/>
        <w:ind w:firstLine="420" w:firstLineChars="200"/>
        <w:rPr>
          <w:rFonts w:ascii="宋体" w:hAnsi="宋体" w:cs="宋体"/>
          <w:szCs w:val="22"/>
        </w:rPr>
      </w:pPr>
      <w:r>
        <w:rPr>
          <w:rFonts w:hint="eastAsia" w:ascii="宋体" w:hAnsi="宋体" w:cs="宋体"/>
          <w:szCs w:val="22"/>
        </w:rPr>
        <w:t>13.2.2竣工验收程序</w:t>
      </w:r>
    </w:p>
    <w:p>
      <w:pPr>
        <w:spacing w:line="400" w:lineRule="exact"/>
        <w:ind w:firstLine="420" w:firstLineChars="200"/>
        <w:rPr>
          <w:rFonts w:ascii="宋体" w:hAnsi="宋体" w:cs="宋体"/>
          <w:szCs w:val="22"/>
        </w:rPr>
      </w:pPr>
      <w:r>
        <w:rPr>
          <w:rFonts w:hint="eastAsia" w:ascii="宋体" w:hAnsi="宋体" w:cs="宋体"/>
          <w:szCs w:val="22"/>
        </w:rPr>
        <w:t xml:space="preserve">关于竣工验收程序的约定： </w:t>
      </w:r>
    </w:p>
    <w:p>
      <w:pPr>
        <w:spacing w:line="360" w:lineRule="auto"/>
        <w:ind w:firstLine="420"/>
        <w:rPr>
          <w:rFonts w:ascii="宋体" w:hAnsi="宋体" w:cs="宋体"/>
          <w:szCs w:val="24"/>
          <w:u w:val="single"/>
        </w:rPr>
      </w:pPr>
      <w:r>
        <w:rPr>
          <w:rFonts w:hint="eastAsia" w:ascii="宋体" w:hAnsi="宋体" w:cs="宋体"/>
          <w:szCs w:val="24"/>
          <w:u w:val="single"/>
        </w:rPr>
        <w:t>（1）发包人与有关部门联系，确定验收日期，组织勘查单位、设计单位、监理公司、政府有关部门、承包人参加竣工验收。</w:t>
      </w:r>
    </w:p>
    <w:p>
      <w:pPr>
        <w:spacing w:line="360" w:lineRule="auto"/>
        <w:ind w:firstLine="420"/>
        <w:rPr>
          <w:rFonts w:ascii="宋体" w:hAnsi="宋体" w:cs="宋体"/>
          <w:szCs w:val="24"/>
          <w:u w:val="single"/>
        </w:rPr>
      </w:pPr>
      <w:r>
        <w:rPr>
          <w:rFonts w:hint="eastAsia" w:ascii="宋体" w:hAnsi="宋体" w:cs="宋体"/>
          <w:szCs w:val="24"/>
          <w:u w:val="single"/>
        </w:rPr>
        <w:t>（2） 竣工验收合格后，各方应签署建设工程质量验收意见书，共一式捌份，其中发包人留三份。如在竣工验收过程中发现问题需要整改，发包人在竣工验收后7天内提出整改意见，承包人按此意见在限定的时间内全部完成整改，因此而发生的整改或返修费用全部由承包人承担。否则按13.2.5条款执行。</w:t>
      </w:r>
    </w:p>
    <w:p>
      <w:pPr>
        <w:spacing w:line="360" w:lineRule="auto"/>
        <w:ind w:firstLine="420"/>
        <w:rPr>
          <w:rFonts w:ascii="宋体" w:hAnsi="宋体" w:cs="宋体"/>
          <w:szCs w:val="24"/>
          <w:u w:val="single"/>
        </w:rPr>
      </w:pPr>
      <w:r>
        <w:rPr>
          <w:rFonts w:hint="eastAsia" w:ascii="宋体" w:hAnsi="宋体" w:cs="宋体"/>
          <w:szCs w:val="24"/>
          <w:u w:val="single"/>
        </w:rPr>
        <w:t>（3）</w:t>
      </w:r>
      <w:r>
        <w:rPr>
          <w:rFonts w:hint="eastAsia" w:cs="宋体"/>
          <w:szCs w:val="24"/>
          <w:u w:val="single"/>
        </w:rPr>
        <w:t>要求通过主管部门的验收，</w:t>
      </w:r>
      <w:r>
        <w:rPr>
          <w:rFonts w:hint="eastAsia" w:ascii="宋体" w:hAnsi="宋体" w:cs="宋体"/>
          <w:szCs w:val="24"/>
          <w:u w:val="single"/>
        </w:rPr>
        <w:t>承包人应积极配合发包人办理专项验收合格证明、竣工验收报告、竣工验收备案表、三算书等手续，协助发包人及时取得《建设工程竣工验收备案证明书》，以上配合工作所需费用不另行计取。属于发包人应提供的资料由发包人负责及时提供给承包人，由承包人汇总整理后移交档案馆；专业分包的资料由承包人统一汇总后提交政府部门办理竣工验收及备案。因承包人原因导致工程竣工资料（按档案馆要求，含相应的电子磁盘资料、声像资料）延误移交的，每延误一天，发包人有权要求承包人支付人民币1万元的违约金。</w:t>
      </w:r>
    </w:p>
    <w:p>
      <w:pPr>
        <w:spacing w:line="360" w:lineRule="auto"/>
        <w:ind w:firstLine="420"/>
        <w:rPr>
          <w:rFonts w:ascii="宋体" w:hAnsi="宋体" w:cs="宋体"/>
          <w:szCs w:val="24"/>
        </w:rPr>
      </w:pPr>
      <w:r>
        <w:rPr>
          <w:rFonts w:hint="eastAsia" w:ascii="宋体" w:hAnsi="宋体" w:cs="宋体"/>
          <w:szCs w:val="24"/>
          <w:u w:val="single"/>
        </w:rPr>
        <w:t>（4）工程在未移交发包人之前，承包人负责承包范围内工程的维修、维护和保管，期间发生的成品、半成品、材料等遗失、污染、破损等情况，承包人承担修复费用。如发包人提前使用造成损坏，所产生的修理费用由发包人承担。</w:t>
      </w:r>
    </w:p>
    <w:p>
      <w:pPr>
        <w:spacing w:line="400" w:lineRule="exact"/>
        <w:ind w:firstLine="420" w:firstLineChars="200"/>
        <w:rPr>
          <w:rFonts w:ascii="宋体" w:hAnsi="宋体" w:cs="宋体"/>
          <w:szCs w:val="22"/>
          <w:u w:val="single"/>
        </w:rPr>
      </w:pPr>
      <w:r>
        <w:rPr>
          <w:rFonts w:hint="eastAsia" w:ascii="宋体" w:hAnsi="宋体" w:cs="宋体"/>
          <w:szCs w:val="22"/>
        </w:rPr>
        <w:t>发包人不按照本项约定组织竣工验收、颁发工程接收证书的违约金的计算方法：</w:t>
      </w:r>
      <w:r>
        <w:rPr>
          <w:rFonts w:hint="eastAsia" w:ascii="宋体" w:hAnsi="宋体" w:cs="宋体"/>
          <w:szCs w:val="22"/>
          <w:u w:val="single"/>
        </w:rPr>
        <w:t xml:space="preserve"> 不计违约金 。</w:t>
      </w:r>
    </w:p>
    <w:p>
      <w:pPr>
        <w:spacing w:line="400" w:lineRule="exact"/>
        <w:ind w:firstLine="420" w:firstLineChars="200"/>
        <w:rPr>
          <w:rFonts w:ascii="宋体" w:hAnsi="宋体" w:cs="宋体"/>
          <w:szCs w:val="22"/>
        </w:rPr>
      </w:pPr>
      <w:r>
        <w:rPr>
          <w:rFonts w:hint="eastAsia" w:ascii="宋体" w:hAnsi="宋体" w:cs="宋体"/>
          <w:szCs w:val="22"/>
        </w:rPr>
        <w:t>13.2.5移交、接收全部与部分工程</w:t>
      </w:r>
    </w:p>
    <w:p>
      <w:pPr>
        <w:spacing w:line="400" w:lineRule="exact"/>
        <w:ind w:firstLine="420" w:firstLineChars="200"/>
        <w:rPr>
          <w:rFonts w:ascii="宋体" w:hAnsi="宋体" w:cs="宋体"/>
          <w:szCs w:val="22"/>
        </w:rPr>
      </w:pPr>
      <w:r>
        <w:rPr>
          <w:rFonts w:hint="eastAsia" w:ascii="宋体" w:hAnsi="宋体" w:cs="宋体"/>
          <w:szCs w:val="22"/>
        </w:rPr>
        <w:t>承包人向发包人移交工程的期限： 同通用条款,无特殊约定   。</w:t>
      </w:r>
    </w:p>
    <w:p>
      <w:pPr>
        <w:spacing w:line="400" w:lineRule="exact"/>
        <w:ind w:firstLine="420" w:firstLineChars="200"/>
        <w:rPr>
          <w:rFonts w:ascii="宋体" w:hAnsi="宋体" w:cs="宋体"/>
          <w:szCs w:val="22"/>
          <w:u w:val="single"/>
        </w:rPr>
      </w:pPr>
      <w:r>
        <w:rPr>
          <w:rFonts w:hint="eastAsia" w:ascii="宋体" w:hAnsi="宋体" w:cs="宋体"/>
          <w:szCs w:val="22"/>
        </w:rPr>
        <w:t>发包人未按本合同约定接收全部或部分工程的，违约金的计算方法为：</w:t>
      </w:r>
      <w:r>
        <w:rPr>
          <w:rFonts w:hint="eastAsia" w:ascii="宋体" w:hAnsi="宋体" w:cs="宋体"/>
          <w:szCs w:val="22"/>
          <w:u w:val="single"/>
        </w:rPr>
        <w:t xml:space="preserve"> 不计违约金 </w:t>
      </w:r>
      <w:r>
        <w:rPr>
          <w:rFonts w:hint="eastAsia" w:ascii="宋体" w:hAnsi="宋体" w:cs="宋体"/>
          <w:szCs w:val="22"/>
        </w:rPr>
        <w:t>。</w:t>
      </w:r>
    </w:p>
    <w:p>
      <w:pPr>
        <w:spacing w:line="400" w:lineRule="exact"/>
        <w:ind w:firstLine="420" w:firstLineChars="200"/>
        <w:rPr>
          <w:rFonts w:ascii="宋体" w:hAnsi="宋体" w:cs="宋体"/>
          <w:szCs w:val="22"/>
          <w:u w:val="single"/>
        </w:rPr>
      </w:pPr>
      <w:r>
        <w:rPr>
          <w:rFonts w:hint="eastAsia" w:ascii="宋体" w:hAnsi="宋体" w:cs="宋体"/>
          <w:szCs w:val="22"/>
        </w:rPr>
        <w:t>承包人未按时移交工程的，违约金的计算方法为：</w:t>
      </w:r>
      <w:r>
        <w:rPr>
          <w:rFonts w:hint="eastAsia" w:ascii="宋体" w:hAnsi="宋体" w:cs="宋体"/>
          <w:szCs w:val="22"/>
          <w:u w:val="single"/>
        </w:rPr>
        <w:t>按专用条款第7.5 款执行。</w:t>
      </w:r>
    </w:p>
    <w:p>
      <w:pPr>
        <w:keepNext/>
        <w:keepLines/>
        <w:spacing w:before="260" w:after="260" w:line="412" w:lineRule="auto"/>
        <w:jc w:val="left"/>
        <w:outlineLvl w:val="2"/>
        <w:rPr>
          <w:rFonts w:ascii="Calibri" w:hAnsi="Calibri"/>
          <w:b/>
          <w:szCs w:val="24"/>
        </w:rPr>
      </w:pPr>
      <w:bookmarkStart w:id="256" w:name="_Toc55374028"/>
      <w:bookmarkStart w:id="257" w:name="_Toc140098618"/>
      <w:bookmarkStart w:id="258" w:name="_Toc69641925"/>
      <w:r>
        <w:rPr>
          <w:rFonts w:hint="eastAsia" w:ascii="Calibri" w:hAnsi="Calibri"/>
          <w:b/>
          <w:szCs w:val="24"/>
        </w:rPr>
        <w:t>13.3 工程试车</w:t>
      </w:r>
      <w:bookmarkEnd w:id="256"/>
      <w:bookmarkEnd w:id="257"/>
      <w:bookmarkEnd w:id="258"/>
    </w:p>
    <w:p>
      <w:pPr>
        <w:spacing w:line="400" w:lineRule="exact"/>
        <w:ind w:firstLine="420" w:firstLineChars="200"/>
        <w:rPr>
          <w:rFonts w:ascii="宋体" w:hAnsi="宋体" w:cs="宋体"/>
          <w:szCs w:val="22"/>
        </w:rPr>
      </w:pPr>
      <w:r>
        <w:rPr>
          <w:rFonts w:hint="eastAsia" w:ascii="宋体" w:hAnsi="宋体" w:cs="宋体"/>
          <w:szCs w:val="22"/>
        </w:rPr>
        <w:t>13.3.1 试车程序</w:t>
      </w:r>
    </w:p>
    <w:p>
      <w:pPr>
        <w:spacing w:line="400" w:lineRule="exact"/>
        <w:ind w:firstLine="420" w:firstLineChars="200"/>
        <w:rPr>
          <w:rFonts w:ascii="宋体" w:hAnsi="宋体" w:cs="宋体"/>
          <w:szCs w:val="22"/>
        </w:rPr>
      </w:pPr>
      <w:r>
        <w:rPr>
          <w:rFonts w:hint="eastAsia" w:ascii="宋体" w:hAnsi="宋体" w:cs="宋体"/>
          <w:szCs w:val="22"/>
        </w:rPr>
        <w:t>工程试车内容：</w:t>
      </w:r>
      <w:r>
        <w:rPr>
          <w:rFonts w:hint="eastAsia" w:ascii="宋体" w:hAnsi="宋体" w:cs="宋体"/>
          <w:szCs w:val="22"/>
          <w:u w:val="single"/>
        </w:rPr>
        <w:t xml:space="preserve"> /       </w:t>
      </w:r>
      <w:r>
        <w:rPr>
          <w:rFonts w:hint="eastAsia" w:ascii="宋体" w:hAnsi="宋体" w:cs="宋体"/>
          <w:szCs w:val="22"/>
        </w:rPr>
        <w:t>。</w:t>
      </w:r>
    </w:p>
    <w:p>
      <w:pPr>
        <w:spacing w:line="400" w:lineRule="exact"/>
        <w:ind w:firstLine="420" w:firstLineChars="200"/>
        <w:rPr>
          <w:rFonts w:ascii="宋体" w:hAnsi="宋体" w:cs="宋体"/>
          <w:szCs w:val="22"/>
        </w:rPr>
      </w:pPr>
      <w:r>
        <w:rPr>
          <w:rFonts w:hint="eastAsia" w:ascii="宋体" w:hAnsi="宋体" w:cs="宋体"/>
          <w:szCs w:val="22"/>
        </w:rPr>
        <w:t>（1）单机无负荷试车费用由</w:t>
      </w:r>
      <w:r>
        <w:rPr>
          <w:rFonts w:hint="eastAsia" w:ascii="宋体" w:hAnsi="宋体" w:cs="宋体"/>
          <w:szCs w:val="22"/>
          <w:u w:val="single"/>
        </w:rPr>
        <w:t xml:space="preserve">   /    </w:t>
      </w:r>
      <w:r>
        <w:rPr>
          <w:rFonts w:hint="eastAsia" w:ascii="宋体" w:hAnsi="宋体" w:cs="宋体"/>
          <w:szCs w:val="22"/>
        </w:rPr>
        <w:t>承担；</w:t>
      </w:r>
    </w:p>
    <w:p>
      <w:pPr>
        <w:spacing w:line="400" w:lineRule="exact"/>
        <w:ind w:firstLine="420" w:firstLineChars="200"/>
        <w:rPr>
          <w:rFonts w:ascii="宋体" w:hAnsi="宋体" w:cs="宋体"/>
          <w:szCs w:val="22"/>
          <w:u w:val="single"/>
        </w:rPr>
      </w:pPr>
      <w:r>
        <w:rPr>
          <w:rFonts w:hint="eastAsia" w:ascii="宋体" w:hAnsi="宋体" w:cs="宋体"/>
          <w:szCs w:val="22"/>
        </w:rPr>
        <w:t>（2）无负荷联动试车费用由</w:t>
      </w:r>
      <w:r>
        <w:rPr>
          <w:rFonts w:hint="eastAsia" w:ascii="宋体" w:hAnsi="宋体" w:cs="宋体"/>
          <w:szCs w:val="22"/>
          <w:u w:val="single"/>
        </w:rPr>
        <w:t xml:space="preserve">   /   承担。</w:t>
      </w:r>
    </w:p>
    <w:p>
      <w:pPr>
        <w:spacing w:line="400" w:lineRule="exact"/>
        <w:ind w:firstLine="420" w:firstLineChars="200"/>
        <w:rPr>
          <w:rFonts w:ascii="宋体" w:hAnsi="宋体" w:cs="宋体"/>
          <w:szCs w:val="22"/>
        </w:rPr>
      </w:pPr>
      <w:r>
        <w:rPr>
          <w:rFonts w:hint="eastAsia" w:ascii="宋体" w:hAnsi="宋体" w:cs="宋体"/>
          <w:szCs w:val="22"/>
        </w:rPr>
        <w:t>13.3.3 投料试车</w:t>
      </w:r>
    </w:p>
    <w:p>
      <w:pPr>
        <w:spacing w:line="400" w:lineRule="exact"/>
        <w:ind w:firstLine="420" w:firstLineChars="200"/>
        <w:rPr>
          <w:rFonts w:ascii="宋体" w:hAnsi="宋体" w:cs="宋体"/>
          <w:szCs w:val="22"/>
        </w:rPr>
      </w:pPr>
      <w:r>
        <w:rPr>
          <w:rFonts w:hint="eastAsia" w:ascii="宋体" w:hAnsi="宋体" w:cs="宋体"/>
          <w:szCs w:val="22"/>
        </w:rPr>
        <w:t>关于投料试车相关事项的约定：</w:t>
      </w:r>
      <w:r>
        <w:rPr>
          <w:rFonts w:hint="eastAsia" w:ascii="宋体" w:hAnsi="宋体" w:cs="宋体"/>
          <w:szCs w:val="22"/>
          <w:u w:val="single"/>
        </w:rPr>
        <w:t xml:space="preserve">    /    </w:t>
      </w:r>
      <w:r>
        <w:rPr>
          <w:rFonts w:hint="eastAsia" w:ascii="宋体" w:hAnsi="宋体" w:cs="宋体"/>
          <w:szCs w:val="22"/>
        </w:rPr>
        <w:t>。</w:t>
      </w:r>
    </w:p>
    <w:p>
      <w:pPr>
        <w:keepNext/>
        <w:keepLines/>
        <w:spacing w:before="260" w:after="260" w:line="412" w:lineRule="auto"/>
        <w:jc w:val="left"/>
        <w:outlineLvl w:val="2"/>
        <w:rPr>
          <w:rFonts w:ascii="Calibri" w:hAnsi="Calibri"/>
          <w:b/>
          <w:szCs w:val="24"/>
        </w:rPr>
      </w:pPr>
      <w:bookmarkStart w:id="259" w:name="_Toc140098619"/>
      <w:bookmarkStart w:id="260" w:name="_Toc69641926"/>
      <w:bookmarkStart w:id="261" w:name="_Toc55374029"/>
      <w:r>
        <w:rPr>
          <w:rFonts w:hint="eastAsia" w:ascii="Calibri" w:hAnsi="Calibri"/>
          <w:b/>
          <w:szCs w:val="24"/>
        </w:rPr>
        <w:t>13.6 竣工退场</w:t>
      </w:r>
      <w:bookmarkEnd w:id="259"/>
      <w:bookmarkEnd w:id="260"/>
      <w:bookmarkEnd w:id="261"/>
    </w:p>
    <w:p>
      <w:pPr>
        <w:spacing w:line="400" w:lineRule="exact"/>
        <w:ind w:firstLine="420" w:firstLineChars="200"/>
        <w:rPr>
          <w:rFonts w:ascii="宋体" w:hAnsi="宋体" w:cs="宋体"/>
          <w:szCs w:val="22"/>
        </w:rPr>
      </w:pPr>
      <w:r>
        <w:rPr>
          <w:rFonts w:hint="eastAsia" w:ascii="宋体" w:hAnsi="宋体" w:cs="宋体"/>
          <w:szCs w:val="22"/>
        </w:rPr>
        <w:t>13.6.1 竣工退场</w:t>
      </w:r>
    </w:p>
    <w:p>
      <w:pPr>
        <w:spacing w:line="400" w:lineRule="exact"/>
        <w:ind w:firstLine="420" w:firstLineChars="200"/>
        <w:rPr>
          <w:rFonts w:ascii="宋体" w:hAnsi="宋体" w:cs="宋体"/>
          <w:szCs w:val="22"/>
        </w:rPr>
      </w:pPr>
      <w:r>
        <w:rPr>
          <w:rFonts w:hint="eastAsia" w:ascii="宋体" w:hAnsi="宋体" w:cs="宋体"/>
          <w:szCs w:val="22"/>
        </w:rPr>
        <w:t>承包人完成竣工退场的期限：竣工后28日内，如不按期执行，发包人有权无条件处置，所发生的一切费用由承包人承担。</w:t>
      </w:r>
    </w:p>
    <w:p>
      <w:pPr>
        <w:spacing w:line="400" w:lineRule="exact"/>
        <w:ind w:firstLine="420" w:firstLineChars="200"/>
        <w:rPr>
          <w:rFonts w:ascii="宋体" w:hAnsi="宋体" w:cs="宋体"/>
          <w:szCs w:val="22"/>
        </w:rPr>
      </w:pPr>
      <w:r>
        <w:rPr>
          <w:rFonts w:hint="eastAsia" w:ascii="宋体" w:hAnsi="宋体" w:cs="宋体"/>
          <w:szCs w:val="22"/>
        </w:rPr>
        <w:t>退场前，承包人应按发包人要求拆除相关临时设施，清扫干净现场。</w:t>
      </w:r>
    </w:p>
    <w:p>
      <w:pPr>
        <w:keepNext/>
        <w:keepLines/>
        <w:spacing w:before="260" w:after="260" w:line="412" w:lineRule="auto"/>
        <w:ind w:firstLine="422" w:firstLineChars="200"/>
        <w:jc w:val="left"/>
        <w:outlineLvl w:val="1"/>
        <w:rPr>
          <w:rFonts w:ascii="Arial" w:hAnsi="Arial" w:cs="宋体"/>
          <w:b/>
          <w:szCs w:val="22"/>
        </w:rPr>
      </w:pPr>
      <w:bookmarkStart w:id="262" w:name="_Toc140098620"/>
      <w:bookmarkStart w:id="263" w:name="_Toc55374030"/>
      <w:bookmarkStart w:id="264" w:name="_Toc69641927"/>
      <w:r>
        <w:rPr>
          <w:rFonts w:hint="eastAsia" w:ascii="Arial" w:hAnsi="Arial" w:cs="宋体"/>
          <w:b/>
          <w:szCs w:val="22"/>
        </w:rPr>
        <w:t>14. 竣工结算</w:t>
      </w:r>
      <w:bookmarkEnd w:id="262"/>
      <w:bookmarkEnd w:id="263"/>
      <w:bookmarkEnd w:id="264"/>
    </w:p>
    <w:p>
      <w:pPr>
        <w:keepNext/>
        <w:keepLines/>
        <w:spacing w:before="260" w:after="260" w:line="412" w:lineRule="auto"/>
        <w:jc w:val="left"/>
        <w:outlineLvl w:val="2"/>
        <w:rPr>
          <w:rFonts w:ascii="Calibri" w:hAnsi="Calibri"/>
          <w:b/>
          <w:szCs w:val="24"/>
        </w:rPr>
      </w:pPr>
      <w:bookmarkStart w:id="265" w:name="_Toc140098621"/>
      <w:bookmarkStart w:id="266" w:name="_Toc69641928"/>
      <w:bookmarkStart w:id="267" w:name="_Toc55374031"/>
      <w:r>
        <w:rPr>
          <w:rFonts w:hint="eastAsia" w:ascii="Calibri" w:hAnsi="Calibri"/>
          <w:b/>
          <w:szCs w:val="24"/>
        </w:rPr>
        <w:t>14.1 竣工结算申请</w:t>
      </w:r>
      <w:bookmarkEnd w:id="265"/>
      <w:bookmarkEnd w:id="266"/>
      <w:bookmarkEnd w:id="267"/>
    </w:p>
    <w:p>
      <w:pPr>
        <w:spacing w:line="400" w:lineRule="exact"/>
        <w:ind w:firstLine="420" w:firstLineChars="200"/>
        <w:rPr>
          <w:rFonts w:ascii="宋体" w:hAnsi="宋体" w:cs="宋体"/>
          <w:szCs w:val="22"/>
        </w:rPr>
      </w:pPr>
      <w:r>
        <w:rPr>
          <w:rFonts w:hint="eastAsia" w:ascii="宋体" w:hAnsi="宋体" w:cs="宋体"/>
          <w:szCs w:val="22"/>
        </w:rPr>
        <w:t>承包人提交竣工结算申请单的期限：承包人应在工程竣工验收合格后30天内向发包人和监理人提交竣工结算申请单及完整的竣工资料，并提交两份完整的结算资料（含电子扫描版一份）。结算资料经发包人代表初核后，由发包人代表移交审计部门审计，承包人不得将结算资料直接提交审计部门。承包人所编制的工程竣工结算资料经发包人代表审核确认后，承包人所遗漏的与工程造价有关的签证资料不再作为结算审核依据，按承包人自动放弃处理。因承包人原因，不按规定时间提交结算申请，造成的一切损失由承包人承担。</w:t>
      </w:r>
    </w:p>
    <w:p>
      <w:pPr>
        <w:spacing w:line="400" w:lineRule="exact"/>
        <w:ind w:firstLine="420" w:firstLineChars="200"/>
        <w:rPr>
          <w:rFonts w:ascii="宋体" w:hAnsi="宋体" w:cs="宋体"/>
          <w:szCs w:val="22"/>
        </w:rPr>
      </w:pPr>
      <w:r>
        <w:rPr>
          <w:rFonts w:hint="eastAsia" w:ascii="宋体" w:hAnsi="宋体" w:cs="宋体"/>
          <w:szCs w:val="22"/>
        </w:rPr>
        <w:t>竣工结算申请单应包括的内容：主要包括工程竣工结算说明（载明工程量增减情况，并附表一一对应具体的工程联系函和签证单）、工程结算计算式底稿、以光盘为载体的电子文档（含计算式底稿及结算价）、竞争性磋商文件、响应文件、建设工程质量竣工验收意见书、合同、工程量清单、签证单及工程联系函（增加工程量的工程联系函必须附相应的签证单或经发包人代表确认后方可作为结算依据）汇编等发包人提出需提交的资料共一式三份。承包人提供的现场签证资料应为原件或彩色复印件，如果是黑白复印件的，必须加盖学校基建管理部门公章。</w:t>
      </w:r>
    </w:p>
    <w:p>
      <w:pPr>
        <w:keepNext/>
        <w:keepLines/>
        <w:spacing w:before="260" w:after="260" w:line="412" w:lineRule="auto"/>
        <w:jc w:val="left"/>
        <w:outlineLvl w:val="2"/>
        <w:rPr>
          <w:rFonts w:ascii="Calibri" w:hAnsi="Calibri"/>
          <w:b/>
          <w:szCs w:val="24"/>
        </w:rPr>
      </w:pPr>
      <w:bookmarkStart w:id="268" w:name="_Toc69641929"/>
      <w:bookmarkStart w:id="269" w:name="_Toc55374032"/>
      <w:bookmarkStart w:id="270" w:name="_Toc140098622"/>
      <w:r>
        <w:rPr>
          <w:rFonts w:hint="eastAsia" w:ascii="Calibri" w:hAnsi="Calibri"/>
          <w:b/>
          <w:szCs w:val="24"/>
        </w:rPr>
        <w:t>14.2 竣工结算审核</w:t>
      </w:r>
      <w:bookmarkEnd w:id="268"/>
      <w:bookmarkEnd w:id="269"/>
      <w:bookmarkEnd w:id="270"/>
    </w:p>
    <w:p>
      <w:pPr>
        <w:spacing w:line="400" w:lineRule="exact"/>
        <w:ind w:firstLine="420" w:firstLineChars="200"/>
        <w:rPr>
          <w:rFonts w:ascii="宋体" w:hAnsi="宋体" w:cs="宋体"/>
          <w:szCs w:val="22"/>
        </w:rPr>
      </w:pPr>
      <w:r>
        <w:rPr>
          <w:rFonts w:hint="eastAsia" w:ascii="宋体" w:hAnsi="宋体" w:cs="宋体"/>
          <w:szCs w:val="22"/>
        </w:rPr>
        <w:t>竣工结算总价如超过经自治区财政部门或发包人审定的招标控制价的10%（含10%），则需报自治区财政厅财政投资评审中心审定，本工程竣工结算金额以自治区财政厅财政投资评审中心审定为准。</w:t>
      </w:r>
    </w:p>
    <w:p>
      <w:pPr>
        <w:spacing w:line="400" w:lineRule="exact"/>
        <w:ind w:firstLine="420" w:firstLineChars="200"/>
        <w:rPr>
          <w:rFonts w:ascii="宋体" w:hAnsi="宋体" w:cs="宋体"/>
          <w:szCs w:val="22"/>
        </w:rPr>
      </w:pPr>
      <w:r>
        <w:rPr>
          <w:rFonts w:hint="eastAsia" w:ascii="宋体" w:hAnsi="宋体" w:cs="宋体"/>
          <w:szCs w:val="22"/>
        </w:rPr>
        <w:t>如</w:t>
      </w:r>
      <w:r>
        <w:rPr>
          <w:rFonts w:ascii="宋体" w:hAnsi="宋体" w:cs="宋体"/>
          <w:szCs w:val="22"/>
        </w:rPr>
        <w:t>项目</w:t>
      </w:r>
      <w:r>
        <w:rPr>
          <w:rFonts w:hint="eastAsia" w:ascii="宋体" w:hAnsi="宋体" w:cs="宋体"/>
          <w:szCs w:val="22"/>
        </w:rPr>
        <w:t>竣工结算不</w:t>
      </w:r>
      <w:r>
        <w:rPr>
          <w:rFonts w:ascii="宋体" w:hAnsi="宋体" w:cs="宋体"/>
          <w:szCs w:val="22"/>
        </w:rPr>
        <w:t>需</w:t>
      </w:r>
      <w:r>
        <w:rPr>
          <w:rFonts w:hint="eastAsia" w:ascii="宋体" w:hAnsi="宋体" w:cs="宋体"/>
          <w:szCs w:val="22"/>
        </w:rPr>
        <w:t>自治区财政厅财政投资评审中心</w:t>
      </w:r>
      <w:r>
        <w:rPr>
          <w:rFonts w:ascii="宋体" w:hAnsi="宋体" w:cs="宋体"/>
          <w:szCs w:val="22"/>
        </w:rPr>
        <w:t>审</w:t>
      </w:r>
      <w:r>
        <w:rPr>
          <w:rFonts w:hint="eastAsia" w:ascii="宋体" w:hAnsi="宋体" w:cs="宋体"/>
          <w:szCs w:val="22"/>
        </w:rPr>
        <w:t>定，不</w:t>
      </w:r>
      <w:r>
        <w:rPr>
          <w:rFonts w:ascii="宋体" w:hAnsi="宋体" w:cs="宋体"/>
          <w:szCs w:val="22"/>
        </w:rPr>
        <w:t>属于</w:t>
      </w:r>
      <w:r>
        <w:rPr>
          <w:rFonts w:hint="eastAsia" w:ascii="宋体" w:hAnsi="宋体" w:cs="宋体"/>
          <w:szCs w:val="22"/>
        </w:rPr>
        <w:t>《自治区本级财政投资评审实施办法》（桂财办〔2015〕70号）规定的评审范围，则</w:t>
      </w:r>
      <w:r>
        <w:rPr>
          <w:rFonts w:ascii="宋体" w:hAnsi="宋体" w:cs="宋体"/>
          <w:szCs w:val="22"/>
        </w:rPr>
        <w:t>由</w:t>
      </w:r>
      <w:r>
        <w:rPr>
          <w:rFonts w:hint="eastAsia" w:ascii="宋体" w:hAnsi="宋体" w:cs="宋体"/>
          <w:szCs w:val="22"/>
        </w:rPr>
        <w:t>发</w:t>
      </w:r>
      <w:r>
        <w:rPr>
          <w:rFonts w:ascii="宋体" w:hAnsi="宋体" w:cs="宋体"/>
          <w:szCs w:val="22"/>
        </w:rPr>
        <w:t>包人委托的有资质造价咨询单位审定并</w:t>
      </w:r>
      <w:r>
        <w:rPr>
          <w:rFonts w:hint="eastAsia" w:ascii="宋体" w:hAnsi="宋体" w:cs="宋体"/>
          <w:szCs w:val="22"/>
        </w:rPr>
        <w:t>经</w:t>
      </w:r>
      <w:r>
        <w:rPr>
          <w:rFonts w:ascii="宋体" w:hAnsi="宋体" w:cs="宋体"/>
          <w:szCs w:val="22"/>
        </w:rPr>
        <w:t>发、承包</w:t>
      </w:r>
      <w:r>
        <w:rPr>
          <w:rFonts w:hint="eastAsia" w:ascii="宋体" w:hAnsi="宋体" w:cs="宋体"/>
          <w:szCs w:val="22"/>
        </w:rPr>
        <w:t>双方</w:t>
      </w:r>
      <w:r>
        <w:rPr>
          <w:rFonts w:ascii="宋体" w:hAnsi="宋体" w:cs="宋体"/>
          <w:szCs w:val="22"/>
        </w:rPr>
        <w:t>确认的结算金额作为本合同的最终结算金额。</w:t>
      </w:r>
      <w:r>
        <w:rPr>
          <w:rFonts w:hint="eastAsia" w:ascii="宋体" w:hAnsi="宋体" w:cs="宋体"/>
          <w:szCs w:val="22"/>
        </w:rPr>
        <w:t>初步审核时间约定如下：承包人须按发包人结算资料送审要求提交真实、规范、有效、完整的结算资料，竣工结算资料经发包人审核确认后原则上在60个工作日内完成初步审核，因承包人不按时对账耽误时间，审查时间按耽误时间和（或）提交完整资料之日起计算审核时间。</w:t>
      </w:r>
    </w:p>
    <w:p>
      <w:pPr>
        <w:spacing w:line="400" w:lineRule="exact"/>
        <w:ind w:firstLine="420" w:firstLineChars="200"/>
        <w:rPr>
          <w:rFonts w:ascii="宋体" w:hAnsi="宋体" w:cs="宋体"/>
          <w:szCs w:val="22"/>
        </w:rPr>
      </w:pPr>
      <w:r>
        <w:rPr>
          <w:rFonts w:hint="eastAsia" w:ascii="宋体" w:hAnsi="宋体" w:cs="宋体"/>
          <w:szCs w:val="22"/>
        </w:rPr>
        <w:t>发包人委托的有资质的造价咨询单位审定并经发、承包双方确认的结算金额作为本合同的最终结算金额。本工程造价咨询单位及审核服务费由发包人另行确定，发包人与造价咨询单位约定的审核服务费不超过桂价协字〔2019〕15号文件规定。</w:t>
      </w:r>
    </w:p>
    <w:p>
      <w:pPr>
        <w:spacing w:line="400" w:lineRule="exact"/>
        <w:ind w:firstLine="420" w:firstLineChars="200"/>
        <w:rPr>
          <w:rFonts w:ascii="宋体" w:hAnsi="宋体" w:cs="宋体"/>
          <w:szCs w:val="22"/>
        </w:rPr>
      </w:pPr>
      <w:r>
        <w:rPr>
          <w:rFonts w:hint="eastAsia" w:ascii="宋体" w:hAnsi="宋体" w:cs="宋体"/>
          <w:szCs w:val="22"/>
        </w:rPr>
        <w:t>承包人所编制的工程竣工结算资料经发包人审核后，如需财评的，从送到财政部门之日起，不需财评的，从发包人接收结算资料之日起，承包人所遗漏的与工程造价有关的签证不再作为结算审核依据，按自动放弃处理。如承包人报送的工程结算总价过高，造成该结算审减率超过6%以上的，则超出6%以上部分的审核费由承包人承担，费用由发包人从承包人工程结算款中扣除。其中：审减率=（送审造价-审定造价）/送审造价*100%；当审减率大于6%时，承包人应承担的审核费=（净审减额-送审额*6%）*3.5%。</w:t>
      </w:r>
    </w:p>
    <w:p>
      <w:pPr>
        <w:spacing w:line="400" w:lineRule="exact"/>
        <w:ind w:firstLine="420" w:firstLineChars="200"/>
        <w:rPr>
          <w:rFonts w:ascii="宋体" w:hAnsi="宋体" w:cs="宋体"/>
          <w:szCs w:val="22"/>
        </w:rPr>
      </w:pPr>
      <w:r>
        <w:rPr>
          <w:rFonts w:hint="eastAsia" w:ascii="宋体" w:hAnsi="宋体" w:cs="宋体"/>
          <w:szCs w:val="22"/>
        </w:rPr>
        <w:t>工程竣工验收报告经发包人认可后30天内，承包人应向发包人递交竣工验收合格资料及完整的结算资料和报告，双方按照本工程合同约定的价格形式及价款调整办法进行工程竣工结算。</w:t>
      </w:r>
    </w:p>
    <w:p>
      <w:pPr>
        <w:spacing w:line="400" w:lineRule="exact"/>
        <w:ind w:firstLine="420" w:firstLineChars="200"/>
        <w:rPr>
          <w:rFonts w:ascii="宋体" w:hAnsi="宋体" w:cs="宋体"/>
          <w:szCs w:val="22"/>
        </w:rPr>
      </w:pPr>
      <w:r>
        <w:rPr>
          <w:rFonts w:hint="eastAsia" w:ascii="宋体" w:hAnsi="宋体" w:cs="宋体"/>
          <w:szCs w:val="22"/>
        </w:rPr>
        <w:t>如承包人逾期递交竣工验收合格资料及完整的结算资料和报告，每延误一天，按签约合同价的万分之二计算逾期违约金，违约金直接从结算款中扣除。违约金上限：签约合同价扣除发包人材料价款、暂估专业工程、暂列金额后的百分之二。</w:t>
      </w:r>
    </w:p>
    <w:p>
      <w:pPr>
        <w:spacing w:line="400" w:lineRule="exact"/>
        <w:ind w:firstLine="420" w:firstLineChars="200"/>
        <w:rPr>
          <w:rFonts w:ascii="宋体" w:hAnsi="宋体" w:cs="宋体"/>
          <w:szCs w:val="22"/>
        </w:rPr>
      </w:pPr>
      <w:r>
        <w:rPr>
          <w:rFonts w:hint="eastAsia" w:ascii="宋体" w:hAnsi="宋体" w:cs="宋体"/>
          <w:szCs w:val="22"/>
        </w:rPr>
        <w:t>承包人必须提供完整、真实的隐蔽工程原始施工、验收记录。如发现施工单位提供的隐蔽工程资料与实际不符时，按不利于施工单位原则结算。</w:t>
      </w:r>
    </w:p>
    <w:p>
      <w:pPr>
        <w:keepNext/>
        <w:keepLines/>
        <w:spacing w:before="260" w:after="260" w:line="412" w:lineRule="auto"/>
        <w:jc w:val="left"/>
        <w:outlineLvl w:val="2"/>
        <w:rPr>
          <w:rFonts w:ascii="Calibri" w:hAnsi="Calibri"/>
          <w:b/>
          <w:szCs w:val="24"/>
        </w:rPr>
      </w:pPr>
      <w:bookmarkStart w:id="271" w:name="_Toc140098623"/>
      <w:bookmarkStart w:id="272" w:name="_Toc55374033"/>
      <w:bookmarkStart w:id="273" w:name="_Toc69641930"/>
      <w:r>
        <w:rPr>
          <w:rFonts w:hint="eastAsia" w:ascii="Calibri" w:hAnsi="Calibri"/>
          <w:b/>
          <w:szCs w:val="24"/>
        </w:rPr>
        <w:t>14.4 最终结清</w:t>
      </w:r>
      <w:bookmarkEnd w:id="271"/>
      <w:bookmarkEnd w:id="272"/>
      <w:bookmarkEnd w:id="273"/>
    </w:p>
    <w:p>
      <w:pPr>
        <w:spacing w:line="400" w:lineRule="exact"/>
        <w:ind w:firstLine="420" w:firstLineChars="200"/>
        <w:rPr>
          <w:rFonts w:ascii="宋体" w:hAnsi="宋体" w:cs="宋体"/>
          <w:szCs w:val="22"/>
        </w:rPr>
      </w:pPr>
      <w:r>
        <w:rPr>
          <w:rFonts w:hint="eastAsia" w:ascii="宋体" w:hAnsi="宋体" w:cs="宋体"/>
          <w:szCs w:val="22"/>
        </w:rPr>
        <w:t>14.4.1 最终结清申请单</w:t>
      </w:r>
    </w:p>
    <w:p>
      <w:pPr>
        <w:spacing w:line="400" w:lineRule="exact"/>
        <w:ind w:firstLine="420" w:firstLineChars="200"/>
        <w:rPr>
          <w:rFonts w:ascii="宋体" w:hAnsi="宋体" w:cs="宋体"/>
          <w:szCs w:val="22"/>
          <w:u w:val="single"/>
        </w:rPr>
      </w:pPr>
      <w:r>
        <w:rPr>
          <w:rFonts w:hint="eastAsia" w:ascii="宋体" w:hAnsi="宋体" w:cs="宋体"/>
          <w:szCs w:val="22"/>
        </w:rPr>
        <w:t>承包人提交最终结清申请单的份数：</w:t>
      </w:r>
      <w:r>
        <w:rPr>
          <w:rFonts w:hint="eastAsia" w:ascii="宋体" w:hAnsi="宋体" w:cs="宋体"/>
          <w:szCs w:val="22"/>
          <w:u w:val="single"/>
        </w:rPr>
        <w:t>按通用条款执行</w:t>
      </w:r>
      <w:r>
        <w:rPr>
          <w:rFonts w:hint="eastAsia" w:ascii="宋体" w:hAnsi="宋体" w:cs="宋体"/>
          <w:szCs w:val="22"/>
        </w:rPr>
        <w:t>。</w:t>
      </w:r>
    </w:p>
    <w:p>
      <w:pPr>
        <w:spacing w:line="400" w:lineRule="exact"/>
        <w:ind w:firstLine="420" w:firstLineChars="200"/>
        <w:rPr>
          <w:rFonts w:ascii="宋体" w:hAnsi="宋体" w:cs="宋体"/>
          <w:szCs w:val="22"/>
          <w:u w:val="single"/>
        </w:rPr>
      </w:pPr>
      <w:r>
        <w:rPr>
          <w:rFonts w:hint="eastAsia" w:ascii="宋体" w:hAnsi="宋体" w:cs="宋体"/>
          <w:szCs w:val="22"/>
        </w:rPr>
        <w:t>承包人提交最终结算申请单的期限：</w:t>
      </w:r>
      <w:r>
        <w:rPr>
          <w:rFonts w:hint="eastAsia" w:ascii="宋体" w:hAnsi="宋体" w:cs="宋体"/>
          <w:szCs w:val="22"/>
          <w:u w:val="single"/>
        </w:rPr>
        <w:t>按通用条款执行</w:t>
      </w:r>
      <w:r>
        <w:rPr>
          <w:rFonts w:hint="eastAsia" w:ascii="宋体" w:hAnsi="宋体" w:cs="宋体"/>
          <w:szCs w:val="22"/>
        </w:rPr>
        <w:t>。</w:t>
      </w:r>
      <w:r>
        <w:rPr>
          <w:rFonts w:hint="eastAsia" w:ascii="宋体" w:hAnsi="宋体" w:cs="宋体"/>
          <w:szCs w:val="22"/>
          <w:u w:val="single"/>
        </w:rPr>
        <w:t xml:space="preserve"> </w:t>
      </w:r>
    </w:p>
    <w:p>
      <w:pPr>
        <w:spacing w:line="400" w:lineRule="exact"/>
        <w:ind w:firstLine="420" w:firstLineChars="200"/>
        <w:rPr>
          <w:rFonts w:ascii="宋体" w:hAnsi="宋体" w:cs="宋体"/>
          <w:szCs w:val="22"/>
        </w:rPr>
      </w:pPr>
      <w:r>
        <w:rPr>
          <w:rFonts w:hint="eastAsia" w:ascii="宋体" w:hAnsi="宋体" w:cs="宋体"/>
          <w:szCs w:val="22"/>
        </w:rPr>
        <w:t>14.4.2 最终结清证书和支付</w:t>
      </w:r>
    </w:p>
    <w:p>
      <w:pPr>
        <w:spacing w:line="400" w:lineRule="exact"/>
        <w:ind w:firstLine="420" w:firstLineChars="200"/>
        <w:rPr>
          <w:rFonts w:ascii="宋体" w:hAnsi="宋体" w:cs="宋体"/>
          <w:szCs w:val="22"/>
        </w:rPr>
      </w:pPr>
      <w:r>
        <w:rPr>
          <w:rFonts w:hint="eastAsia" w:ascii="宋体" w:hAnsi="宋体" w:cs="宋体"/>
          <w:szCs w:val="22"/>
        </w:rPr>
        <w:t>（1）发包人完成最终结清申请单的审批并颁发最终结清证书的期限：</w:t>
      </w:r>
      <w:r>
        <w:rPr>
          <w:rFonts w:hint="eastAsia" w:ascii="宋体" w:hAnsi="宋体" w:cs="宋体"/>
          <w:szCs w:val="22"/>
          <w:u w:val="single"/>
        </w:rPr>
        <w:t>收到承包人提交的最终结清申请单后60日历日内完成   。</w:t>
      </w:r>
    </w:p>
    <w:p>
      <w:pPr>
        <w:spacing w:line="400" w:lineRule="exact"/>
        <w:ind w:firstLine="420" w:firstLineChars="200"/>
        <w:rPr>
          <w:rFonts w:ascii="宋体" w:hAnsi="宋体" w:cs="宋体"/>
          <w:szCs w:val="22"/>
        </w:rPr>
      </w:pPr>
      <w:r>
        <w:rPr>
          <w:rFonts w:hint="eastAsia" w:ascii="宋体" w:hAnsi="宋体" w:cs="宋体"/>
          <w:szCs w:val="22"/>
        </w:rPr>
        <w:t>（2）发包人完成支付的期限：收到承包人发票后14个工作日内支付。</w:t>
      </w:r>
    </w:p>
    <w:p>
      <w:pPr>
        <w:spacing w:line="400" w:lineRule="exact"/>
        <w:ind w:firstLine="420" w:firstLineChars="200"/>
        <w:rPr>
          <w:rFonts w:ascii="宋体" w:hAnsi="宋体" w:cs="宋体"/>
          <w:szCs w:val="22"/>
        </w:rPr>
      </w:pPr>
      <w:r>
        <w:rPr>
          <w:rFonts w:hint="eastAsia" w:ascii="宋体" w:hAnsi="宋体" w:cs="宋体"/>
          <w:szCs w:val="22"/>
        </w:rPr>
        <w:t>有关款项支付和发票开具详见本专用条款12.4款约定。</w:t>
      </w:r>
    </w:p>
    <w:p>
      <w:pPr>
        <w:keepNext/>
        <w:keepLines/>
        <w:spacing w:before="260" w:after="260" w:line="412" w:lineRule="auto"/>
        <w:ind w:firstLine="422" w:firstLineChars="200"/>
        <w:jc w:val="left"/>
        <w:outlineLvl w:val="1"/>
        <w:rPr>
          <w:rFonts w:ascii="Arial" w:hAnsi="Arial" w:cs="宋体"/>
          <w:b/>
          <w:szCs w:val="22"/>
        </w:rPr>
      </w:pPr>
      <w:bookmarkStart w:id="274" w:name="_Toc140098624"/>
      <w:bookmarkStart w:id="275" w:name="_Toc69641931"/>
      <w:bookmarkStart w:id="276" w:name="_Toc55374034"/>
      <w:r>
        <w:rPr>
          <w:rFonts w:hint="eastAsia" w:ascii="Arial" w:hAnsi="Arial" w:cs="宋体"/>
          <w:b/>
          <w:szCs w:val="22"/>
        </w:rPr>
        <w:t>15. 缺陷责任期与保修</w:t>
      </w:r>
      <w:bookmarkEnd w:id="274"/>
      <w:bookmarkEnd w:id="275"/>
      <w:bookmarkEnd w:id="276"/>
    </w:p>
    <w:p>
      <w:pPr>
        <w:keepNext/>
        <w:keepLines/>
        <w:spacing w:before="260" w:after="260" w:line="412" w:lineRule="auto"/>
        <w:jc w:val="left"/>
        <w:outlineLvl w:val="2"/>
        <w:rPr>
          <w:rFonts w:ascii="Calibri" w:hAnsi="Calibri"/>
          <w:b/>
          <w:szCs w:val="24"/>
        </w:rPr>
      </w:pPr>
      <w:bookmarkStart w:id="277" w:name="_Toc55374035"/>
      <w:bookmarkStart w:id="278" w:name="_Toc140098625"/>
      <w:bookmarkStart w:id="279" w:name="_Toc69641932"/>
      <w:r>
        <w:rPr>
          <w:rFonts w:hint="eastAsia" w:ascii="Calibri" w:hAnsi="Calibri"/>
          <w:b/>
          <w:szCs w:val="24"/>
        </w:rPr>
        <w:t>15.2缺陷责任期</w:t>
      </w:r>
      <w:bookmarkEnd w:id="277"/>
      <w:bookmarkEnd w:id="278"/>
      <w:bookmarkEnd w:id="279"/>
    </w:p>
    <w:p>
      <w:pPr>
        <w:spacing w:line="400" w:lineRule="exact"/>
        <w:ind w:firstLine="420" w:firstLineChars="200"/>
        <w:rPr>
          <w:rFonts w:ascii="宋体" w:hAnsi="宋体" w:cs="宋体"/>
          <w:szCs w:val="22"/>
        </w:rPr>
      </w:pPr>
      <w:r>
        <w:rPr>
          <w:rFonts w:hint="eastAsia" w:ascii="宋体" w:hAnsi="宋体" w:cs="宋体"/>
          <w:szCs w:val="22"/>
        </w:rPr>
        <w:t>缺陷责任期的具体期限： 自本工程竣工验收合格之日（以《＜竣工（整改）完成认可文件＞收讫告知书》注明的竣工日期为准）起24个月。</w:t>
      </w:r>
    </w:p>
    <w:p>
      <w:pPr>
        <w:keepNext/>
        <w:keepLines/>
        <w:spacing w:before="260" w:after="260" w:line="412" w:lineRule="auto"/>
        <w:jc w:val="left"/>
        <w:outlineLvl w:val="2"/>
        <w:rPr>
          <w:rFonts w:ascii="Calibri" w:hAnsi="Calibri"/>
          <w:b/>
          <w:szCs w:val="24"/>
        </w:rPr>
      </w:pPr>
      <w:bookmarkStart w:id="280" w:name="_Toc69641933"/>
      <w:bookmarkStart w:id="281" w:name="_Toc55374036"/>
      <w:bookmarkStart w:id="282" w:name="_Toc140098626"/>
      <w:r>
        <w:rPr>
          <w:rFonts w:hint="eastAsia" w:ascii="Calibri" w:hAnsi="Calibri"/>
          <w:b/>
          <w:szCs w:val="24"/>
        </w:rPr>
        <w:t>15.3 质量保证金</w:t>
      </w:r>
      <w:bookmarkEnd w:id="280"/>
      <w:bookmarkEnd w:id="281"/>
      <w:bookmarkEnd w:id="282"/>
    </w:p>
    <w:p>
      <w:pPr>
        <w:spacing w:line="400" w:lineRule="exact"/>
        <w:ind w:firstLine="420" w:firstLineChars="200"/>
        <w:rPr>
          <w:rFonts w:ascii="宋体" w:hAnsi="宋体" w:cs="宋体"/>
          <w:szCs w:val="22"/>
          <w:u w:val="single"/>
        </w:rPr>
      </w:pPr>
      <w:r>
        <w:rPr>
          <w:rFonts w:hint="eastAsia" w:ascii="宋体" w:hAnsi="宋体" w:cs="宋体"/>
          <w:szCs w:val="22"/>
        </w:rPr>
        <w:t>关于是否扣留质量保证金的约定：</w:t>
      </w:r>
      <w:r>
        <w:rPr>
          <w:rFonts w:hint="eastAsia" w:ascii="宋体" w:hAnsi="宋体" w:cs="宋体"/>
          <w:szCs w:val="22"/>
          <w:u w:val="single"/>
        </w:rPr>
        <w:t>扣留质量保证金 。</w:t>
      </w:r>
    </w:p>
    <w:p>
      <w:pPr>
        <w:spacing w:line="400" w:lineRule="exact"/>
        <w:ind w:firstLine="420" w:firstLineChars="200"/>
        <w:rPr>
          <w:rFonts w:ascii="宋体" w:hAnsi="宋体" w:cs="宋体"/>
          <w:szCs w:val="22"/>
        </w:rPr>
      </w:pPr>
      <w:r>
        <w:rPr>
          <w:rFonts w:hint="eastAsia" w:ascii="宋体" w:hAnsi="宋体" w:cs="宋体"/>
          <w:szCs w:val="22"/>
        </w:rPr>
        <w:t>在工程项目竣工前，承包人按专用合同条款第3.7条提供履约担保的，发包人不得同时预留工程质量保证金。</w:t>
      </w:r>
    </w:p>
    <w:p>
      <w:pPr>
        <w:spacing w:line="400" w:lineRule="exact"/>
        <w:ind w:firstLine="420" w:firstLineChars="200"/>
        <w:rPr>
          <w:rFonts w:ascii="宋体" w:hAnsi="宋体" w:cs="宋体"/>
          <w:szCs w:val="22"/>
        </w:rPr>
      </w:pPr>
      <w:r>
        <w:rPr>
          <w:rFonts w:hint="eastAsia" w:ascii="宋体" w:hAnsi="宋体" w:cs="宋体"/>
          <w:szCs w:val="22"/>
        </w:rPr>
        <w:t>15.3.1 承包人提供质量保证金的方式</w:t>
      </w:r>
    </w:p>
    <w:p>
      <w:pPr>
        <w:spacing w:line="400" w:lineRule="exact"/>
        <w:ind w:firstLine="420" w:firstLineChars="200"/>
        <w:rPr>
          <w:rFonts w:ascii="宋体" w:hAnsi="宋体" w:cs="宋体"/>
          <w:szCs w:val="22"/>
        </w:rPr>
      </w:pPr>
      <w:r>
        <w:rPr>
          <w:rFonts w:hint="eastAsia" w:ascii="宋体" w:hAnsi="宋体" w:cs="宋体"/>
          <w:szCs w:val="22"/>
        </w:rPr>
        <w:t>质量保证金采用以下第</w:t>
      </w:r>
      <w:r>
        <w:rPr>
          <w:rFonts w:hint="eastAsia" w:ascii="宋体" w:hAnsi="宋体" w:cs="宋体"/>
          <w:szCs w:val="22"/>
          <w:u w:val="single"/>
        </w:rPr>
        <w:t xml:space="preserve">  （3）  </w:t>
      </w:r>
      <w:r>
        <w:rPr>
          <w:rFonts w:hint="eastAsia" w:ascii="宋体" w:hAnsi="宋体" w:cs="宋体"/>
          <w:szCs w:val="22"/>
        </w:rPr>
        <w:t>种方式：</w:t>
      </w:r>
    </w:p>
    <w:p>
      <w:pPr>
        <w:spacing w:line="400" w:lineRule="exact"/>
        <w:ind w:firstLine="420" w:firstLineChars="200"/>
        <w:rPr>
          <w:rFonts w:ascii="宋体" w:hAnsi="宋体" w:cs="宋体"/>
          <w:szCs w:val="22"/>
        </w:rPr>
      </w:pPr>
      <w:r>
        <w:rPr>
          <w:rFonts w:hint="eastAsia" w:ascii="宋体" w:hAnsi="宋体" w:cs="宋体"/>
          <w:szCs w:val="22"/>
        </w:rPr>
        <w:t>（1）质量保证金保函，保证金额为：</w:t>
      </w:r>
      <w:r>
        <w:rPr>
          <w:rFonts w:hint="eastAsia" w:ascii="宋体" w:hAnsi="宋体" w:cs="宋体"/>
          <w:szCs w:val="22"/>
          <w:u w:val="single"/>
        </w:rPr>
        <w:t xml:space="preserve">     /    </w:t>
      </w:r>
      <w:r>
        <w:rPr>
          <w:rFonts w:hint="eastAsia" w:ascii="宋体" w:hAnsi="宋体" w:cs="宋体"/>
          <w:szCs w:val="22"/>
        </w:rPr>
        <w:t xml:space="preserve">； </w:t>
      </w:r>
    </w:p>
    <w:p>
      <w:pPr>
        <w:spacing w:line="400" w:lineRule="exact"/>
        <w:ind w:firstLine="420" w:firstLineChars="200"/>
        <w:rPr>
          <w:rFonts w:ascii="宋体" w:hAnsi="宋体" w:cs="宋体"/>
          <w:szCs w:val="22"/>
        </w:rPr>
      </w:pPr>
      <w:r>
        <w:rPr>
          <w:rFonts w:hint="eastAsia" w:ascii="宋体" w:hAnsi="宋体" w:cs="宋体"/>
          <w:szCs w:val="22"/>
        </w:rPr>
        <w:t>（2）发包人按工程价款结算总额的</w:t>
      </w:r>
      <w:r>
        <w:rPr>
          <w:rFonts w:hint="eastAsia" w:ascii="宋体" w:hAnsi="宋体" w:cs="宋体"/>
          <w:szCs w:val="22"/>
          <w:u w:val="single"/>
        </w:rPr>
        <w:t xml:space="preserve">    </w:t>
      </w:r>
      <w:r>
        <w:rPr>
          <w:rFonts w:hint="eastAsia" w:ascii="宋体" w:hAnsi="宋体" w:cs="宋体"/>
          <w:szCs w:val="22"/>
        </w:rPr>
        <w:t>%预留工程质量保证金，待缺陷责任期满后返还（不计利息）；</w:t>
      </w:r>
    </w:p>
    <w:p>
      <w:pPr>
        <w:spacing w:line="400" w:lineRule="exact"/>
        <w:ind w:firstLine="420" w:firstLineChars="200"/>
        <w:rPr>
          <w:rFonts w:ascii="宋体" w:hAnsi="宋体" w:cs="宋体"/>
          <w:szCs w:val="22"/>
        </w:rPr>
      </w:pPr>
      <w:r>
        <w:rPr>
          <w:rFonts w:hint="eastAsia" w:ascii="宋体" w:hAnsi="宋体" w:cs="宋体"/>
          <w:szCs w:val="22"/>
        </w:rPr>
        <w:t>（3）其他方式: 银行转账、电汇或网上支付等形式。</w:t>
      </w:r>
    </w:p>
    <w:p>
      <w:pPr>
        <w:spacing w:line="400" w:lineRule="exact"/>
        <w:ind w:firstLine="420" w:firstLineChars="200"/>
        <w:rPr>
          <w:rFonts w:ascii="宋体" w:hAnsi="宋体" w:cs="宋体"/>
          <w:szCs w:val="22"/>
        </w:rPr>
      </w:pPr>
      <w:r>
        <w:rPr>
          <w:rFonts w:hint="eastAsia" w:ascii="宋体" w:hAnsi="宋体" w:cs="宋体"/>
          <w:szCs w:val="22"/>
        </w:rPr>
        <w:t xml:space="preserve">15.3.2 质量保证金的扣留 </w:t>
      </w:r>
    </w:p>
    <w:p>
      <w:pPr>
        <w:spacing w:line="400" w:lineRule="exact"/>
        <w:ind w:firstLine="420" w:firstLineChars="200"/>
        <w:rPr>
          <w:rFonts w:ascii="宋体" w:hAnsi="宋体" w:cs="宋体"/>
          <w:szCs w:val="22"/>
        </w:rPr>
      </w:pPr>
      <w:r>
        <w:rPr>
          <w:rFonts w:hint="eastAsia" w:ascii="宋体" w:hAnsi="宋体" w:cs="宋体"/>
          <w:szCs w:val="22"/>
        </w:rPr>
        <w:t>质量保证金的扣留采取以下第</w:t>
      </w:r>
      <w:r>
        <w:rPr>
          <w:rFonts w:hint="eastAsia" w:ascii="宋体" w:hAnsi="宋体" w:cs="宋体"/>
          <w:szCs w:val="22"/>
          <w:u w:val="single"/>
        </w:rPr>
        <w:t xml:space="preserve">   （3）  </w:t>
      </w:r>
      <w:r>
        <w:rPr>
          <w:rFonts w:hint="eastAsia" w:ascii="宋体" w:hAnsi="宋体" w:cs="宋体"/>
          <w:szCs w:val="22"/>
        </w:rPr>
        <w:t>种方式：</w:t>
      </w:r>
    </w:p>
    <w:p>
      <w:pPr>
        <w:spacing w:line="400" w:lineRule="exact"/>
        <w:ind w:firstLine="420" w:firstLineChars="200"/>
        <w:rPr>
          <w:rFonts w:ascii="宋体" w:hAnsi="宋体" w:cs="宋体"/>
          <w:szCs w:val="22"/>
        </w:rPr>
      </w:pPr>
      <w:r>
        <w:rPr>
          <w:rFonts w:hint="eastAsia" w:ascii="宋体" w:hAnsi="宋体" w:cs="宋体"/>
          <w:szCs w:val="22"/>
        </w:rPr>
        <w:t>（1）在支付工程进度款时逐次扣留，在此情形下，质量保证金的计算基数不包括预付款的支付、扣回以及价格调整的金额；</w:t>
      </w:r>
    </w:p>
    <w:p>
      <w:pPr>
        <w:spacing w:line="400" w:lineRule="exact"/>
        <w:ind w:firstLine="420" w:firstLineChars="200"/>
        <w:rPr>
          <w:rFonts w:ascii="宋体" w:hAnsi="宋体" w:cs="宋体"/>
          <w:szCs w:val="22"/>
        </w:rPr>
      </w:pPr>
      <w:r>
        <w:rPr>
          <w:rFonts w:hint="eastAsia" w:ascii="宋体" w:hAnsi="宋体" w:cs="宋体"/>
          <w:szCs w:val="22"/>
        </w:rPr>
        <w:t>（2）工程竣工结算时一次性扣留质量保证金；</w:t>
      </w:r>
    </w:p>
    <w:p>
      <w:pPr>
        <w:spacing w:line="400" w:lineRule="exact"/>
        <w:ind w:firstLine="420" w:firstLineChars="200"/>
        <w:rPr>
          <w:rFonts w:ascii="宋体" w:hAnsi="宋体" w:cs="宋体"/>
          <w:szCs w:val="22"/>
        </w:rPr>
      </w:pPr>
      <w:r>
        <w:rPr>
          <w:rFonts w:hint="eastAsia" w:ascii="宋体" w:hAnsi="宋体" w:cs="宋体"/>
          <w:szCs w:val="22"/>
        </w:rPr>
        <w:t>（3）其他扣留方式:</w:t>
      </w:r>
      <w:bookmarkStart w:id="283" w:name="_Hlk170825027"/>
      <w:r>
        <w:rPr>
          <w:rFonts w:hint="eastAsia" w:ascii="宋体" w:hAnsi="宋体" w:cs="宋体"/>
          <w:szCs w:val="22"/>
        </w:rPr>
        <w:t>在支付最后一笔工程款前，承包人向发包人对公帐户转入结算总价的3%作为工程质量保证金</w:t>
      </w:r>
      <w:bookmarkEnd w:id="283"/>
      <w:r>
        <w:rPr>
          <w:rFonts w:hint="eastAsia" w:ascii="宋体" w:hAnsi="宋体" w:cs="宋体"/>
          <w:szCs w:val="22"/>
        </w:rPr>
        <w:t>）。</w:t>
      </w:r>
    </w:p>
    <w:p>
      <w:pPr>
        <w:spacing w:line="400" w:lineRule="exact"/>
        <w:ind w:firstLine="420" w:firstLineChars="200"/>
        <w:rPr>
          <w:rFonts w:ascii="宋体" w:hAnsi="宋体" w:cs="宋体"/>
          <w:szCs w:val="22"/>
        </w:rPr>
      </w:pPr>
      <w:r>
        <w:rPr>
          <w:rFonts w:hint="eastAsia" w:ascii="宋体" w:hAnsi="宋体" w:cs="宋体"/>
          <w:szCs w:val="22"/>
        </w:rPr>
        <w:t>关于质量保证金的补充约定：</w:t>
      </w:r>
      <w:r>
        <w:rPr>
          <w:rFonts w:hint="eastAsia" w:ascii="宋体" w:hAnsi="宋体" w:cs="宋体"/>
          <w:szCs w:val="22"/>
          <w:u w:val="single"/>
        </w:rPr>
        <w:t>质量保证金的退还不能免除承包人在保修期内的保修责任；质量保证金支付及发票开具详见本专用条款12.4款及本款约定。</w:t>
      </w:r>
      <w:r>
        <w:rPr>
          <w:rFonts w:hint="eastAsia" w:ascii="宋体" w:hAnsi="宋体" w:cs="宋体"/>
          <w:szCs w:val="22"/>
        </w:rPr>
        <w:t>承包人应在工程缺陷责任期到期前三个月，向发包人提出退费申请，经发包人确认后，待工程缺陷责任期期满后方可退还质保金。承包人未按规定时间提出验收申请的，责任自付。</w:t>
      </w:r>
    </w:p>
    <w:p>
      <w:pPr>
        <w:keepNext/>
        <w:keepLines/>
        <w:spacing w:before="260" w:after="260" w:line="412" w:lineRule="auto"/>
        <w:jc w:val="left"/>
        <w:outlineLvl w:val="2"/>
        <w:rPr>
          <w:rFonts w:ascii="Calibri" w:hAnsi="Calibri"/>
          <w:b/>
          <w:szCs w:val="24"/>
        </w:rPr>
      </w:pPr>
      <w:bookmarkStart w:id="284" w:name="_Toc140098627"/>
      <w:bookmarkStart w:id="285" w:name="_Toc69641934"/>
      <w:bookmarkStart w:id="286" w:name="_Toc55374037"/>
      <w:r>
        <w:rPr>
          <w:rFonts w:hint="eastAsia" w:ascii="Calibri" w:hAnsi="Calibri"/>
          <w:b/>
          <w:szCs w:val="24"/>
        </w:rPr>
        <w:t>15.4保修</w:t>
      </w:r>
      <w:bookmarkEnd w:id="284"/>
      <w:bookmarkEnd w:id="285"/>
      <w:bookmarkEnd w:id="286"/>
    </w:p>
    <w:p>
      <w:pPr>
        <w:spacing w:line="400" w:lineRule="exact"/>
        <w:ind w:firstLine="420" w:firstLineChars="200"/>
        <w:rPr>
          <w:rFonts w:ascii="宋体" w:hAnsi="宋体" w:cs="宋体"/>
          <w:szCs w:val="22"/>
        </w:rPr>
      </w:pPr>
      <w:r>
        <w:rPr>
          <w:rFonts w:hint="eastAsia" w:ascii="宋体" w:hAnsi="宋体" w:cs="宋体"/>
          <w:szCs w:val="22"/>
        </w:rPr>
        <w:t>15.4.1 保修责任</w:t>
      </w:r>
    </w:p>
    <w:p>
      <w:pPr>
        <w:spacing w:line="400" w:lineRule="exact"/>
        <w:ind w:firstLine="420" w:firstLineChars="200"/>
        <w:rPr>
          <w:rFonts w:ascii="宋体" w:hAnsi="宋体" w:cs="宋体"/>
          <w:szCs w:val="22"/>
        </w:rPr>
      </w:pPr>
      <w:r>
        <w:rPr>
          <w:rFonts w:hint="eastAsia" w:ascii="宋体" w:hAnsi="宋体" w:cs="宋体"/>
          <w:szCs w:val="22"/>
        </w:rPr>
        <w:t>工程保修期为：  详见工程质量保修书（附件3）   。</w:t>
      </w:r>
    </w:p>
    <w:p>
      <w:pPr>
        <w:spacing w:line="400" w:lineRule="exact"/>
        <w:ind w:firstLine="420" w:firstLineChars="200"/>
        <w:rPr>
          <w:rFonts w:ascii="宋体" w:hAnsi="宋体" w:cs="宋体"/>
          <w:szCs w:val="22"/>
        </w:rPr>
      </w:pPr>
      <w:r>
        <w:rPr>
          <w:rFonts w:hint="eastAsia" w:ascii="宋体" w:hAnsi="宋体" w:cs="宋体"/>
          <w:szCs w:val="22"/>
        </w:rPr>
        <w:t>15.4.3 修复通知</w:t>
      </w:r>
    </w:p>
    <w:p>
      <w:pPr>
        <w:spacing w:line="400" w:lineRule="exact"/>
        <w:ind w:firstLine="420" w:firstLineChars="200"/>
        <w:rPr>
          <w:rFonts w:ascii="宋体" w:hAnsi="宋体" w:cs="宋体"/>
          <w:szCs w:val="22"/>
          <w:u w:val="single"/>
        </w:rPr>
      </w:pPr>
      <w:r>
        <w:rPr>
          <w:rFonts w:hint="eastAsia" w:ascii="宋体" w:hAnsi="宋体" w:cs="宋体"/>
          <w:szCs w:val="22"/>
        </w:rPr>
        <w:t>承包人收到保修通知并到达工程现场的合理时间：</w:t>
      </w:r>
      <w:r>
        <w:rPr>
          <w:rFonts w:hint="eastAsia" w:ascii="宋体" w:hAnsi="宋体" w:cs="宋体"/>
          <w:szCs w:val="22"/>
          <w:u w:val="single"/>
        </w:rPr>
        <w:t xml:space="preserve">  24小时  。</w:t>
      </w:r>
    </w:p>
    <w:p>
      <w:pPr>
        <w:spacing w:line="400" w:lineRule="exact"/>
        <w:ind w:firstLine="420" w:firstLineChars="200"/>
        <w:rPr>
          <w:rFonts w:ascii="宋体" w:hAnsi="宋体" w:cs="宋体"/>
          <w:szCs w:val="22"/>
        </w:rPr>
      </w:pPr>
      <w:r>
        <w:rPr>
          <w:rFonts w:hint="eastAsia" w:ascii="宋体" w:hAnsi="宋体" w:cs="宋体"/>
          <w:szCs w:val="22"/>
        </w:rPr>
        <w:t xml:space="preserve">属于保修范围、内容的项目，承包人应当在接到保修通知之日起2天内派人保修。承包人不在约定期限内派人保修的，承包人应承担违约责任，并须向发包人支付逾期违约金（承包人每延误一日按质量保证金的4‰向发包人支付违约金），发包人可从质量保证金中扣除此款，此违约金的支付并不能解除承包人应完成工程的责任及修补缺陷的义务，同时发包人有权委托他人修理，产生的费用从质量保证金中扣除，若质量保证金不足以支付支出的，超过质量保证金额的部分，承包人应当在接到缴款通知书之日起 7 日内付清，否则按应缴款额的 2‰/日向发包人支付违约金。在扣除承包人应支付的违约金和维修费用后，发包人在缺陷责任期满2年后 14 个工作日内无息退还质量保证金。每次退还质量保证金前，承包人须向发包人书面申请退还质量保证金验收，按相关规定验收合格后方可拨付。 </w:t>
      </w:r>
    </w:p>
    <w:p>
      <w:pPr>
        <w:spacing w:line="400" w:lineRule="exact"/>
        <w:ind w:firstLine="420" w:firstLineChars="200"/>
        <w:rPr>
          <w:rFonts w:ascii="宋体" w:hAnsi="宋体" w:cs="宋体"/>
          <w:szCs w:val="22"/>
        </w:rPr>
      </w:pPr>
      <w:r>
        <w:rPr>
          <w:rFonts w:hint="eastAsia" w:ascii="宋体" w:hAnsi="宋体" w:cs="宋体"/>
          <w:szCs w:val="22"/>
        </w:rPr>
        <w:t xml:space="preserve">承包人未按照法律法规有关规定和合同约定履行质量保修义务的，发包人有权从质量保证金中扣留用于质量保修的各项支出。质量保证金的退还并不代表免除承包人的相关责任。 </w:t>
      </w:r>
    </w:p>
    <w:p>
      <w:pPr>
        <w:keepNext/>
        <w:keepLines/>
        <w:spacing w:before="260" w:after="260" w:line="412" w:lineRule="auto"/>
        <w:ind w:firstLine="422" w:firstLineChars="200"/>
        <w:jc w:val="left"/>
        <w:outlineLvl w:val="1"/>
        <w:rPr>
          <w:rFonts w:ascii="Arial" w:hAnsi="Arial" w:cs="宋体"/>
          <w:b/>
          <w:szCs w:val="22"/>
        </w:rPr>
      </w:pPr>
      <w:bookmarkStart w:id="287" w:name="_Toc55374038"/>
      <w:bookmarkStart w:id="288" w:name="_Toc140098628"/>
      <w:bookmarkStart w:id="289" w:name="_Toc69641935"/>
      <w:r>
        <w:rPr>
          <w:rFonts w:hint="eastAsia" w:ascii="Arial" w:hAnsi="Arial" w:cs="宋体"/>
          <w:b/>
          <w:szCs w:val="22"/>
        </w:rPr>
        <w:t>16. 违约</w:t>
      </w:r>
      <w:bookmarkEnd w:id="287"/>
      <w:bookmarkEnd w:id="288"/>
      <w:bookmarkEnd w:id="289"/>
    </w:p>
    <w:p>
      <w:pPr>
        <w:keepNext/>
        <w:keepLines/>
        <w:spacing w:before="260" w:after="260" w:line="412" w:lineRule="auto"/>
        <w:jc w:val="left"/>
        <w:outlineLvl w:val="2"/>
        <w:rPr>
          <w:rFonts w:ascii="Calibri" w:hAnsi="Calibri"/>
          <w:b/>
          <w:szCs w:val="24"/>
        </w:rPr>
      </w:pPr>
      <w:bookmarkStart w:id="290" w:name="_Toc140098629"/>
      <w:bookmarkStart w:id="291" w:name="_Toc69641936"/>
      <w:bookmarkStart w:id="292" w:name="_Toc55374039"/>
      <w:r>
        <w:rPr>
          <w:rFonts w:hint="eastAsia" w:ascii="Calibri" w:hAnsi="Calibri"/>
          <w:b/>
          <w:szCs w:val="24"/>
        </w:rPr>
        <w:t>16.1 发包人违约</w:t>
      </w:r>
      <w:bookmarkEnd w:id="290"/>
      <w:bookmarkEnd w:id="291"/>
      <w:bookmarkEnd w:id="292"/>
    </w:p>
    <w:p>
      <w:pPr>
        <w:spacing w:line="400" w:lineRule="exact"/>
        <w:ind w:firstLine="420" w:firstLineChars="200"/>
        <w:rPr>
          <w:rFonts w:ascii="宋体" w:hAnsi="宋体" w:cs="宋体"/>
          <w:szCs w:val="22"/>
        </w:rPr>
      </w:pPr>
      <w:r>
        <w:rPr>
          <w:rFonts w:hint="eastAsia" w:ascii="宋体" w:hAnsi="宋体" w:cs="宋体"/>
          <w:szCs w:val="22"/>
        </w:rPr>
        <w:t>16.1.1发包人违约的情形</w:t>
      </w:r>
    </w:p>
    <w:p>
      <w:pPr>
        <w:spacing w:line="400" w:lineRule="exact"/>
        <w:ind w:firstLine="420" w:firstLineChars="200"/>
        <w:rPr>
          <w:rFonts w:ascii="宋体" w:hAnsi="宋体" w:cs="宋体"/>
          <w:szCs w:val="22"/>
        </w:rPr>
      </w:pPr>
      <w:r>
        <w:rPr>
          <w:rFonts w:hint="eastAsia" w:ascii="宋体" w:hAnsi="宋体" w:cs="宋体"/>
          <w:szCs w:val="22"/>
        </w:rPr>
        <w:t>发包人违约的其他情形：</w:t>
      </w:r>
      <w:r>
        <w:rPr>
          <w:rFonts w:hint="eastAsia" w:ascii="宋体" w:hAnsi="宋体" w:cs="宋体"/>
          <w:szCs w:val="22"/>
          <w:u w:val="single"/>
        </w:rPr>
        <w:t xml:space="preserve">  无   </w:t>
      </w:r>
      <w:r>
        <w:rPr>
          <w:rFonts w:hint="eastAsia" w:ascii="宋体" w:hAnsi="宋体" w:cs="宋体"/>
          <w:szCs w:val="22"/>
        </w:rPr>
        <w:t>。</w:t>
      </w:r>
    </w:p>
    <w:p>
      <w:pPr>
        <w:spacing w:line="400" w:lineRule="exact"/>
        <w:ind w:firstLine="420" w:firstLineChars="200"/>
        <w:rPr>
          <w:rFonts w:ascii="宋体" w:hAnsi="宋体" w:cs="宋体"/>
          <w:szCs w:val="22"/>
        </w:rPr>
      </w:pPr>
      <w:r>
        <w:rPr>
          <w:rFonts w:hint="eastAsia" w:ascii="宋体" w:hAnsi="宋体" w:cs="宋体"/>
          <w:szCs w:val="22"/>
        </w:rPr>
        <w:t xml:space="preserve">    16.1.2 发包人违约的责任</w:t>
      </w:r>
    </w:p>
    <w:p>
      <w:pPr>
        <w:spacing w:line="400" w:lineRule="exact"/>
        <w:ind w:firstLine="420" w:firstLineChars="200"/>
        <w:rPr>
          <w:rFonts w:ascii="宋体" w:hAnsi="宋体" w:cs="宋体"/>
          <w:szCs w:val="22"/>
        </w:rPr>
      </w:pPr>
      <w:r>
        <w:rPr>
          <w:rFonts w:hint="eastAsia" w:ascii="宋体" w:hAnsi="宋体" w:cs="宋体"/>
          <w:szCs w:val="22"/>
        </w:rPr>
        <w:t>发包人违约责任的承担方式和计算方法：</w:t>
      </w:r>
    </w:p>
    <w:p>
      <w:pPr>
        <w:spacing w:line="400" w:lineRule="exact"/>
        <w:ind w:firstLine="420" w:firstLineChars="200"/>
        <w:rPr>
          <w:rFonts w:ascii="宋体" w:hAnsi="宋体" w:cs="宋体"/>
          <w:szCs w:val="22"/>
          <w:u w:val="single"/>
        </w:rPr>
      </w:pPr>
      <w:r>
        <w:rPr>
          <w:rFonts w:hint="eastAsia" w:ascii="宋体" w:hAnsi="宋体" w:cs="宋体"/>
          <w:szCs w:val="22"/>
        </w:rPr>
        <w:t>（1）因发包人原因未能在计划开工日期前7天内下达开工通知的违约责任：</w:t>
      </w:r>
      <w:r>
        <w:rPr>
          <w:rFonts w:hint="eastAsia" w:ascii="宋体" w:hAnsi="宋体" w:cs="宋体"/>
          <w:szCs w:val="22"/>
          <w:u w:val="single"/>
        </w:rPr>
        <w:t>发包人同意工期顺延但不承担其他费用。</w:t>
      </w:r>
    </w:p>
    <w:p>
      <w:pPr>
        <w:spacing w:line="400" w:lineRule="exact"/>
        <w:ind w:firstLine="420" w:firstLineChars="200"/>
        <w:rPr>
          <w:rFonts w:ascii="宋体" w:hAnsi="宋体" w:cs="宋体"/>
          <w:szCs w:val="22"/>
          <w:u w:val="single"/>
        </w:rPr>
      </w:pPr>
      <w:r>
        <w:rPr>
          <w:rFonts w:hint="eastAsia" w:ascii="宋体" w:hAnsi="宋体" w:cs="宋体"/>
          <w:szCs w:val="22"/>
        </w:rPr>
        <w:t>（2）因发包人原因未能按合同约定支付合同价款的违约责任：</w:t>
      </w:r>
      <w:r>
        <w:rPr>
          <w:rFonts w:hint="eastAsia" w:ascii="宋体" w:hAnsi="宋体" w:cs="宋体"/>
          <w:szCs w:val="22"/>
          <w:u w:val="single"/>
        </w:rPr>
        <w:t>仅给予相应的工期顺延但不承担其他费用。</w:t>
      </w:r>
    </w:p>
    <w:p>
      <w:pPr>
        <w:spacing w:line="400" w:lineRule="exact"/>
        <w:ind w:firstLine="420" w:firstLineChars="200"/>
        <w:rPr>
          <w:rFonts w:ascii="宋体" w:hAnsi="宋体" w:cs="宋体"/>
          <w:szCs w:val="22"/>
          <w:u w:val="single"/>
        </w:rPr>
      </w:pPr>
      <w:r>
        <w:rPr>
          <w:rFonts w:hint="eastAsia" w:ascii="宋体" w:hAnsi="宋体" w:cs="宋体"/>
          <w:szCs w:val="22"/>
        </w:rPr>
        <w:t>（3）发包人违反第10.1款〔变更的范围〕第（2）项约定，自行实施被取消的工作或转由他人实施的违约责任：</w:t>
      </w:r>
      <w:r>
        <w:rPr>
          <w:rFonts w:hint="eastAsia" w:ascii="宋体" w:hAnsi="宋体" w:cs="宋体"/>
          <w:szCs w:val="22"/>
          <w:u w:val="single"/>
        </w:rPr>
        <w:t xml:space="preserve"> 经有关部门审定后赔偿承包人由此造成的相关费用损失。</w:t>
      </w:r>
    </w:p>
    <w:p>
      <w:pPr>
        <w:spacing w:line="400" w:lineRule="exact"/>
        <w:ind w:firstLine="420" w:firstLineChars="200"/>
        <w:rPr>
          <w:rFonts w:ascii="宋体" w:hAnsi="宋体" w:cs="宋体"/>
          <w:szCs w:val="22"/>
        </w:rPr>
      </w:pPr>
      <w:r>
        <w:rPr>
          <w:rFonts w:hint="eastAsia" w:ascii="宋体" w:hAnsi="宋体" w:cs="宋体"/>
          <w:szCs w:val="22"/>
        </w:rPr>
        <w:t>（4）发包人提供的材料、工程设备的规格、数量或质量不符合合同约定，或因发包人原因导致交货日期延误或交货地点变更等情况的违约责任：</w:t>
      </w:r>
      <w:r>
        <w:rPr>
          <w:rFonts w:hint="eastAsia" w:ascii="宋体" w:hAnsi="宋体" w:cs="宋体"/>
          <w:szCs w:val="22"/>
          <w:u w:val="single"/>
        </w:rPr>
        <w:t xml:space="preserve">  无    </w:t>
      </w:r>
      <w:r>
        <w:rPr>
          <w:rFonts w:hint="eastAsia" w:ascii="宋体" w:hAnsi="宋体" w:cs="宋体"/>
          <w:szCs w:val="22"/>
        </w:rPr>
        <w:t>。</w:t>
      </w:r>
    </w:p>
    <w:p>
      <w:pPr>
        <w:spacing w:line="400" w:lineRule="exact"/>
        <w:ind w:firstLine="420" w:firstLineChars="200"/>
        <w:rPr>
          <w:rFonts w:ascii="宋体" w:hAnsi="宋体" w:cs="宋体"/>
          <w:szCs w:val="22"/>
        </w:rPr>
      </w:pPr>
      <w:r>
        <w:rPr>
          <w:rFonts w:hint="eastAsia" w:ascii="宋体" w:hAnsi="宋体" w:cs="宋体"/>
          <w:szCs w:val="22"/>
        </w:rPr>
        <w:t>（5）因发包人违反合同约定造成暂停施工的违约责任： 发包人同意由此造成的工期顺延或经有关部门审定后赔偿承包人由此造成的相关费用损失。</w:t>
      </w:r>
    </w:p>
    <w:p>
      <w:pPr>
        <w:spacing w:line="400" w:lineRule="exact"/>
        <w:ind w:firstLine="420" w:firstLineChars="200"/>
        <w:rPr>
          <w:rFonts w:ascii="宋体" w:hAnsi="宋体" w:cs="宋体"/>
          <w:szCs w:val="22"/>
          <w:u w:val="single"/>
        </w:rPr>
      </w:pPr>
      <w:r>
        <w:rPr>
          <w:rFonts w:hint="eastAsia" w:ascii="宋体" w:hAnsi="宋体" w:cs="宋体"/>
          <w:szCs w:val="22"/>
        </w:rPr>
        <w:t>（6）发包人无正当理由没有在约定期限内发出复工指示，导致承包人无法复工的违约责任：</w:t>
      </w:r>
      <w:r>
        <w:rPr>
          <w:rFonts w:hint="eastAsia" w:ascii="宋体" w:hAnsi="宋体" w:cs="宋体"/>
          <w:szCs w:val="22"/>
          <w:u w:val="single"/>
        </w:rPr>
        <w:t>发包人同意由此造成的工期顺延或经有关部门审定后赔偿承包人由此造成的相关费用损失。</w:t>
      </w:r>
    </w:p>
    <w:p>
      <w:pPr>
        <w:spacing w:line="400" w:lineRule="exact"/>
        <w:ind w:firstLine="420" w:firstLineChars="200"/>
        <w:rPr>
          <w:rFonts w:ascii="宋体" w:hAnsi="宋体" w:cs="宋体"/>
          <w:szCs w:val="22"/>
        </w:rPr>
      </w:pPr>
      <w:r>
        <w:rPr>
          <w:rFonts w:hint="eastAsia" w:ascii="宋体" w:hAnsi="宋体" w:cs="宋体"/>
          <w:szCs w:val="22"/>
        </w:rPr>
        <w:t>（7）其他：</w:t>
      </w:r>
      <w:r>
        <w:rPr>
          <w:rFonts w:hint="eastAsia" w:ascii="宋体" w:hAnsi="宋体" w:cs="宋体"/>
          <w:szCs w:val="22"/>
          <w:u w:val="single"/>
        </w:rPr>
        <w:t xml:space="preserve">  无    </w:t>
      </w:r>
      <w:r>
        <w:rPr>
          <w:rFonts w:hint="eastAsia" w:ascii="宋体" w:hAnsi="宋体" w:cs="宋体"/>
          <w:szCs w:val="22"/>
        </w:rPr>
        <w:t>。</w:t>
      </w:r>
    </w:p>
    <w:p>
      <w:pPr>
        <w:spacing w:line="400" w:lineRule="exact"/>
        <w:ind w:firstLine="420" w:firstLineChars="200"/>
        <w:rPr>
          <w:rFonts w:ascii="宋体" w:hAnsi="宋体" w:cs="宋体"/>
          <w:szCs w:val="22"/>
        </w:rPr>
      </w:pPr>
      <w:r>
        <w:rPr>
          <w:rFonts w:hint="eastAsia" w:ascii="宋体" w:hAnsi="宋体" w:cs="宋体"/>
          <w:szCs w:val="22"/>
        </w:rPr>
        <w:t>16.1.3 因发包人违约解除合同</w:t>
      </w:r>
    </w:p>
    <w:p>
      <w:pPr>
        <w:spacing w:line="400" w:lineRule="exact"/>
        <w:ind w:firstLine="420" w:firstLineChars="200"/>
        <w:rPr>
          <w:rFonts w:ascii="宋体" w:hAnsi="宋体" w:cs="宋体"/>
          <w:szCs w:val="22"/>
        </w:rPr>
      </w:pPr>
      <w:r>
        <w:rPr>
          <w:rFonts w:hint="eastAsia" w:ascii="宋体" w:hAnsi="宋体" w:cs="宋体"/>
          <w:szCs w:val="22"/>
        </w:rPr>
        <w:t>承包人按16.1.1项〔发包人违约的情形〕约定暂停施工满</w:t>
      </w:r>
      <w:r>
        <w:rPr>
          <w:rFonts w:hint="eastAsia" w:ascii="宋体" w:hAnsi="宋体" w:cs="宋体"/>
          <w:szCs w:val="22"/>
          <w:u w:val="single"/>
        </w:rPr>
        <w:t xml:space="preserve"> 120 </w:t>
      </w:r>
      <w:r>
        <w:rPr>
          <w:rFonts w:hint="eastAsia" w:ascii="宋体" w:hAnsi="宋体" w:cs="宋体"/>
          <w:szCs w:val="22"/>
        </w:rPr>
        <w:t xml:space="preserve">天后发包人仍不纠正其违约行为并致使合同目的不能实现的，承包人有权解除合同。 </w:t>
      </w:r>
    </w:p>
    <w:p>
      <w:pPr>
        <w:keepNext/>
        <w:keepLines/>
        <w:spacing w:before="260" w:after="260" w:line="412" w:lineRule="auto"/>
        <w:jc w:val="left"/>
        <w:outlineLvl w:val="2"/>
        <w:rPr>
          <w:rFonts w:ascii="Calibri" w:hAnsi="Calibri"/>
          <w:b/>
          <w:szCs w:val="24"/>
        </w:rPr>
      </w:pPr>
      <w:bookmarkStart w:id="293" w:name="_Toc140098630"/>
      <w:bookmarkStart w:id="294" w:name="_Toc55374040"/>
      <w:bookmarkStart w:id="295" w:name="_Toc69641937"/>
      <w:r>
        <w:rPr>
          <w:rFonts w:hint="eastAsia" w:ascii="Calibri" w:hAnsi="Calibri"/>
          <w:b/>
          <w:szCs w:val="24"/>
        </w:rPr>
        <w:t>16.2 承包人违约</w:t>
      </w:r>
      <w:bookmarkEnd w:id="293"/>
      <w:bookmarkEnd w:id="294"/>
      <w:bookmarkEnd w:id="295"/>
    </w:p>
    <w:p>
      <w:pPr>
        <w:spacing w:line="400" w:lineRule="exact"/>
        <w:ind w:firstLine="420" w:firstLineChars="200"/>
        <w:rPr>
          <w:rFonts w:ascii="宋体" w:hAnsi="宋体" w:cs="宋体"/>
          <w:szCs w:val="22"/>
        </w:rPr>
      </w:pPr>
      <w:r>
        <w:rPr>
          <w:rFonts w:hint="eastAsia" w:ascii="宋体" w:hAnsi="宋体" w:cs="宋体"/>
          <w:szCs w:val="22"/>
        </w:rPr>
        <w:t>16.2.1 承包人违约的情形</w:t>
      </w:r>
    </w:p>
    <w:p>
      <w:pPr>
        <w:spacing w:line="400" w:lineRule="exact"/>
        <w:ind w:firstLine="420" w:firstLineChars="200"/>
        <w:rPr>
          <w:rFonts w:ascii="宋体" w:hAnsi="宋体" w:cs="宋体"/>
          <w:szCs w:val="22"/>
        </w:rPr>
      </w:pPr>
      <w:r>
        <w:rPr>
          <w:rFonts w:hint="eastAsia" w:ascii="宋体" w:hAnsi="宋体" w:cs="宋体"/>
          <w:szCs w:val="22"/>
        </w:rPr>
        <w:t>承包人违约的其他情形：</w:t>
      </w:r>
    </w:p>
    <w:p>
      <w:pPr>
        <w:spacing w:line="400" w:lineRule="exact"/>
        <w:ind w:firstLine="420" w:firstLineChars="200"/>
        <w:rPr>
          <w:rFonts w:ascii="宋体" w:hAnsi="宋体" w:cs="宋体"/>
          <w:szCs w:val="22"/>
        </w:rPr>
      </w:pPr>
      <w:r>
        <w:rPr>
          <w:rFonts w:hint="eastAsia" w:ascii="宋体" w:hAnsi="宋体" w:cs="宋体"/>
          <w:szCs w:val="22"/>
        </w:rPr>
        <w:t>（1）承包人拒绝发包人安排的合理的临时性额外工作；</w:t>
      </w:r>
    </w:p>
    <w:p>
      <w:pPr>
        <w:spacing w:line="400" w:lineRule="exact"/>
        <w:ind w:firstLine="420" w:firstLineChars="200"/>
        <w:rPr>
          <w:rFonts w:ascii="宋体" w:hAnsi="宋体" w:cs="宋体"/>
          <w:szCs w:val="22"/>
        </w:rPr>
      </w:pPr>
      <w:r>
        <w:rPr>
          <w:rFonts w:hint="eastAsia" w:ascii="宋体" w:hAnsi="宋体" w:cs="宋体"/>
          <w:szCs w:val="22"/>
        </w:rPr>
        <w:t>（2）承包人施工过程中未及时积极主动解决外界干扰而影响施工，无法确保工程顺利进行的；</w:t>
      </w:r>
    </w:p>
    <w:p>
      <w:pPr>
        <w:spacing w:line="400" w:lineRule="exact"/>
        <w:ind w:firstLine="420" w:firstLineChars="200"/>
        <w:rPr>
          <w:rFonts w:ascii="宋体" w:hAnsi="宋体" w:cs="宋体"/>
          <w:szCs w:val="22"/>
        </w:rPr>
      </w:pPr>
      <w:r>
        <w:rPr>
          <w:rFonts w:hint="eastAsia" w:ascii="宋体" w:hAnsi="宋体" w:cs="宋体"/>
          <w:szCs w:val="22"/>
        </w:rPr>
        <w:t>（3）承包人未能落实工程质量、进度、安全和文明施工保证措施，未精心组织好施工，不积极主动接受发包人或监理人检查的；</w:t>
      </w:r>
    </w:p>
    <w:p>
      <w:pPr>
        <w:spacing w:line="400" w:lineRule="exact"/>
        <w:ind w:firstLine="420" w:firstLineChars="200"/>
        <w:rPr>
          <w:rFonts w:ascii="宋体" w:hAnsi="宋体" w:cs="宋体"/>
          <w:szCs w:val="22"/>
        </w:rPr>
      </w:pPr>
      <w:r>
        <w:rPr>
          <w:rFonts w:hint="eastAsia" w:ascii="宋体" w:hAnsi="宋体" w:cs="宋体"/>
          <w:szCs w:val="22"/>
        </w:rPr>
        <w:t>（4）在合同履行前或履行期间，为使工程有条理进行，承包人须根据合同条件和有关法规制定相应的管理程序、办法、制度（包括现场管理制度、现场水电管理办法、处罚制度、应急预案等，待承包人进场后由承包人提供给发包人）等，承包人应遵照执行，承包人任何违背上述程序、办法、制度的行为和不使用相应图表的行为均被认为是违约行为。</w:t>
      </w:r>
    </w:p>
    <w:p>
      <w:pPr>
        <w:spacing w:line="400" w:lineRule="exact"/>
        <w:ind w:firstLine="420" w:firstLineChars="200"/>
        <w:rPr>
          <w:rFonts w:ascii="宋体" w:hAnsi="宋体" w:cs="宋体"/>
          <w:szCs w:val="22"/>
        </w:rPr>
      </w:pPr>
      <w:r>
        <w:rPr>
          <w:rFonts w:hint="eastAsia" w:ascii="宋体" w:hAnsi="宋体" w:cs="宋体"/>
          <w:szCs w:val="22"/>
        </w:rPr>
        <w:t>（5）监理工程师下达开工令10日内，无法组织合同规定的人员、机械进场或进场人员机械与合同规定严重不符。</w:t>
      </w:r>
    </w:p>
    <w:p>
      <w:pPr>
        <w:spacing w:line="400" w:lineRule="exact"/>
        <w:ind w:firstLine="420" w:firstLineChars="200"/>
        <w:rPr>
          <w:rFonts w:ascii="宋体" w:hAnsi="宋体" w:cs="宋体"/>
          <w:szCs w:val="22"/>
        </w:rPr>
      </w:pPr>
      <w:r>
        <w:rPr>
          <w:rFonts w:hint="eastAsia" w:ascii="宋体" w:hAnsi="宋体" w:cs="宋体"/>
          <w:szCs w:val="22"/>
        </w:rPr>
        <w:t>（6）主要机械的数量、型号应与合同相符且必须配套形成若干条生产线，若监理工程师认为合同规定的进场机械不能满足进度要求，有权指令承包人增加机械投入，承包人不得拒绝监理工师安排的合理增加的机械投入。</w:t>
      </w:r>
    </w:p>
    <w:p>
      <w:pPr>
        <w:spacing w:line="400" w:lineRule="exact"/>
        <w:ind w:firstLine="420" w:firstLineChars="200"/>
        <w:rPr>
          <w:rFonts w:ascii="宋体" w:hAnsi="宋体" w:cs="宋体"/>
          <w:szCs w:val="22"/>
        </w:rPr>
      </w:pPr>
      <w:r>
        <w:rPr>
          <w:rFonts w:hint="eastAsia" w:ascii="宋体" w:hAnsi="宋体" w:cs="宋体"/>
          <w:szCs w:val="22"/>
        </w:rPr>
        <w:t>（7）在缺陷责任期内，承包人在接到发包人保修通知后未在规定的合理时间提供保修服务。</w:t>
      </w:r>
    </w:p>
    <w:p>
      <w:pPr>
        <w:spacing w:line="400" w:lineRule="exact"/>
        <w:ind w:firstLine="420" w:firstLineChars="200"/>
        <w:rPr>
          <w:rFonts w:ascii="宋体" w:hAnsi="宋体" w:cs="宋体"/>
          <w:szCs w:val="22"/>
        </w:rPr>
      </w:pPr>
      <w:r>
        <w:rPr>
          <w:rFonts w:hint="eastAsia" w:ascii="宋体" w:hAnsi="宋体" w:cs="宋体"/>
          <w:szCs w:val="22"/>
        </w:rPr>
        <w:t>16.2.2承包人违约的责任</w:t>
      </w:r>
    </w:p>
    <w:p>
      <w:pPr>
        <w:spacing w:line="400" w:lineRule="exact"/>
        <w:ind w:firstLine="420" w:firstLineChars="200"/>
        <w:rPr>
          <w:rFonts w:ascii="宋体" w:hAnsi="宋体" w:cs="宋体"/>
          <w:szCs w:val="22"/>
        </w:rPr>
      </w:pPr>
      <w:r>
        <w:rPr>
          <w:rFonts w:hint="eastAsia" w:ascii="宋体" w:hAnsi="宋体" w:cs="宋体"/>
          <w:szCs w:val="22"/>
        </w:rPr>
        <w:t>承包人违约责任的承担方式和计算方法：承包人违约的责任已在专用合同相应条款约定的，按相应条款执行违约的承担方式和计算方式。承包人违约的责任未在专用合同约定的，按通用条款执行 。</w:t>
      </w:r>
    </w:p>
    <w:p>
      <w:pPr>
        <w:spacing w:line="400" w:lineRule="exact"/>
        <w:ind w:firstLine="420" w:firstLineChars="200"/>
        <w:rPr>
          <w:rFonts w:ascii="宋体" w:hAnsi="宋体" w:cs="宋体"/>
          <w:szCs w:val="22"/>
        </w:rPr>
      </w:pPr>
      <w:r>
        <w:rPr>
          <w:rFonts w:hint="eastAsia" w:ascii="宋体" w:hAnsi="宋体" w:cs="宋体"/>
          <w:szCs w:val="22"/>
        </w:rPr>
        <w:t>16.2.3 因承包人违约解除合同</w:t>
      </w:r>
    </w:p>
    <w:p>
      <w:pPr>
        <w:spacing w:line="400" w:lineRule="exact"/>
        <w:ind w:firstLine="420" w:firstLineChars="200"/>
        <w:jc w:val="left"/>
        <w:rPr>
          <w:rFonts w:hAnsi="宋体"/>
          <w:kern w:val="0"/>
          <w:szCs w:val="24"/>
        </w:rPr>
      </w:pPr>
      <w:r>
        <w:rPr>
          <w:rFonts w:hint="eastAsia" w:hAnsi="宋体" w:cs="宋体"/>
          <w:kern w:val="0"/>
          <w:szCs w:val="24"/>
        </w:rPr>
        <w:t>关于承包人违约解除合同的特别约定：</w:t>
      </w:r>
      <w:r>
        <w:rPr>
          <w:rFonts w:hint="eastAsia" w:hAnsi="宋体" w:cs="宋体"/>
          <w:kern w:val="0"/>
          <w:szCs w:val="24"/>
          <w:u w:val="single"/>
        </w:rPr>
        <w:t>承包人有违反以下情况之一的，发包人有权解除合同，并没收其全部履约保证金</w:t>
      </w:r>
      <w:r>
        <w:rPr>
          <w:rFonts w:hint="eastAsia" w:hAnsi="宋体" w:cs="宋体"/>
          <w:kern w:val="0"/>
          <w:szCs w:val="24"/>
        </w:rPr>
        <w:t>。</w:t>
      </w:r>
    </w:p>
    <w:p>
      <w:pPr>
        <w:spacing w:line="400" w:lineRule="exact"/>
        <w:ind w:firstLine="420" w:firstLineChars="200"/>
        <w:rPr>
          <w:rFonts w:ascii="宋体" w:hAnsi="宋体" w:cs="宋体"/>
          <w:szCs w:val="22"/>
        </w:rPr>
      </w:pPr>
      <w:r>
        <w:rPr>
          <w:rFonts w:hint="eastAsia" w:ascii="宋体" w:hAnsi="宋体" w:cs="宋体"/>
          <w:szCs w:val="22"/>
        </w:rPr>
        <w:t>（1）承包人无正当理由不按开工通知的要求及时进场组织施工和不按签订协议书时商定的进度计划有效地开展施工准备，造成工期延误的；</w:t>
      </w:r>
    </w:p>
    <w:p>
      <w:pPr>
        <w:spacing w:line="400" w:lineRule="exact"/>
        <w:ind w:firstLine="420" w:firstLineChars="200"/>
        <w:rPr>
          <w:rFonts w:ascii="宋体" w:hAnsi="宋体" w:cs="宋体"/>
          <w:szCs w:val="22"/>
        </w:rPr>
      </w:pPr>
      <w:r>
        <w:rPr>
          <w:rFonts w:hint="eastAsia" w:ascii="宋体" w:hAnsi="宋体" w:cs="宋体"/>
          <w:szCs w:val="22"/>
        </w:rPr>
        <w:t>（2）承包人违反本合同通用条款第3.5条规定私自将合同或合同的任何部分或任何权利转让给其他人，或私自将工程或工程的一部分分包出去的；</w:t>
      </w:r>
    </w:p>
    <w:p>
      <w:pPr>
        <w:spacing w:line="400" w:lineRule="exact"/>
        <w:ind w:firstLine="420" w:firstLineChars="200"/>
        <w:rPr>
          <w:rFonts w:ascii="宋体" w:hAnsi="宋体" w:cs="宋体"/>
          <w:szCs w:val="22"/>
        </w:rPr>
      </w:pPr>
      <w:r>
        <w:rPr>
          <w:rFonts w:hint="eastAsia" w:ascii="宋体" w:hAnsi="宋体" w:cs="宋体"/>
          <w:szCs w:val="22"/>
        </w:rPr>
        <w:t>（3）未经监理人批准，承包人私自将已按响应文件承诺进入工地的工程设备、施工设备、临时工程或材料撤离工地的；</w:t>
      </w:r>
    </w:p>
    <w:p>
      <w:pPr>
        <w:spacing w:line="400" w:lineRule="exact"/>
        <w:ind w:firstLine="420" w:firstLineChars="200"/>
        <w:rPr>
          <w:rFonts w:ascii="宋体" w:hAnsi="宋体" w:cs="宋体"/>
          <w:szCs w:val="22"/>
        </w:rPr>
      </w:pPr>
      <w:r>
        <w:rPr>
          <w:rFonts w:hint="eastAsia" w:ascii="宋体" w:hAnsi="宋体" w:cs="宋体"/>
          <w:szCs w:val="22"/>
        </w:rPr>
        <w:t>（4）由于承包人原因拒绝按合同进度计划及时完成合同规定的工程，而又未采取有效措施赶上进度，造成工期严重延误的；</w:t>
      </w:r>
    </w:p>
    <w:p>
      <w:pPr>
        <w:spacing w:line="400" w:lineRule="exact"/>
        <w:ind w:firstLine="420" w:firstLineChars="200"/>
        <w:rPr>
          <w:rFonts w:ascii="宋体" w:hAnsi="宋体" w:cs="宋体"/>
          <w:szCs w:val="22"/>
        </w:rPr>
      </w:pPr>
      <w:r>
        <w:rPr>
          <w:rFonts w:hint="eastAsia" w:ascii="宋体" w:hAnsi="宋体" w:cs="宋体"/>
          <w:szCs w:val="22"/>
        </w:rPr>
        <w:t>（5）承包人否认合同有效或拒绝履行合同规定的承包人义务，或由于法律、财务等原因导致承包人无法继续履行或实质上已停止履行合同的义务的；</w:t>
      </w:r>
    </w:p>
    <w:p>
      <w:pPr>
        <w:spacing w:line="400" w:lineRule="exact"/>
        <w:ind w:firstLine="420" w:firstLineChars="200"/>
        <w:rPr>
          <w:rFonts w:ascii="宋体" w:hAnsi="宋体" w:cs="宋体"/>
          <w:szCs w:val="22"/>
        </w:rPr>
      </w:pPr>
      <w:r>
        <w:rPr>
          <w:rFonts w:hint="eastAsia" w:ascii="宋体" w:hAnsi="宋体" w:cs="宋体"/>
          <w:szCs w:val="22"/>
        </w:rPr>
        <w:t>（6）合同签订且具备法定开工条件后之日起十五日内，承包人无法按合同规定及响应文件的承诺进场经监理工程师认可的该施工阶段应有的全部人员和机械的。</w:t>
      </w:r>
    </w:p>
    <w:p>
      <w:pPr>
        <w:spacing w:line="400" w:lineRule="exact"/>
        <w:ind w:firstLine="420" w:firstLineChars="200"/>
        <w:rPr>
          <w:rFonts w:ascii="宋体" w:hAnsi="宋体" w:cs="宋体"/>
          <w:szCs w:val="22"/>
        </w:rPr>
      </w:pPr>
      <w:r>
        <w:rPr>
          <w:rFonts w:hint="eastAsia" w:ascii="宋体" w:hAnsi="宋体" w:cs="宋体"/>
          <w:szCs w:val="22"/>
        </w:rPr>
        <w:t>（7） 因承包人违约行为发生的，发包人要求承包人整改而承包人拒不执行或拖延15日以上执行的。</w:t>
      </w:r>
    </w:p>
    <w:p>
      <w:pPr>
        <w:spacing w:line="400" w:lineRule="exact"/>
        <w:ind w:firstLine="420" w:firstLineChars="200"/>
        <w:rPr>
          <w:rFonts w:ascii="宋体" w:hAnsi="宋体" w:cs="宋体"/>
          <w:szCs w:val="22"/>
          <w:u w:val="single"/>
        </w:rPr>
      </w:pPr>
      <w:r>
        <w:rPr>
          <w:rFonts w:hint="eastAsia" w:ascii="宋体" w:hAnsi="宋体" w:cs="宋体"/>
          <w:szCs w:val="22"/>
        </w:rPr>
        <w:t>发包人继续使用承包人在施工现场的材料、设备、临时工程、承包人文件和由承包人或以其名义编制的其他文件的费用承担方式：</w:t>
      </w:r>
      <w:r>
        <w:rPr>
          <w:rFonts w:hint="eastAsia" w:ascii="宋体" w:hAnsi="宋体" w:cs="宋体"/>
          <w:szCs w:val="22"/>
          <w:u w:val="single"/>
        </w:rPr>
        <w:t xml:space="preserve">  由承包人承担  。</w:t>
      </w:r>
    </w:p>
    <w:p>
      <w:pPr>
        <w:keepNext/>
        <w:keepLines/>
        <w:spacing w:before="260" w:after="260" w:line="412" w:lineRule="auto"/>
        <w:ind w:firstLine="422" w:firstLineChars="200"/>
        <w:jc w:val="left"/>
        <w:outlineLvl w:val="1"/>
        <w:rPr>
          <w:rFonts w:ascii="Arial" w:hAnsi="Arial" w:cs="宋体"/>
          <w:b/>
          <w:szCs w:val="22"/>
        </w:rPr>
      </w:pPr>
      <w:bookmarkStart w:id="296" w:name="_Toc140098631"/>
      <w:bookmarkStart w:id="297" w:name="_Toc55374041"/>
      <w:bookmarkStart w:id="298" w:name="_Toc69641938"/>
      <w:r>
        <w:rPr>
          <w:rFonts w:hint="eastAsia" w:ascii="Arial" w:hAnsi="Arial" w:cs="宋体"/>
          <w:b/>
          <w:szCs w:val="22"/>
        </w:rPr>
        <w:t>17. 不可抗力</w:t>
      </w:r>
      <w:bookmarkEnd w:id="296"/>
      <w:bookmarkEnd w:id="297"/>
      <w:bookmarkEnd w:id="298"/>
      <w:r>
        <w:rPr>
          <w:rFonts w:hint="eastAsia" w:ascii="Arial" w:hAnsi="Arial" w:cs="宋体"/>
          <w:b/>
          <w:szCs w:val="22"/>
        </w:rPr>
        <w:t xml:space="preserve"> </w:t>
      </w:r>
    </w:p>
    <w:p>
      <w:pPr>
        <w:keepNext/>
        <w:keepLines/>
        <w:spacing w:before="260" w:after="260" w:line="412" w:lineRule="auto"/>
        <w:jc w:val="left"/>
        <w:outlineLvl w:val="2"/>
        <w:rPr>
          <w:rFonts w:ascii="Calibri" w:hAnsi="Calibri"/>
          <w:b/>
          <w:szCs w:val="24"/>
        </w:rPr>
      </w:pPr>
      <w:bookmarkStart w:id="299" w:name="_Toc55374042"/>
      <w:bookmarkStart w:id="300" w:name="_Toc69641939"/>
      <w:bookmarkStart w:id="301" w:name="_Toc140098632"/>
      <w:r>
        <w:rPr>
          <w:rFonts w:hint="eastAsia" w:ascii="Calibri" w:hAnsi="Calibri"/>
          <w:b/>
          <w:szCs w:val="24"/>
        </w:rPr>
        <w:t>17.1 不可抗力的确认</w:t>
      </w:r>
      <w:bookmarkEnd w:id="299"/>
      <w:bookmarkEnd w:id="300"/>
      <w:bookmarkEnd w:id="301"/>
    </w:p>
    <w:p>
      <w:pPr>
        <w:spacing w:line="400" w:lineRule="exact"/>
        <w:ind w:firstLine="420" w:firstLineChars="200"/>
        <w:rPr>
          <w:rFonts w:ascii="宋体" w:hAnsi="宋体" w:cs="宋体"/>
          <w:szCs w:val="22"/>
        </w:rPr>
      </w:pPr>
      <w:r>
        <w:rPr>
          <w:rFonts w:hint="eastAsia" w:ascii="宋体" w:hAnsi="宋体" w:cs="宋体"/>
          <w:szCs w:val="22"/>
        </w:rPr>
        <w:t>除通用合同条款约定的不可抗力事件之外，视为不可抗力的其他情形：不可抗力包括因战争、恐怖主义、疫情、动乱、空中飞行物体坠落或其他非发包人、承包人责任造成的爆炸、停工、火灾。</w:t>
      </w:r>
    </w:p>
    <w:p>
      <w:pPr>
        <w:spacing w:line="400" w:lineRule="exact"/>
        <w:ind w:firstLine="420" w:firstLineChars="200"/>
        <w:rPr>
          <w:rFonts w:ascii="宋体" w:hAnsi="宋体" w:cs="宋体"/>
          <w:szCs w:val="22"/>
        </w:rPr>
      </w:pPr>
      <w:r>
        <w:rPr>
          <w:rFonts w:hint="eastAsia" w:ascii="宋体" w:hAnsi="宋体" w:cs="宋体"/>
          <w:szCs w:val="22"/>
        </w:rPr>
        <w:t>17.3.2 因不可抗力导致承包人停工，停工期间工人工资，周转材料及施工机械闲置等造成的损失由承包人承担。若政府出台文件规定需发包人承担工人停工期间工人工资和其他费用，若文件有规定具体标准的，按文件要求执行；若未规定具体标准的，发包人按工程所在地窝工工资标准计算工人工资，不计管理费、利润、规费，其他合理费用承包人需提供实时合法发票。</w:t>
      </w:r>
    </w:p>
    <w:p>
      <w:pPr>
        <w:keepNext/>
        <w:keepLines/>
        <w:spacing w:before="260" w:after="260" w:line="412" w:lineRule="auto"/>
        <w:ind w:firstLine="422" w:firstLineChars="200"/>
        <w:jc w:val="left"/>
        <w:outlineLvl w:val="1"/>
        <w:rPr>
          <w:rFonts w:ascii="Arial" w:hAnsi="Arial" w:cs="宋体"/>
          <w:b/>
          <w:szCs w:val="22"/>
        </w:rPr>
      </w:pPr>
      <w:bookmarkStart w:id="302" w:name="_Toc140098633"/>
      <w:bookmarkStart w:id="303" w:name="_Toc69641940"/>
      <w:bookmarkStart w:id="304" w:name="_Toc55374043"/>
      <w:r>
        <w:rPr>
          <w:rFonts w:hint="eastAsia" w:ascii="Arial" w:hAnsi="Arial" w:cs="宋体"/>
          <w:b/>
          <w:szCs w:val="22"/>
        </w:rPr>
        <w:t>17.4 因不可抗力解除合同</w:t>
      </w:r>
      <w:bookmarkEnd w:id="302"/>
      <w:bookmarkEnd w:id="303"/>
      <w:bookmarkEnd w:id="304"/>
    </w:p>
    <w:p>
      <w:pPr>
        <w:spacing w:line="400" w:lineRule="exact"/>
        <w:ind w:firstLine="420" w:firstLineChars="200"/>
        <w:rPr>
          <w:rFonts w:ascii="宋体" w:hAnsi="宋体" w:cs="宋体"/>
          <w:szCs w:val="22"/>
        </w:rPr>
      </w:pPr>
      <w:r>
        <w:rPr>
          <w:rFonts w:hint="eastAsia" w:ascii="宋体" w:hAnsi="宋体" w:cs="宋体"/>
          <w:szCs w:val="22"/>
        </w:rPr>
        <w:t>合同解除后，发包人应在商定或确定发包人应支付款项后</w:t>
      </w:r>
      <w:r>
        <w:rPr>
          <w:rFonts w:hint="eastAsia" w:ascii="宋体" w:hAnsi="宋体" w:cs="宋体"/>
          <w:szCs w:val="22"/>
          <w:u w:val="single"/>
        </w:rPr>
        <w:t xml:space="preserve"> 30 </w:t>
      </w:r>
      <w:r>
        <w:rPr>
          <w:rFonts w:hint="eastAsia" w:ascii="宋体" w:hAnsi="宋体" w:cs="宋体"/>
          <w:szCs w:val="22"/>
        </w:rPr>
        <w:t>天内完成款项的支付。</w:t>
      </w:r>
    </w:p>
    <w:p>
      <w:pPr>
        <w:keepNext/>
        <w:keepLines/>
        <w:spacing w:before="260" w:after="260" w:line="412" w:lineRule="auto"/>
        <w:ind w:firstLine="422" w:firstLineChars="200"/>
        <w:jc w:val="left"/>
        <w:outlineLvl w:val="1"/>
        <w:rPr>
          <w:rFonts w:ascii="Arial" w:hAnsi="Arial" w:cs="宋体"/>
          <w:b/>
          <w:szCs w:val="22"/>
        </w:rPr>
      </w:pPr>
      <w:bookmarkStart w:id="305" w:name="_Toc69641941"/>
      <w:bookmarkStart w:id="306" w:name="_Toc140098634"/>
      <w:bookmarkStart w:id="307" w:name="_Toc55374044"/>
      <w:r>
        <w:rPr>
          <w:rFonts w:hint="eastAsia" w:ascii="Arial" w:hAnsi="Arial" w:cs="宋体"/>
          <w:b/>
          <w:szCs w:val="22"/>
        </w:rPr>
        <w:t>18. 保险</w:t>
      </w:r>
      <w:bookmarkEnd w:id="305"/>
      <w:bookmarkEnd w:id="306"/>
      <w:bookmarkEnd w:id="307"/>
    </w:p>
    <w:p>
      <w:pPr>
        <w:keepNext/>
        <w:keepLines/>
        <w:spacing w:before="260" w:after="260" w:line="412" w:lineRule="auto"/>
        <w:jc w:val="left"/>
        <w:outlineLvl w:val="2"/>
        <w:rPr>
          <w:rFonts w:ascii="Calibri" w:hAnsi="Calibri"/>
          <w:b/>
          <w:szCs w:val="24"/>
        </w:rPr>
      </w:pPr>
      <w:bookmarkStart w:id="308" w:name="_Toc140098635"/>
      <w:bookmarkStart w:id="309" w:name="_Toc55374045"/>
      <w:bookmarkStart w:id="310" w:name="_Toc69641942"/>
      <w:r>
        <w:rPr>
          <w:rFonts w:hint="eastAsia" w:ascii="Calibri" w:hAnsi="Calibri"/>
          <w:b/>
          <w:szCs w:val="24"/>
        </w:rPr>
        <w:t>18.1 工程保险</w:t>
      </w:r>
      <w:bookmarkEnd w:id="308"/>
      <w:bookmarkEnd w:id="309"/>
      <w:bookmarkEnd w:id="310"/>
    </w:p>
    <w:p>
      <w:pPr>
        <w:spacing w:line="400" w:lineRule="exact"/>
        <w:ind w:firstLine="420" w:firstLineChars="200"/>
        <w:rPr>
          <w:rFonts w:ascii="宋体" w:hAnsi="宋体" w:cs="宋体"/>
          <w:szCs w:val="22"/>
          <w:u w:val="single"/>
        </w:rPr>
      </w:pPr>
      <w:r>
        <w:rPr>
          <w:rFonts w:hint="eastAsia" w:ascii="宋体" w:hAnsi="宋体" w:cs="宋体"/>
          <w:szCs w:val="22"/>
        </w:rPr>
        <w:t>关于工程保险的特别约定：</w:t>
      </w:r>
      <w:r>
        <w:rPr>
          <w:rFonts w:hint="eastAsia" w:ascii="宋体" w:hAnsi="宋体" w:cs="宋体"/>
          <w:szCs w:val="22"/>
          <w:u w:val="single"/>
        </w:rPr>
        <w:t xml:space="preserve"> 执行国家有关规定。</w:t>
      </w:r>
    </w:p>
    <w:p>
      <w:pPr>
        <w:keepNext/>
        <w:keepLines/>
        <w:spacing w:before="260" w:after="260" w:line="412" w:lineRule="auto"/>
        <w:jc w:val="left"/>
        <w:outlineLvl w:val="2"/>
        <w:rPr>
          <w:rFonts w:ascii="Calibri" w:hAnsi="Calibri"/>
          <w:b/>
          <w:szCs w:val="24"/>
        </w:rPr>
      </w:pPr>
      <w:bookmarkStart w:id="311" w:name="_Toc140098636"/>
      <w:bookmarkStart w:id="312" w:name="_Toc69641943"/>
      <w:bookmarkStart w:id="313" w:name="_Toc55374046"/>
      <w:r>
        <w:rPr>
          <w:rFonts w:hint="eastAsia" w:ascii="Calibri" w:hAnsi="Calibri"/>
          <w:b/>
          <w:szCs w:val="24"/>
        </w:rPr>
        <w:t>18.3 其他保险</w:t>
      </w:r>
      <w:bookmarkEnd w:id="311"/>
      <w:bookmarkEnd w:id="312"/>
      <w:bookmarkEnd w:id="313"/>
    </w:p>
    <w:p>
      <w:pPr>
        <w:spacing w:line="400" w:lineRule="exact"/>
        <w:ind w:firstLine="420" w:firstLineChars="200"/>
        <w:rPr>
          <w:rFonts w:ascii="宋体" w:hAnsi="宋体" w:cs="宋体"/>
          <w:szCs w:val="22"/>
        </w:rPr>
      </w:pPr>
      <w:r>
        <w:rPr>
          <w:rFonts w:hint="eastAsia" w:ascii="宋体" w:hAnsi="宋体" w:cs="宋体"/>
          <w:szCs w:val="22"/>
        </w:rPr>
        <w:t>关于其他保险的约定：</w:t>
      </w:r>
      <w:bookmarkStart w:id="314" w:name="_Hlk167435009"/>
      <w:r>
        <w:rPr>
          <w:rFonts w:hint="eastAsia" w:ascii="宋体" w:hAnsi="宋体" w:cs="宋体"/>
          <w:szCs w:val="22"/>
        </w:rPr>
        <w:t>除建筑工程安全生产责任保险外由承包人承担。</w:t>
      </w:r>
      <w:bookmarkEnd w:id="314"/>
    </w:p>
    <w:p>
      <w:pPr>
        <w:spacing w:line="400" w:lineRule="exact"/>
        <w:ind w:firstLine="420" w:firstLineChars="200"/>
        <w:rPr>
          <w:rFonts w:ascii="宋体" w:hAnsi="宋体" w:cs="宋体"/>
          <w:szCs w:val="22"/>
          <w:u w:val="single"/>
        </w:rPr>
      </w:pPr>
      <w:r>
        <w:rPr>
          <w:rFonts w:hint="eastAsia" w:ascii="宋体" w:hAnsi="宋体" w:cs="宋体"/>
          <w:szCs w:val="22"/>
        </w:rPr>
        <w:t>承包人是否应为其施工设备等办理财产保险：</w:t>
      </w:r>
      <w:r>
        <w:rPr>
          <w:rFonts w:hint="eastAsia" w:ascii="宋体" w:hAnsi="宋体" w:cs="宋体"/>
          <w:szCs w:val="22"/>
          <w:u w:val="single"/>
        </w:rPr>
        <w:t>由承包人承担。</w:t>
      </w:r>
    </w:p>
    <w:p>
      <w:pPr>
        <w:keepNext/>
        <w:keepLines/>
        <w:spacing w:before="260" w:after="260" w:line="412" w:lineRule="auto"/>
        <w:jc w:val="left"/>
        <w:outlineLvl w:val="2"/>
        <w:rPr>
          <w:rFonts w:ascii="Calibri" w:hAnsi="Calibri"/>
          <w:b/>
          <w:szCs w:val="24"/>
        </w:rPr>
      </w:pPr>
      <w:bookmarkStart w:id="315" w:name="_Toc69641944"/>
      <w:bookmarkStart w:id="316" w:name="_Toc140098637"/>
      <w:bookmarkStart w:id="317" w:name="_Toc55374047"/>
      <w:r>
        <w:rPr>
          <w:rFonts w:hint="eastAsia" w:ascii="Calibri" w:hAnsi="Calibri"/>
          <w:b/>
          <w:szCs w:val="24"/>
        </w:rPr>
        <w:t>18.7 通知义务</w:t>
      </w:r>
      <w:bookmarkEnd w:id="315"/>
      <w:bookmarkEnd w:id="316"/>
      <w:bookmarkEnd w:id="317"/>
    </w:p>
    <w:p>
      <w:pPr>
        <w:spacing w:line="400" w:lineRule="exact"/>
        <w:ind w:firstLine="420" w:firstLineChars="200"/>
        <w:rPr>
          <w:rFonts w:ascii="宋体" w:hAnsi="宋体" w:cs="宋体"/>
          <w:szCs w:val="22"/>
          <w:u w:val="single"/>
        </w:rPr>
      </w:pPr>
      <w:r>
        <w:rPr>
          <w:rFonts w:hint="eastAsia" w:ascii="宋体" w:hAnsi="宋体" w:cs="宋体"/>
          <w:szCs w:val="22"/>
        </w:rPr>
        <w:t>关于变更保险合同时的通知义务的约定：</w:t>
      </w:r>
      <w:r>
        <w:rPr>
          <w:rFonts w:hint="eastAsia" w:ascii="宋体" w:hAnsi="宋体" w:cs="宋体"/>
          <w:szCs w:val="22"/>
          <w:u w:val="single"/>
        </w:rPr>
        <w:t>按通用条款执行  。</w:t>
      </w:r>
    </w:p>
    <w:p>
      <w:pPr>
        <w:keepNext/>
        <w:keepLines/>
        <w:spacing w:before="260" w:after="260" w:line="412" w:lineRule="auto"/>
        <w:ind w:firstLine="422" w:firstLineChars="200"/>
        <w:jc w:val="left"/>
        <w:outlineLvl w:val="1"/>
        <w:rPr>
          <w:rFonts w:ascii="Arial" w:hAnsi="Arial" w:cs="宋体"/>
          <w:b/>
          <w:szCs w:val="22"/>
        </w:rPr>
      </w:pPr>
      <w:bookmarkStart w:id="318" w:name="_Toc140098638"/>
      <w:bookmarkStart w:id="319" w:name="_Toc69641945"/>
      <w:bookmarkStart w:id="320" w:name="_Toc55374048"/>
      <w:r>
        <w:rPr>
          <w:rFonts w:hint="eastAsia" w:ascii="Arial" w:hAnsi="Arial" w:cs="宋体"/>
          <w:b/>
          <w:szCs w:val="22"/>
        </w:rPr>
        <w:t>20 争议解决</w:t>
      </w:r>
      <w:bookmarkEnd w:id="318"/>
      <w:bookmarkEnd w:id="319"/>
      <w:bookmarkEnd w:id="320"/>
    </w:p>
    <w:p>
      <w:pPr>
        <w:keepNext/>
        <w:keepLines/>
        <w:spacing w:before="260" w:after="260" w:line="412" w:lineRule="auto"/>
        <w:jc w:val="left"/>
        <w:outlineLvl w:val="2"/>
        <w:rPr>
          <w:rFonts w:ascii="Calibri" w:hAnsi="Calibri"/>
          <w:b/>
          <w:szCs w:val="24"/>
        </w:rPr>
      </w:pPr>
      <w:bookmarkStart w:id="321" w:name="_Toc69641946"/>
      <w:bookmarkStart w:id="322" w:name="_Toc55374049"/>
      <w:bookmarkStart w:id="323" w:name="_Toc140098639"/>
      <w:r>
        <w:rPr>
          <w:rFonts w:hint="eastAsia" w:ascii="Calibri" w:hAnsi="Calibri"/>
          <w:b/>
          <w:szCs w:val="24"/>
        </w:rPr>
        <w:t>20.3 争议评审</w:t>
      </w:r>
      <w:bookmarkEnd w:id="321"/>
      <w:bookmarkEnd w:id="322"/>
      <w:bookmarkEnd w:id="323"/>
    </w:p>
    <w:p>
      <w:pPr>
        <w:spacing w:line="400" w:lineRule="exact"/>
        <w:ind w:firstLine="420" w:firstLineChars="200"/>
        <w:rPr>
          <w:rFonts w:ascii="宋体" w:hAnsi="宋体" w:cs="宋体"/>
          <w:szCs w:val="22"/>
        </w:rPr>
      </w:pPr>
      <w:r>
        <w:rPr>
          <w:rFonts w:hint="eastAsia" w:ascii="宋体" w:hAnsi="宋体" w:cs="宋体"/>
          <w:szCs w:val="22"/>
        </w:rPr>
        <w:t>合同当事人是否同意将工程争议提交争议评审小组决定：</w:t>
      </w:r>
      <w:r>
        <w:rPr>
          <w:rFonts w:hint="eastAsia" w:ascii="宋体" w:hAnsi="宋体" w:cs="宋体"/>
          <w:szCs w:val="22"/>
          <w:u w:val="single"/>
        </w:rPr>
        <w:t xml:space="preserve">不同意   </w:t>
      </w:r>
      <w:r>
        <w:rPr>
          <w:rFonts w:hint="eastAsia" w:ascii="宋体" w:hAnsi="宋体" w:cs="宋体"/>
          <w:szCs w:val="22"/>
        </w:rPr>
        <w:t xml:space="preserve">。   </w:t>
      </w:r>
    </w:p>
    <w:p>
      <w:pPr>
        <w:spacing w:line="400" w:lineRule="exact"/>
        <w:ind w:firstLine="420" w:firstLineChars="200"/>
        <w:rPr>
          <w:rFonts w:ascii="宋体" w:hAnsi="宋体" w:cs="宋体"/>
          <w:szCs w:val="22"/>
        </w:rPr>
      </w:pPr>
      <w:r>
        <w:rPr>
          <w:rFonts w:hint="eastAsia" w:ascii="宋体" w:hAnsi="宋体" w:cs="宋体"/>
          <w:szCs w:val="22"/>
        </w:rPr>
        <w:t>20.3.1 争议评审小组的确定</w:t>
      </w:r>
    </w:p>
    <w:p>
      <w:pPr>
        <w:spacing w:line="400" w:lineRule="exact"/>
        <w:ind w:firstLine="420" w:firstLineChars="200"/>
        <w:rPr>
          <w:rFonts w:ascii="宋体" w:hAnsi="宋体" w:cs="宋体"/>
          <w:szCs w:val="22"/>
        </w:rPr>
      </w:pPr>
      <w:r>
        <w:rPr>
          <w:rFonts w:hint="eastAsia" w:ascii="宋体" w:hAnsi="宋体" w:cs="宋体"/>
          <w:szCs w:val="22"/>
        </w:rPr>
        <w:t>争议评审小组成员的确定：       /                 。</w:t>
      </w:r>
    </w:p>
    <w:p>
      <w:pPr>
        <w:spacing w:line="400" w:lineRule="exact"/>
        <w:ind w:firstLine="420" w:firstLineChars="200"/>
        <w:rPr>
          <w:rFonts w:ascii="宋体" w:hAnsi="宋体" w:cs="宋体"/>
          <w:szCs w:val="22"/>
        </w:rPr>
      </w:pPr>
      <w:r>
        <w:rPr>
          <w:rFonts w:hint="eastAsia" w:ascii="宋体" w:hAnsi="宋体" w:cs="宋体"/>
          <w:szCs w:val="22"/>
        </w:rPr>
        <w:t>选定争议评审员的期限：           /               。</w:t>
      </w:r>
    </w:p>
    <w:p>
      <w:pPr>
        <w:spacing w:line="400" w:lineRule="exact"/>
        <w:ind w:firstLine="420" w:firstLineChars="200"/>
        <w:rPr>
          <w:rFonts w:ascii="宋体" w:hAnsi="宋体" w:cs="宋体"/>
          <w:szCs w:val="22"/>
        </w:rPr>
      </w:pPr>
      <w:r>
        <w:rPr>
          <w:rFonts w:hint="eastAsia" w:ascii="宋体" w:hAnsi="宋体" w:cs="宋体"/>
          <w:szCs w:val="22"/>
        </w:rPr>
        <w:t>争议评审小组成员的报酬承担方式：</w:t>
      </w:r>
      <w:r>
        <w:rPr>
          <w:rFonts w:hint="eastAsia" w:ascii="宋体" w:hAnsi="宋体" w:cs="宋体"/>
          <w:szCs w:val="22"/>
          <w:u w:val="single"/>
        </w:rPr>
        <w:t xml:space="preserve">      /          </w:t>
      </w:r>
      <w:r>
        <w:rPr>
          <w:rFonts w:hint="eastAsia" w:ascii="宋体" w:hAnsi="宋体" w:cs="宋体"/>
          <w:szCs w:val="22"/>
        </w:rPr>
        <w:t>。</w:t>
      </w:r>
    </w:p>
    <w:p>
      <w:pPr>
        <w:spacing w:line="400" w:lineRule="exact"/>
        <w:ind w:firstLine="420" w:firstLineChars="200"/>
        <w:rPr>
          <w:rFonts w:ascii="宋体" w:hAnsi="宋体" w:cs="宋体"/>
          <w:szCs w:val="22"/>
        </w:rPr>
      </w:pPr>
      <w:r>
        <w:rPr>
          <w:rFonts w:hint="eastAsia" w:ascii="宋体" w:hAnsi="宋体" w:cs="宋体"/>
          <w:szCs w:val="22"/>
        </w:rPr>
        <w:t>其他事项的约定：                /             。</w:t>
      </w:r>
    </w:p>
    <w:p>
      <w:pPr>
        <w:spacing w:line="400" w:lineRule="exact"/>
        <w:ind w:firstLine="420" w:firstLineChars="200"/>
        <w:rPr>
          <w:rFonts w:ascii="宋体" w:hAnsi="宋体" w:cs="宋体"/>
          <w:szCs w:val="22"/>
        </w:rPr>
      </w:pPr>
      <w:r>
        <w:rPr>
          <w:rFonts w:hint="eastAsia" w:ascii="宋体" w:hAnsi="宋体" w:cs="宋体"/>
          <w:szCs w:val="22"/>
        </w:rPr>
        <w:t>20.3.2 争议评审小组的决定</w:t>
      </w:r>
    </w:p>
    <w:p>
      <w:pPr>
        <w:spacing w:line="400" w:lineRule="exact"/>
        <w:ind w:firstLine="420" w:firstLineChars="200"/>
        <w:rPr>
          <w:rFonts w:ascii="宋体" w:hAnsi="宋体" w:cs="宋体"/>
          <w:szCs w:val="22"/>
        </w:rPr>
      </w:pPr>
      <w:r>
        <w:rPr>
          <w:rFonts w:hint="eastAsia" w:ascii="宋体" w:hAnsi="宋体" w:cs="宋体"/>
          <w:szCs w:val="22"/>
        </w:rPr>
        <w:t>合同当事人关于本项的约定：</w:t>
      </w:r>
      <w:r>
        <w:rPr>
          <w:rFonts w:hint="eastAsia" w:ascii="宋体" w:hAnsi="宋体" w:cs="宋体"/>
          <w:szCs w:val="22"/>
          <w:u w:val="single"/>
        </w:rPr>
        <w:t xml:space="preserve">     /     </w:t>
      </w:r>
      <w:r>
        <w:rPr>
          <w:rFonts w:hint="eastAsia" w:ascii="宋体" w:hAnsi="宋体" w:cs="宋体"/>
          <w:szCs w:val="22"/>
        </w:rPr>
        <w:t>。</w:t>
      </w:r>
    </w:p>
    <w:p>
      <w:pPr>
        <w:keepNext/>
        <w:keepLines/>
        <w:spacing w:before="260" w:after="260" w:line="412" w:lineRule="auto"/>
        <w:jc w:val="left"/>
        <w:outlineLvl w:val="2"/>
        <w:rPr>
          <w:rFonts w:ascii="Calibri" w:hAnsi="Calibri"/>
          <w:b/>
          <w:szCs w:val="24"/>
        </w:rPr>
      </w:pPr>
      <w:bookmarkStart w:id="324" w:name="_Toc140098640"/>
      <w:bookmarkStart w:id="325" w:name="_Toc69641947"/>
      <w:bookmarkStart w:id="326" w:name="_Toc55374050"/>
      <w:r>
        <w:rPr>
          <w:rFonts w:hint="eastAsia" w:ascii="Calibri" w:hAnsi="Calibri"/>
          <w:b/>
          <w:szCs w:val="24"/>
        </w:rPr>
        <w:t>20.4 仲裁或诉讼</w:t>
      </w:r>
      <w:bookmarkEnd w:id="324"/>
      <w:bookmarkEnd w:id="325"/>
      <w:bookmarkEnd w:id="326"/>
    </w:p>
    <w:p>
      <w:pPr>
        <w:spacing w:line="400" w:lineRule="exact"/>
        <w:ind w:firstLine="420" w:firstLineChars="200"/>
        <w:rPr>
          <w:rFonts w:ascii="宋体" w:hAnsi="宋体" w:cs="宋体"/>
          <w:szCs w:val="22"/>
        </w:rPr>
      </w:pPr>
      <w:r>
        <w:rPr>
          <w:rFonts w:hint="eastAsia" w:ascii="宋体" w:hAnsi="宋体" w:cs="宋体"/>
          <w:szCs w:val="22"/>
        </w:rPr>
        <w:t>因合同及合同有关事项发生的争议，按下列第</w:t>
      </w:r>
      <w:r>
        <w:rPr>
          <w:rFonts w:hint="eastAsia" w:ascii="宋体" w:hAnsi="宋体" w:cs="宋体"/>
          <w:szCs w:val="22"/>
          <w:u w:val="single"/>
        </w:rPr>
        <w:t xml:space="preserve"> （2）  </w:t>
      </w:r>
      <w:r>
        <w:rPr>
          <w:rFonts w:hint="eastAsia" w:ascii="宋体" w:hAnsi="宋体" w:cs="宋体"/>
          <w:szCs w:val="22"/>
        </w:rPr>
        <w:t>种方式解决：</w:t>
      </w:r>
    </w:p>
    <w:p>
      <w:pPr>
        <w:spacing w:line="400" w:lineRule="exact"/>
        <w:ind w:firstLine="420" w:firstLineChars="200"/>
        <w:rPr>
          <w:rFonts w:ascii="宋体" w:hAnsi="宋体" w:cs="宋体"/>
          <w:szCs w:val="22"/>
        </w:rPr>
      </w:pPr>
      <w:r>
        <w:rPr>
          <w:rFonts w:hint="eastAsia" w:ascii="宋体" w:hAnsi="宋体" w:cs="宋体"/>
          <w:szCs w:val="22"/>
        </w:rPr>
        <w:t>（1）向</w:t>
      </w:r>
      <w:r>
        <w:rPr>
          <w:rFonts w:hint="eastAsia" w:ascii="宋体" w:hAnsi="宋体" w:cs="宋体"/>
          <w:szCs w:val="22"/>
          <w:u w:val="single"/>
        </w:rPr>
        <w:t xml:space="preserve">       /       </w:t>
      </w:r>
      <w:r>
        <w:rPr>
          <w:rFonts w:hint="eastAsia" w:ascii="宋体" w:hAnsi="宋体" w:cs="宋体"/>
          <w:szCs w:val="22"/>
        </w:rPr>
        <w:t>仲裁委员会申请仲裁；</w:t>
      </w:r>
    </w:p>
    <w:p>
      <w:pPr>
        <w:spacing w:line="400" w:lineRule="exact"/>
        <w:ind w:firstLine="420" w:firstLineChars="200"/>
        <w:rPr>
          <w:rFonts w:ascii="宋体" w:hAnsi="宋体" w:cs="宋体"/>
          <w:szCs w:val="22"/>
        </w:rPr>
      </w:pPr>
      <w:r>
        <w:rPr>
          <w:rFonts w:hint="eastAsia" w:ascii="宋体" w:hAnsi="宋体" w:cs="宋体"/>
          <w:szCs w:val="22"/>
        </w:rPr>
        <w:t>（2）向  项目所在地有管辖权的 人民法院起诉。</w:t>
      </w:r>
    </w:p>
    <w:p>
      <w:pPr>
        <w:keepNext/>
        <w:keepLines/>
        <w:spacing w:before="260" w:after="260" w:line="412" w:lineRule="auto"/>
        <w:ind w:firstLine="422" w:firstLineChars="200"/>
        <w:jc w:val="left"/>
        <w:outlineLvl w:val="1"/>
        <w:rPr>
          <w:rFonts w:ascii="Arial" w:hAnsi="Arial" w:cs="宋体"/>
          <w:b/>
          <w:szCs w:val="22"/>
        </w:rPr>
      </w:pPr>
      <w:bookmarkStart w:id="327" w:name="_Toc69641948"/>
      <w:bookmarkStart w:id="328" w:name="_Toc140098641"/>
      <w:bookmarkStart w:id="329" w:name="_Toc55374051"/>
      <w:r>
        <w:rPr>
          <w:rFonts w:hint="eastAsia" w:ascii="Arial" w:hAnsi="Arial" w:cs="宋体"/>
          <w:b/>
          <w:szCs w:val="22"/>
        </w:rPr>
        <w:t>21补充条款</w:t>
      </w:r>
      <w:bookmarkEnd w:id="327"/>
      <w:bookmarkEnd w:id="328"/>
      <w:bookmarkEnd w:id="329"/>
    </w:p>
    <w:p>
      <w:pPr>
        <w:spacing w:line="400" w:lineRule="exact"/>
        <w:ind w:firstLine="420" w:firstLineChars="200"/>
        <w:rPr>
          <w:rFonts w:ascii="宋体" w:hAnsi="宋体" w:cs="宋体"/>
          <w:szCs w:val="22"/>
        </w:rPr>
      </w:pPr>
      <w:r>
        <w:rPr>
          <w:rFonts w:hint="eastAsia" w:ascii="宋体" w:hAnsi="宋体" w:cs="宋体"/>
          <w:szCs w:val="22"/>
        </w:rPr>
        <w:t>未尽事宜，经双方协商另签订补充协议。</w:t>
      </w:r>
    </w:p>
    <w:p>
      <w:pPr>
        <w:pStyle w:val="157"/>
        <w:spacing w:line="400" w:lineRule="exact"/>
        <w:ind w:firstLine="420" w:firstLineChars="200"/>
        <w:rPr>
          <w:rFonts w:ascii="宋体" w:hAnsi="宋体"/>
        </w:rPr>
      </w:pPr>
      <w:r>
        <w:rPr>
          <w:rFonts w:ascii="宋体" w:hAnsi="宋体"/>
          <w:szCs w:val="21"/>
        </w:rPr>
        <w:br w:type="page"/>
      </w:r>
      <w:r>
        <w:rPr>
          <w:rFonts w:hint="eastAsia" w:ascii="宋体" w:hAnsi="宋体"/>
        </w:rPr>
        <w:t>附件：</w:t>
      </w:r>
    </w:p>
    <w:p>
      <w:pPr>
        <w:spacing w:line="400" w:lineRule="exact"/>
        <w:ind w:firstLine="420" w:firstLineChars="200"/>
        <w:rPr>
          <w:rFonts w:ascii="宋体" w:hAnsi="宋体" w:cs="宋体"/>
          <w:szCs w:val="22"/>
        </w:rPr>
      </w:pPr>
      <w:r>
        <w:rPr>
          <w:rFonts w:hint="eastAsia" w:ascii="宋体" w:hAnsi="宋体" w:cs="宋体"/>
          <w:szCs w:val="22"/>
        </w:rPr>
        <w:t>1.承包人承揽工程项目一览表</w:t>
      </w:r>
    </w:p>
    <w:p>
      <w:pPr>
        <w:spacing w:line="400" w:lineRule="exact"/>
        <w:ind w:firstLine="420" w:firstLineChars="200"/>
        <w:rPr>
          <w:rFonts w:ascii="宋体" w:hAnsi="宋体" w:cs="宋体"/>
          <w:szCs w:val="22"/>
        </w:rPr>
      </w:pPr>
      <w:r>
        <w:rPr>
          <w:rFonts w:hint="eastAsia" w:ascii="宋体" w:hAnsi="宋体" w:cs="宋体"/>
          <w:szCs w:val="22"/>
        </w:rPr>
        <w:t>2.发包人供应材料设备一览表</w:t>
      </w:r>
    </w:p>
    <w:p>
      <w:pPr>
        <w:spacing w:line="400" w:lineRule="exact"/>
        <w:ind w:firstLine="420" w:firstLineChars="200"/>
        <w:rPr>
          <w:rFonts w:ascii="宋体" w:hAnsi="宋体" w:cs="宋体"/>
          <w:szCs w:val="22"/>
        </w:rPr>
      </w:pPr>
      <w:r>
        <w:rPr>
          <w:rFonts w:hint="eastAsia" w:ascii="宋体" w:hAnsi="宋体" w:cs="宋体"/>
          <w:szCs w:val="22"/>
        </w:rPr>
        <w:t>3.工程质量保修书</w:t>
      </w:r>
    </w:p>
    <w:p>
      <w:pPr>
        <w:spacing w:line="400" w:lineRule="exact"/>
        <w:ind w:firstLine="420" w:firstLineChars="200"/>
        <w:rPr>
          <w:rFonts w:ascii="宋体" w:hAnsi="宋体" w:cs="宋体"/>
          <w:szCs w:val="22"/>
        </w:rPr>
      </w:pPr>
      <w:r>
        <w:rPr>
          <w:rFonts w:hint="eastAsia" w:ascii="宋体" w:hAnsi="宋体" w:cs="宋体"/>
          <w:szCs w:val="22"/>
        </w:rPr>
        <w:t>4.主要建设工程文件目录</w:t>
      </w:r>
    </w:p>
    <w:p>
      <w:pPr>
        <w:spacing w:line="400" w:lineRule="exact"/>
        <w:ind w:firstLine="420" w:firstLineChars="200"/>
        <w:rPr>
          <w:rFonts w:ascii="宋体" w:hAnsi="宋体" w:cs="宋体"/>
          <w:szCs w:val="22"/>
        </w:rPr>
      </w:pPr>
      <w:r>
        <w:rPr>
          <w:rFonts w:hint="eastAsia" w:ascii="宋体" w:hAnsi="宋体" w:cs="宋体"/>
          <w:szCs w:val="22"/>
        </w:rPr>
        <w:t>5.承包人用于本工程施工的机械设备表</w:t>
      </w:r>
    </w:p>
    <w:p>
      <w:pPr>
        <w:spacing w:line="400" w:lineRule="exact"/>
        <w:ind w:firstLine="420" w:firstLineChars="200"/>
        <w:rPr>
          <w:rFonts w:ascii="宋体" w:hAnsi="宋体" w:cs="宋体"/>
          <w:szCs w:val="22"/>
        </w:rPr>
      </w:pPr>
      <w:r>
        <w:rPr>
          <w:rFonts w:hint="eastAsia" w:ascii="宋体" w:hAnsi="宋体" w:cs="宋体"/>
          <w:szCs w:val="22"/>
        </w:rPr>
        <w:t>6.承包人主要施工管理人员表</w:t>
      </w:r>
    </w:p>
    <w:p>
      <w:pPr>
        <w:spacing w:line="400" w:lineRule="exact"/>
        <w:ind w:firstLine="420" w:firstLineChars="200"/>
        <w:rPr>
          <w:rFonts w:ascii="宋体" w:hAnsi="宋体" w:cs="宋体"/>
          <w:szCs w:val="22"/>
        </w:rPr>
      </w:pPr>
      <w:r>
        <w:rPr>
          <w:rFonts w:hint="eastAsia" w:ascii="宋体" w:hAnsi="宋体" w:cs="宋体"/>
          <w:szCs w:val="22"/>
        </w:rPr>
        <w:t>7.广西壮族自治区建设工程安全文明施工措施项目清单内容</w:t>
      </w:r>
    </w:p>
    <w:p>
      <w:pPr>
        <w:spacing w:line="400" w:lineRule="exact"/>
        <w:ind w:firstLine="420" w:firstLineChars="200"/>
        <w:rPr>
          <w:rFonts w:ascii="宋体" w:hAnsi="宋体" w:cs="宋体"/>
          <w:szCs w:val="22"/>
        </w:rPr>
      </w:pPr>
      <w:r>
        <w:rPr>
          <w:rFonts w:ascii="宋体" w:hAnsi="宋体" w:cs="宋体"/>
          <w:szCs w:val="22"/>
        </w:rPr>
        <w:t>8</w:t>
      </w:r>
      <w:r>
        <w:rPr>
          <w:rFonts w:hint="eastAsia" w:ascii="宋体" w:hAnsi="宋体" w:cs="宋体"/>
          <w:szCs w:val="22"/>
        </w:rPr>
        <w:t>.暂估价一览表</w:t>
      </w:r>
    </w:p>
    <w:p>
      <w:pPr>
        <w:spacing w:line="400" w:lineRule="exact"/>
        <w:ind w:firstLine="420" w:firstLineChars="200"/>
        <w:rPr>
          <w:rFonts w:ascii="宋体" w:hAnsi="宋体" w:cs="宋体"/>
          <w:szCs w:val="22"/>
        </w:rPr>
      </w:pPr>
      <w:r>
        <w:rPr>
          <w:rFonts w:hint="eastAsia" w:ascii="宋体" w:hAnsi="宋体" w:cs="宋体"/>
          <w:szCs w:val="22"/>
        </w:rPr>
        <w:t>9.履约担保</w:t>
      </w:r>
    </w:p>
    <w:p>
      <w:pPr>
        <w:spacing w:line="400" w:lineRule="exact"/>
        <w:ind w:firstLine="420" w:firstLineChars="200"/>
        <w:rPr>
          <w:rFonts w:ascii="宋体" w:hAnsi="宋体" w:cs="宋体"/>
          <w:szCs w:val="22"/>
        </w:rPr>
      </w:pPr>
      <w:r>
        <w:rPr>
          <w:rFonts w:hint="eastAsia" w:ascii="宋体" w:hAnsi="宋体" w:cs="宋体"/>
          <w:szCs w:val="22"/>
        </w:rPr>
        <w:t>10.履约保函</w:t>
      </w:r>
    </w:p>
    <w:p>
      <w:pPr>
        <w:spacing w:line="400" w:lineRule="exact"/>
        <w:ind w:firstLine="420" w:firstLineChars="200"/>
        <w:rPr>
          <w:rFonts w:ascii="宋体" w:hAnsi="宋体" w:cs="宋体"/>
          <w:szCs w:val="22"/>
        </w:rPr>
      </w:pPr>
      <w:r>
        <w:rPr>
          <w:rFonts w:hint="eastAsia" w:ascii="宋体" w:hAnsi="宋体" w:cs="宋体"/>
          <w:szCs w:val="22"/>
        </w:rPr>
        <w:t>11.预付款担保</w:t>
      </w:r>
    </w:p>
    <w:p>
      <w:pPr>
        <w:spacing w:line="400" w:lineRule="exact"/>
        <w:ind w:firstLine="420" w:firstLineChars="200"/>
        <w:rPr>
          <w:rFonts w:ascii="宋体" w:hAnsi="宋体" w:cs="宋体"/>
          <w:szCs w:val="22"/>
        </w:rPr>
      </w:pPr>
      <w:r>
        <w:rPr>
          <w:rFonts w:hint="eastAsia" w:ascii="宋体" w:hAnsi="宋体" w:cs="宋体"/>
          <w:szCs w:val="22"/>
        </w:rPr>
        <w:t>12.预付款保函</w:t>
      </w:r>
    </w:p>
    <w:p>
      <w:pPr>
        <w:spacing w:line="400" w:lineRule="exact"/>
        <w:ind w:firstLine="420" w:firstLineChars="200"/>
        <w:rPr>
          <w:rFonts w:ascii="宋体" w:hAnsi="宋体" w:cs="宋体"/>
          <w:szCs w:val="22"/>
        </w:rPr>
      </w:pPr>
      <w:r>
        <w:rPr>
          <w:rFonts w:hint="eastAsia" w:ascii="宋体" w:hAnsi="宋体" w:cs="宋体"/>
          <w:szCs w:val="22"/>
        </w:rPr>
        <w:t>13.安全生产协议书</w:t>
      </w:r>
    </w:p>
    <w:p>
      <w:pPr>
        <w:spacing w:line="400" w:lineRule="exact"/>
        <w:ind w:firstLine="420" w:firstLineChars="200"/>
        <w:rPr>
          <w:rFonts w:ascii="宋体" w:hAnsi="宋体" w:cs="宋体"/>
          <w:szCs w:val="22"/>
        </w:rPr>
      </w:pPr>
      <w:r>
        <w:rPr>
          <w:rFonts w:hint="eastAsia" w:ascii="宋体" w:hAnsi="宋体" w:cs="宋体"/>
          <w:szCs w:val="22"/>
        </w:rPr>
        <w:t>14.允许调整主要材料和工程设备一览表</w:t>
      </w:r>
    </w:p>
    <w:p>
      <w:pPr>
        <w:sectPr>
          <w:footerReference r:id="rId8" w:type="first"/>
          <w:headerReference r:id="rId5" w:type="default"/>
          <w:footerReference r:id="rId6" w:type="default"/>
          <w:footerReference r:id="rId7" w:type="even"/>
          <w:pgSz w:w="11906" w:h="16838"/>
          <w:pgMar w:top="840" w:right="1006" w:bottom="1440" w:left="1020" w:header="851" w:footer="992" w:gutter="0"/>
          <w:pgNumType w:start="0"/>
          <w:cols w:space="720" w:num="1"/>
          <w:titlePg/>
          <w:docGrid w:type="lines" w:linePitch="312" w:charSpace="0"/>
        </w:sectPr>
      </w:pPr>
    </w:p>
    <w:p>
      <w:pPr>
        <w:spacing w:line="400" w:lineRule="exact"/>
        <w:ind w:firstLine="420" w:firstLineChars="200"/>
        <w:rPr>
          <w:rFonts w:ascii="宋体" w:hAnsi="宋体" w:cs="宋体"/>
          <w:szCs w:val="22"/>
        </w:rPr>
      </w:pPr>
      <w:r>
        <w:rPr>
          <w:rFonts w:hint="eastAsia" w:ascii="宋体" w:hAnsi="宋体" w:cs="宋体"/>
          <w:szCs w:val="22"/>
        </w:rPr>
        <w:t>附件1：</w:t>
      </w:r>
    </w:p>
    <w:p>
      <w:pPr>
        <w:spacing w:line="400" w:lineRule="exact"/>
        <w:ind w:firstLine="420" w:firstLineChars="200"/>
        <w:rPr>
          <w:rFonts w:ascii="宋体" w:hAnsi="宋体" w:cs="宋体"/>
          <w:szCs w:val="22"/>
        </w:rPr>
      </w:pPr>
      <w:r>
        <w:rPr>
          <w:rFonts w:hint="eastAsia" w:ascii="宋体" w:hAnsi="宋体" w:cs="宋体"/>
          <w:szCs w:val="22"/>
        </w:rPr>
        <w:t>承包人承揽工程项目一览表</w:t>
      </w:r>
    </w:p>
    <w:tbl>
      <w:tblPr>
        <w:tblStyle w:val="45"/>
        <w:tblW w:w="10228" w:type="dxa"/>
        <w:jc w:val="center"/>
        <w:tblLayout w:type="fixed"/>
        <w:tblCellMar>
          <w:top w:w="0" w:type="dxa"/>
          <w:left w:w="0" w:type="dxa"/>
          <w:bottom w:w="0" w:type="dxa"/>
          <w:right w:w="0" w:type="dxa"/>
        </w:tblCellMar>
      </w:tblPr>
      <w:tblGrid>
        <w:gridCol w:w="1186"/>
        <w:gridCol w:w="640"/>
        <w:gridCol w:w="1225"/>
        <w:gridCol w:w="735"/>
        <w:gridCol w:w="700"/>
        <w:gridCol w:w="660"/>
        <w:gridCol w:w="720"/>
        <w:gridCol w:w="1527"/>
        <w:gridCol w:w="1276"/>
        <w:gridCol w:w="1559"/>
      </w:tblGrid>
      <w:tr>
        <w:tblPrEx>
          <w:tblCellMar>
            <w:top w:w="0" w:type="dxa"/>
            <w:left w:w="0" w:type="dxa"/>
            <w:bottom w:w="0" w:type="dxa"/>
            <w:right w:w="0" w:type="dxa"/>
          </w:tblCellMar>
        </w:tblPrEx>
        <w:trPr>
          <w:trHeight w:val="1115" w:hRule="atLeast"/>
          <w:jc w:val="center"/>
        </w:trPr>
        <w:tc>
          <w:tcPr>
            <w:tcW w:w="1186" w:type="dxa"/>
            <w:tcBorders>
              <w:top w:val="single" w:color="000000" w:sz="12" w:space="0"/>
              <w:left w:val="single" w:color="000000" w:sz="12" w:space="0"/>
              <w:bottom w:val="double" w:color="000000" w:sz="6" w:space="0"/>
              <w:right w:val="single" w:color="000000" w:sz="6" w:space="0"/>
            </w:tcBorders>
            <w:tcMar>
              <w:top w:w="0" w:type="dxa"/>
              <w:left w:w="28" w:type="dxa"/>
              <w:bottom w:w="0" w:type="dxa"/>
              <w:right w:w="28" w:type="dxa"/>
            </w:tcMar>
            <w:vAlign w:val="center"/>
          </w:tcPr>
          <w:p>
            <w:pPr>
              <w:snapToGrid w:val="0"/>
              <w:spacing w:line="420" w:lineRule="exact"/>
              <w:jc w:val="center"/>
              <w:rPr>
                <w:rFonts w:ascii="宋体" w:cs="宋体"/>
                <w:kern w:val="0"/>
                <w:sz w:val="28"/>
                <w:szCs w:val="20"/>
              </w:rPr>
            </w:pPr>
            <w:r>
              <w:rPr>
                <w:rFonts w:hint="eastAsia" w:ascii="宋体" w:hAnsi="宋体" w:cs="宋体"/>
                <w:kern w:val="0"/>
                <w:sz w:val="28"/>
                <w:szCs w:val="20"/>
              </w:rPr>
              <w:t>单位工程名称</w:t>
            </w:r>
          </w:p>
        </w:tc>
        <w:tc>
          <w:tcPr>
            <w:tcW w:w="640" w:type="dxa"/>
            <w:tcBorders>
              <w:top w:val="single" w:color="000000" w:sz="12" w:space="0"/>
              <w:left w:val="single" w:color="000000" w:sz="6" w:space="0"/>
              <w:bottom w:val="double" w:color="000000" w:sz="6" w:space="0"/>
              <w:right w:val="single" w:color="000000" w:sz="6" w:space="0"/>
            </w:tcBorders>
            <w:tcMar>
              <w:top w:w="0" w:type="dxa"/>
              <w:left w:w="28" w:type="dxa"/>
              <w:bottom w:w="0" w:type="dxa"/>
              <w:right w:w="28" w:type="dxa"/>
            </w:tcMar>
            <w:vAlign w:val="center"/>
          </w:tcPr>
          <w:p>
            <w:pPr>
              <w:snapToGrid w:val="0"/>
              <w:spacing w:line="420" w:lineRule="exact"/>
              <w:jc w:val="center"/>
              <w:rPr>
                <w:rFonts w:ascii="宋体" w:cs="宋体"/>
                <w:kern w:val="0"/>
                <w:sz w:val="28"/>
                <w:szCs w:val="20"/>
              </w:rPr>
            </w:pPr>
            <w:r>
              <w:rPr>
                <w:rFonts w:hint="eastAsia" w:ascii="宋体" w:hAnsi="宋体" w:cs="宋体"/>
                <w:kern w:val="0"/>
                <w:sz w:val="28"/>
                <w:szCs w:val="20"/>
              </w:rPr>
              <w:t>建设规模</w:t>
            </w:r>
          </w:p>
        </w:tc>
        <w:tc>
          <w:tcPr>
            <w:tcW w:w="1225" w:type="dxa"/>
            <w:tcBorders>
              <w:top w:val="single" w:color="000000" w:sz="12" w:space="0"/>
              <w:left w:val="single" w:color="000000" w:sz="6" w:space="0"/>
              <w:bottom w:val="double" w:color="000000" w:sz="6" w:space="0"/>
              <w:right w:val="single" w:color="000000" w:sz="6" w:space="0"/>
            </w:tcBorders>
            <w:tcMar>
              <w:top w:w="0" w:type="dxa"/>
              <w:left w:w="28" w:type="dxa"/>
              <w:bottom w:w="0" w:type="dxa"/>
              <w:right w:w="28" w:type="dxa"/>
            </w:tcMar>
            <w:vAlign w:val="center"/>
          </w:tcPr>
          <w:p>
            <w:pPr>
              <w:snapToGrid w:val="0"/>
              <w:spacing w:line="420" w:lineRule="exact"/>
              <w:jc w:val="center"/>
              <w:rPr>
                <w:rFonts w:ascii="宋体" w:cs="宋体"/>
                <w:kern w:val="0"/>
                <w:sz w:val="28"/>
                <w:szCs w:val="20"/>
              </w:rPr>
            </w:pPr>
            <w:r>
              <w:rPr>
                <w:rFonts w:hint="eastAsia" w:ascii="宋体" w:hAnsi="宋体" w:cs="宋体"/>
                <w:kern w:val="0"/>
                <w:sz w:val="28"/>
                <w:szCs w:val="20"/>
              </w:rPr>
              <w:t>建筑面积</w:t>
            </w:r>
            <w:r>
              <w:rPr>
                <w:rFonts w:ascii="宋体" w:hAnsi="宋体" w:cs="宋体"/>
                <w:kern w:val="0"/>
                <w:sz w:val="28"/>
                <w:szCs w:val="20"/>
              </w:rPr>
              <w:t>（</w:t>
            </w:r>
            <w:r>
              <w:rPr>
                <w:rFonts w:hint="eastAsia" w:ascii="宋体" w:hAnsi="宋体" w:cs="宋体"/>
                <w:kern w:val="0"/>
                <w:sz w:val="28"/>
                <w:szCs w:val="20"/>
              </w:rPr>
              <w:t>平方米</w:t>
            </w:r>
            <w:r>
              <w:rPr>
                <w:rFonts w:ascii="宋体" w:hAnsi="宋体" w:cs="宋体"/>
                <w:kern w:val="0"/>
                <w:sz w:val="28"/>
                <w:szCs w:val="20"/>
              </w:rPr>
              <w:t>）</w:t>
            </w:r>
          </w:p>
        </w:tc>
        <w:tc>
          <w:tcPr>
            <w:tcW w:w="735" w:type="dxa"/>
            <w:tcBorders>
              <w:top w:val="single" w:color="000000" w:sz="12" w:space="0"/>
              <w:left w:val="single" w:color="000000" w:sz="6" w:space="0"/>
              <w:bottom w:val="double" w:color="000000" w:sz="6" w:space="0"/>
              <w:right w:val="single" w:color="000000" w:sz="6" w:space="0"/>
            </w:tcBorders>
            <w:tcMar>
              <w:top w:w="0" w:type="dxa"/>
              <w:left w:w="28" w:type="dxa"/>
              <w:bottom w:w="0" w:type="dxa"/>
              <w:right w:w="28" w:type="dxa"/>
            </w:tcMar>
            <w:vAlign w:val="center"/>
          </w:tcPr>
          <w:p>
            <w:pPr>
              <w:snapToGrid w:val="0"/>
              <w:spacing w:line="420" w:lineRule="exact"/>
              <w:jc w:val="center"/>
              <w:rPr>
                <w:rFonts w:ascii="宋体" w:cs="宋体"/>
                <w:kern w:val="0"/>
                <w:sz w:val="28"/>
                <w:szCs w:val="20"/>
              </w:rPr>
            </w:pPr>
            <w:r>
              <w:rPr>
                <w:rFonts w:hint="eastAsia" w:ascii="宋体" w:hAnsi="宋体" w:cs="宋体"/>
                <w:kern w:val="0"/>
                <w:sz w:val="28"/>
                <w:szCs w:val="20"/>
              </w:rPr>
              <w:t>结构形式</w:t>
            </w:r>
          </w:p>
        </w:tc>
        <w:tc>
          <w:tcPr>
            <w:tcW w:w="700" w:type="dxa"/>
            <w:tcBorders>
              <w:top w:val="single" w:color="000000" w:sz="12" w:space="0"/>
              <w:left w:val="single" w:color="000000" w:sz="6" w:space="0"/>
              <w:bottom w:val="double" w:color="000000" w:sz="6" w:space="0"/>
              <w:right w:val="single" w:color="000000" w:sz="6" w:space="0"/>
            </w:tcBorders>
            <w:tcMar>
              <w:top w:w="0" w:type="dxa"/>
              <w:left w:w="28" w:type="dxa"/>
              <w:bottom w:w="0" w:type="dxa"/>
              <w:right w:w="28" w:type="dxa"/>
            </w:tcMar>
            <w:vAlign w:val="center"/>
          </w:tcPr>
          <w:p>
            <w:pPr>
              <w:snapToGrid w:val="0"/>
              <w:spacing w:line="420" w:lineRule="exact"/>
              <w:jc w:val="center"/>
              <w:rPr>
                <w:rFonts w:ascii="宋体" w:cs="宋体"/>
                <w:kern w:val="0"/>
                <w:sz w:val="28"/>
                <w:szCs w:val="20"/>
              </w:rPr>
            </w:pPr>
            <w:r>
              <w:rPr>
                <w:rFonts w:hint="eastAsia" w:ascii="宋体" w:hAnsi="宋体" w:cs="宋体"/>
                <w:kern w:val="0"/>
                <w:sz w:val="28"/>
                <w:szCs w:val="20"/>
              </w:rPr>
              <w:t>层数</w:t>
            </w:r>
          </w:p>
        </w:tc>
        <w:tc>
          <w:tcPr>
            <w:tcW w:w="660" w:type="dxa"/>
            <w:tcBorders>
              <w:top w:val="single" w:color="000000" w:sz="12" w:space="0"/>
              <w:left w:val="single" w:color="000000" w:sz="6" w:space="0"/>
              <w:bottom w:val="double" w:color="000000" w:sz="6" w:space="0"/>
              <w:right w:val="single" w:color="000000" w:sz="6" w:space="0"/>
            </w:tcBorders>
            <w:tcMar>
              <w:top w:w="0" w:type="dxa"/>
              <w:left w:w="28" w:type="dxa"/>
              <w:bottom w:w="0" w:type="dxa"/>
              <w:right w:w="28" w:type="dxa"/>
            </w:tcMar>
            <w:vAlign w:val="center"/>
          </w:tcPr>
          <w:p>
            <w:pPr>
              <w:snapToGrid w:val="0"/>
              <w:spacing w:line="420" w:lineRule="exact"/>
              <w:jc w:val="center"/>
              <w:rPr>
                <w:rFonts w:ascii="宋体" w:cs="宋体"/>
                <w:kern w:val="0"/>
                <w:sz w:val="28"/>
                <w:szCs w:val="20"/>
              </w:rPr>
            </w:pPr>
            <w:r>
              <w:rPr>
                <w:rFonts w:hint="eastAsia" w:ascii="宋体" w:hAnsi="宋体" w:cs="宋体"/>
                <w:kern w:val="0"/>
                <w:sz w:val="28"/>
                <w:szCs w:val="20"/>
              </w:rPr>
              <w:t>生产能力</w:t>
            </w:r>
          </w:p>
        </w:tc>
        <w:tc>
          <w:tcPr>
            <w:tcW w:w="720" w:type="dxa"/>
            <w:tcBorders>
              <w:top w:val="single" w:color="000000" w:sz="12" w:space="0"/>
              <w:left w:val="single" w:color="000000" w:sz="6" w:space="0"/>
              <w:bottom w:val="double" w:color="000000" w:sz="6" w:space="0"/>
              <w:right w:val="single" w:color="000000" w:sz="6" w:space="0"/>
            </w:tcBorders>
            <w:tcMar>
              <w:top w:w="0" w:type="dxa"/>
              <w:left w:w="28" w:type="dxa"/>
              <w:bottom w:w="0" w:type="dxa"/>
              <w:right w:w="28" w:type="dxa"/>
            </w:tcMar>
            <w:vAlign w:val="center"/>
          </w:tcPr>
          <w:p>
            <w:pPr>
              <w:snapToGrid w:val="0"/>
              <w:spacing w:line="420" w:lineRule="exact"/>
              <w:jc w:val="center"/>
              <w:rPr>
                <w:rFonts w:ascii="宋体" w:cs="宋体"/>
                <w:kern w:val="0"/>
                <w:sz w:val="28"/>
                <w:szCs w:val="20"/>
              </w:rPr>
            </w:pPr>
            <w:r>
              <w:rPr>
                <w:rFonts w:hint="eastAsia" w:ascii="宋体" w:hAnsi="宋体" w:cs="宋体"/>
                <w:kern w:val="0"/>
                <w:sz w:val="28"/>
                <w:szCs w:val="20"/>
              </w:rPr>
              <w:t>设备安装内容</w:t>
            </w:r>
          </w:p>
        </w:tc>
        <w:tc>
          <w:tcPr>
            <w:tcW w:w="1527" w:type="dxa"/>
            <w:tcBorders>
              <w:top w:val="single" w:color="000000" w:sz="12" w:space="0"/>
              <w:left w:val="single" w:color="000000" w:sz="6" w:space="0"/>
              <w:bottom w:val="double" w:color="000000" w:sz="6" w:space="0"/>
              <w:right w:val="single" w:color="000000" w:sz="6" w:space="0"/>
            </w:tcBorders>
            <w:tcMar>
              <w:top w:w="0" w:type="dxa"/>
              <w:left w:w="28" w:type="dxa"/>
              <w:bottom w:w="0" w:type="dxa"/>
              <w:right w:w="28" w:type="dxa"/>
            </w:tcMar>
            <w:vAlign w:val="center"/>
          </w:tcPr>
          <w:p>
            <w:pPr>
              <w:snapToGrid w:val="0"/>
              <w:spacing w:line="420" w:lineRule="exact"/>
              <w:jc w:val="center"/>
              <w:rPr>
                <w:rFonts w:ascii="宋体" w:cs="宋体"/>
                <w:kern w:val="0"/>
                <w:sz w:val="28"/>
                <w:szCs w:val="20"/>
              </w:rPr>
            </w:pPr>
            <w:r>
              <w:rPr>
                <w:rFonts w:hint="eastAsia" w:ascii="宋体" w:hAnsi="宋体" w:cs="宋体"/>
                <w:kern w:val="0"/>
                <w:sz w:val="28"/>
                <w:szCs w:val="20"/>
              </w:rPr>
              <w:t>合同价格（元）</w:t>
            </w:r>
          </w:p>
        </w:tc>
        <w:tc>
          <w:tcPr>
            <w:tcW w:w="1276" w:type="dxa"/>
            <w:tcBorders>
              <w:top w:val="single" w:color="000000" w:sz="12" w:space="0"/>
              <w:left w:val="single" w:color="000000" w:sz="6" w:space="0"/>
              <w:bottom w:val="double" w:color="000000" w:sz="6" w:space="0"/>
              <w:right w:val="single" w:color="000000" w:sz="6" w:space="0"/>
            </w:tcBorders>
            <w:tcMar>
              <w:top w:w="0" w:type="dxa"/>
              <w:left w:w="28" w:type="dxa"/>
              <w:bottom w:w="0" w:type="dxa"/>
              <w:right w:w="28" w:type="dxa"/>
            </w:tcMar>
            <w:vAlign w:val="center"/>
          </w:tcPr>
          <w:p>
            <w:pPr>
              <w:snapToGrid w:val="0"/>
              <w:spacing w:line="420" w:lineRule="exact"/>
              <w:jc w:val="center"/>
              <w:rPr>
                <w:rFonts w:ascii="宋体" w:cs="宋体"/>
                <w:kern w:val="0"/>
                <w:sz w:val="28"/>
                <w:szCs w:val="20"/>
              </w:rPr>
            </w:pPr>
            <w:r>
              <w:rPr>
                <w:rFonts w:hint="eastAsia" w:ascii="宋体" w:hAnsi="宋体" w:cs="宋体"/>
                <w:kern w:val="0"/>
                <w:sz w:val="28"/>
                <w:szCs w:val="20"/>
              </w:rPr>
              <w:t>开工日期</w:t>
            </w:r>
          </w:p>
        </w:tc>
        <w:tc>
          <w:tcPr>
            <w:tcW w:w="1559" w:type="dxa"/>
            <w:tcBorders>
              <w:top w:val="single" w:color="000000" w:sz="12" w:space="0"/>
              <w:left w:val="single" w:color="000000" w:sz="6" w:space="0"/>
              <w:bottom w:val="double" w:color="000000" w:sz="6" w:space="0"/>
              <w:right w:val="single" w:color="000000" w:sz="12" w:space="0"/>
            </w:tcBorders>
            <w:tcMar>
              <w:top w:w="0" w:type="dxa"/>
              <w:left w:w="28" w:type="dxa"/>
              <w:bottom w:w="0" w:type="dxa"/>
              <w:right w:w="28" w:type="dxa"/>
            </w:tcMar>
            <w:vAlign w:val="center"/>
          </w:tcPr>
          <w:p>
            <w:pPr>
              <w:snapToGrid w:val="0"/>
              <w:spacing w:line="420" w:lineRule="exact"/>
              <w:jc w:val="center"/>
              <w:rPr>
                <w:rFonts w:ascii="宋体" w:cs="宋体"/>
                <w:kern w:val="0"/>
                <w:sz w:val="28"/>
                <w:szCs w:val="20"/>
              </w:rPr>
            </w:pPr>
            <w:r>
              <w:rPr>
                <w:rFonts w:hint="eastAsia" w:ascii="宋体" w:hAnsi="宋体" w:cs="宋体"/>
                <w:kern w:val="0"/>
                <w:sz w:val="28"/>
                <w:szCs w:val="20"/>
              </w:rPr>
              <w:t>竣工日期</w:t>
            </w:r>
          </w:p>
        </w:tc>
      </w:tr>
      <w:tr>
        <w:tblPrEx>
          <w:tblCellMar>
            <w:top w:w="0" w:type="dxa"/>
            <w:left w:w="0" w:type="dxa"/>
            <w:bottom w:w="0" w:type="dxa"/>
            <w:right w:w="0" w:type="dxa"/>
          </w:tblCellMar>
        </w:tblPrEx>
        <w:trPr>
          <w:trHeight w:val="602" w:hRule="atLeast"/>
          <w:jc w:val="center"/>
        </w:trPr>
        <w:tc>
          <w:tcPr>
            <w:tcW w:w="1186" w:type="dxa"/>
            <w:tcBorders>
              <w:top w:val="double" w:color="000000" w:sz="6" w:space="0"/>
              <w:left w:val="single" w:color="000000" w:sz="12" w:space="0"/>
              <w:bottom w:val="single" w:color="000000" w:sz="6" w:space="0"/>
              <w:right w:val="single" w:color="000000" w:sz="6" w:space="0"/>
            </w:tcBorders>
            <w:tcMar>
              <w:top w:w="0" w:type="dxa"/>
              <w:left w:w="28" w:type="dxa"/>
              <w:bottom w:w="0" w:type="dxa"/>
              <w:right w:w="28" w:type="dxa"/>
            </w:tcMar>
            <w:vAlign w:val="center"/>
          </w:tcPr>
          <w:p>
            <w:pPr>
              <w:jc w:val="center"/>
              <w:rPr>
                <w:rFonts w:ascii="宋体" w:cs="宋体"/>
                <w:kern w:val="0"/>
                <w:sz w:val="24"/>
                <w:szCs w:val="24"/>
              </w:rPr>
            </w:pPr>
            <w:r>
              <w:rPr>
                <w:rFonts w:ascii="宋体" w:hAnsi="宋体" w:cs="宋体"/>
                <w:kern w:val="0"/>
                <w:szCs w:val="24"/>
              </w:rPr>
              <w:t xml:space="preserve">                          </w:t>
            </w:r>
          </w:p>
        </w:tc>
        <w:tc>
          <w:tcPr>
            <w:tcW w:w="640" w:type="dxa"/>
            <w:tcBorders>
              <w:top w:val="doub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jc w:val="center"/>
              <w:rPr>
                <w:rFonts w:ascii="宋体" w:cs="宋体"/>
                <w:kern w:val="0"/>
                <w:szCs w:val="20"/>
              </w:rPr>
            </w:pPr>
            <w:r>
              <w:rPr>
                <w:rFonts w:ascii="宋体" w:hAnsi="宋体" w:cs="宋体"/>
                <w:kern w:val="0"/>
                <w:sz w:val="30"/>
                <w:szCs w:val="20"/>
              </w:rPr>
              <w:t>/</w:t>
            </w:r>
          </w:p>
        </w:tc>
        <w:tc>
          <w:tcPr>
            <w:tcW w:w="1225" w:type="dxa"/>
            <w:tcBorders>
              <w:top w:val="doub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jc w:val="center"/>
              <w:rPr>
                <w:rFonts w:ascii="宋体" w:cs="宋体"/>
                <w:kern w:val="0"/>
                <w:sz w:val="24"/>
                <w:szCs w:val="24"/>
              </w:rPr>
            </w:pPr>
          </w:p>
        </w:tc>
        <w:tc>
          <w:tcPr>
            <w:tcW w:w="735" w:type="dxa"/>
            <w:tcBorders>
              <w:top w:val="doub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jc w:val="center"/>
              <w:rPr>
                <w:rFonts w:ascii="宋体" w:cs="宋体"/>
                <w:kern w:val="0"/>
                <w:sz w:val="24"/>
                <w:szCs w:val="24"/>
              </w:rPr>
            </w:pPr>
          </w:p>
        </w:tc>
        <w:tc>
          <w:tcPr>
            <w:tcW w:w="700" w:type="dxa"/>
            <w:tcBorders>
              <w:top w:val="doub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jc w:val="center"/>
              <w:rPr>
                <w:rFonts w:ascii="宋体" w:cs="宋体"/>
                <w:kern w:val="0"/>
                <w:szCs w:val="20"/>
              </w:rPr>
            </w:pPr>
          </w:p>
        </w:tc>
        <w:tc>
          <w:tcPr>
            <w:tcW w:w="660" w:type="dxa"/>
            <w:tcBorders>
              <w:top w:val="doub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jc w:val="center"/>
              <w:rPr>
                <w:rFonts w:ascii="宋体" w:cs="宋体"/>
                <w:kern w:val="0"/>
                <w:sz w:val="24"/>
                <w:szCs w:val="24"/>
              </w:rPr>
            </w:pPr>
          </w:p>
        </w:tc>
        <w:tc>
          <w:tcPr>
            <w:tcW w:w="720" w:type="dxa"/>
            <w:tcBorders>
              <w:top w:val="doub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jc w:val="center"/>
              <w:rPr>
                <w:rFonts w:ascii="宋体" w:cs="宋体"/>
                <w:kern w:val="0"/>
                <w:szCs w:val="20"/>
              </w:rPr>
            </w:pPr>
            <w:r>
              <w:rPr>
                <w:rFonts w:ascii="宋体" w:hAnsi="宋体" w:cs="宋体"/>
                <w:kern w:val="0"/>
                <w:sz w:val="30"/>
                <w:szCs w:val="20"/>
              </w:rPr>
              <w:t>/</w:t>
            </w:r>
          </w:p>
        </w:tc>
        <w:tc>
          <w:tcPr>
            <w:tcW w:w="1527" w:type="dxa"/>
            <w:tcBorders>
              <w:top w:val="doub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jc w:val="center"/>
              <w:rPr>
                <w:rFonts w:ascii="宋体" w:cs="宋体"/>
                <w:kern w:val="0"/>
                <w:sz w:val="24"/>
                <w:szCs w:val="24"/>
              </w:rPr>
            </w:pPr>
            <w:r>
              <w:rPr>
                <w:rFonts w:ascii="宋体" w:hAnsi="宋体"/>
                <w:spacing w:val="-91"/>
                <w:szCs w:val="24"/>
              </w:rPr>
              <w:t xml:space="preserve"> </w:t>
            </w:r>
          </w:p>
        </w:tc>
        <w:tc>
          <w:tcPr>
            <w:tcW w:w="1276" w:type="dxa"/>
            <w:tcBorders>
              <w:top w:val="doub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jc w:val="center"/>
              <w:rPr>
                <w:rFonts w:ascii="宋体" w:cs="宋体"/>
                <w:kern w:val="0"/>
                <w:sz w:val="24"/>
                <w:szCs w:val="24"/>
              </w:rPr>
            </w:pPr>
          </w:p>
        </w:tc>
        <w:tc>
          <w:tcPr>
            <w:tcW w:w="1559" w:type="dxa"/>
            <w:tcBorders>
              <w:top w:val="double" w:color="000000" w:sz="6" w:space="0"/>
              <w:left w:val="single" w:color="000000" w:sz="6" w:space="0"/>
              <w:bottom w:val="single" w:color="000000" w:sz="6" w:space="0"/>
              <w:right w:val="single" w:color="000000" w:sz="12" w:space="0"/>
            </w:tcBorders>
            <w:tcMar>
              <w:top w:w="0" w:type="dxa"/>
              <w:left w:w="28" w:type="dxa"/>
              <w:bottom w:w="0" w:type="dxa"/>
              <w:right w:w="28" w:type="dxa"/>
            </w:tcMar>
            <w:vAlign w:val="center"/>
          </w:tcPr>
          <w:p>
            <w:pPr>
              <w:jc w:val="center"/>
              <w:rPr>
                <w:rFonts w:ascii="宋体" w:cs="宋体"/>
                <w:kern w:val="0"/>
                <w:sz w:val="24"/>
                <w:szCs w:val="24"/>
              </w:rPr>
            </w:pPr>
          </w:p>
        </w:tc>
      </w:tr>
      <w:tr>
        <w:tblPrEx>
          <w:tblCellMar>
            <w:top w:w="0" w:type="dxa"/>
            <w:left w:w="0" w:type="dxa"/>
            <w:bottom w:w="0" w:type="dxa"/>
            <w:right w:w="0" w:type="dxa"/>
          </w:tblCellMar>
        </w:tblPrEx>
        <w:trPr>
          <w:trHeight w:val="602" w:hRule="atLeast"/>
          <w:jc w:val="center"/>
        </w:trPr>
        <w:tc>
          <w:tcPr>
            <w:tcW w:w="1186" w:type="dxa"/>
            <w:tcBorders>
              <w:left w:val="single" w:color="000000" w:sz="12"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640"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1225"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735"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700"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660"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720"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1527"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1276"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1559" w:type="dxa"/>
            <w:tcBorders>
              <w:left w:val="single" w:color="000000" w:sz="6" w:space="0"/>
              <w:right w:val="single" w:color="000000" w:sz="12"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r>
      <w:tr>
        <w:tblPrEx>
          <w:tblCellMar>
            <w:top w:w="0" w:type="dxa"/>
            <w:left w:w="0" w:type="dxa"/>
            <w:bottom w:w="0" w:type="dxa"/>
            <w:right w:w="0" w:type="dxa"/>
          </w:tblCellMar>
        </w:tblPrEx>
        <w:trPr>
          <w:trHeight w:val="602" w:hRule="atLeast"/>
          <w:jc w:val="center"/>
        </w:trPr>
        <w:tc>
          <w:tcPr>
            <w:tcW w:w="1186" w:type="dxa"/>
            <w:tcBorders>
              <w:left w:val="single" w:color="000000" w:sz="12"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640"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1225"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735"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700"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660"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720"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1527"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1276"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1559" w:type="dxa"/>
            <w:tcBorders>
              <w:left w:val="single" w:color="000000" w:sz="6" w:space="0"/>
              <w:right w:val="single" w:color="000000" w:sz="12"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r>
      <w:tr>
        <w:tblPrEx>
          <w:tblCellMar>
            <w:top w:w="0" w:type="dxa"/>
            <w:left w:w="0" w:type="dxa"/>
            <w:bottom w:w="0" w:type="dxa"/>
            <w:right w:w="0" w:type="dxa"/>
          </w:tblCellMar>
        </w:tblPrEx>
        <w:trPr>
          <w:trHeight w:val="602" w:hRule="atLeast"/>
          <w:jc w:val="center"/>
        </w:trPr>
        <w:tc>
          <w:tcPr>
            <w:tcW w:w="1186" w:type="dxa"/>
            <w:tcBorders>
              <w:left w:val="single" w:color="000000" w:sz="12"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640"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1225"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735"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700"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660"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720"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1527"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1276"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1559" w:type="dxa"/>
            <w:tcBorders>
              <w:left w:val="single" w:color="000000" w:sz="6" w:space="0"/>
              <w:right w:val="single" w:color="000000" w:sz="12"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r>
      <w:tr>
        <w:tblPrEx>
          <w:tblCellMar>
            <w:top w:w="0" w:type="dxa"/>
            <w:left w:w="0" w:type="dxa"/>
            <w:bottom w:w="0" w:type="dxa"/>
            <w:right w:w="0" w:type="dxa"/>
          </w:tblCellMar>
        </w:tblPrEx>
        <w:trPr>
          <w:trHeight w:val="602" w:hRule="atLeast"/>
          <w:jc w:val="center"/>
        </w:trPr>
        <w:tc>
          <w:tcPr>
            <w:tcW w:w="1186" w:type="dxa"/>
            <w:tcBorders>
              <w:left w:val="single" w:color="000000" w:sz="12"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640"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1225"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735"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700"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660"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720"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1527"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1276" w:type="dxa"/>
            <w:tcBorders>
              <w:left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1559" w:type="dxa"/>
            <w:tcBorders>
              <w:left w:val="single" w:color="000000" w:sz="6" w:space="0"/>
              <w:right w:val="single" w:color="000000" w:sz="12"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r>
      <w:tr>
        <w:tblPrEx>
          <w:tblCellMar>
            <w:top w:w="0" w:type="dxa"/>
            <w:left w:w="0" w:type="dxa"/>
            <w:bottom w:w="0" w:type="dxa"/>
            <w:right w:w="0" w:type="dxa"/>
          </w:tblCellMar>
        </w:tblPrEx>
        <w:trPr>
          <w:trHeight w:val="602" w:hRule="atLeast"/>
          <w:jc w:val="center"/>
        </w:trPr>
        <w:tc>
          <w:tcPr>
            <w:tcW w:w="1186" w:type="dxa"/>
            <w:tcBorders>
              <w:left w:val="single" w:color="000000" w:sz="12" w:space="0"/>
              <w:bottom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640" w:type="dxa"/>
            <w:tcBorders>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1225" w:type="dxa"/>
            <w:tcBorders>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735" w:type="dxa"/>
            <w:tcBorders>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700" w:type="dxa"/>
            <w:tcBorders>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660" w:type="dxa"/>
            <w:tcBorders>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720" w:type="dxa"/>
            <w:tcBorders>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1527" w:type="dxa"/>
            <w:tcBorders>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1276" w:type="dxa"/>
            <w:tcBorders>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c>
          <w:tcPr>
            <w:tcW w:w="1559" w:type="dxa"/>
            <w:tcBorders>
              <w:left w:val="single" w:color="000000" w:sz="6" w:space="0"/>
              <w:bottom w:val="single" w:color="000000" w:sz="6" w:space="0"/>
              <w:right w:val="single" w:color="000000" w:sz="12" w:space="0"/>
            </w:tcBorders>
            <w:tcMar>
              <w:top w:w="0" w:type="dxa"/>
              <w:left w:w="28" w:type="dxa"/>
              <w:bottom w:w="0" w:type="dxa"/>
              <w:right w:w="28" w:type="dxa"/>
            </w:tcMar>
            <w:vAlign w:val="center"/>
          </w:tcPr>
          <w:p>
            <w:pPr>
              <w:snapToGrid w:val="0"/>
              <w:spacing w:line="420" w:lineRule="exact"/>
              <w:rPr>
                <w:rFonts w:ascii="宋体" w:cs="宋体"/>
                <w:kern w:val="0"/>
                <w:sz w:val="30"/>
                <w:szCs w:val="20"/>
              </w:rPr>
            </w:pPr>
          </w:p>
        </w:tc>
      </w:tr>
    </w:tbl>
    <w:p>
      <w:pPr>
        <w:spacing w:line="400" w:lineRule="exact"/>
        <w:ind w:firstLine="420" w:firstLineChars="200"/>
        <w:rPr>
          <w:rFonts w:ascii="宋体" w:hAnsi="宋体" w:cs="宋体"/>
          <w:szCs w:val="22"/>
        </w:rPr>
      </w:pPr>
      <w:r>
        <w:rPr>
          <w:rFonts w:hint="eastAsia" w:ascii="宋体" w:hAnsi="宋体" w:cs="宋体"/>
          <w:szCs w:val="22"/>
        </w:rPr>
        <w:br w:type="page"/>
      </w:r>
      <w:r>
        <w:rPr>
          <w:rFonts w:hint="eastAsia" w:ascii="宋体" w:hAnsi="宋体" w:cs="宋体"/>
          <w:szCs w:val="22"/>
        </w:rPr>
        <w:t>附件2：</w:t>
      </w:r>
    </w:p>
    <w:p>
      <w:pPr>
        <w:spacing w:line="400" w:lineRule="exact"/>
        <w:ind w:firstLine="420" w:firstLineChars="200"/>
        <w:rPr>
          <w:rFonts w:ascii="宋体" w:hAnsi="宋体" w:cs="宋体"/>
          <w:szCs w:val="22"/>
        </w:rPr>
      </w:pPr>
      <w:r>
        <w:rPr>
          <w:rFonts w:hint="eastAsia" w:ascii="宋体" w:hAnsi="宋体" w:cs="宋体"/>
          <w:szCs w:val="22"/>
        </w:rPr>
        <w:t>发包人供应材料设备一览表</w:t>
      </w:r>
    </w:p>
    <w:tbl>
      <w:tblPr>
        <w:tblStyle w:val="45"/>
        <w:tblW w:w="10227" w:type="dxa"/>
        <w:jc w:val="center"/>
        <w:tblLayout w:type="fixed"/>
        <w:tblCellMar>
          <w:top w:w="0" w:type="dxa"/>
          <w:left w:w="0" w:type="dxa"/>
          <w:bottom w:w="0" w:type="dxa"/>
          <w:right w:w="0" w:type="dxa"/>
        </w:tblCellMar>
      </w:tblPr>
      <w:tblGrid>
        <w:gridCol w:w="851"/>
        <w:gridCol w:w="1276"/>
        <w:gridCol w:w="1418"/>
        <w:gridCol w:w="940"/>
        <w:gridCol w:w="851"/>
        <w:gridCol w:w="1044"/>
        <w:gridCol w:w="992"/>
        <w:gridCol w:w="851"/>
        <w:gridCol w:w="1074"/>
        <w:gridCol w:w="930"/>
      </w:tblGrid>
      <w:tr>
        <w:tblPrEx>
          <w:tblCellMar>
            <w:top w:w="0" w:type="dxa"/>
            <w:left w:w="0" w:type="dxa"/>
            <w:bottom w:w="0" w:type="dxa"/>
            <w:right w:w="0" w:type="dxa"/>
          </w:tblCellMar>
        </w:tblPrEx>
        <w:trPr>
          <w:jc w:val="center"/>
        </w:trPr>
        <w:tc>
          <w:tcPr>
            <w:tcW w:w="851" w:type="dxa"/>
            <w:tcBorders>
              <w:top w:val="single" w:color="000000" w:sz="12" w:space="0"/>
              <w:left w:val="single" w:color="000000" w:sz="12" w:space="0"/>
              <w:bottom w:val="doub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r>
              <w:rPr>
                <w:rFonts w:hint="eastAsia" w:ascii="宋体" w:hAnsi="宋体" w:cs="宋体"/>
                <w:szCs w:val="22"/>
              </w:rPr>
              <w:t>序号</w:t>
            </w:r>
          </w:p>
        </w:tc>
        <w:tc>
          <w:tcPr>
            <w:tcW w:w="1276" w:type="dxa"/>
            <w:tcBorders>
              <w:top w:val="single" w:color="000000" w:sz="12" w:space="0"/>
              <w:left w:val="single" w:color="000000" w:sz="6" w:space="0"/>
              <w:bottom w:val="doub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r>
              <w:rPr>
                <w:rFonts w:hint="eastAsia" w:ascii="宋体" w:hAnsi="宋体" w:cs="宋体"/>
                <w:szCs w:val="22"/>
              </w:rPr>
              <w:t>材料、</w:t>
            </w:r>
          </w:p>
          <w:p>
            <w:pPr>
              <w:spacing w:line="400" w:lineRule="exact"/>
              <w:ind w:firstLine="420" w:firstLineChars="200"/>
              <w:rPr>
                <w:rFonts w:ascii="宋体" w:hAnsi="宋体" w:cs="宋体"/>
                <w:szCs w:val="22"/>
              </w:rPr>
            </w:pPr>
            <w:r>
              <w:rPr>
                <w:rFonts w:hint="eastAsia" w:ascii="宋体" w:hAnsi="宋体" w:cs="宋体"/>
                <w:szCs w:val="22"/>
              </w:rPr>
              <w:t>设备品种</w:t>
            </w:r>
          </w:p>
        </w:tc>
        <w:tc>
          <w:tcPr>
            <w:tcW w:w="1418" w:type="dxa"/>
            <w:tcBorders>
              <w:top w:val="single" w:color="000000" w:sz="12" w:space="0"/>
              <w:left w:val="single" w:color="000000" w:sz="6" w:space="0"/>
              <w:bottom w:val="doub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r>
              <w:rPr>
                <w:rFonts w:hint="eastAsia" w:ascii="宋体" w:hAnsi="宋体" w:cs="宋体"/>
                <w:szCs w:val="22"/>
              </w:rPr>
              <w:t>规格型号</w:t>
            </w:r>
          </w:p>
        </w:tc>
        <w:tc>
          <w:tcPr>
            <w:tcW w:w="940" w:type="dxa"/>
            <w:tcBorders>
              <w:top w:val="single" w:color="000000" w:sz="12" w:space="0"/>
              <w:left w:val="single" w:color="000000" w:sz="6" w:space="0"/>
              <w:bottom w:val="doub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r>
              <w:rPr>
                <w:rFonts w:hint="eastAsia" w:ascii="宋体" w:hAnsi="宋体" w:cs="宋体"/>
                <w:szCs w:val="22"/>
              </w:rPr>
              <w:t>单位</w:t>
            </w:r>
          </w:p>
        </w:tc>
        <w:tc>
          <w:tcPr>
            <w:tcW w:w="851" w:type="dxa"/>
            <w:tcBorders>
              <w:top w:val="single" w:color="000000" w:sz="12" w:space="0"/>
              <w:left w:val="single" w:color="000000" w:sz="6" w:space="0"/>
              <w:bottom w:val="doub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r>
              <w:rPr>
                <w:rFonts w:hint="eastAsia" w:ascii="宋体" w:hAnsi="宋体" w:cs="宋体"/>
                <w:szCs w:val="22"/>
              </w:rPr>
              <w:t>数量</w:t>
            </w:r>
          </w:p>
        </w:tc>
        <w:tc>
          <w:tcPr>
            <w:tcW w:w="1044" w:type="dxa"/>
            <w:tcBorders>
              <w:top w:val="single" w:color="000000" w:sz="12" w:space="0"/>
              <w:left w:val="single" w:color="000000" w:sz="6" w:space="0"/>
              <w:bottom w:val="doub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r>
              <w:rPr>
                <w:rFonts w:hint="eastAsia" w:ascii="宋体" w:hAnsi="宋体" w:cs="宋体"/>
                <w:szCs w:val="22"/>
              </w:rPr>
              <w:t>单价（元）</w:t>
            </w:r>
          </w:p>
        </w:tc>
        <w:tc>
          <w:tcPr>
            <w:tcW w:w="992" w:type="dxa"/>
            <w:tcBorders>
              <w:top w:val="single" w:color="000000" w:sz="12" w:space="0"/>
              <w:left w:val="single" w:color="000000" w:sz="6" w:space="0"/>
              <w:bottom w:val="doub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r>
              <w:rPr>
                <w:rFonts w:hint="eastAsia" w:ascii="宋体" w:hAnsi="宋体" w:cs="宋体"/>
                <w:szCs w:val="22"/>
              </w:rPr>
              <w:t>质量</w:t>
            </w:r>
          </w:p>
          <w:p>
            <w:pPr>
              <w:spacing w:line="400" w:lineRule="exact"/>
              <w:ind w:firstLine="420" w:firstLineChars="200"/>
              <w:rPr>
                <w:rFonts w:ascii="宋体" w:hAnsi="宋体" w:cs="宋体"/>
                <w:szCs w:val="22"/>
              </w:rPr>
            </w:pPr>
            <w:r>
              <w:rPr>
                <w:rFonts w:hint="eastAsia" w:ascii="宋体" w:hAnsi="宋体" w:cs="宋体"/>
                <w:szCs w:val="22"/>
              </w:rPr>
              <w:t>等级</w:t>
            </w:r>
          </w:p>
        </w:tc>
        <w:tc>
          <w:tcPr>
            <w:tcW w:w="851" w:type="dxa"/>
            <w:tcBorders>
              <w:top w:val="single" w:color="000000" w:sz="12" w:space="0"/>
              <w:left w:val="single" w:color="000000" w:sz="6" w:space="0"/>
              <w:bottom w:val="doub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r>
              <w:rPr>
                <w:rFonts w:hint="eastAsia" w:ascii="宋体" w:hAnsi="宋体" w:cs="宋体"/>
                <w:szCs w:val="22"/>
              </w:rPr>
              <w:t>供应</w:t>
            </w:r>
          </w:p>
          <w:p>
            <w:pPr>
              <w:spacing w:line="400" w:lineRule="exact"/>
              <w:ind w:firstLine="420" w:firstLineChars="200"/>
              <w:rPr>
                <w:rFonts w:ascii="宋体" w:hAnsi="宋体" w:cs="宋体"/>
                <w:szCs w:val="22"/>
              </w:rPr>
            </w:pPr>
            <w:r>
              <w:rPr>
                <w:rFonts w:hint="eastAsia" w:ascii="宋体" w:hAnsi="宋体" w:cs="宋体"/>
                <w:szCs w:val="22"/>
              </w:rPr>
              <w:t>时间</w:t>
            </w:r>
          </w:p>
        </w:tc>
        <w:tc>
          <w:tcPr>
            <w:tcW w:w="1074" w:type="dxa"/>
            <w:tcBorders>
              <w:top w:val="single" w:color="000000" w:sz="12" w:space="0"/>
              <w:left w:val="single" w:color="000000" w:sz="6" w:space="0"/>
              <w:bottom w:val="doub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r>
              <w:rPr>
                <w:rFonts w:hint="eastAsia" w:ascii="宋体" w:hAnsi="宋体" w:cs="宋体"/>
                <w:szCs w:val="22"/>
              </w:rPr>
              <w:t>送达地点</w:t>
            </w:r>
          </w:p>
        </w:tc>
        <w:tc>
          <w:tcPr>
            <w:tcW w:w="930" w:type="dxa"/>
            <w:tcBorders>
              <w:top w:val="single" w:color="000000" w:sz="12" w:space="0"/>
              <w:left w:val="single" w:color="000000" w:sz="6" w:space="0"/>
              <w:bottom w:val="double" w:color="000000" w:sz="6" w:space="0"/>
              <w:right w:val="single" w:color="000000" w:sz="12"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r>
              <w:rPr>
                <w:rFonts w:hint="eastAsia" w:ascii="宋体" w:hAnsi="宋体" w:cs="宋体"/>
                <w:szCs w:val="22"/>
              </w:rPr>
              <w:t>备注</w:t>
            </w:r>
          </w:p>
        </w:tc>
      </w:tr>
      <w:tr>
        <w:tblPrEx>
          <w:tblCellMar>
            <w:top w:w="0" w:type="dxa"/>
            <w:left w:w="0" w:type="dxa"/>
            <w:bottom w:w="0" w:type="dxa"/>
            <w:right w:w="0" w:type="dxa"/>
          </w:tblCellMar>
        </w:tblPrEx>
        <w:trPr>
          <w:trHeight w:val="567" w:hRule="atLeast"/>
          <w:jc w:val="center"/>
        </w:trPr>
        <w:tc>
          <w:tcPr>
            <w:tcW w:w="851" w:type="dxa"/>
            <w:tcBorders>
              <w:top w:val="double" w:color="000000" w:sz="6" w:space="0"/>
              <w:left w:val="single" w:color="000000" w:sz="12"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r>
              <w:rPr>
                <w:rFonts w:hint="eastAsia" w:ascii="宋体" w:hAnsi="宋体" w:cs="宋体"/>
                <w:szCs w:val="22"/>
              </w:rPr>
              <w:t>无</w:t>
            </w:r>
          </w:p>
        </w:tc>
        <w:tc>
          <w:tcPr>
            <w:tcW w:w="1276" w:type="dxa"/>
            <w:tcBorders>
              <w:top w:val="double" w:color="000000" w:sz="6" w:space="0"/>
              <w:left w:val="single" w:color="000000" w:sz="6" w:space="0"/>
              <w:bottom w:val="single" w:color="000000" w:sz="6" w:space="0"/>
              <w:right w:val="single" w:color="000000" w:sz="6" w:space="0"/>
            </w:tcBorders>
            <w:tcMar>
              <w:top w:w="0" w:type="dxa"/>
              <w:left w:w="28" w:type="dxa"/>
              <w:bottom w:w="0" w:type="dxa"/>
              <w:right w:w="28" w:type="dxa"/>
            </w:tcMar>
          </w:tcPr>
          <w:p>
            <w:pPr>
              <w:spacing w:line="400" w:lineRule="exact"/>
              <w:ind w:firstLine="420" w:firstLineChars="200"/>
              <w:rPr>
                <w:rFonts w:ascii="宋体" w:hAnsi="宋体" w:cs="宋体"/>
                <w:szCs w:val="22"/>
              </w:rPr>
            </w:pPr>
            <w:r>
              <w:rPr>
                <w:rFonts w:hint="eastAsia" w:ascii="宋体" w:hAnsi="宋体" w:cs="宋体"/>
                <w:szCs w:val="22"/>
              </w:rPr>
              <w:t>无</w:t>
            </w:r>
          </w:p>
        </w:tc>
        <w:tc>
          <w:tcPr>
            <w:tcW w:w="1418" w:type="dxa"/>
            <w:tcBorders>
              <w:top w:val="double" w:color="000000" w:sz="6" w:space="0"/>
              <w:left w:val="single" w:color="000000" w:sz="6" w:space="0"/>
              <w:bottom w:val="single" w:color="000000" w:sz="6" w:space="0"/>
              <w:right w:val="single" w:color="000000" w:sz="6" w:space="0"/>
            </w:tcBorders>
            <w:tcMar>
              <w:top w:w="0" w:type="dxa"/>
              <w:left w:w="28" w:type="dxa"/>
              <w:bottom w:w="0" w:type="dxa"/>
              <w:right w:w="28" w:type="dxa"/>
            </w:tcMar>
          </w:tcPr>
          <w:p>
            <w:pPr>
              <w:spacing w:line="400" w:lineRule="exact"/>
              <w:ind w:firstLine="420" w:firstLineChars="200"/>
              <w:rPr>
                <w:rFonts w:ascii="宋体" w:hAnsi="宋体" w:cs="宋体"/>
                <w:szCs w:val="22"/>
              </w:rPr>
            </w:pPr>
            <w:r>
              <w:rPr>
                <w:rFonts w:hint="eastAsia" w:ascii="宋体" w:hAnsi="宋体" w:cs="宋体"/>
                <w:szCs w:val="22"/>
              </w:rPr>
              <w:t>无</w:t>
            </w:r>
          </w:p>
        </w:tc>
        <w:tc>
          <w:tcPr>
            <w:tcW w:w="940" w:type="dxa"/>
            <w:tcBorders>
              <w:top w:val="double" w:color="000000" w:sz="6" w:space="0"/>
              <w:left w:val="single" w:color="000000" w:sz="6" w:space="0"/>
              <w:bottom w:val="single" w:color="000000" w:sz="6" w:space="0"/>
              <w:right w:val="single" w:color="000000" w:sz="6" w:space="0"/>
            </w:tcBorders>
            <w:tcMar>
              <w:top w:w="0" w:type="dxa"/>
              <w:left w:w="28" w:type="dxa"/>
              <w:bottom w:w="0" w:type="dxa"/>
              <w:right w:w="28" w:type="dxa"/>
            </w:tcMar>
          </w:tcPr>
          <w:p>
            <w:pPr>
              <w:spacing w:line="400" w:lineRule="exact"/>
              <w:ind w:firstLine="420" w:firstLineChars="200"/>
              <w:rPr>
                <w:rFonts w:ascii="宋体" w:hAnsi="宋体" w:cs="宋体"/>
                <w:szCs w:val="22"/>
              </w:rPr>
            </w:pPr>
            <w:r>
              <w:rPr>
                <w:rFonts w:hint="eastAsia" w:ascii="宋体" w:hAnsi="宋体" w:cs="宋体"/>
                <w:szCs w:val="22"/>
              </w:rPr>
              <w:t>无</w:t>
            </w:r>
          </w:p>
        </w:tc>
        <w:tc>
          <w:tcPr>
            <w:tcW w:w="851" w:type="dxa"/>
            <w:tcBorders>
              <w:top w:val="double" w:color="000000" w:sz="6" w:space="0"/>
              <w:left w:val="single" w:color="000000" w:sz="6" w:space="0"/>
              <w:bottom w:val="single" w:color="000000" w:sz="6" w:space="0"/>
              <w:right w:val="single" w:color="000000" w:sz="6" w:space="0"/>
            </w:tcBorders>
            <w:tcMar>
              <w:top w:w="0" w:type="dxa"/>
              <w:left w:w="28" w:type="dxa"/>
              <w:bottom w:w="0" w:type="dxa"/>
              <w:right w:w="28" w:type="dxa"/>
            </w:tcMar>
          </w:tcPr>
          <w:p>
            <w:pPr>
              <w:spacing w:line="400" w:lineRule="exact"/>
              <w:ind w:firstLine="420" w:firstLineChars="200"/>
              <w:rPr>
                <w:rFonts w:ascii="宋体" w:hAnsi="宋体" w:cs="宋体"/>
                <w:szCs w:val="22"/>
              </w:rPr>
            </w:pPr>
            <w:r>
              <w:rPr>
                <w:rFonts w:hint="eastAsia" w:ascii="宋体" w:hAnsi="宋体" w:cs="宋体"/>
                <w:szCs w:val="22"/>
              </w:rPr>
              <w:t>无</w:t>
            </w:r>
          </w:p>
        </w:tc>
        <w:tc>
          <w:tcPr>
            <w:tcW w:w="1044" w:type="dxa"/>
            <w:tcBorders>
              <w:top w:val="double" w:color="000000" w:sz="6" w:space="0"/>
              <w:left w:val="single" w:color="000000" w:sz="6" w:space="0"/>
              <w:bottom w:val="single" w:color="000000" w:sz="6" w:space="0"/>
              <w:right w:val="single" w:color="000000" w:sz="6" w:space="0"/>
            </w:tcBorders>
            <w:tcMar>
              <w:top w:w="0" w:type="dxa"/>
              <w:left w:w="28" w:type="dxa"/>
              <w:bottom w:w="0" w:type="dxa"/>
              <w:right w:w="28" w:type="dxa"/>
            </w:tcMar>
          </w:tcPr>
          <w:p>
            <w:pPr>
              <w:spacing w:line="400" w:lineRule="exact"/>
              <w:ind w:firstLine="420" w:firstLineChars="200"/>
              <w:rPr>
                <w:rFonts w:ascii="宋体" w:hAnsi="宋体" w:cs="宋体"/>
                <w:szCs w:val="22"/>
              </w:rPr>
            </w:pPr>
            <w:r>
              <w:rPr>
                <w:rFonts w:hint="eastAsia" w:ascii="宋体" w:hAnsi="宋体" w:cs="宋体"/>
                <w:szCs w:val="22"/>
              </w:rPr>
              <w:t>无</w:t>
            </w:r>
          </w:p>
        </w:tc>
        <w:tc>
          <w:tcPr>
            <w:tcW w:w="992" w:type="dxa"/>
            <w:tcBorders>
              <w:top w:val="double" w:color="000000" w:sz="6" w:space="0"/>
              <w:left w:val="single" w:color="000000" w:sz="6" w:space="0"/>
              <w:bottom w:val="single" w:color="000000" w:sz="6" w:space="0"/>
              <w:right w:val="single" w:color="000000" w:sz="6" w:space="0"/>
            </w:tcBorders>
            <w:tcMar>
              <w:top w:w="0" w:type="dxa"/>
              <w:left w:w="28" w:type="dxa"/>
              <w:bottom w:w="0" w:type="dxa"/>
              <w:right w:w="28" w:type="dxa"/>
            </w:tcMar>
          </w:tcPr>
          <w:p>
            <w:pPr>
              <w:spacing w:line="400" w:lineRule="exact"/>
              <w:ind w:firstLine="420" w:firstLineChars="200"/>
              <w:rPr>
                <w:rFonts w:ascii="宋体" w:hAnsi="宋体" w:cs="宋体"/>
                <w:szCs w:val="22"/>
              </w:rPr>
            </w:pPr>
            <w:r>
              <w:rPr>
                <w:rFonts w:hint="eastAsia" w:ascii="宋体" w:hAnsi="宋体" w:cs="宋体"/>
                <w:szCs w:val="22"/>
              </w:rPr>
              <w:t>无</w:t>
            </w:r>
          </w:p>
        </w:tc>
        <w:tc>
          <w:tcPr>
            <w:tcW w:w="851" w:type="dxa"/>
            <w:tcBorders>
              <w:top w:val="double" w:color="000000" w:sz="6" w:space="0"/>
              <w:left w:val="single" w:color="000000" w:sz="6" w:space="0"/>
              <w:bottom w:val="single" w:color="000000" w:sz="6" w:space="0"/>
              <w:right w:val="single" w:color="000000" w:sz="6" w:space="0"/>
            </w:tcBorders>
            <w:tcMar>
              <w:top w:w="0" w:type="dxa"/>
              <w:left w:w="28" w:type="dxa"/>
              <w:bottom w:w="0" w:type="dxa"/>
              <w:right w:w="28" w:type="dxa"/>
            </w:tcMar>
          </w:tcPr>
          <w:p>
            <w:pPr>
              <w:spacing w:line="400" w:lineRule="exact"/>
              <w:ind w:firstLine="420" w:firstLineChars="200"/>
              <w:rPr>
                <w:rFonts w:ascii="宋体" w:hAnsi="宋体" w:cs="宋体"/>
                <w:szCs w:val="22"/>
              </w:rPr>
            </w:pPr>
            <w:r>
              <w:rPr>
                <w:rFonts w:hint="eastAsia" w:ascii="宋体" w:hAnsi="宋体" w:cs="宋体"/>
                <w:szCs w:val="22"/>
              </w:rPr>
              <w:t>无</w:t>
            </w:r>
          </w:p>
        </w:tc>
        <w:tc>
          <w:tcPr>
            <w:tcW w:w="1074" w:type="dxa"/>
            <w:tcBorders>
              <w:top w:val="double" w:color="000000" w:sz="6" w:space="0"/>
              <w:left w:val="single" w:color="000000" w:sz="6" w:space="0"/>
              <w:bottom w:val="single" w:color="000000" w:sz="6" w:space="0"/>
              <w:right w:val="single" w:color="000000" w:sz="6" w:space="0"/>
            </w:tcBorders>
            <w:tcMar>
              <w:top w:w="0" w:type="dxa"/>
              <w:left w:w="28" w:type="dxa"/>
              <w:bottom w:w="0" w:type="dxa"/>
              <w:right w:w="28" w:type="dxa"/>
            </w:tcMar>
          </w:tcPr>
          <w:p>
            <w:pPr>
              <w:spacing w:line="400" w:lineRule="exact"/>
              <w:ind w:firstLine="420" w:firstLineChars="200"/>
              <w:rPr>
                <w:rFonts w:ascii="宋体" w:hAnsi="宋体" w:cs="宋体"/>
                <w:szCs w:val="22"/>
              </w:rPr>
            </w:pPr>
            <w:r>
              <w:rPr>
                <w:rFonts w:hint="eastAsia" w:ascii="宋体" w:hAnsi="宋体" w:cs="宋体"/>
                <w:szCs w:val="22"/>
              </w:rPr>
              <w:t>无</w:t>
            </w:r>
          </w:p>
        </w:tc>
        <w:tc>
          <w:tcPr>
            <w:tcW w:w="930" w:type="dxa"/>
            <w:tcBorders>
              <w:top w:val="double" w:color="000000" w:sz="6" w:space="0"/>
              <w:left w:val="single" w:color="000000" w:sz="6" w:space="0"/>
              <w:bottom w:val="single" w:color="000000" w:sz="6" w:space="0"/>
              <w:right w:val="single" w:color="000000" w:sz="12" w:space="0"/>
            </w:tcBorders>
            <w:tcMar>
              <w:top w:w="0" w:type="dxa"/>
              <w:left w:w="28" w:type="dxa"/>
              <w:bottom w:w="0" w:type="dxa"/>
              <w:right w:w="28" w:type="dxa"/>
            </w:tcMar>
          </w:tcPr>
          <w:p>
            <w:pPr>
              <w:spacing w:line="400" w:lineRule="exact"/>
              <w:ind w:firstLine="420" w:firstLineChars="200"/>
              <w:rPr>
                <w:rFonts w:ascii="宋体" w:hAnsi="宋体" w:cs="宋体"/>
                <w:szCs w:val="22"/>
              </w:rPr>
            </w:pPr>
            <w:r>
              <w:rPr>
                <w:rFonts w:hint="eastAsia" w:ascii="宋体" w:hAnsi="宋体" w:cs="宋体"/>
                <w:szCs w:val="22"/>
              </w:rPr>
              <w:t>无</w:t>
            </w:r>
          </w:p>
        </w:tc>
      </w:tr>
      <w:tr>
        <w:tblPrEx>
          <w:tblCellMar>
            <w:top w:w="0" w:type="dxa"/>
            <w:left w:w="0" w:type="dxa"/>
            <w:bottom w:w="0" w:type="dxa"/>
            <w:right w:w="0" w:type="dxa"/>
          </w:tblCellMar>
        </w:tblPrEx>
        <w:trPr>
          <w:trHeight w:val="567" w:hRule="atLeast"/>
          <w:jc w:val="center"/>
        </w:trPr>
        <w:tc>
          <w:tcPr>
            <w:tcW w:w="851" w:type="dxa"/>
            <w:tcBorders>
              <w:left w:val="single" w:color="000000" w:sz="12"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276" w:type="dxa"/>
            <w:tcBorders>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418" w:type="dxa"/>
            <w:tcBorders>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40" w:type="dxa"/>
            <w:tcBorders>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851" w:type="dxa"/>
            <w:tcBorders>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044" w:type="dxa"/>
            <w:tcBorders>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92" w:type="dxa"/>
            <w:tcBorders>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851" w:type="dxa"/>
            <w:tcBorders>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074" w:type="dxa"/>
            <w:tcBorders>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30" w:type="dxa"/>
            <w:tcBorders>
              <w:left w:val="single" w:color="000000" w:sz="6" w:space="0"/>
              <w:bottom w:val="single" w:color="000000" w:sz="6" w:space="0"/>
              <w:right w:val="single" w:color="000000" w:sz="12"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r>
      <w:tr>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276"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41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4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04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92"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07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30" w:type="dxa"/>
            <w:tcBorders>
              <w:top w:val="single" w:color="000000" w:sz="6" w:space="0"/>
              <w:left w:val="single" w:color="000000" w:sz="6" w:space="0"/>
              <w:bottom w:val="single" w:color="000000" w:sz="6" w:space="0"/>
              <w:right w:val="single" w:color="000000" w:sz="12"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r>
      <w:tr>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276"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41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4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04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92"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07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30" w:type="dxa"/>
            <w:tcBorders>
              <w:top w:val="single" w:color="000000" w:sz="6" w:space="0"/>
              <w:left w:val="single" w:color="000000" w:sz="6" w:space="0"/>
              <w:bottom w:val="single" w:color="000000" w:sz="6" w:space="0"/>
              <w:right w:val="single" w:color="000000" w:sz="12"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r>
      <w:tr>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276"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41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4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04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92"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07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30" w:type="dxa"/>
            <w:tcBorders>
              <w:top w:val="single" w:color="000000" w:sz="6" w:space="0"/>
              <w:left w:val="single" w:color="000000" w:sz="6" w:space="0"/>
              <w:bottom w:val="single" w:color="000000" w:sz="6" w:space="0"/>
              <w:right w:val="single" w:color="000000" w:sz="12"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r>
      <w:tr>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276"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41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4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04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92"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07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30" w:type="dxa"/>
            <w:tcBorders>
              <w:top w:val="single" w:color="000000" w:sz="6" w:space="0"/>
              <w:left w:val="single" w:color="000000" w:sz="6" w:space="0"/>
              <w:bottom w:val="single" w:color="000000" w:sz="6" w:space="0"/>
              <w:right w:val="single" w:color="000000" w:sz="12"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r>
      <w:tr>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276"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41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4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04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92"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07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30" w:type="dxa"/>
            <w:tcBorders>
              <w:top w:val="single" w:color="000000" w:sz="6" w:space="0"/>
              <w:left w:val="single" w:color="000000" w:sz="6" w:space="0"/>
              <w:bottom w:val="single" w:color="000000" w:sz="6" w:space="0"/>
              <w:right w:val="single" w:color="000000" w:sz="12"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r>
      <w:tr>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276"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41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4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04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92"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07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30" w:type="dxa"/>
            <w:tcBorders>
              <w:top w:val="single" w:color="000000" w:sz="6" w:space="0"/>
              <w:left w:val="single" w:color="000000" w:sz="6" w:space="0"/>
              <w:bottom w:val="single" w:color="000000" w:sz="6" w:space="0"/>
              <w:right w:val="single" w:color="000000" w:sz="12"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r>
      <w:tr>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276"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41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4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04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92"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07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30" w:type="dxa"/>
            <w:tcBorders>
              <w:top w:val="single" w:color="000000" w:sz="6" w:space="0"/>
              <w:left w:val="single" w:color="000000" w:sz="6" w:space="0"/>
              <w:bottom w:val="single" w:color="000000" w:sz="6" w:space="0"/>
              <w:right w:val="single" w:color="000000" w:sz="12"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r>
      <w:tr>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276"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41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4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04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92"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07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30" w:type="dxa"/>
            <w:tcBorders>
              <w:top w:val="single" w:color="000000" w:sz="6" w:space="0"/>
              <w:left w:val="single" w:color="000000" w:sz="6" w:space="0"/>
              <w:bottom w:val="single" w:color="000000" w:sz="6" w:space="0"/>
              <w:right w:val="single" w:color="000000" w:sz="12"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r>
      <w:tr>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276"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41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4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04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92"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07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30" w:type="dxa"/>
            <w:tcBorders>
              <w:top w:val="single" w:color="000000" w:sz="6" w:space="0"/>
              <w:left w:val="single" w:color="000000" w:sz="6" w:space="0"/>
              <w:bottom w:val="single" w:color="000000" w:sz="6" w:space="0"/>
              <w:right w:val="single" w:color="000000" w:sz="12"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r>
      <w:tr>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276"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41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4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04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92"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07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30" w:type="dxa"/>
            <w:tcBorders>
              <w:top w:val="single" w:color="000000" w:sz="6" w:space="0"/>
              <w:left w:val="single" w:color="000000" w:sz="6" w:space="0"/>
              <w:bottom w:val="single" w:color="000000" w:sz="6" w:space="0"/>
              <w:right w:val="single" w:color="000000" w:sz="12"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r>
      <w:tr>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276"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41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4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04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92"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07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30" w:type="dxa"/>
            <w:tcBorders>
              <w:top w:val="single" w:color="000000" w:sz="6" w:space="0"/>
              <w:left w:val="single" w:color="000000" w:sz="6" w:space="0"/>
              <w:bottom w:val="single" w:color="000000" w:sz="6" w:space="0"/>
              <w:right w:val="single" w:color="000000" w:sz="12"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r>
      <w:tr>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276"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41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4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04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92"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07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30" w:type="dxa"/>
            <w:tcBorders>
              <w:top w:val="single" w:color="000000" w:sz="6" w:space="0"/>
              <w:left w:val="single" w:color="000000" w:sz="6" w:space="0"/>
              <w:bottom w:val="single" w:color="000000" w:sz="6" w:space="0"/>
              <w:right w:val="single" w:color="000000" w:sz="12"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r>
      <w:tr>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276"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41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4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04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92"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07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30" w:type="dxa"/>
            <w:tcBorders>
              <w:top w:val="single" w:color="000000" w:sz="6" w:space="0"/>
              <w:left w:val="single" w:color="000000" w:sz="6" w:space="0"/>
              <w:bottom w:val="single" w:color="000000" w:sz="6" w:space="0"/>
              <w:right w:val="single" w:color="000000" w:sz="12"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r>
      <w:tr>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276"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41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4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04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92"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07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30" w:type="dxa"/>
            <w:tcBorders>
              <w:top w:val="single" w:color="000000" w:sz="6" w:space="0"/>
              <w:left w:val="single" w:color="000000" w:sz="6" w:space="0"/>
              <w:bottom w:val="single" w:color="000000" w:sz="6" w:space="0"/>
              <w:right w:val="single" w:color="000000" w:sz="12"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r>
      <w:tr>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276"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41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4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04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92"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851"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07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30" w:type="dxa"/>
            <w:tcBorders>
              <w:top w:val="single" w:color="000000" w:sz="6" w:space="0"/>
              <w:left w:val="single" w:color="000000" w:sz="6" w:space="0"/>
              <w:bottom w:val="single" w:color="000000" w:sz="6" w:space="0"/>
              <w:right w:val="single" w:color="000000" w:sz="12"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r>
      <w:tr>
        <w:tblPrEx>
          <w:tblCellMar>
            <w:top w:w="0" w:type="dxa"/>
            <w:left w:w="0" w:type="dxa"/>
            <w:bottom w:w="0" w:type="dxa"/>
            <w:right w:w="0" w:type="dxa"/>
          </w:tblCellMar>
        </w:tblPrEx>
        <w:trPr>
          <w:trHeight w:val="567" w:hRule="atLeast"/>
          <w:jc w:val="center"/>
        </w:trPr>
        <w:tc>
          <w:tcPr>
            <w:tcW w:w="851" w:type="dxa"/>
            <w:tcBorders>
              <w:top w:val="single" w:color="000000" w:sz="6" w:space="0"/>
              <w:left w:val="single" w:color="000000" w:sz="12" w:space="0"/>
              <w:bottom w:val="single" w:color="000000" w:sz="12"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276" w:type="dxa"/>
            <w:tcBorders>
              <w:top w:val="single" w:color="000000" w:sz="6" w:space="0"/>
              <w:left w:val="single" w:color="000000" w:sz="6" w:space="0"/>
              <w:bottom w:val="single" w:color="000000" w:sz="12"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418" w:type="dxa"/>
            <w:tcBorders>
              <w:top w:val="single" w:color="000000" w:sz="6" w:space="0"/>
              <w:left w:val="single" w:color="000000" w:sz="6" w:space="0"/>
              <w:bottom w:val="single" w:color="000000" w:sz="12"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40" w:type="dxa"/>
            <w:tcBorders>
              <w:top w:val="single" w:color="000000" w:sz="6" w:space="0"/>
              <w:left w:val="single" w:color="000000" w:sz="6" w:space="0"/>
              <w:bottom w:val="single" w:color="000000" w:sz="12"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851" w:type="dxa"/>
            <w:tcBorders>
              <w:top w:val="single" w:color="000000" w:sz="6" w:space="0"/>
              <w:left w:val="single" w:color="000000" w:sz="6" w:space="0"/>
              <w:bottom w:val="single" w:color="000000" w:sz="12"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044" w:type="dxa"/>
            <w:tcBorders>
              <w:top w:val="single" w:color="000000" w:sz="6" w:space="0"/>
              <w:left w:val="single" w:color="000000" w:sz="6" w:space="0"/>
              <w:bottom w:val="single" w:color="000000" w:sz="12"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92" w:type="dxa"/>
            <w:tcBorders>
              <w:top w:val="single" w:color="000000" w:sz="6" w:space="0"/>
              <w:left w:val="single" w:color="000000" w:sz="6" w:space="0"/>
              <w:bottom w:val="single" w:color="000000" w:sz="12"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851" w:type="dxa"/>
            <w:tcBorders>
              <w:top w:val="single" w:color="000000" w:sz="6" w:space="0"/>
              <w:left w:val="single" w:color="000000" w:sz="6" w:space="0"/>
              <w:bottom w:val="single" w:color="000000" w:sz="12"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1074" w:type="dxa"/>
            <w:tcBorders>
              <w:top w:val="single" w:color="000000" w:sz="6" w:space="0"/>
              <w:left w:val="single" w:color="000000" w:sz="6" w:space="0"/>
              <w:bottom w:val="single" w:color="000000" w:sz="12" w:space="0"/>
              <w:right w:val="single" w:color="000000" w:sz="6"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c>
          <w:tcPr>
            <w:tcW w:w="930" w:type="dxa"/>
            <w:tcBorders>
              <w:top w:val="single" w:color="000000" w:sz="6" w:space="0"/>
              <w:left w:val="single" w:color="000000" w:sz="6" w:space="0"/>
              <w:bottom w:val="single" w:color="000000" w:sz="12" w:space="0"/>
              <w:right w:val="single" w:color="000000" w:sz="12" w:space="0"/>
            </w:tcBorders>
            <w:tcMar>
              <w:top w:w="0" w:type="dxa"/>
              <w:left w:w="28" w:type="dxa"/>
              <w:bottom w:w="0" w:type="dxa"/>
              <w:right w:w="28" w:type="dxa"/>
            </w:tcMar>
            <w:vAlign w:val="center"/>
          </w:tcPr>
          <w:p>
            <w:pPr>
              <w:spacing w:line="400" w:lineRule="exact"/>
              <w:ind w:firstLine="420" w:firstLineChars="200"/>
              <w:rPr>
                <w:rFonts w:ascii="宋体" w:hAnsi="宋体" w:cs="宋体"/>
                <w:szCs w:val="22"/>
              </w:rPr>
            </w:pPr>
          </w:p>
        </w:tc>
      </w:tr>
    </w:tbl>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p>
    <w:p>
      <w:pPr>
        <w:sectPr>
          <w:pgSz w:w="11906" w:h="16838"/>
          <w:pgMar w:top="840" w:right="1006" w:bottom="1440" w:left="1020" w:header="851" w:footer="992" w:gutter="0"/>
          <w:cols w:space="720" w:num="1"/>
          <w:titlePg/>
          <w:docGrid w:type="lines" w:linePitch="312" w:charSpace="0"/>
        </w:sectPr>
      </w:pPr>
    </w:p>
    <w:p>
      <w:pPr>
        <w:spacing w:line="400" w:lineRule="exact"/>
        <w:ind w:firstLine="420" w:firstLineChars="200"/>
        <w:rPr>
          <w:rFonts w:ascii="宋体" w:hAnsi="宋体" w:cs="宋体"/>
          <w:szCs w:val="22"/>
        </w:rPr>
      </w:pPr>
      <w:r>
        <w:rPr>
          <w:rFonts w:hint="eastAsia" w:ascii="宋体" w:hAnsi="宋体" w:cs="宋体"/>
          <w:szCs w:val="22"/>
        </w:rPr>
        <w:t xml:space="preserve">附件3：    </w:t>
      </w:r>
    </w:p>
    <w:p>
      <w:pPr>
        <w:spacing w:line="400" w:lineRule="exact"/>
        <w:ind w:firstLine="420" w:firstLineChars="200"/>
        <w:rPr>
          <w:rFonts w:ascii="宋体" w:hAnsi="宋体" w:cs="宋体"/>
          <w:szCs w:val="22"/>
        </w:rPr>
      </w:pPr>
      <w:r>
        <w:rPr>
          <w:rFonts w:hint="eastAsia" w:ascii="宋体" w:hAnsi="宋体" w:cs="宋体"/>
          <w:szCs w:val="22"/>
        </w:rPr>
        <w:t>工程质量保修书（房屋建筑工程）</w:t>
      </w:r>
    </w:p>
    <w:p>
      <w:pPr>
        <w:spacing w:line="400" w:lineRule="exact"/>
        <w:ind w:firstLine="420" w:firstLineChars="200"/>
        <w:rPr>
          <w:rFonts w:ascii="宋体" w:hAnsi="宋体" w:cs="宋体"/>
          <w:szCs w:val="22"/>
        </w:rPr>
      </w:pPr>
      <w:r>
        <w:rPr>
          <w:rFonts w:hint="eastAsia" w:ascii="宋体" w:hAnsi="宋体" w:cs="宋体"/>
          <w:szCs w:val="22"/>
        </w:rPr>
        <w:t xml:space="preserve">发包人（全称）：桂林理工大学          </w:t>
      </w:r>
    </w:p>
    <w:p>
      <w:pPr>
        <w:spacing w:line="400" w:lineRule="exact"/>
        <w:ind w:firstLine="420" w:firstLineChars="200"/>
        <w:rPr>
          <w:rFonts w:ascii="宋体" w:hAnsi="宋体" w:cs="宋体"/>
          <w:szCs w:val="22"/>
        </w:rPr>
      </w:pPr>
      <w:r>
        <w:rPr>
          <w:rFonts w:hint="eastAsia" w:ascii="宋体" w:hAnsi="宋体" w:cs="宋体"/>
          <w:szCs w:val="22"/>
        </w:rPr>
        <w:t xml:space="preserve">承包人（全称）：                       </w:t>
      </w:r>
    </w:p>
    <w:p>
      <w:pPr>
        <w:spacing w:line="400" w:lineRule="exact"/>
        <w:ind w:firstLine="420" w:firstLineChars="200"/>
        <w:rPr>
          <w:rFonts w:ascii="宋体" w:hAnsi="宋体" w:cs="宋体"/>
          <w:szCs w:val="22"/>
        </w:rPr>
      </w:pPr>
      <w:r>
        <w:rPr>
          <w:rFonts w:hint="eastAsia" w:ascii="宋体" w:hAnsi="宋体" w:cs="宋体"/>
          <w:szCs w:val="22"/>
        </w:rPr>
        <w:t>发包人和承包人根据《中华人民共和国建筑法》和《建设工程质量管理条例》，经协商一致就</w:t>
      </w:r>
      <w:r>
        <w:rPr>
          <w:rFonts w:hint="eastAsia" w:ascii="宋体" w:hAnsi="宋体" w:cs="宋体"/>
          <w:spacing w:val="-5"/>
          <w:szCs w:val="22"/>
          <w:u w:val="single"/>
        </w:rPr>
        <w:t xml:space="preserve">     </w:t>
      </w:r>
      <w:r>
        <w:rPr>
          <w:rFonts w:hint="eastAsia" w:ascii="宋体" w:hAnsi="宋体" w:cs="宋体"/>
          <w:b/>
          <w:bCs/>
          <w:szCs w:val="22"/>
          <w:u w:val="single"/>
        </w:rPr>
        <w:t xml:space="preserve">   </w:t>
      </w:r>
      <w:r>
        <w:rPr>
          <w:rFonts w:hint="eastAsia" w:ascii="宋体" w:hAnsi="宋体" w:cs="宋体"/>
          <w:szCs w:val="22"/>
        </w:rPr>
        <w:t>（工程全称）签订工程质量保修书。</w:t>
      </w:r>
    </w:p>
    <w:p>
      <w:pPr>
        <w:spacing w:line="400" w:lineRule="exact"/>
        <w:ind w:firstLine="420" w:firstLineChars="200"/>
        <w:rPr>
          <w:rFonts w:ascii="宋体" w:hAnsi="宋体" w:cs="宋体"/>
          <w:szCs w:val="22"/>
        </w:rPr>
      </w:pPr>
      <w:r>
        <w:rPr>
          <w:rFonts w:hint="eastAsia" w:ascii="宋体" w:hAnsi="宋体" w:cs="宋体"/>
          <w:szCs w:val="22"/>
        </w:rPr>
        <w:t>一、工程质量保修范围和内容</w:t>
      </w:r>
    </w:p>
    <w:p>
      <w:pPr>
        <w:spacing w:line="400" w:lineRule="exact"/>
        <w:ind w:firstLine="420" w:firstLineChars="200"/>
        <w:rPr>
          <w:rFonts w:ascii="宋体" w:hAnsi="宋体" w:cs="宋体"/>
          <w:szCs w:val="22"/>
        </w:rPr>
      </w:pPr>
      <w:r>
        <w:rPr>
          <w:rFonts w:hint="eastAsia" w:ascii="宋体" w:hAnsi="宋体" w:cs="宋体"/>
          <w:szCs w:val="22"/>
        </w:rPr>
        <w:t>承包人在质量保修期内，按照有关法律规定和合同约定，承担工程质量保修责任。</w:t>
      </w:r>
    </w:p>
    <w:p>
      <w:pPr>
        <w:spacing w:line="400" w:lineRule="exact"/>
        <w:ind w:firstLine="420" w:firstLineChars="200"/>
        <w:rPr>
          <w:rFonts w:ascii="宋体" w:hAnsi="宋体" w:cs="宋体"/>
          <w:szCs w:val="22"/>
        </w:rPr>
      </w:pPr>
      <w:r>
        <w:rPr>
          <w:rFonts w:hint="eastAsia" w:ascii="宋体" w:hAnsi="宋体" w:cs="宋体"/>
          <w:szCs w:val="22"/>
        </w:rPr>
        <w:t>质量保修范围包括地基基础工程、主体结构工程，屋面防水工程、有防水要求的卫生间、房间和外墙面的防渗漏，供热与供冷系统，电气管线、给排水管道、设备安装和装修工程，以及双方约定的其他项目。</w:t>
      </w:r>
    </w:p>
    <w:p>
      <w:pPr>
        <w:spacing w:line="400" w:lineRule="exact"/>
        <w:ind w:firstLine="420" w:firstLineChars="200"/>
        <w:rPr>
          <w:rFonts w:ascii="宋体" w:hAnsi="宋体" w:cs="宋体"/>
          <w:szCs w:val="22"/>
        </w:rPr>
      </w:pPr>
      <w:r>
        <w:rPr>
          <w:rFonts w:hint="eastAsia" w:ascii="宋体" w:hAnsi="宋体" w:cs="宋体"/>
          <w:szCs w:val="22"/>
        </w:rPr>
        <w:t>具体保修的内容，双方约定如下： 在承包人承包范围内，属承包人责任造成的工程质量问题，由承包人承担质量保修责任。</w:t>
      </w:r>
    </w:p>
    <w:p>
      <w:pPr>
        <w:spacing w:line="400" w:lineRule="exact"/>
        <w:ind w:firstLine="420" w:firstLineChars="200"/>
        <w:rPr>
          <w:rFonts w:ascii="宋体" w:hAnsi="宋体" w:cs="宋体"/>
          <w:szCs w:val="22"/>
        </w:rPr>
      </w:pPr>
      <w:r>
        <w:rPr>
          <w:rFonts w:hint="eastAsia" w:ascii="宋体" w:hAnsi="宋体" w:cs="宋体"/>
          <w:szCs w:val="22"/>
        </w:rPr>
        <w:t>二、质量保修期</w:t>
      </w:r>
    </w:p>
    <w:p>
      <w:pPr>
        <w:spacing w:line="400" w:lineRule="exact"/>
        <w:ind w:firstLine="420" w:firstLineChars="200"/>
        <w:rPr>
          <w:rFonts w:ascii="宋体" w:hAnsi="宋体" w:cs="宋体"/>
          <w:szCs w:val="22"/>
        </w:rPr>
      </w:pPr>
      <w:r>
        <w:rPr>
          <w:rFonts w:hint="eastAsia" w:ascii="宋体" w:hAnsi="宋体" w:cs="宋体"/>
          <w:szCs w:val="22"/>
        </w:rPr>
        <w:t>根据《建设工程质量管理条例》及有关规定，工程的质量保修期如下：</w:t>
      </w:r>
    </w:p>
    <w:p>
      <w:pPr>
        <w:spacing w:line="400" w:lineRule="exact"/>
        <w:ind w:firstLine="420" w:firstLineChars="200"/>
        <w:rPr>
          <w:rFonts w:ascii="宋体" w:hAnsi="宋体" w:cs="宋体"/>
          <w:szCs w:val="22"/>
        </w:rPr>
      </w:pPr>
      <w:r>
        <w:rPr>
          <w:rFonts w:hint="eastAsia" w:ascii="宋体" w:hAnsi="宋体" w:cs="宋体"/>
          <w:szCs w:val="22"/>
        </w:rPr>
        <w:t>1．地基基础工程和主体结构工程为设计文件规定的工程合理使用年限；</w:t>
      </w:r>
    </w:p>
    <w:p>
      <w:pPr>
        <w:spacing w:line="400" w:lineRule="exact"/>
        <w:ind w:firstLine="420" w:firstLineChars="200"/>
        <w:rPr>
          <w:rFonts w:ascii="宋体" w:hAnsi="宋体" w:cs="宋体"/>
          <w:szCs w:val="22"/>
        </w:rPr>
      </w:pPr>
      <w:r>
        <w:rPr>
          <w:rFonts w:hint="eastAsia" w:ascii="宋体" w:hAnsi="宋体" w:cs="宋体"/>
          <w:szCs w:val="22"/>
        </w:rPr>
        <w:t>2．屋面防水工程、有防水要求的卫生间、房间和外墙面的防渗为</w:t>
      </w:r>
      <w:r>
        <w:rPr>
          <w:rFonts w:hint="eastAsia" w:ascii="宋体" w:hAnsi="宋体" w:cs="宋体"/>
          <w:szCs w:val="22"/>
          <w:u w:val="single"/>
        </w:rPr>
        <w:t xml:space="preserve">   5  </w:t>
      </w:r>
      <w:r>
        <w:rPr>
          <w:rFonts w:hint="eastAsia" w:ascii="宋体" w:hAnsi="宋体" w:cs="宋体"/>
          <w:szCs w:val="22"/>
        </w:rPr>
        <w:t>年；</w:t>
      </w:r>
    </w:p>
    <w:p>
      <w:pPr>
        <w:spacing w:line="400" w:lineRule="exact"/>
        <w:ind w:firstLine="420" w:firstLineChars="200"/>
        <w:rPr>
          <w:rFonts w:ascii="宋体" w:hAnsi="宋体" w:cs="宋体"/>
          <w:szCs w:val="22"/>
        </w:rPr>
      </w:pPr>
      <w:r>
        <w:rPr>
          <w:rFonts w:hint="eastAsia" w:ascii="宋体" w:hAnsi="宋体" w:cs="宋体"/>
          <w:szCs w:val="22"/>
        </w:rPr>
        <w:t>3．装修工程为</w:t>
      </w:r>
      <w:r>
        <w:rPr>
          <w:rFonts w:hint="eastAsia" w:ascii="宋体" w:hAnsi="宋体" w:cs="宋体"/>
          <w:szCs w:val="22"/>
          <w:u w:val="single"/>
        </w:rPr>
        <w:t xml:space="preserve">   2    </w:t>
      </w:r>
      <w:r>
        <w:rPr>
          <w:rFonts w:hint="eastAsia" w:ascii="宋体" w:hAnsi="宋体" w:cs="宋体"/>
          <w:szCs w:val="22"/>
        </w:rPr>
        <w:t>年；</w:t>
      </w:r>
    </w:p>
    <w:p>
      <w:pPr>
        <w:spacing w:line="400" w:lineRule="exact"/>
        <w:ind w:firstLine="420" w:firstLineChars="200"/>
        <w:rPr>
          <w:rFonts w:ascii="宋体" w:hAnsi="宋体" w:cs="宋体"/>
          <w:szCs w:val="22"/>
        </w:rPr>
      </w:pPr>
      <w:r>
        <w:rPr>
          <w:rFonts w:hint="eastAsia" w:ascii="宋体" w:hAnsi="宋体" w:cs="宋体"/>
          <w:szCs w:val="22"/>
        </w:rPr>
        <w:t>4．电气管线、给排水管道、设备安装工程为</w:t>
      </w:r>
      <w:r>
        <w:rPr>
          <w:rFonts w:hint="eastAsia" w:ascii="宋体" w:hAnsi="宋体" w:cs="宋体"/>
          <w:szCs w:val="22"/>
          <w:u w:val="single"/>
        </w:rPr>
        <w:t xml:space="preserve">   2   </w:t>
      </w:r>
      <w:r>
        <w:rPr>
          <w:rFonts w:hint="eastAsia" w:ascii="宋体" w:hAnsi="宋体" w:cs="宋体"/>
          <w:szCs w:val="22"/>
        </w:rPr>
        <w:t>年；</w:t>
      </w:r>
    </w:p>
    <w:p>
      <w:pPr>
        <w:spacing w:line="400" w:lineRule="exact"/>
        <w:ind w:firstLine="420" w:firstLineChars="200"/>
        <w:rPr>
          <w:rFonts w:ascii="宋体" w:hAnsi="宋体" w:cs="宋体"/>
          <w:szCs w:val="22"/>
        </w:rPr>
      </w:pPr>
      <w:r>
        <w:rPr>
          <w:rFonts w:hint="eastAsia" w:ascii="宋体" w:hAnsi="宋体" w:cs="宋体"/>
          <w:szCs w:val="22"/>
        </w:rPr>
        <w:t>5．供热与供冷系统为</w:t>
      </w:r>
      <w:r>
        <w:rPr>
          <w:rFonts w:hint="eastAsia" w:ascii="宋体" w:hAnsi="宋体" w:cs="宋体"/>
          <w:szCs w:val="22"/>
          <w:u w:val="single"/>
        </w:rPr>
        <w:t xml:space="preserve">   2    </w:t>
      </w:r>
      <w:r>
        <w:rPr>
          <w:rFonts w:hint="eastAsia" w:ascii="宋体" w:hAnsi="宋体" w:cs="宋体"/>
          <w:szCs w:val="22"/>
        </w:rPr>
        <w:t>个采暖期、供冷期；</w:t>
      </w:r>
    </w:p>
    <w:p>
      <w:pPr>
        <w:spacing w:line="400" w:lineRule="exact"/>
        <w:ind w:firstLine="420" w:firstLineChars="200"/>
        <w:rPr>
          <w:rFonts w:ascii="宋体" w:hAnsi="宋体" w:cs="宋体"/>
          <w:szCs w:val="22"/>
        </w:rPr>
      </w:pPr>
      <w:r>
        <w:rPr>
          <w:rFonts w:hint="eastAsia" w:ascii="宋体" w:hAnsi="宋体" w:cs="宋体"/>
          <w:szCs w:val="22"/>
        </w:rPr>
        <w:t>6．住宅小区内的给排水设施、道路等配套工程为</w:t>
      </w:r>
      <w:r>
        <w:rPr>
          <w:rFonts w:hint="eastAsia" w:ascii="宋体" w:hAnsi="宋体" w:cs="宋体"/>
          <w:szCs w:val="22"/>
          <w:u w:val="single"/>
        </w:rPr>
        <w:t xml:space="preserve">   2  </w:t>
      </w:r>
      <w:r>
        <w:rPr>
          <w:rFonts w:hint="eastAsia" w:ascii="宋体" w:hAnsi="宋体" w:cs="宋体"/>
          <w:szCs w:val="22"/>
        </w:rPr>
        <w:t>年；</w:t>
      </w:r>
    </w:p>
    <w:p>
      <w:pPr>
        <w:spacing w:line="400" w:lineRule="exact"/>
        <w:ind w:firstLine="420" w:firstLineChars="200"/>
        <w:rPr>
          <w:rFonts w:ascii="宋体" w:hAnsi="宋体" w:cs="宋体"/>
          <w:szCs w:val="22"/>
        </w:rPr>
      </w:pPr>
      <w:r>
        <w:rPr>
          <w:rFonts w:hint="eastAsia" w:ascii="宋体" w:hAnsi="宋体" w:cs="宋体"/>
          <w:szCs w:val="22"/>
        </w:rPr>
        <w:t>7．其他项目保修期限约定如下：</w:t>
      </w:r>
      <w:r>
        <w:rPr>
          <w:rFonts w:hint="eastAsia" w:ascii="宋体" w:hAnsi="宋体" w:cs="宋体"/>
          <w:szCs w:val="22"/>
          <w:u w:val="single"/>
        </w:rPr>
        <w:t xml:space="preserve"> 执行国家相关规定    。</w:t>
      </w:r>
    </w:p>
    <w:p>
      <w:pPr>
        <w:spacing w:line="400" w:lineRule="exact"/>
        <w:ind w:firstLine="420" w:firstLineChars="200"/>
        <w:rPr>
          <w:rFonts w:ascii="宋体" w:hAnsi="宋体" w:cs="宋体"/>
          <w:szCs w:val="22"/>
        </w:rPr>
      </w:pPr>
      <w:r>
        <w:rPr>
          <w:rFonts w:hint="eastAsia" w:ascii="宋体" w:hAnsi="宋体" w:cs="宋体"/>
          <w:szCs w:val="22"/>
        </w:rPr>
        <w:t>质量保修期自工程竣工验收合格之日起计算。</w:t>
      </w:r>
    </w:p>
    <w:p>
      <w:pPr>
        <w:spacing w:line="400" w:lineRule="exact"/>
        <w:ind w:firstLine="420" w:firstLineChars="200"/>
        <w:rPr>
          <w:rFonts w:ascii="宋体" w:hAnsi="宋体" w:cs="宋体"/>
          <w:szCs w:val="22"/>
        </w:rPr>
      </w:pPr>
      <w:r>
        <w:rPr>
          <w:rFonts w:hint="eastAsia" w:ascii="宋体" w:hAnsi="宋体" w:cs="宋体"/>
          <w:szCs w:val="22"/>
        </w:rPr>
        <w:t>三、缺陷责任期</w:t>
      </w:r>
    </w:p>
    <w:p>
      <w:pPr>
        <w:spacing w:line="400" w:lineRule="exact"/>
        <w:ind w:firstLine="420" w:firstLineChars="200"/>
        <w:rPr>
          <w:rFonts w:ascii="宋体" w:hAnsi="宋体" w:cs="宋体"/>
          <w:szCs w:val="22"/>
        </w:rPr>
      </w:pPr>
      <w:r>
        <w:rPr>
          <w:rFonts w:hint="eastAsia" w:ascii="宋体" w:hAnsi="宋体" w:cs="宋体"/>
          <w:szCs w:val="22"/>
        </w:rPr>
        <w:t>工程缺陷责任期为</w:t>
      </w:r>
      <w:r>
        <w:rPr>
          <w:rFonts w:hint="eastAsia" w:ascii="宋体" w:hAnsi="宋体" w:cs="宋体"/>
          <w:szCs w:val="22"/>
          <w:u w:val="single"/>
        </w:rPr>
        <w:t xml:space="preserve">  24  </w:t>
      </w:r>
      <w:r>
        <w:rPr>
          <w:rFonts w:hint="eastAsia" w:ascii="宋体" w:hAnsi="宋体" w:cs="宋体"/>
          <w:szCs w:val="22"/>
        </w:rPr>
        <w:t>个月（最长不超过24个月），缺陷责任期自工程竣工验收合格之日起计算。单位工程先于全部工程进行验收，单位工程缺陷责任期自单位工程验收合格之日起算。</w:t>
      </w:r>
    </w:p>
    <w:p>
      <w:pPr>
        <w:spacing w:line="400" w:lineRule="exact"/>
        <w:ind w:firstLine="420" w:firstLineChars="200"/>
        <w:rPr>
          <w:rFonts w:ascii="宋体" w:hAnsi="宋体" w:cs="宋体"/>
          <w:szCs w:val="22"/>
        </w:rPr>
      </w:pPr>
      <w:r>
        <w:rPr>
          <w:rFonts w:hint="eastAsia" w:ascii="宋体" w:hAnsi="宋体" w:cs="宋体"/>
          <w:szCs w:val="22"/>
        </w:rPr>
        <w:t>缺陷责任期终止后，发包人应退还剩余的质量保证金。</w:t>
      </w:r>
    </w:p>
    <w:p>
      <w:pPr>
        <w:spacing w:line="400" w:lineRule="exact"/>
        <w:ind w:firstLine="420" w:firstLineChars="200"/>
        <w:rPr>
          <w:rFonts w:ascii="宋体" w:hAnsi="宋体" w:cs="宋体"/>
          <w:szCs w:val="22"/>
        </w:rPr>
      </w:pPr>
      <w:r>
        <w:rPr>
          <w:rFonts w:hint="eastAsia" w:ascii="宋体" w:hAnsi="宋体" w:cs="宋体"/>
          <w:szCs w:val="22"/>
        </w:rPr>
        <w:t>四、质量保修责任</w:t>
      </w:r>
    </w:p>
    <w:p>
      <w:pPr>
        <w:spacing w:line="400" w:lineRule="exact"/>
        <w:ind w:firstLine="420" w:firstLineChars="200"/>
        <w:rPr>
          <w:rFonts w:ascii="宋体" w:hAnsi="宋体" w:cs="宋体"/>
          <w:szCs w:val="22"/>
        </w:rPr>
      </w:pPr>
      <w:r>
        <w:rPr>
          <w:rFonts w:hint="eastAsia" w:ascii="宋体" w:hAnsi="宋体" w:cs="宋体"/>
          <w:szCs w:val="22"/>
        </w:rPr>
        <w:t>1．属于保修范围、内容的项目，承包人应当在接到保修通知之日起 7 天内派人保修。承包人不在约定期限内派人保修的，发包人可以委托他人修理。</w:t>
      </w:r>
    </w:p>
    <w:p>
      <w:pPr>
        <w:spacing w:line="400" w:lineRule="exact"/>
        <w:ind w:firstLine="420" w:firstLineChars="200"/>
        <w:rPr>
          <w:rFonts w:ascii="宋体" w:hAnsi="宋体" w:cs="宋体"/>
          <w:szCs w:val="22"/>
        </w:rPr>
      </w:pPr>
      <w:r>
        <w:rPr>
          <w:rFonts w:hint="eastAsia" w:ascii="宋体" w:hAnsi="宋体" w:cs="宋体"/>
          <w:szCs w:val="22"/>
        </w:rPr>
        <w:t xml:space="preserve">2．发生紧急事故需抢修的，承包人在接到事故通知后，应当立即到达事故现场抢修。 </w:t>
      </w:r>
    </w:p>
    <w:p>
      <w:pPr>
        <w:spacing w:line="400" w:lineRule="exact"/>
        <w:ind w:firstLine="420" w:firstLineChars="200"/>
        <w:rPr>
          <w:rFonts w:ascii="宋体" w:hAnsi="宋体" w:cs="宋体"/>
          <w:szCs w:val="22"/>
        </w:rPr>
      </w:pPr>
      <w:r>
        <w:rPr>
          <w:rFonts w:hint="eastAsia" w:ascii="宋体" w:hAnsi="宋体" w:cs="宋体"/>
          <w:szCs w:val="22"/>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00" w:lineRule="exact"/>
        <w:ind w:firstLine="420" w:firstLineChars="200"/>
        <w:rPr>
          <w:rFonts w:ascii="宋体" w:hAnsi="宋体" w:cs="宋体"/>
          <w:szCs w:val="22"/>
        </w:rPr>
      </w:pPr>
      <w:r>
        <w:rPr>
          <w:rFonts w:hint="eastAsia" w:ascii="宋体" w:hAnsi="宋体" w:cs="宋体"/>
          <w:szCs w:val="22"/>
        </w:rPr>
        <w:t xml:space="preserve">4．质量保修完成后，由发包人组织验收。 </w:t>
      </w:r>
    </w:p>
    <w:p>
      <w:pPr>
        <w:spacing w:line="400" w:lineRule="exact"/>
        <w:ind w:firstLine="420" w:firstLineChars="200"/>
        <w:rPr>
          <w:rFonts w:ascii="宋体" w:hAnsi="宋体" w:cs="宋体"/>
          <w:szCs w:val="22"/>
        </w:rPr>
      </w:pPr>
      <w:r>
        <w:rPr>
          <w:rFonts w:hint="eastAsia" w:ascii="宋体" w:hAnsi="宋体" w:cs="宋体"/>
          <w:szCs w:val="22"/>
        </w:rPr>
        <w:t xml:space="preserve">五、保修费用 </w:t>
      </w:r>
    </w:p>
    <w:p>
      <w:pPr>
        <w:spacing w:line="400" w:lineRule="exact"/>
        <w:ind w:firstLine="420" w:firstLineChars="200"/>
        <w:rPr>
          <w:rFonts w:ascii="宋体" w:hAnsi="宋体" w:cs="宋体"/>
          <w:szCs w:val="22"/>
        </w:rPr>
      </w:pPr>
      <w:r>
        <w:rPr>
          <w:rFonts w:hint="eastAsia" w:ascii="宋体" w:hAnsi="宋体" w:cs="宋体"/>
          <w:szCs w:val="22"/>
        </w:rPr>
        <w:t xml:space="preserve">保修费用由造成质量缺陷的责任方承担。 </w:t>
      </w:r>
    </w:p>
    <w:p>
      <w:pPr>
        <w:spacing w:line="400" w:lineRule="exact"/>
        <w:ind w:firstLine="420" w:firstLineChars="200"/>
        <w:rPr>
          <w:rFonts w:ascii="宋体" w:hAnsi="宋体" w:cs="宋体"/>
          <w:szCs w:val="22"/>
        </w:rPr>
      </w:pPr>
      <w:r>
        <w:rPr>
          <w:rFonts w:hint="eastAsia" w:ascii="宋体" w:hAnsi="宋体" w:cs="宋体"/>
          <w:szCs w:val="22"/>
        </w:rPr>
        <w:t xml:space="preserve">六、双方约定的其他工程质量保修事项： </w:t>
      </w:r>
    </w:p>
    <w:p>
      <w:pPr>
        <w:spacing w:line="400" w:lineRule="exact"/>
        <w:ind w:firstLine="420" w:firstLineChars="200"/>
        <w:rPr>
          <w:rFonts w:ascii="宋体" w:hAnsi="宋体" w:cs="宋体"/>
          <w:szCs w:val="22"/>
        </w:rPr>
      </w:pPr>
      <w:r>
        <w:rPr>
          <w:rFonts w:hint="eastAsia" w:ascii="宋体" w:hAnsi="宋体" w:cs="宋体"/>
          <w:szCs w:val="22"/>
        </w:rPr>
        <w:t xml:space="preserve">双方约定的其他工程质量保修事项：承包人不在约定期限内派人保修的，承包人应承担违约责任，并须向发包人支付逾期违约金（承包人每延误一日按质量保证金的4‰向发包人支付违约金），发包人可从质量保证金中扣除此款，此违约金的支付并不能解除承包人应完成工程的责任及修补缺陷的义务，同时发包人有权委托他人修理，产生的费用从质量保证金中扣除，若质量保证金不足以支付支出的，超过质量保证金金额的部分，承包人应当在接到缴款通知书之日起 7 日内付清，否则按应缴款额的 2‰/日向发包人支付违约金。在扣除承包人应支付的违约金和维修费用后，发包人在缺陷责任期满2年后 14 个工作日内无息退还质量保证金。每次退还质量保证金前，承包人须向发包人书面申请退还质量保证金验收，按相关规定验收合格后方可拨付。 </w:t>
      </w:r>
    </w:p>
    <w:p>
      <w:pPr>
        <w:spacing w:line="400" w:lineRule="exact"/>
        <w:ind w:firstLine="420" w:firstLineChars="200"/>
        <w:rPr>
          <w:rFonts w:ascii="宋体" w:hAnsi="宋体" w:cs="宋体"/>
          <w:szCs w:val="22"/>
        </w:rPr>
      </w:pPr>
      <w:r>
        <w:rPr>
          <w:rFonts w:hint="eastAsia" w:ascii="宋体" w:hAnsi="宋体" w:cs="宋体"/>
          <w:szCs w:val="22"/>
        </w:rPr>
        <w:t>承包人未按照法律法规有关规定和合同约定履行质量保修义务的，发包人有权从质量保证金中扣留用于质量保修的各项支出。质量保证金的退还并不代表免除承包人的相关责任。</w:t>
      </w:r>
    </w:p>
    <w:p>
      <w:pPr>
        <w:spacing w:line="400" w:lineRule="exact"/>
        <w:ind w:firstLine="420" w:firstLineChars="200"/>
        <w:rPr>
          <w:rFonts w:ascii="宋体" w:hAnsi="宋体" w:cs="宋体"/>
          <w:szCs w:val="22"/>
        </w:rPr>
      </w:pPr>
      <w:r>
        <w:rPr>
          <w:rFonts w:hint="eastAsia" w:ascii="宋体" w:hAnsi="宋体" w:cs="宋体"/>
          <w:szCs w:val="22"/>
        </w:rPr>
        <w:t>工程质量保修书由发包人、承包人在工程竣工验收前共同签署，作为施工合同附件，其有效期限至保修期满。</w:t>
      </w:r>
    </w:p>
    <w:p>
      <w:pPr>
        <w:spacing w:line="400" w:lineRule="exact"/>
        <w:ind w:firstLine="420" w:firstLineChars="200"/>
        <w:rPr>
          <w:rFonts w:ascii="宋体" w:hAnsi="宋体" w:cs="宋体"/>
          <w:szCs w:val="22"/>
        </w:rPr>
      </w:pPr>
      <w:r>
        <w:rPr>
          <w:rFonts w:hint="eastAsia" w:ascii="宋体" w:hAnsi="宋体" w:cs="宋体"/>
          <w:szCs w:val="22"/>
        </w:rPr>
        <w:t>消防工程缺陷责任期从行政主管部门审批同意消防验收通过之日起算。承包人应在工程缺陷责任期到期前三个月，向发包人提出退费申请，经发包人确认后，待工程缺陷责任期期满后方可退还质保金。承包人未按规定时间提出验收申请的，责任自付。</w:t>
      </w:r>
    </w:p>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p>
    <w:p>
      <w:pPr>
        <w:spacing w:line="400" w:lineRule="exact"/>
        <w:rPr>
          <w:rFonts w:ascii="宋体" w:cs="宋体"/>
          <w:szCs w:val="24"/>
        </w:rPr>
      </w:pPr>
      <w:r>
        <w:rPr>
          <w:rFonts w:hint="eastAsia" w:ascii="宋体" w:hAnsi="宋体" w:cs="宋体"/>
          <w:szCs w:val="24"/>
        </w:rPr>
        <w:t>发包人（公章）：</w:t>
      </w:r>
      <w:r>
        <w:rPr>
          <w:rFonts w:ascii="宋体" w:hAnsi="宋体" w:cs="宋体"/>
          <w:szCs w:val="24"/>
          <w:u w:val="single"/>
        </w:rPr>
        <w:t xml:space="preserve"> </w:t>
      </w:r>
      <w:r>
        <w:rPr>
          <w:rFonts w:hint="eastAsia" w:ascii="宋体" w:hAnsi="宋体" w:cs="宋体"/>
          <w:szCs w:val="24"/>
          <w:u w:val="single"/>
        </w:rPr>
        <w:t>桂林理工大学</w:t>
      </w:r>
      <w:r>
        <w:rPr>
          <w:rFonts w:ascii="宋体" w:hAnsi="宋体" w:cs="宋体"/>
          <w:szCs w:val="24"/>
          <w:u w:val="single"/>
        </w:rPr>
        <w:t xml:space="preserve">  </w:t>
      </w:r>
      <w:r>
        <w:rPr>
          <w:rFonts w:ascii="宋体" w:hAnsi="宋体" w:cs="宋体"/>
          <w:szCs w:val="24"/>
        </w:rPr>
        <w:t xml:space="preserve">             </w:t>
      </w:r>
      <w:r>
        <w:rPr>
          <w:rFonts w:hint="eastAsia" w:ascii="宋体" w:hAnsi="宋体" w:cs="宋体"/>
          <w:szCs w:val="24"/>
        </w:rPr>
        <w:t>承包人（公章）：</w:t>
      </w:r>
      <w:r>
        <w:rPr>
          <w:rFonts w:ascii="宋体" w:hAnsi="宋体" w:cs="宋体"/>
          <w:szCs w:val="24"/>
          <w:u w:val="single"/>
        </w:rPr>
        <w:t xml:space="preserve"> </w:t>
      </w:r>
      <w:r>
        <w:rPr>
          <w:rFonts w:hint="eastAsia" w:ascii="宋体" w:hAnsi="宋体" w:cs="宋体"/>
          <w:szCs w:val="24"/>
          <w:u w:val="single"/>
        </w:rPr>
        <w:t xml:space="preserve">                       </w:t>
      </w:r>
    </w:p>
    <w:p>
      <w:pPr>
        <w:spacing w:line="400" w:lineRule="exact"/>
        <w:rPr>
          <w:rFonts w:ascii="宋体" w:cs="宋体"/>
          <w:sz w:val="28"/>
          <w:szCs w:val="28"/>
        </w:rPr>
      </w:pPr>
      <w:r>
        <w:rPr>
          <w:rFonts w:hint="eastAsia" w:ascii="宋体" w:hAnsi="宋体" w:cs="宋体"/>
          <w:szCs w:val="24"/>
        </w:rPr>
        <w:t>地</w:t>
      </w:r>
      <w:r>
        <w:rPr>
          <w:rFonts w:ascii="宋体" w:hAnsi="宋体" w:cs="宋体"/>
          <w:szCs w:val="24"/>
        </w:rPr>
        <w:t xml:space="preserve">  </w:t>
      </w:r>
      <w:r>
        <w:rPr>
          <w:rFonts w:hint="eastAsia" w:ascii="宋体" w:hAnsi="宋体" w:cs="宋体"/>
          <w:szCs w:val="24"/>
        </w:rPr>
        <w:t>址：</w:t>
      </w:r>
      <w:r>
        <w:rPr>
          <w:rFonts w:hint="eastAsia" w:ascii="宋体" w:hAnsi="宋体" w:cs="宋体"/>
          <w:szCs w:val="24"/>
          <w:u w:val="single"/>
        </w:rPr>
        <w:t>桂林市建干路</w:t>
      </w:r>
      <w:r>
        <w:rPr>
          <w:rFonts w:ascii="宋体" w:hAnsi="宋体" w:cs="宋体"/>
          <w:szCs w:val="24"/>
          <w:u w:val="single"/>
        </w:rPr>
        <w:t>12</w:t>
      </w:r>
      <w:r>
        <w:rPr>
          <w:rFonts w:hint="eastAsia" w:ascii="宋体" w:hAnsi="宋体" w:cs="宋体"/>
          <w:szCs w:val="24"/>
          <w:u w:val="single"/>
        </w:rPr>
        <w:t>号</w:t>
      </w:r>
      <w:r>
        <w:rPr>
          <w:rFonts w:ascii="宋体" w:hAnsi="宋体" w:cs="宋体"/>
          <w:szCs w:val="24"/>
          <w:u w:val="single"/>
        </w:rPr>
        <w:t xml:space="preserve">      </w:t>
      </w:r>
      <w:r>
        <w:rPr>
          <w:rFonts w:ascii="宋体" w:hAnsi="宋体" w:cs="宋体"/>
          <w:szCs w:val="24"/>
        </w:rPr>
        <w:t xml:space="preserve">            </w:t>
      </w:r>
      <w:r>
        <w:rPr>
          <w:rFonts w:hint="eastAsia" w:ascii="宋体" w:hAnsi="宋体" w:cs="宋体"/>
          <w:szCs w:val="24"/>
        </w:rPr>
        <w:t>地</w:t>
      </w:r>
      <w:r>
        <w:rPr>
          <w:rFonts w:ascii="宋体" w:hAnsi="宋体" w:cs="宋体"/>
          <w:szCs w:val="24"/>
        </w:rPr>
        <w:t xml:space="preserve">  </w:t>
      </w:r>
      <w:r>
        <w:rPr>
          <w:rFonts w:hint="eastAsia" w:ascii="宋体" w:hAnsi="宋体" w:cs="宋体"/>
          <w:szCs w:val="24"/>
        </w:rPr>
        <w:t>址：</w:t>
      </w:r>
      <w:r>
        <w:rPr>
          <w:rFonts w:hint="eastAsia" w:ascii="宋体" w:hAnsi="宋体" w:cs="宋体"/>
          <w:szCs w:val="24"/>
          <w:u w:val="single"/>
        </w:rPr>
        <w:t xml:space="preserve">                      </w:t>
      </w:r>
      <w:r>
        <w:rPr>
          <w:rFonts w:ascii="宋体" w:hAnsi="宋体" w:cs="宋体"/>
          <w:szCs w:val="24"/>
          <w:u w:val="single"/>
        </w:rPr>
        <w:t xml:space="preserve">         </w:t>
      </w:r>
    </w:p>
    <w:p>
      <w:pPr>
        <w:spacing w:line="400" w:lineRule="exact"/>
        <w:rPr>
          <w:rFonts w:ascii="宋体" w:cs="宋体"/>
          <w:szCs w:val="24"/>
        </w:rPr>
      </w:pPr>
      <w:r>
        <w:rPr>
          <w:rFonts w:hint="eastAsia" w:ascii="宋体" w:hAnsi="宋体" w:cs="宋体"/>
          <w:szCs w:val="24"/>
        </w:rPr>
        <w:t>法定代表人（签字或盖章）：</w:t>
      </w:r>
      <w:r>
        <w:rPr>
          <w:rFonts w:hint="eastAsia" w:ascii="宋体" w:hAnsi="宋体" w:cs="宋体"/>
          <w:szCs w:val="24"/>
          <w:u w:val="single"/>
        </w:rPr>
        <w:t></w:t>
      </w:r>
      <w:r>
        <w:rPr>
          <w:rFonts w:ascii="宋体" w:hAnsi="宋体" w:cs="宋体"/>
          <w:szCs w:val="24"/>
          <w:u w:val="single"/>
        </w:rPr>
        <w:t xml:space="preserve">      </w:t>
      </w:r>
      <w:r>
        <w:rPr>
          <w:rFonts w:ascii="宋体" w:hAnsi="宋体" w:cs="宋体"/>
          <w:szCs w:val="24"/>
        </w:rPr>
        <w:t xml:space="preserve">        </w:t>
      </w:r>
      <w:r>
        <w:rPr>
          <w:rFonts w:hint="eastAsia" w:ascii="宋体" w:hAnsi="宋体" w:cs="宋体"/>
          <w:szCs w:val="24"/>
        </w:rPr>
        <w:t>法定代表人（签字或盖章）：</w:t>
      </w:r>
      <w:r>
        <w:rPr>
          <w:rFonts w:hint="eastAsia" w:ascii="宋体" w:hAnsi="宋体" w:cs="宋体"/>
          <w:szCs w:val="24"/>
          <w:u w:val="single"/>
        </w:rPr>
        <w:t></w:t>
      </w:r>
      <w:r>
        <w:rPr>
          <w:rFonts w:ascii="宋体" w:hAnsi="宋体" w:cs="宋体"/>
          <w:szCs w:val="24"/>
          <w:u w:val="single"/>
        </w:rPr>
        <w:t xml:space="preserve">  </w:t>
      </w:r>
      <w:r>
        <w:rPr>
          <w:rFonts w:hint="eastAsia" w:ascii="宋体" w:hAnsi="宋体" w:cs="宋体"/>
          <w:szCs w:val="24"/>
          <w:u w:val="single"/>
        </w:rPr>
        <w:t xml:space="preserve">       </w:t>
      </w:r>
      <w:r>
        <w:rPr>
          <w:rFonts w:ascii="宋体" w:hAnsi="宋体" w:cs="宋体"/>
          <w:szCs w:val="24"/>
          <w:u w:val="single"/>
        </w:rPr>
        <w:t xml:space="preserve">   </w:t>
      </w:r>
      <w:r>
        <w:rPr>
          <w:rFonts w:hint="eastAsia" w:ascii="宋体" w:hAnsi="宋体" w:cs="宋体"/>
          <w:szCs w:val="24"/>
          <w:u w:val="single"/>
        </w:rPr>
        <w:t></w:t>
      </w:r>
    </w:p>
    <w:p>
      <w:pPr>
        <w:spacing w:line="400" w:lineRule="exact"/>
        <w:rPr>
          <w:rFonts w:ascii="宋体" w:cs="宋体"/>
          <w:szCs w:val="24"/>
        </w:rPr>
      </w:pPr>
      <w:r>
        <w:rPr>
          <w:rFonts w:hint="eastAsia" w:ascii="宋体" w:hAnsi="宋体" w:cs="宋体"/>
          <w:szCs w:val="24"/>
        </w:rPr>
        <w:t>电</w:t>
      </w:r>
      <w:r>
        <w:rPr>
          <w:rFonts w:ascii="宋体" w:hAnsi="宋体" w:cs="宋体"/>
          <w:szCs w:val="24"/>
        </w:rPr>
        <w:t xml:space="preserve">  </w:t>
      </w:r>
      <w:r>
        <w:rPr>
          <w:rFonts w:hint="eastAsia" w:ascii="宋体" w:hAnsi="宋体" w:cs="宋体"/>
          <w:szCs w:val="24"/>
        </w:rPr>
        <w:t>话：</w:t>
      </w:r>
      <w:r>
        <w:rPr>
          <w:rFonts w:hint="eastAsia" w:ascii="宋体" w:hAnsi="宋体" w:cs="宋体"/>
          <w:szCs w:val="24"/>
          <w:u w:val="single"/>
        </w:rPr>
        <w:t></w:t>
      </w:r>
      <w:r>
        <w:rPr>
          <w:rFonts w:ascii="宋体" w:hAnsi="宋体" w:cs="宋体"/>
          <w:szCs w:val="24"/>
          <w:u w:val="single"/>
        </w:rPr>
        <w:t>0773-5896079</w:t>
      </w:r>
      <w:r>
        <w:rPr>
          <w:rFonts w:hint="eastAsia" w:ascii="宋体" w:hAnsi="宋体" w:cs="宋体"/>
          <w:szCs w:val="24"/>
          <w:u w:val="single"/>
        </w:rPr>
        <w:t></w:t>
      </w:r>
      <w:r>
        <w:rPr>
          <w:rFonts w:ascii="宋体" w:hAnsi="宋体" w:cs="宋体"/>
          <w:szCs w:val="24"/>
        </w:rPr>
        <w:t xml:space="preserve">            </w:t>
      </w:r>
      <w:r>
        <w:rPr>
          <w:rFonts w:hint="eastAsia" w:ascii="宋体" w:hAnsi="宋体" w:cs="宋体"/>
          <w:szCs w:val="24"/>
        </w:rPr>
        <w:t>电</w:t>
      </w:r>
      <w:r>
        <w:rPr>
          <w:rFonts w:ascii="宋体" w:hAnsi="宋体" w:cs="宋体"/>
          <w:szCs w:val="24"/>
        </w:rPr>
        <w:t xml:space="preserve">  </w:t>
      </w:r>
      <w:r>
        <w:rPr>
          <w:rFonts w:hint="eastAsia" w:ascii="宋体" w:hAnsi="宋体" w:cs="宋体"/>
          <w:szCs w:val="24"/>
        </w:rPr>
        <w:t>话：</w:t>
      </w:r>
      <w:r>
        <w:rPr>
          <w:rFonts w:hint="eastAsia" w:ascii="宋体" w:hAnsi="宋体" w:cs="宋体"/>
          <w:szCs w:val="24"/>
          <w:u w:val="single"/>
        </w:rPr>
        <w:t xml:space="preserve">                       </w:t>
      </w:r>
      <w:r>
        <w:rPr>
          <w:rFonts w:ascii="宋体" w:hAnsi="宋体" w:cs="宋体"/>
          <w:szCs w:val="24"/>
          <w:u w:val="single"/>
        </w:rPr>
        <w:t xml:space="preserve">       </w:t>
      </w:r>
      <w:r>
        <w:rPr>
          <w:rFonts w:hint="eastAsia" w:ascii="宋体" w:hAnsi="宋体" w:cs="宋体"/>
          <w:szCs w:val="24"/>
          <w:u w:val="single"/>
        </w:rPr>
        <w:t></w:t>
      </w:r>
    </w:p>
    <w:p>
      <w:pPr>
        <w:spacing w:line="400" w:lineRule="exact"/>
        <w:rPr>
          <w:rFonts w:ascii="宋体" w:cs="宋体"/>
          <w:szCs w:val="24"/>
        </w:rPr>
      </w:pPr>
      <w:r>
        <w:rPr>
          <w:rFonts w:hint="eastAsia" w:ascii="宋体" w:hAnsi="宋体" w:cs="宋体"/>
          <w:szCs w:val="24"/>
        </w:rPr>
        <w:t>传</w:t>
      </w:r>
      <w:r>
        <w:rPr>
          <w:rFonts w:ascii="宋体" w:hAnsi="宋体" w:cs="宋体"/>
          <w:szCs w:val="24"/>
        </w:rPr>
        <w:t xml:space="preserve">  </w:t>
      </w:r>
      <w:r>
        <w:rPr>
          <w:rFonts w:hint="eastAsia" w:ascii="宋体" w:hAnsi="宋体" w:cs="宋体"/>
          <w:szCs w:val="24"/>
        </w:rPr>
        <w:t>真：</w:t>
      </w:r>
      <w:r>
        <w:rPr>
          <w:rFonts w:hint="eastAsia" w:ascii="宋体" w:hAnsi="宋体" w:cs="宋体"/>
          <w:szCs w:val="24"/>
          <w:u w:val="single"/>
        </w:rPr>
        <w:t></w:t>
      </w:r>
      <w:r>
        <w:rPr>
          <w:rFonts w:ascii="宋体" w:hAnsi="宋体" w:cs="宋体"/>
          <w:sz w:val="24"/>
          <w:szCs w:val="24"/>
          <w:u w:val="single"/>
        </w:rPr>
        <w:t>/</w:t>
      </w:r>
      <w:r>
        <w:rPr>
          <w:rFonts w:hint="eastAsia" w:ascii="宋体" w:hAnsi="宋体" w:cs="宋体"/>
          <w:szCs w:val="24"/>
          <w:u w:val="single"/>
        </w:rPr>
        <w:t></w:t>
      </w:r>
      <w:r>
        <w:rPr>
          <w:rFonts w:ascii="宋体" w:hAnsi="宋体" w:cs="宋体"/>
          <w:szCs w:val="24"/>
          <w:u w:val="single"/>
        </w:rPr>
        <w:t xml:space="preserve">     </w:t>
      </w:r>
      <w:r>
        <w:rPr>
          <w:rFonts w:ascii="宋体" w:hAnsi="宋体" w:cs="宋体"/>
          <w:szCs w:val="24"/>
        </w:rPr>
        <w:t xml:space="preserve">             </w:t>
      </w:r>
      <w:r>
        <w:rPr>
          <w:rFonts w:hint="eastAsia" w:ascii="宋体" w:hAnsi="宋体" w:cs="宋体"/>
          <w:szCs w:val="24"/>
        </w:rPr>
        <w:t>传</w:t>
      </w:r>
      <w:r>
        <w:rPr>
          <w:rFonts w:ascii="宋体" w:hAnsi="宋体" w:cs="宋体"/>
          <w:szCs w:val="24"/>
        </w:rPr>
        <w:t xml:space="preserve">  </w:t>
      </w:r>
      <w:r>
        <w:rPr>
          <w:rFonts w:hint="eastAsia" w:ascii="宋体" w:hAnsi="宋体" w:cs="宋体"/>
          <w:szCs w:val="24"/>
        </w:rPr>
        <w:t>真：</w:t>
      </w:r>
      <w:r>
        <w:rPr>
          <w:rFonts w:hint="eastAsia" w:ascii="宋体" w:hAnsi="宋体" w:cs="宋体"/>
          <w:szCs w:val="24"/>
          <w:u w:val="single"/>
        </w:rPr>
        <w:t></w:t>
      </w:r>
      <w:r>
        <w:rPr>
          <w:rFonts w:ascii="宋体" w:hAnsi="宋体" w:cs="宋体"/>
          <w:szCs w:val="24"/>
          <w:u w:val="single"/>
        </w:rPr>
        <w:t xml:space="preserve">  </w:t>
      </w:r>
      <w:r>
        <w:rPr>
          <w:rFonts w:hint="eastAsia" w:ascii="宋体" w:hAnsi="宋体" w:cs="宋体"/>
          <w:sz w:val="24"/>
          <w:szCs w:val="24"/>
          <w:u w:val="single"/>
        </w:rPr>
        <w:t xml:space="preserve">                </w:t>
      </w:r>
      <w:r>
        <w:rPr>
          <w:rFonts w:ascii="宋体" w:hAnsi="宋体" w:cs="宋体"/>
          <w:szCs w:val="24"/>
          <w:u w:val="single"/>
        </w:rPr>
        <w:t xml:space="preserve">         </w:t>
      </w:r>
      <w:r>
        <w:rPr>
          <w:rFonts w:hint="eastAsia" w:ascii="宋体" w:hAnsi="宋体" w:cs="宋体"/>
          <w:szCs w:val="24"/>
          <w:u w:val="single"/>
        </w:rPr>
        <w:t></w:t>
      </w:r>
    </w:p>
    <w:p>
      <w:pPr>
        <w:snapToGrid w:val="0"/>
        <w:spacing w:line="440" w:lineRule="exact"/>
        <w:rPr>
          <w:rFonts w:ascii="宋体" w:cs="宋体"/>
          <w:bCs/>
          <w:sz w:val="24"/>
          <w:szCs w:val="24"/>
          <w:u w:val="single"/>
        </w:rPr>
      </w:pPr>
      <w:r>
        <w:rPr>
          <w:rFonts w:hint="eastAsia" w:ascii="宋体" w:hAnsi="宋体" w:cs="宋体"/>
          <w:szCs w:val="24"/>
        </w:rPr>
        <w:t>开户银行：</w:t>
      </w:r>
      <w:r>
        <w:rPr>
          <w:rFonts w:ascii="宋体" w:hAnsi="宋体" w:cs="宋体"/>
          <w:szCs w:val="24"/>
          <w:u w:val="single"/>
        </w:rPr>
        <w:t xml:space="preserve"> </w:t>
      </w:r>
      <w:r>
        <w:rPr>
          <w:rFonts w:hint="eastAsia" w:ascii="宋体" w:hAnsi="宋体" w:cs="宋体"/>
          <w:kern w:val="0"/>
          <w:szCs w:val="20"/>
          <w:u w:val="single"/>
        </w:rPr>
        <w:t>中国银行桂林市建干路支行</w:t>
      </w:r>
      <w:r>
        <w:rPr>
          <w:rFonts w:ascii="宋体" w:hAnsi="宋体" w:cs="宋体"/>
          <w:kern w:val="0"/>
          <w:szCs w:val="20"/>
          <w:u w:val="single"/>
        </w:rPr>
        <w:t xml:space="preserve"> </w:t>
      </w:r>
      <w:r>
        <w:rPr>
          <w:rFonts w:ascii="宋体" w:hAnsi="宋体" w:cs="宋体"/>
          <w:szCs w:val="24"/>
        </w:rPr>
        <w:t xml:space="preserve">        </w:t>
      </w:r>
      <w:r>
        <w:rPr>
          <w:rFonts w:hint="eastAsia" w:ascii="宋体" w:hAnsi="宋体" w:cs="宋体"/>
          <w:sz w:val="24"/>
          <w:szCs w:val="24"/>
        </w:rPr>
        <w:t>开户银行：</w:t>
      </w:r>
      <w:r>
        <w:rPr>
          <w:rFonts w:hint="eastAsia"/>
          <w:szCs w:val="24"/>
          <w:u w:val="single"/>
        </w:rPr>
        <w:t xml:space="preserve">                             </w:t>
      </w:r>
    </w:p>
    <w:p>
      <w:pPr>
        <w:spacing w:line="440" w:lineRule="exact"/>
        <w:rPr>
          <w:rFonts w:ascii="宋体" w:cs="宋体"/>
          <w:szCs w:val="24"/>
        </w:rPr>
      </w:pPr>
      <w:r>
        <w:rPr>
          <w:rFonts w:hint="eastAsia" w:ascii="宋体" w:hAnsi="宋体" w:cs="宋体"/>
          <w:sz w:val="24"/>
          <w:szCs w:val="24"/>
        </w:rPr>
        <w:t>账</w:t>
      </w:r>
      <w:r>
        <w:rPr>
          <w:rFonts w:ascii="宋体" w:hAnsi="宋体" w:cs="宋体"/>
          <w:sz w:val="24"/>
          <w:szCs w:val="24"/>
        </w:rPr>
        <w:t xml:space="preserve">  </w:t>
      </w:r>
      <w:r>
        <w:rPr>
          <w:rFonts w:hint="eastAsia" w:ascii="宋体" w:hAnsi="宋体" w:cs="宋体"/>
          <w:sz w:val="24"/>
          <w:szCs w:val="24"/>
        </w:rPr>
        <w:t>号：</w:t>
      </w:r>
      <w:r>
        <w:rPr>
          <w:rFonts w:hint="eastAsia" w:ascii="宋体" w:hAnsi="宋体" w:cs="宋体"/>
          <w:sz w:val="24"/>
          <w:szCs w:val="24"/>
          <w:u w:val="single"/>
        </w:rPr>
        <w:t></w:t>
      </w:r>
      <w:r>
        <w:rPr>
          <w:rFonts w:ascii="宋体" w:hAnsi="宋体" w:cs="宋体"/>
          <w:sz w:val="24"/>
          <w:szCs w:val="24"/>
          <w:u w:val="single"/>
        </w:rPr>
        <w:t xml:space="preserve">6132 5748 8744         </w:t>
      </w:r>
      <w:r>
        <w:rPr>
          <w:rFonts w:ascii="宋体" w:hAnsi="宋体" w:cs="宋体"/>
          <w:sz w:val="24"/>
          <w:szCs w:val="24"/>
        </w:rPr>
        <w:t xml:space="preserve">     </w:t>
      </w:r>
      <w:r>
        <w:rPr>
          <w:rFonts w:hint="eastAsia" w:ascii="宋体" w:hAnsi="宋体" w:cs="宋体"/>
          <w:sz w:val="24"/>
          <w:szCs w:val="24"/>
        </w:rPr>
        <w:t>账</w:t>
      </w:r>
      <w:r>
        <w:rPr>
          <w:rFonts w:ascii="宋体" w:hAnsi="宋体" w:cs="宋体"/>
          <w:sz w:val="24"/>
          <w:szCs w:val="24"/>
        </w:rPr>
        <w:t xml:space="preserve">  </w:t>
      </w:r>
      <w:r>
        <w:rPr>
          <w:rFonts w:hint="eastAsia" w:ascii="宋体" w:hAnsi="宋体" w:cs="宋体"/>
          <w:sz w:val="24"/>
          <w:szCs w:val="24"/>
        </w:rPr>
        <w:t>号：</w:t>
      </w:r>
      <w:r>
        <w:rPr>
          <w:rFonts w:hint="eastAsia"/>
          <w:szCs w:val="24"/>
          <w:u w:val="single"/>
        </w:rPr>
        <w:t xml:space="preserve">                               </w:t>
      </w:r>
      <w:r>
        <w:rPr>
          <w:szCs w:val="24"/>
          <w:u w:val="single"/>
        </w:rPr>
        <w:t xml:space="preserve"> </w:t>
      </w:r>
    </w:p>
    <w:p>
      <w:pPr>
        <w:spacing w:line="440" w:lineRule="exact"/>
        <w:rPr>
          <w:rFonts w:ascii="宋体" w:cs="宋体"/>
          <w:sz w:val="30"/>
          <w:szCs w:val="30"/>
        </w:rPr>
        <w:sectPr>
          <w:pgSz w:w="11906" w:h="16838"/>
          <w:pgMar w:top="840" w:right="1006" w:bottom="1440" w:left="1020" w:header="851" w:footer="992" w:gutter="0"/>
          <w:cols w:space="720" w:num="1"/>
          <w:titlePg/>
          <w:docGrid w:type="lines" w:linePitch="312" w:charSpace="0"/>
        </w:sectPr>
      </w:pPr>
      <w:r>
        <w:rPr>
          <w:rFonts w:hint="eastAsia" w:ascii="宋体" w:hAnsi="宋体" w:cs="宋体"/>
          <w:szCs w:val="24"/>
        </w:rPr>
        <w:t>邮政编码：</w:t>
      </w:r>
      <w:r>
        <w:rPr>
          <w:rFonts w:ascii="宋体" w:hAnsi="宋体" w:cs="宋体"/>
          <w:szCs w:val="24"/>
          <w:u w:val="single"/>
        </w:rPr>
        <w:t xml:space="preserve"> </w:t>
      </w:r>
      <w:r>
        <w:rPr>
          <w:rFonts w:hint="eastAsia" w:ascii="宋体" w:hAnsi="宋体" w:cs="宋体"/>
          <w:szCs w:val="24"/>
          <w:u w:val="single"/>
        </w:rPr>
        <w:t></w:t>
      </w:r>
      <w:r>
        <w:rPr>
          <w:rFonts w:ascii="宋体" w:hAnsi="宋体" w:cs="宋体"/>
          <w:szCs w:val="24"/>
          <w:u w:val="single"/>
        </w:rPr>
        <w:t>541004</w:t>
      </w:r>
      <w:r>
        <w:rPr>
          <w:rFonts w:hint="eastAsia" w:ascii="宋体" w:hAnsi="宋体" w:cs="宋体"/>
          <w:szCs w:val="24"/>
          <w:u w:val="single"/>
        </w:rPr>
        <w:t></w:t>
      </w:r>
      <w:r>
        <w:rPr>
          <w:rFonts w:ascii="宋体" w:hAnsi="宋体" w:cs="宋体"/>
          <w:szCs w:val="24"/>
          <w:u w:val="single"/>
        </w:rPr>
        <w:t xml:space="preserve"> </w:t>
      </w:r>
      <w:r>
        <w:rPr>
          <w:rFonts w:ascii="宋体" w:hAnsi="宋体" w:cs="宋体"/>
          <w:szCs w:val="24"/>
        </w:rPr>
        <w:t xml:space="preserve">             </w:t>
      </w:r>
      <w:r>
        <w:rPr>
          <w:rFonts w:hint="eastAsia" w:ascii="宋体" w:hAnsi="宋体" w:cs="宋体"/>
          <w:szCs w:val="24"/>
        </w:rPr>
        <w:t>邮政编码：</w:t>
      </w:r>
      <w:r>
        <w:rPr>
          <w:rFonts w:hint="eastAsia" w:ascii="宋体" w:hAnsi="宋体" w:cs="宋体"/>
          <w:szCs w:val="24"/>
          <w:u w:val="single"/>
        </w:rPr>
        <w:t xml:space="preserve">                           </w:t>
      </w:r>
      <w:r>
        <w:rPr>
          <w:rFonts w:hint="eastAsia" w:ascii="宋体" w:hAnsi="宋体" w:cs="宋体"/>
          <w:sz w:val="28"/>
          <w:szCs w:val="28"/>
          <w:u w:val="single"/>
        </w:rPr>
        <w:t></w:t>
      </w:r>
    </w:p>
    <w:p>
      <w:pPr>
        <w:spacing w:line="400" w:lineRule="exact"/>
        <w:ind w:firstLine="420" w:firstLineChars="200"/>
        <w:rPr>
          <w:rFonts w:ascii="宋体" w:hAnsi="宋体" w:cs="宋体"/>
          <w:szCs w:val="22"/>
        </w:rPr>
      </w:pPr>
      <w:r>
        <w:rPr>
          <w:rFonts w:hint="eastAsia" w:ascii="宋体" w:hAnsi="宋体" w:cs="宋体"/>
          <w:szCs w:val="22"/>
        </w:rPr>
        <w:t>附件4：</w:t>
      </w:r>
    </w:p>
    <w:p>
      <w:pPr>
        <w:spacing w:line="400" w:lineRule="exact"/>
        <w:ind w:firstLine="420" w:firstLineChars="200"/>
        <w:rPr>
          <w:rFonts w:ascii="宋体" w:hAnsi="宋体" w:cs="宋体"/>
          <w:szCs w:val="22"/>
        </w:rPr>
      </w:pPr>
      <w:r>
        <w:rPr>
          <w:rFonts w:hint="eastAsia" w:ascii="宋体" w:hAnsi="宋体" w:cs="宋体"/>
          <w:szCs w:val="22"/>
        </w:rPr>
        <w:t>主要建设工程文件目录</w:t>
      </w:r>
    </w:p>
    <w:tbl>
      <w:tblPr>
        <w:tblStyle w:val="45"/>
        <w:tblW w:w="87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60"/>
        <w:gridCol w:w="1070"/>
        <w:gridCol w:w="1454"/>
        <w:gridCol w:w="1247"/>
        <w:gridCol w:w="1454"/>
        <w:gridCol w:w="15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文件名称</w:t>
            </w:r>
          </w:p>
        </w:tc>
        <w:tc>
          <w:tcPr>
            <w:tcW w:w="1067" w:type="dxa"/>
            <w:tcBorders>
              <w:top w:val="single" w:color="auto" w:sz="12" w:space="0"/>
              <w:bottom w:val="double" w:color="auto" w:sz="6"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套数</w:t>
            </w:r>
          </w:p>
        </w:tc>
        <w:tc>
          <w:tcPr>
            <w:tcW w:w="1450" w:type="dxa"/>
            <w:tcBorders>
              <w:top w:val="single" w:color="auto" w:sz="12" w:space="0"/>
              <w:bottom w:val="double" w:color="auto" w:sz="6"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费用（元）</w:t>
            </w:r>
          </w:p>
        </w:tc>
        <w:tc>
          <w:tcPr>
            <w:tcW w:w="1243" w:type="dxa"/>
            <w:tcBorders>
              <w:top w:val="single" w:color="auto" w:sz="12" w:space="0"/>
              <w:bottom w:val="double" w:color="auto" w:sz="6"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质量</w:t>
            </w:r>
          </w:p>
        </w:tc>
        <w:tc>
          <w:tcPr>
            <w:tcW w:w="1450" w:type="dxa"/>
            <w:tcBorders>
              <w:top w:val="single" w:color="auto" w:sz="12" w:space="0"/>
              <w:bottom w:val="double" w:color="auto" w:sz="6" w:space="0"/>
            </w:tcBorders>
          </w:tcPr>
          <w:p>
            <w:pPr>
              <w:spacing w:line="400" w:lineRule="exact"/>
              <w:ind w:firstLine="420" w:firstLineChars="200"/>
              <w:rPr>
                <w:rFonts w:ascii="宋体" w:hAnsi="宋体" w:cs="宋体"/>
                <w:szCs w:val="22"/>
              </w:rPr>
            </w:pPr>
            <w:r>
              <w:rPr>
                <w:rFonts w:hint="eastAsia" w:ascii="宋体" w:hAnsi="宋体" w:cs="宋体"/>
                <w:szCs w:val="22"/>
              </w:rPr>
              <w:t>移交时间</w:t>
            </w:r>
          </w:p>
        </w:tc>
        <w:tc>
          <w:tcPr>
            <w:tcW w:w="1564" w:type="dxa"/>
            <w:tcBorders>
              <w:top w:val="single" w:color="auto" w:sz="12" w:space="0"/>
              <w:bottom w:val="double" w:color="auto" w:sz="6" w:space="0"/>
            </w:tcBorders>
          </w:tcPr>
          <w:p>
            <w:pPr>
              <w:spacing w:line="400" w:lineRule="exact"/>
              <w:ind w:firstLine="420" w:firstLineChars="200"/>
              <w:rPr>
                <w:rFonts w:ascii="宋体" w:hAnsi="宋体" w:cs="宋体"/>
                <w:szCs w:val="22"/>
              </w:rPr>
            </w:pPr>
            <w:r>
              <w:rPr>
                <w:rFonts w:hint="eastAsia" w:ascii="宋体" w:hAnsi="宋体" w:cs="宋体"/>
                <w:szCs w:val="22"/>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tcBorders>
            <w:vAlign w:val="center"/>
          </w:tcPr>
          <w:p>
            <w:pPr>
              <w:spacing w:line="400" w:lineRule="exact"/>
              <w:ind w:firstLine="420" w:firstLineChars="200"/>
              <w:rPr>
                <w:rFonts w:ascii="宋体" w:hAnsi="宋体" w:cs="宋体"/>
                <w:szCs w:val="22"/>
              </w:rPr>
            </w:pPr>
          </w:p>
        </w:tc>
        <w:tc>
          <w:tcPr>
            <w:tcW w:w="1067" w:type="dxa"/>
            <w:tcBorders>
              <w:top w:val="double" w:color="auto" w:sz="6" w:space="0"/>
            </w:tcBorders>
            <w:vAlign w:val="center"/>
          </w:tcPr>
          <w:p>
            <w:pPr>
              <w:spacing w:line="400" w:lineRule="exact"/>
              <w:ind w:firstLine="420" w:firstLineChars="200"/>
              <w:rPr>
                <w:rFonts w:ascii="宋体" w:hAnsi="宋体" w:cs="宋体"/>
                <w:szCs w:val="22"/>
              </w:rPr>
            </w:pPr>
          </w:p>
        </w:tc>
        <w:tc>
          <w:tcPr>
            <w:tcW w:w="1450" w:type="dxa"/>
            <w:tcBorders>
              <w:top w:val="double" w:color="auto" w:sz="6"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无</w:t>
            </w:r>
          </w:p>
        </w:tc>
        <w:tc>
          <w:tcPr>
            <w:tcW w:w="1243" w:type="dxa"/>
            <w:tcBorders>
              <w:top w:val="double" w:color="auto" w:sz="6" w:space="0"/>
            </w:tcBorders>
            <w:vAlign w:val="center"/>
          </w:tcPr>
          <w:p>
            <w:pPr>
              <w:spacing w:line="400" w:lineRule="exact"/>
              <w:ind w:firstLine="420" w:firstLineChars="200"/>
              <w:rPr>
                <w:rFonts w:ascii="宋体" w:hAnsi="宋体" w:cs="宋体"/>
                <w:szCs w:val="22"/>
              </w:rPr>
            </w:pPr>
          </w:p>
        </w:tc>
        <w:tc>
          <w:tcPr>
            <w:tcW w:w="1450" w:type="dxa"/>
            <w:tcBorders>
              <w:top w:val="double" w:color="auto" w:sz="6" w:space="0"/>
            </w:tcBorders>
            <w:vAlign w:val="center"/>
          </w:tcPr>
          <w:p>
            <w:pPr>
              <w:spacing w:line="400" w:lineRule="exact"/>
              <w:ind w:firstLine="420" w:firstLineChars="200"/>
              <w:rPr>
                <w:rFonts w:ascii="宋体" w:hAnsi="宋体" w:cs="宋体"/>
                <w:szCs w:val="22"/>
              </w:rPr>
            </w:pPr>
          </w:p>
        </w:tc>
        <w:tc>
          <w:tcPr>
            <w:tcW w:w="1564" w:type="dxa"/>
            <w:tcBorders>
              <w:top w:val="double" w:color="auto" w:sz="6" w:space="0"/>
            </w:tcBorders>
            <w:vAlign w:val="center"/>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spacing w:line="400" w:lineRule="exact"/>
              <w:ind w:firstLine="420" w:firstLineChars="200"/>
              <w:rPr>
                <w:rFonts w:ascii="宋体" w:hAnsi="宋体" w:cs="宋体"/>
                <w:szCs w:val="22"/>
              </w:rPr>
            </w:pPr>
          </w:p>
        </w:tc>
        <w:tc>
          <w:tcPr>
            <w:tcW w:w="1067" w:type="dxa"/>
            <w:tcBorders>
              <w:top w:val="nil"/>
            </w:tcBorders>
            <w:vAlign w:val="center"/>
          </w:tcPr>
          <w:p>
            <w:pPr>
              <w:spacing w:line="400" w:lineRule="exact"/>
              <w:ind w:firstLine="420" w:firstLineChars="200"/>
              <w:rPr>
                <w:rFonts w:ascii="宋体" w:hAnsi="宋体" w:cs="宋体"/>
                <w:szCs w:val="22"/>
              </w:rPr>
            </w:pPr>
          </w:p>
        </w:tc>
        <w:tc>
          <w:tcPr>
            <w:tcW w:w="1450" w:type="dxa"/>
            <w:tcBorders>
              <w:top w:val="nil"/>
            </w:tcBorders>
            <w:vAlign w:val="center"/>
          </w:tcPr>
          <w:p>
            <w:pPr>
              <w:spacing w:line="400" w:lineRule="exact"/>
              <w:ind w:firstLine="420" w:firstLineChars="200"/>
              <w:rPr>
                <w:rFonts w:ascii="宋体" w:hAnsi="宋体" w:cs="宋体"/>
                <w:szCs w:val="22"/>
              </w:rPr>
            </w:pPr>
          </w:p>
        </w:tc>
        <w:tc>
          <w:tcPr>
            <w:tcW w:w="1243" w:type="dxa"/>
            <w:tcBorders>
              <w:top w:val="nil"/>
            </w:tcBorders>
            <w:vAlign w:val="center"/>
          </w:tcPr>
          <w:p>
            <w:pPr>
              <w:spacing w:line="400" w:lineRule="exact"/>
              <w:ind w:firstLine="420" w:firstLineChars="200"/>
              <w:rPr>
                <w:rFonts w:ascii="宋体" w:hAnsi="宋体" w:cs="宋体"/>
                <w:szCs w:val="22"/>
              </w:rPr>
            </w:pPr>
          </w:p>
        </w:tc>
        <w:tc>
          <w:tcPr>
            <w:tcW w:w="1450" w:type="dxa"/>
            <w:tcBorders>
              <w:top w:val="nil"/>
            </w:tcBorders>
            <w:vAlign w:val="center"/>
          </w:tcPr>
          <w:p>
            <w:pPr>
              <w:spacing w:line="400" w:lineRule="exact"/>
              <w:ind w:firstLine="420" w:firstLineChars="200"/>
              <w:rPr>
                <w:rFonts w:ascii="宋体" w:hAnsi="宋体" w:cs="宋体"/>
                <w:szCs w:val="22"/>
              </w:rPr>
            </w:pPr>
          </w:p>
        </w:tc>
        <w:tc>
          <w:tcPr>
            <w:tcW w:w="1564" w:type="dxa"/>
            <w:tcBorders>
              <w:top w:val="nil"/>
            </w:tcBorders>
            <w:vAlign w:val="center"/>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spacing w:line="400" w:lineRule="exact"/>
              <w:ind w:firstLine="420" w:firstLineChars="200"/>
              <w:rPr>
                <w:rFonts w:ascii="宋体" w:hAnsi="宋体" w:cs="宋体"/>
                <w:szCs w:val="22"/>
              </w:rPr>
            </w:pPr>
          </w:p>
        </w:tc>
        <w:tc>
          <w:tcPr>
            <w:tcW w:w="1067" w:type="dxa"/>
            <w:vAlign w:val="center"/>
          </w:tcPr>
          <w:p>
            <w:pPr>
              <w:spacing w:line="400" w:lineRule="exact"/>
              <w:ind w:firstLine="420" w:firstLineChars="200"/>
              <w:rPr>
                <w:rFonts w:ascii="宋体" w:hAnsi="宋体" w:cs="宋体"/>
                <w:szCs w:val="22"/>
              </w:rPr>
            </w:pPr>
          </w:p>
        </w:tc>
        <w:tc>
          <w:tcPr>
            <w:tcW w:w="1450" w:type="dxa"/>
            <w:vAlign w:val="center"/>
          </w:tcPr>
          <w:p>
            <w:pPr>
              <w:spacing w:line="400" w:lineRule="exact"/>
              <w:ind w:firstLine="420" w:firstLineChars="200"/>
              <w:rPr>
                <w:rFonts w:ascii="宋体" w:hAnsi="宋体" w:cs="宋体"/>
                <w:szCs w:val="22"/>
              </w:rPr>
            </w:pPr>
          </w:p>
        </w:tc>
        <w:tc>
          <w:tcPr>
            <w:tcW w:w="1243" w:type="dxa"/>
            <w:vAlign w:val="center"/>
          </w:tcPr>
          <w:p>
            <w:pPr>
              <w:spacing w:line="400" w:lineRule="exact"/>
              <w:ind w:firstLine="420" w:firstLineChars="200"/>
              <w:rPr>
                <w:rFonts w:ascii="宋体" w:hAnsi="宋体" w:cs="宋体"/>
                <w:szCs w:val="22"/>
              </w:rPr>
            </w:pPr>
          </w:p>
        </w:tc>
        <w:tc>
          <w:tcPr>
            <w:tcW w:w="1450" w:type="dxa"/>
            <w:vAlign w:val="center"/>
          </w:tcPr>
          <w:p>
            <w:pPr>
              <w:spacing w:line="400" w:lineRule="exact"/>
              <w:ind w:firstLine="420" w:firstLineChars="200"/>
              <w:rPr>
                <w:rFonts w:ascii="宋体" w:hAnsi="宋体" w:cs="宋体"/>
                <w:szCs w:val="22"/>
              </w:rPr>
            </w:pPr>
          </w:p>
        </w:tc>
        <w:tc>
          <w:tcPr>
            <w:tcW w:w="1564" w:type="dxa"/>
            <w:vAlign w:val="center"/>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spacing w:line="400" w:lineRule="exact"/>
              <w:ind w:firstLine="420" w:firstLineChars="200"/>
              <w:rPr>
                <w:rFonts w:ascii="宋体" w:hAnsi="宋体" w:cs="宋体"/>
                <w:szCs w:val="22"/>
              </w:rPr>
            </w:pPr>
          </w:p>
        </w:tc>
        <w:tc>
          <w:tcPr>
            <w:tcW w:w="1067" w:type="dxa"/>
            <w:vAlign w:val="center"/>
          </w:tcPr>
          <w:p>
            <w:pPr>
              <w:spacing w:line="400" w:lineRule="exact"/>
              <w:ind w:firstLine="420" w:firstLineChars="200"/>
              <w:rPr>
                <w:rFonts w:ascii="宋体" w:hAnsi="宋体" w:cs="宋体"/>
                <w:szCs w:val="22"/>
              </w:rPr>
            </w:pPr>
          </w:p>
        </w:tc>
        <w:tc>
          <w:tcPr>
            <w:tcW w:w="1450" w:type="dxa"/>
            <w:vAlign w:val="center"/>
          </w:tcPr>
          <w:p>
            <w:pPr>
              <w:spacing w:line="400" w:lineRule="exact"/>
              <w:ind w:firstLine="420" w:firstLineChars="200"/>
              <w:rPr>
                <w:rFonts w:ascii="宋体" w:hAnsi="宋体" w:cs="宋体"/>
                <w:szCs w:val="22"/>
              </w:rPr>
            </w:pPr>
          </w:p>
        </w:tc>
        <w:tc>
          <w:tcPr>
            <w:tcW w:w="1243" w:type="dxa"/>
            <w:vAlign w:val="center"/>
          </w:tcPr>
          <w:p>
            <w:pPr>
              <w:spacing w:line="400" w:lineRule="exact"/>
              <w:ind w:firstLine="420" w:firstLineChars="200"/>
              <w:rPr>
                <w:rFonts w:ascii="宋体" w:hAnsi="宋体" w:cs="宋体"/>
                <w:szCs w:val="22"/>
              </w:rPr>
            </w:pPr>
          </w:p>
        </w:tc>
        <w:tc>
          <w:tcPr>
            <w:tcW w:w="1450" w:type="dxa"/>
            <w:vAlign w:val="center"/>
          </w:tcPr>
          <w:p>
            <w:pPr>
              <w:spacing w:line="400" w:lineRule="exact"/>
              <w:ind w:firstLine="420" w:firstLineChars="200"/>
              <w:rPr>
                <w:rFonts w:ascii="宋体" w:hAnsi="宋体" w:cs="宋体"/>
                <w:szCs w:val="22"/>
              </w:rPr>
            </w:pPr>
          </w:p>
        </w:tc>
        <w:tc>
          <w:tcPr>
            <w:tcW w:w="1564" w:type="dxa"/>
            <w:vAlign w:val="center"/>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spacing w:line="400" w:lineRule="exact"/>
              <w:ind w:firstLine="420" w:firstLineChars="200"/>
              <w:rPr>
                <w:rFonts w:ascii="宋体" w:hAnsi="宋体" w:cs="宋体"/>
                <w:szCs w:val="22"/>
              </w:rPr>
            </w:pPr>
          </w:p>
        </w:tc>
        <w:tc>
          <w:tcPr>
            <w:tcW w:w="1067" w:type="dxa"/>
            <w:vAlign w:val="center"/>
          </w:tcPr>
          <w:p>
            <w:pPr>
              <w:spacing w:line="400" w:lineRule="exact"/>
              <w:ind w:firstLine="420" w:firstLineChars="200"/>
              <w:rPr>
                <w:rFonts w:ascii="宋体" w:hAnsi="宋体" w:cs="宋体"/>
                <w:szCs w:val="22"/>
              </w:rPr>
            </w:pPr>
          </w:p>
        </w:tc>
        <w:tc>
          <w:tcPr>
            <w:tcW w:w="1450" w:type="dxa"/>
            <w:vAlign w:val="center"/>
          </w:tcPr>
          <w:p>
            <w:pPr>
              <w:spacing w:line="400" w:lineRule="exact"/>
              <w:ind w:firstLine="420" w:firstLineChars="200"/>
              <w:rPr>
                <w:rFonts w:ascii="宋体" w:hAnsi="宋体" w:cs="宋体"/>
                <w:szCs w:val="22"/>
              </w:rPr>
            </w:pPr>
          </w:p>
        </w:tc>
        <w:tc>
          <w:tcPr>
            <w:tcW w:w="1243" w:type="dxa"/>
            <w:vAlign w:val="center"/>
          </w:tcPr>
          <w:p>
            <w:pPr>
              <w:spacing w:line="400" w:lineRule="exact"/>
              <w:ind w:firstLine="420" w:firstLineChars="200"/>
              <w:rPr>
                <w:rFonts w:ascii="宋体" w:hAnsi="宋体" w:cs="宋体"/>
                <w:szCs w:val="22"/>
              </w:rPr>
            </w:pPr>
          </w:p>
        </w:tc>
        <w:tc>
          <w:tcPr>
            <w:tcW w:w="1450" w:type="dxa"/>
            <w:vAlign w:val="center"/>
          </w:tcPr>
          <w:p>
            <w:pPr>
              <w:spacing w:line="400" w:lineRule="exact"/>
              <w:ind w:firstLine="420" w:firstLineChars="200"/>
              <w:rPr>
                <w:rFonts w:ascii="宋体" w:hAnsi="宋体" w:cs="宋体"/>
                <w:szCs w:val="22"/>
              </w:rPr>
            </w:pPr>
          </w:p>
        </w:tc>
        <w:tc>
          <w:tcPr>
            <w:tcW w:w="1564" w:type="dxa"/>
            <w:vAlign w:val="center"/>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spacing w:line="400" w:lineRule="exact"/>
              <w:ind w:firstLine="420" w:firstLineChars="200"/>
              <w:rPr>
                <w:rFonts w:ascii="宋体" w:hAnsi="宋体" w:cs="宋体"/>
                <w:szCs w:val="22"/>
              </w:rPr>
            </w:pPr>
          </w:p>
        </w:tc>
        <w:tc>
          <w:tcPr>
            <w:tcW w:w="1067" w:type="dxa"/>
            <w:vAlign w:val="center"/>
          </w:tcPr>
          <w:p>
            <w:pPr>
              <w:spacing w:line="400" w:lineRule="exact"/>
              <w:ind w:firstLine="420" w:firstLineChars="200"/>
              <w:rPr>
                <w:rFonts w:ascii="宋体" w:hAnsi="宋体" w:cs="宋体"/>
                <w:szCs w:val="22"/>
              </w:rPr>
            </w:pPr>
          </w:p>
        </w:tc>
        <w:tc>
          <w:tcPr>
            <w:tcW w:w="1450" w:type="dxa"/>
            <w:vAlign w:val="center"/>
          </w:tcPr>
          <w:p>
            <w:pPr>
              <w:spacing w:line="400" w:lineRule="exact"/>
              <w:ind w:firstLine="420" w:firstLineChars="200"/>
              <w:rPr>
                <w:rFonts w:ascii="宋体" w:hAnsi="宋体" w:cs="宋体"/>
                <w:szCs w:val="22"/>
              </w:rPr>
            </w:pPr>
          </w:p>
        </w:tc>
        <w:tc>
          <w:tcPr>
            <w:tcW w:w="1243" w:type="dxa"/>
            <w:vAlign w:val="center"/>
          </w:tcPr>
          <w:p>
            <w:pPr>
              <w:spacing w:line="400" w:lineRule="exact"/>
              <w:ind w:firstLine="420" w:firstLineChars="200"/>
              <w:rPr>
                <w:rFonts w:ascii="宋体" w:hAnsi="宋体" w:cs="宋体"/>
                <w:szCs w:val="22"/>
              </w:rPr>
            </w:pPr>
          </w:p>
        </w:tc>
        <w:tc>
          <w:tcPr>
            <w:tcW w:w="1450" w:type="dxa"/>
            <w:vAlign w:val="center"/>
          </w:tcPr>
          <w:p>
            <w:pPr>
              <w:spacing w:line="400" w:lineRule="exact"/>
              <w:ind w:firstLine="420" w:firstLineChars="200"/>
              <w:rPr>
                <w:rFonts w:ascii="宋体" w:hAnsi="宋体" w:cs="宋体"/>
                <w:szCs w:val="22"/>
              </w:rPr>
            </w:pPr>
          </w:p>
        </w:tc>
        <w:tc>
          <w:tcPr>
            <w:tcW w:w="1564" w:type="dxa"/>
            <w:vAlign w:val="center"/>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spacing w:line="400" w:lineRule="exact"/>
              <w:ind w:firstLine="420" w:firstLineChars="200"/>
              <w:rPr>
                <w:rFonts w:ascii="宋体" w:hAnsi="宋体" w:cs="宋体"/>
                <w:szCs w:val="22"/>
              </w:rPr>
            </w:pPr>
          </w:p>
        </w:tc>
        <w:tc>
          <w:tcPr>
            <w:tcW w:w="1067" w:type="dxa"/>
            <w:vAlign w:val="center"/>
          </w:tcPr>
          <w:p>
            <w:pPr>
              <w:spacing w:line="400" w:lineRule="exact"/>
              <w:ind w:firstLine="420" w:firstLineChars="200"/>
              <w:rPr>
                <w:rFonts w:ascii="宋体" w:hAnsi="宋体" w:cs="宋体"/>
                <w:szCs w:val="22"/>
              </w:rPr>
            </w:pPr>
          </w:p>
        </w:tc>
        <w:tc>
          <w:tcPr>
            <w:tcW w:w="1450" w:type="dxa"/>
            <w:vAlign w:val="center"/>
          </w:tcPr>
          <w:p>
            <w:pPr>
              <w:spacing w:line="400" w:lineRule="exact"/>
              <w:ind w:firstLine="420" w:firstLineChars="200"/>
              <w:rPr>
                <w:rFonts w:ascii="宋体" w:hAnsi="宋体" w:cs="宋体"/>
                <w:szCs w:val="22"/>
              </w:rPr>
            </w:pPr>
          </w:p>
        </w:tc>
        <w:tc>
          <w:tcPr>
            <w:tcW w:w="1243" w:type="dxa"/>
            <w:vAlign w:val="center"/>
          </w:tcPr>
          <w:p>
            <w:pPr>
              <w:spacing w:line="400" w:lineRule="exact"/>
              <w:ind w:firstLine="420" w:firstLineChars="200"/>
              <w:rPr>
                <w:rFonts w:ascii="宋体" w:hAnsi="宋体" w:cs="宋体"/>
                <w:szCs w:val="22"/>
              </w:rPr>
            </w:pPr>
          </w:p>
        </w:tc>
        <w:tc>
          <w:tcPr>
            <w:tcW w:w="1450" w:type="dxa"/>
            <w:vAlign w:val="center"/>
          </w:tcPr>
          <w:p>
            <w:pPr>
              <w:spacing w:line="400" w:lineRule="exact"/>
              <w:ind w:firstLine="420" w:firstLineChars="200"/>
              <w:rPr>
                <w:rFonts w:ascii="宋体" w:hAnsi="宋体" w:cs="宋体"/>
                <w:szCs w:val="22"/>
              </w:rPr>
            </w:pPr>
          </w:p>
        </w:tc>
        <w:tc>
          <w:tcPr>
            <w:tcW w:w="1564" w:type="dxa"/>
            <w:vAlign w:val="center"/>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spacing w:line="400" w:lineRule="exact"/>
              <w:ind w:firstLine="420" w:firstLineChars="200"/>
              <w:rPr>
                <w:rFonts w:ascii="宋体" w:hAnsi="宋体" w:cs="宋体"/>
                <w:szCs w:val="22"/>
              </w:rPr>
            </w:pPr>
          </w:p>
        </w:tc>
        <w:tc>
          <w:tcPr>
            <w:tcW w:w="1067" w:type="dxa"/>
            <w:vAlign w:val="center"/>
          </w:tcPr>
          <w:p>
            <w:pPr>
              <w:spacing w:line="400" w:lineRule="exact"/>
              <w:ind w:firstLine="420" w:firstLineChars="200"/>
              <w:rPr>
                <w:rFonts w:ascii="宋体" w:hAnsi="宋体" w:cs="宋体"/>
                <w:szCs w:val="22"/>
              </w:rPr>
            </w:pPr>
          </w:p>
        </w:tc>
        <w:tc>
          <w:tcPr>
            <w:tcW w:w="1450" w:type="dxa"/>
            <w:vAlign w:val="center"/>
          </w:tcPr>
          <w:p>
            <w:pPr>
              <w:spacing w:line="400" w:lineRule="exact"/>
              <w:ind w:firstLine="420" w:firstLineChars="200"/>
              <w:rPr>
                <w:rFonts w:ascii="宋体" w:hAnsi="宋体" w:cs="宋体"/>
                <w:szCs w:val="22"/>
              </w:rPr>
            </w:pPr>
          </w:p>
        </w:tc>
        <w:tc>
          <w:tcPr>
            <w:tcW w:w="1243" w:type="dxa"/>
            <w:vAlign w:val="center"/>
          </w:tcPr>
          <w:p>
            <w:pPr>
              <w:spacing w:line="400" w:lineRule="exact"/>
              <w:ind w:firstLine="420" w:firstLineChars="200"/>
              <w:rPr>
                <w:rFonts w:ascii="宋体" w:hAnsi="宋体" w:cs="宋体"/>
                <w:szCs w:val="22"/>
              </w:rPr>
            </w:pPr>
          </w:p>
        </w:tc>
        <w:tc>
          <w:tcPr>
            <w:tcW w:w="1450" w:type="dxa"/>
            <w:vAlign w:val="center"/>
          </w:tcPr>
          <w:p>
            <w:pPr>
              <w:spacing w:line="400" w:lineRule="exact"/>
              <w:ind w:firstLine="420" w:firstLineChars="200"/>
              <w:rPr>
                <w:rFonts w:ascii="宋体" w:hAnsi="宋体" w:cs="宋体"/>
                <w:szCs w:val="22"/>
              </w:rPr>
            </w:pPr>
          </w:p>
        </w:tc>
        <w:tc>
          <w:tcPr>
            <w:tcW w:w="1564" w:type="dxa"/>
            <w:vAlign w:val="center"/>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400" w:lineRule="exact"/>
              <w:ind w:firstLine="420" w:firstLineChars="200"/>
              <w:rPr>
                <w:rFonts w:ascii="宋体" w:hAnsi="宋体" w:cs="宋体"/>
                <w:szCs w:val="22"/>
              </w:rPr>
            </w:pPr>
          </w:p>
        </w:tc>
        <w:tc>
          <w:tcPr>
            <w:tcW w:w="1067" w:type="dxa"/>
          </w:tcPr>
          <w:p>
            <w:pPr>
              <w:spacing w:line="400" w:lineRule="exact"/>
              <w:ind w:firstLine="420" w:firstLineChars="200"/>
              <w:rPr>
                <w:rFonts w:ascii="宋体" w:hAnsi="宋体" w:cs="宋体"/>
                <w:szCs w:val="22"/>
              </w:rPr>
            </w:pPr>
          </w:p>
        </w:tc>
        <w:tc>
          <w:tcPr>
            <w:tcW w:w="1450" w:type="dxa"/>
          </w:tcPr>
          <w:p>
            <w:pPr>
              <w:spacing w:line="400" w:lineRule="exact"/>
              <w:ind w:firstLine="420" w:firstLineChars="200"/>
              <w:rPr>
                <w:rFonts w:ascii="宋体" w:hAnsi="宋体" w:cs="宋体"/>
                <w:szCs w:val="22"/>
              </w:rPr>
            </w:pPr>
          </w:p>
        </w:tc>
        <w:tc>
          <w:tcPr>
            <w:tcW w:w="1243" w:type="dxa"/>
          </w:tcPr>
          <w:p>
            <w:pPr>
              <w:spacing w:line="400" w:lineRule="exact"/>
              <w:ind w:firstLine="420" w:firstLineChars="200"/>
              <w:rPr>
                <w:rFonts w:ascii="宋体" w:hAnsi="宋体" w:cs="宋体"/>
                <w:szCs w:val="22"/>
              </w:rPr>
            </w:pPr>
          </w:p>
        </w:tc>
        <w:tc>
          <w:tcPr>
            <w:tcW w:w="1450" w:type="dxa"/>
          </w:tcPr>
          <w:p>
            <w:pPr>
              <w:spacing w:line="400" w:lineRule="exact"/>
              <w:ind w:firstLine="420" w:firstLineChars="200"/>
              <w:rPr>
                <w:rFonts w:ascii="宋体" w:hAnsi="宋体" w:cs="宋体"/>
                <w:szCs w:val="22"/>
              </w:rPr>
            </w:pPr>
          </w:p>
        </w:tc>
        <w:tc>
          <w:tcPr>
            <w:tcW w:w="1564" w:type="dxa"/>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spacing w:line="400" w:lineRule="exact"/>
              <w:ind w:firstLine="420" w:firstLineChars="200"/>
              <w:rPr>
                <w:rFonts w:ascii="宋体" w:hAnsi="宋体" w:cs="宋体"/>
                <w:szCs w:val="22"/>
              </w:rPr>
            </w:pPr>
          </w:p>
        </w:tc>
        <w:tc>
          <w:tcPr>
            <w:tcW w:w="1067" w:type="dxa"/>
            <w:vAlign w:val="center"/>
          </w:tcPr>
          <w:p>
            <w:pPr>
              <w:spacing w:line="400" w:lineRule="exact"/>
              <w:ind w:firstLine="420" w:firstLineChars="200"/>
              <w:rPr>
                <w:rFonts w:ascii="宋体" w:hAnsi="宋体" w:cs="宋体"/>
                <w:szCs w:val="22"/>
              </w:rPr>
            </w:pPr>
          </w:p>
        </w:tc>
        <w:tc>
          <w:tcPr>
            <w:tcW w:w="1450" w:type="dxa"/>
            <w:vAlign w:val="center"/>
          </w:tcPr>
          <w:p>
            <w:pPr>
              <w:spacing w:line="400" w:lineRule="exact"/>
              <w:ind w:firstLine="420" w:firstLineChars="200"/>
              <w:rPr>
                <w:rFonts w:ascii="宋体" w:hAnsi="宋体" w:cs="宋体"/>
                <w:szCs w:val="22"/>
              </w:rPr>
            </w:pPr>
          </w:p>
        </w:tc>
        <w:tc>
          <w:tcPr>
            <w:tcW w:w="1243" w:type="dxa"/>
            <w:vAlign w:val="center"/>
          </w:tcPr>
          <w:p>
            <w:pPr>
              <w:spacing w:line="400" w:lineRule="exact"/>
              <w:ind w:firstLine="420" w:firstLineChars="200"/>
              <w:rPr>
                <w:rFonts w:ascii="宋体" w:hAnsi="宋体" w:cs="宋体"/>
                <w:szCs w:val="22"/>
              </w:rPr>
            </w:pPr>
          </w:p>
        </w:tc>
        <w:tc>
          <w:tcPr>
            <w:tcW w:w="1450" w:type="dxa"/>
            <w:vAlign w:val="center"/>
          </w:tcPr>
          <w:p>
            <w:pPr>
              <w:spacing w:line="400" w:lineRule="exact"/>
              <w:ind w:firstLine="420" w:firstLineChars="200"/>
              <w:rPr>
                <w:rFonts w:ascii="宋体" w:hAnsi="宋体" w:cs="宋体"/>
                <w:szCs w:val="22"/>
              </w:rPr>
            </w:pPr>
          </w:p>
        </w:tc>
        <w:tc>
          <w:tcPr>
            <w:tcW w:w="1564" w:type="dxa"/>
            <w:vAlign w:val="center"/>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400" w:lineRule="exact"/>
              <w:ind w:firstLine="420" w:firstLineChars="200"/>
              <w:rPr>
                <w:rFonts w:ascii="宋体" w:hAnsi="宋体" w:cs="宋体"/>
                <w:szCs w:val="22"/>
              </w:rPr>
            </w:pPr>
          </w:p>
        </w:tc>
        <w:tc>
          <w:tcPr>
            <w:tcW w:w="1067" w:type="dxa"/>
          </w:tcPr>
          <w:p>
            <w:pPr>
              <w:spacing w:line="400" w:lineRule="exact"/>
              <w:ind w:firstLine="420" w:firstLineChars="200"/>
              <w:rPr>
                <w:rFonts w:ascii="宋体" w:hAnsi="宋体" w:cs="宋体"/>
                <w:szCs w:val="22"/>
              </w:rPr>
            </w:pPr>
          </w:p>
        </w:tc>
        <w:tc>
          <w:tcPr>
            <w:tcW w:w="1450" w:type="dxa"/>
          </w:tcPr>
          <w:p>
            <w:pPr>
              <w:spacing w:line="400" w:lineRule="exact"/>
              <w:ind w:firstLine="420" w:firstLineChars="200"/>
              <w:rPr>
                <w:rFonts w:ascii="宋体" w:hAnsi="宋体" w:cs="宋体"/>
                <w:szCs w:val="22"/>
              </w:rPr>
            </w:pPr>
          </w:p>
        </w:tc>
        <w:tc>
          <w:tcPr>
            <w:tcW w:w="1243" w:type="dxa"/>
          </w:tcPr>
          <w:p>
            <w:pPr>
              <w:spacing w:line="400" w:lineRule="exact"/>
              <w:ind w:firstLine="420" w:firstLineChars="200"/>
              <w:rPr>
                <w:rFonts w:ascii="宋体" w:hAnsi="宋体" w:cs="宋体"/>
                <w:szCs w:val="22"/>
              </w:rPr>
            </w:pPr>
          </w:p>
        </w:tc>
        <w:tc>
          <w:tcPr>
            <w:tcW w:w="1450" w:type="dxa"/>
          </w:tcPr>
          <w:p>
            <w:pPr>
              <w:spacing w:line="400" w:lineRule="exact"/>
              <w:ind w:firstLine="420" w:firstLineChars="200"/>
              <w:rPr>
                <w:rFonts w:ascii="宋体" w:hAnsi="宋体" w:cs="宋体"/>
                <w:szCs w:val="22"/>
              </w:rPr>
            </w:pPr>
          </w:p>
        </w:tc>
        <w:tc>
          <w:tcPr>
            <w:tcW w:w="1564" w:type="dxa"/>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400" w:lineRule="exact"/>
              <w:ind w:firstLine="420" w:firstLineChars="200"/>
              <w:rPr>
                <w:rFonts w:ascii="宋体" w:hAnsi="宋体" w:cs="宋体"/>
                <w:szCs w:val="22"/>
              </w:rPr>
            </w:pPr>
          </w:p>
        </w:tc>
        <w:tc>
          <w:tcPr>
            <w:tcW w:w="1067" w:type="dxa"/>
          </w:tcPr>
          <w:p>
            <w:pPr>
              <w:spacing w:line="400" w:lineRule="exact"/>
              <w:ind w:firstLine="420" w:firstLineChars="200"/>
              <w:rPr>
                <w:rFonts w:ascii="宋体" w:hAnsi="宋体" w:cs="宋体"/>
                <w:szCs w:val="22"/>
              </w:rPr>
            </w:pPr>
          </w:p>
        </w:tc>
        <w:tc>
          <w:tcPr>
            <w:tcW w:w="1450" w:type="dxa"/>
          </w:tcPr>
          <w:p>
            <w:pPr>
              <w:spacing w:line="400" w:lineRule="exact"/>
              <w:ind w:firstLine="420" w:firstLineChars="200"/>
              <w:rPr>
                <w:rFonts w:ascii="宋体" w:hAnsi="宋体" w:cs="宋体"/>
                <w:szCs w:val="22"/>
              </w:rPr>
            </w:pPr>
          </w:p>
        </w:tc>
        <w:tc>
          <w:tcPr>
            <w:tcW w:w="1243" w:type="dxa"/>
          </w:tcPr>
          <w:p>
            <w:pPr>
              <w:spacing w:line="400" w:lineRule="exact"/>
              <w:ind w:firstLine="420" w:firstLineChars="200"/>
              <w:rPr>
                <w:rFonts w:ascii="宋体" w:hAnsi="宋体" w:cs="宋体"/>
                <w:szCs w:val="22"/>
              </w:rPr>
            </w:pPr>
          </w:p>
        </w:tc>
        <w:tc>
          <w:tcPr>
            <w:tcW w:w="1450" w:type="dxa"/>
          </w:tcPr>
          <w:p>
            <w:pPr>
              <w:spacing w:line="400" w:lineRule="exact"/>
              <w:ind w:firstLine="420" w:firstLineChars="200"/>
              <w:rPr>
                <w:rFonts w:ascii="宋体" w:hAnsi="宋体" w:cs="宋体"/>
                <w:szCs w:val="22"/>
              </w:rPr>
            </w:pPr>
          </w:p>
        </w:tc>
        <w:tc>
          <w:tcPr>
            <w:tcW w:w="1564" w:type="dxa"/>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400" w:lineRule="exact"/>
              <w:ind w:firstLine="420" w:firstLineChars="200"/>
              <w:rPr>
                <w:rFonts w:ascii="宋体" w:hAnsi="宋体" w:cs="宋体"/>
                <w:szCs w:val="22"/>
              </w:rPr>
            </w:pPr>
          </w:p>
        </w:tc>
        <w:tc>
          <w:tcPr>
            <w:tcW w:w="1067" w:type="dxa"/>
          </w:tcPr>
          <w:p>
            <w:pPr>
              <w:spacing w:line="400" w:lineRule="exact"/>
              <w:ind w:firstLine="420" w:firstLineChars="200"/>
              <w:rPr>
                <w:rFonts w:ascii="宋体" w:hAnsi="宋体" w:cs="宋体"/>
                <w:szCs w:val="22"/>
              </w:rPr>
            </w:pPr>
          </w:p>
        </w:tc>
        <w:tc>
          <w:tcPr>
            <w:tcW w:w="1450" w:type="dxa"/>
          </w:tcPr>
          <w:p>
            <w:pPr>
              <w:spacing w:line="400" w:lineRule="exact"/>
              <w:ind w:firstLine="420" w:firstLineChars="200"/>
              <w:rPr>
                <w:rFonts w:ascii="宋体" w:hAnsi="宋体" w:cs="宋体"/>
                <w:szCs w:val="22"/>
              </w:rPr>
            </w:pPr>
          </w:p>
        </w:tc>
        <w:tc>
          <w:tcPr>
            <w:tcW w:w="1243" w:type="dxa"/>
          </w:tcPr>
          <w:p>
            <w:pPr>
              <w:spacing w:line="400" w:lineRule="exact"/>
              <w:ind w:firstLine="420" w:firstLineChars="200"/>
              <w:rPr>
                <w:rFonts w:ascii="宋体" w:hAnsi="宋体" w:cs="宋体"/>
                <w:szCs w:val="22"/>
              </w:rPr>
            </w:pPr>
          </w:p>
        </w:tc>
        <w:tc>
          <w:tcPr>
            <w:tcW w:w="1450" w:type="dxa"/>
          </w:tcPr>
          <w:p>
            <w:pPr>
              <w:spacing w:line="400" w:lineRule="exact"/>
              <w:ind w:firstLine="420" w:firstLineChars="200"/>
              <w:rPr>
                <w:rFonts w:ascii="宋体" w:hAnsi="宋体" w:cs="宋体"/>
                <w:szCs w:val="22"/>
              </w:rPr>
            </w:pPr>
          </w:p>
        </w:tc>
        <w:tc>
          <w:tcPr>
            <w:tcW w:w="1564" w:type="dxa"/>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400" w:lineRule="exact"/>
              <w:ind w:firstLine="420" w:firstLineChars="200"/>
              <w:rPr>
                <w:rFonts w:ascii="宋体" w:hAnsi="宋体" w:cs="宋体"/>
                <w:szCs w:val="22"/>
              </w:rPr>
            </w:pPr>
          </w:p>
        </w:tc>
        <w:tc>
          <w:tcPr>
            <w:tcW w:w="1067" w:type="dxa"/>
          </w:tcPr>
          <w:p>
            <w:pPr>
              <w:spacing w:line="400" w:lineRule="exact"/>
              <w:ind w:firstLine="420" w:firstLineChars="200"/>
              <w:rPr>
                <w:rFonts w:ascii="宋体" w:hAnsi="宋体" w:cs="宋体"/>
                <w:szCs w:val="22"/>
              </w:rPr>
            </w:pPr>
          </w:p>
        </w:tc>
        <w:tc>
          <w:tcPr>
            <w:tcW w:w="1450" w:type="dxa"/>
          </w:tcPr>
          <w:p>
            <w:pPr>
              <w:spacing w:line="400" w:lineRule="exact"/>
              <w:ind w:firstLine="420" w:firstLineChars="200"/>
              <w:rPr>
                <w:rFonts w:ascii="宋体" w:hAnsi="宋体" w:cs="宋体"/>
                <w:szCs w:val="22"/>
              </w:rPr>
            </w:pPr>
          </w:p>
        </w:tc>
        <w:tc>
          <w:tcPr>
            <w:tcW w:w="1243" w:type="dxa"/>
          </w:tcPr>
          <w:p>
            <w:pPr>
              <w:spacing w:line="400" w:lineRule="exact"/>
              <w:ind w:firstLine="420" w:firstLineChars="200"/>
              <w:rPr>
                <w:rFonts w:ascii="宋体" w:hAnsi="宋体" w:cs="宋体"/>
                <w:szCs w:val="22"/>
              </w:rPr>
            </w:pPr>
          </w:p>
        </w:tc>
        <w:tc>
          <w:tcPr>
            <w:tcW w:w="1450" w:type="dxa"/>
          </w:tcPr>
          <w:p>
            <w:pPr>
              <w:spacing w:line="400" w:lineRule="exact"/>
              <w:ind w:firstLine="420" w:firstLineChars="200"/>
              <w:rPr>
                <w:rFonts w:ascii="宋体" w:hAnsi="宋体" w:cs="宋体"/>
                <w:szCs w:val="22"/>
              </w:rPr>
            </w:pPr>
          </w:p>
        </w:tc>
        <w:tc>
          <w:tcPr>
            <w:tcW w:w="1564" w:type="dxa"/>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400" w:lineRule="exact"/>
              <w:ind w:firstLine="420" w:firstLineChars="200"/>
              <w:rPr>
                <w:rFonts w:ascii="宋体" w:hAnsi="宋体" w:cs="宋体"/>
                <w:szCs w:val="22"/>
              </w:rPr>
            </w:pPr>
          </w:p>
        </w:tc>
        <w:tc>
          <w:tcPr>
            <w:tcW w:w="1067" w:type="dxa"/>
          </w:tcPr>
          <w:p>
            <w:pPr>
              <w:spacing w:line="400" w:lineRule="exact"/>
              <w:ind w:firstLine="420" w:firstLineChars="200"/>
              <w:rPr>
                <w:rFonts w:ascii="宋体" w:hAnsi="宋体" w:cs="宋体"/>
                <w:szCs w:val="22"/>
              </w:rPr>
            </w:pPr>
          </w:p>
        </w:tc>
        <w:tc>
          <w:tcPr>
            <w:tcW w:w="1450" w:type="dxa"/>
          </w:tcPr>
          <w:p>
            <w:pPr>
              <w:spacing w:line="400" w:lineRule="exact"/>
              <w:ind w:firstLine="420" w:firstLineChars="200"/>
              <w:rPr>
                <w:rFonts w:ascii="宋体" w:hAnsi="宋体" w:cs="宋体"/>
                <w:szCs w:val="22"/>
              </w:rPr>
            </w:pPr>
          </w:p>
        </w:tc>
        <w:tc>
          <w:tcPr>
            <w:tcW w:w="1243" w:type="dxa"/>
          </w:tcPr>
          <w:p>
            <w:pPr>
              <w:spacing w:line="400" w:lineRule="exact"/>
              <w:ind w:firstLine="420" w:firstLineChars="200"/>
              <w:rPr>
                <w:rFonts w:ascii="宋体" w:hAnsi="宋体" w:cs="宋体"/>
                <w:szCs w:val="22"/>
              </w:rPr>
            </w:pPr>
          </w:p>
        </w:tc>
        <w:tc>
          <w:tcPr>
            <w:tcW w:w="1450" w:type="dxa"/>
          </w:tcPr>
          <w:p>
            <w:pPr>
              <w:spacing w:line="400" w:lineRule="exact"/>
              <w:ind w:firstLine="420" w:firstLineChars="200"/>
              <w:rPr>
                <w:rFonts w:ascii="宋体" w:hAnsi="宋体" w:cs="宋体"/>
                <w:szCs w:val="22"/>
              </w:rPr>
            </w:pPr>
          </w:p>
        </w:tc>
        <w:tc>
          <w:tcPr>
            <w:tcW w:w="1564" w:type="dxa"/>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400" w:lineRule="exact"/>
              <w:ind w:firstLine="420" w:firstLineChars="200"/>
              <w:rPr>
                <w:rFonts w:ascii="宋体" w:hAnsi="宋体" w:cs="宋体"/>
                <w:szCs w:val="22"/>
              </w:rPr>
            </w:pPr>
          </w:p>
        </w:tc>
        <w:tc>
          <w:tcPr>
            <w:tcW w:w="1067" w:type="dxa"/>
          </w:tcPr>
          <w:p>
            <w:pPr>
              <w:spacing w:line="400" w:lineRule="exact"/>
              <w:ind w:firstLine="420" w:firstLineChars="200"/>
              <w:rPr>
                <w:rFonts w:ascii="宋体" w:hAnsi="宋体" w:cs="宋体"/>
                <w:szCs w:val="22"/>
              </w:rPr>
            </w:pPr>
          </w:p>
        </w:tc>
        <w:tc>
          <w:tcPr>
            <w:tcW w:w="1450" w:type="dxa"/>
          </w:tcPr>
          <w:p>
            <w:pPr>
              <w:spacing w:line="400" w:lineRule="exact"/>
              <w:ind w:firstLine="420" w:firstLineChars="200"/>
              <w:rPr>
                <w:rFonts w:ascii="宋体" w:hAnsi="宋体" w:cs="宋体"/>
                <w:szCs w:val="22"/>
              </w:rPr>
            </w:pPr>
          </w:p>
        </w:tc>
        <w:tc>
          <w:tcPr>
            <w:tcW w:w="1243" w:type="dxa"/>
          </w:tcPr>
          <w:p>
            <w:pPr>
              <w:spacing w:line="400" w:lineRule="exact"/>
              <w:ind w:firstLine="420" w:firstLineChars="200"/>
              <w:rPr>
                <w:rFonts w:ascii="宋体" w:hAnsi="宋体" w:cs="宋体"/>
                <w:szCs w:val="22"/>
              </w:rPr>
            </w:pPr>
          </w:p>
        </w:tc>
        <w:tc>
          <w:tcPr>
            <w:tcW w:w="1450" w:type="dxa"/>
          </w:tcPr>
          <w:p>
            <w:pPr>
              <w:spacing w:line="400" w:lineRule="exact"/>
              <w:ind w:firstLine="420" w:firstLineChars="200"/>
              <w:rPr>
                <w:rFonts w:ascii="宋体" w:hAnsi="宋体" w:cs="宋体"/>
                <w:szCs w:val="22"/>
              </w:rPr>
            </w:pPr>
          </w:p>
        </w:tc>
        <w:tc>
          <w:tcPr>
            <w:tcW w:w="1564" w:type="dxa"/>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400" w:lineRule="exact"/>
              <w:ind w:firstLine="420" w:firstLineChars="200"/>
              <w:rPr>
                <w:rFonts w:ascii="宋体" w:hAnsi="宋体" w:cs="宋体"/>
                <w:szCs w:val="22"/>
              </w:rPr>
            </w:pPr>
          </w:p>
        </w:tc>
        <w:tc>
          <w:tcPr>
            <w:tcW w:w="1067" w:type="dxa"/>
          </w:tcPr>
          <w:p>
            <w:pPr>
              <w:spacing w:line="400" w:lineRule="exact"/>
              <w:ind w:firstLine="420" w:firstLineChars="200"/>
              <w:rPr>
                <w:rFonts w:ascii="宋体" w:hAnsi="宋体" w:cs="宋体"/>
                <w:szCs w:val="22"/>
              </w:rPr>
            </w:pPr>
          </w:p>
        </w:tc>
        <w:tc>
          <w:tcPr>
            <w:tcW w:w="1450" w:type="dxa"/>
          </w:tcPr>
          <w:p>
            <w:pPr>
              <w:spacing w:line="400" w:lineRule="exact"/>
              <w:ind w:firstLine="420" w:firstLineChars="200"/>
              <w:rPr>
                <w:rFonts w:ascii="宋体" w:hAnsi="宋体" w:cs="宋体"/>
                <w:szCs w:val="22"/>
              </w:rPr>
            </w:pPr>
          </w:p>
        </w:tc>
        <w:tc>
          <w:tcPr>
            <w:tcW w:w="1243" w:type="dxa"/>
          </w:tcPr>
          <w:p>
            <w:pPr>
              <w:spacing w:line="400" w:lineRule="exact"/>
              <w:ind w:firstLine="420" w:firstLineChars="200"/>
              <w:rPr>
                <w:rFonts w:ascii="宋体" w:hAnsi="宋体" w:cs="宋体"/>
                <w:szCs w:val="22"/>
              </w:rPr>
            </w:pPr>
          </w:p>
        </w:tc>
        <w:tc>
          <w:tcPr>
            <w:tcW w:w="1450" w:type="dxa"/>
          </w:tcPr>
          <w:p>
            <w:pPr>
              <w:spacing w:line="400" w:lineRule="exact"/>
              <w:ind w:firstLine="420" w:firstLineChars="200"/>
              <w:rPr>
                <w:rFonts w:ascii="宋体" w:hAnsi="宋体" w:cs="宋体"/>
                <w:szCs w:val="22"/>
              </w:rPr>
            </w:pPr>
          </w:p>
        </w:tc>
        <w:tc>
          <w:tcPr>
            <w:tcW w:w="1564" w:type="dxa"/>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400" w:lineRule="exact"/>
              <w:ind w:firstLine="420" w:firstLineChars="200"/>
              <w:rPr>
                <w:rFonts w:ascii="宋体" w:hAnsi="宋体" w:cs="宋体"/>
                <w:szCs w:val="22"/>
              </w:rPr>
            </w:pPr>
          </w:p>
        </w:tc>
        <w:tc>
          <w:tcPr>
            <w:tcW w:w="1067" w:type="dxa"/>
          </w:tcPr>
          <w:p>
            <w:pPr>
              <w:spacing w:line="400" w:lineRule="exact"/>
              <w:ind w:firstLine="420" w:firstLineChars="200"/>
              <w:rPr>
                <w:rFonts w:ascii="宋体" w:hAnsi="宋体" w:cs="宋体"/>
                <w:szCs w:val="22"/>
              </w:rPr>
            </w:pPr>
          </w:p>
        </w:tc>
        <w:tc>
          <w:tcPr>
            <w:tcW w:w="1450" w:type="dxa"/>
          </w:tcPr>
          <w:p>
            <w:pPr>
              <w:spacing w:line="400" w:lineRule="exact"/>
              <w:ind w:firstLine="420" w:firstLineChars="200"/>
              <w:rPr>
                <w:rFonts w:ascii="宋体" w:hAnsi="宋体" w:cs="宋体"/>
                <w:szCs w:val="22"/>
              </w:rPr>
            </w:pPr>
          </w:p>
        </w:tc>
        <w:tc>
          <w:tcPr>
            <w:tcW w:w="1243" w:type="dxa"/>
          </w:tcPr>
          <w:p>
            <w:pPr>
              <w:spacing w:line="400" w:lineRule="exact"/>
              <w:ind w:firstLine="420" w:firstLineChars="200"/>
              <w:rPr>
                <w:rFonts w:ascii="宋体" w:hAnsi="宋体" w:cs="宋体"/>
                <w:szCs w:val="22"/>
              </w:rPr>
            </w:pPr>
          </w:p>
        </w:tc>
        <w:tc>
          <w:tcPr>
            <w:tcW w:w="1450" w:type="dxa"/>
          </w:tcPr>
          <w:p>
            <w:pPr>
              <w:spacing w:line="400" w:lineRule="exact"/>
              <w:ind w:firstLine="420" w:firstLineChars="200"/>
              <w:rPr>
                <w:rFonts w:ascii="宋体" w:hAnsi="宋体" w:cs="宋体"/>
                <w:szCs w:val="22"/>
              </w:rPr>
            </w:pPr>
          </w:p>
        </w:tc>
        <w:tc>
          <w:tcPr>
            <w:tcW w:w="1564" w:type="dxa"/>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bottom w:val="single" w:color="auto" w:sz="12" w:space="0"/>
            </w:tcBorders>
          </w:tcPr>
          <w:p>
            <w:pPr>
              <w:spacing w:line="400" w:lineRule="exact"/>
              <w:ind w:firstLine="420" w:firstLineChars="200"/>
              <w:rPr>
                <w:rFonts w:ascii="宋体" w:hAnsi="宋体" w:cs="宋体"/>
                <w:szCs w:val="22"/>
              </w:rPr>
            </w:pPr>
          </w:p>
        </w:tc>
        <w:tc>
          <w:tcPr>
            <w:tcW w:w="1067" w:type="dxa"/>
            <w:tcBorders>
              <w:bottom w:val="single" w:color="auto" w:sz="12" w:space="0"/>
            </w:tcBorders>
          </w:tcPr>
          <w:p>
            <w:pPr>
              <w:spacing w:line="400" w:lineRule="exact"/>
              <w:ind w:firstLine="420" w:firstLineChars="200"/>
              <w:rPr>
                <w:rFonts w:ascii="宋体" w:hAnsi="宋体" w:cs="宋体"/>
                <w:szCs w:val="22"/>
              </w:rPr>
            </w:pPr>
          </w:p>
        </w:tc>
        <w:tc>
          <w:tcPr>
            <w:tcW w:w="1450" w:type="dxa"/>
            <w:tcBorders>
              <w:bottom w:val="single" w:color="auto" w:sz="12" w:space="0"/>
            </w:tcBorders>
          </w:tcPr>
          <w:p>
            <w:pPr>
              <w:spacing w:line="400" w:lineRule="exact"/>
              <w:ind w:firstLine="420" w:firstLineChars="200"/>
              <w:rPr>
                <w:rFonts w:ascii="宋体" w:hAnsi="宋体" w:cs="宋体"/>
                <w:szCs w:val="22"/>
              </w:rPr>
            </w:pPr>
          </w:p>
        </w:tc>
        <w:tc>
          <w:tcPr>
            <w:tcW w:w="1243" w:type="dxa"/>
            <w:tcBorders>
              <w:bottom w:val="single" w:color="auto" w:sz="12" w:space="0"/>
            </w:tcBorders>
          </w:tcPr>
          <w:p>
            <w:pPr>
              <w:spacing w:line="400" w:lineRule="exact"/>
              <w:ind w:firstLine="420" w:firstLineChars="200"/>
              <w:rPr>
                <w:rFonts w:ascii="宋体" w:hAnsi="宋体" w:cs="宋体"/>
                <w:szCs w:val="22"/>
              </w:rPr>
            </w:pPr>
          </w:p>
        </w:tc>
        <w:tc>
          <w:tcPr>
            <w:tcW w:w="1450" w:type="dxa"/>
            <w:tcBorders>
              <w:bottom w:val="single" w:color="auto" w:sz="12" w:space="0"/>
            </w:tcBorders>
          </w:tcPr>
          <w:p>
            <w:pPr>
              <w:spacing w:line="400" w:lineRule="exact"/>
              <w:ind w:firstLine="420" w:firstLineChars="200"/>
              <w:rPr>
                <w:rFonts w:ascii="宋体" w:hAnsi="宋体" w:cs="宋体"/>
                <w:szCs w:val="22"/>
              </w:rPr>
            </w:pPr>
          </w:p>
        </w:tc>
        <w:tc>
          <w:tcPr>
            <w:tcW w:w="1564" w:type="dxa"/>
            <w:tcBorders>
              <w:bottom w:val="single" w:color="auto" w:sz="12" w:space="0"/>
            </w:tcBorders>
          </w:tcPr>
          <w:p>
            <w:pPr>
              <w:spacing w:line="400" w:lineRule="exact"/>
              <w:ind w:firstLine="420" w:firstLineChars="200"/>
              <w:rPr>
                <w:rFonts w:ascii="宋体" w:hAnsi="宋体" w:cs="宋体"/>
                <w:szCs w:val="22"/>
              </w:rPr>
            </w:pPr>
          </w:p>
        </w:tc>
      </w:tr>
    </w:tbl>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p>
    <w:p>
      <w:pPr>
        <w:rPr>
          <w:rFonts w:ascii="宋体" w:hAnsi="宋体" w:cs="宋体"/>
          <w:szCs w:val="22"/>
        </w:rPr>
      </w:pPr>
      <w:r>
        <w:rPr>
          <w:rFonts w:hint="eastAsia" w:ascii="宋体" w:hAnsi="宋体" w:cs="宋体"/>
          <w:szCs w:val="22"/>
        </w:rPr>
        <w:br w:type="page"/>
      </w:r>
    </w:p>
    <w:p>
      <w:pPr>
        <w:spacing w:line="400" w:lineRule="exact"/>
        <w:ind w:firstLine="420" w:firstLineChars="200"/>
        <w:rPr>
          <w:rFonts w:ascii="宋体" w:hAnsi="宋体" w:cs="宋体"/>
          <w:szCs w:val="22"/>
        </w:rPr>
      </w:pPr>
      <w:r>
        <w:rPr>
          <w:rFonts w:hint="eastAsia" w:ascii="宋体" w:hAnsi="宋体" w:cs="宋体"/>
          <w:szCs w:val="22"/>
        </w:rPr>
        <w:t>附件5：</w:t>
      </w:r>
    </w:p>
    <w:p>
      <w:pPr>
        <w:spacing w:line="400" w:lineRule="exact"/>
        <w:ind w:firstLine="420" w:firstLineChars="200"/>
        <w:rPr>
          <w:rFonts w:ascii="宋体" w:hAnsi="宋体" w:cs="宋体"/>
          <w:szCs w:val="22"/>
        </w:rPr>
      </w:pPr>
      <w:r>
        <w:rPr>
          <w:rFonts w:hint="eastAsia" w:ascii="宋体" w:hAnsi="宋体" w:cs="宋体"/>
          <w:szCs w:val="22"/>
        </w:rPr>
        <w:t>承包人用于本工程施工的机械设备表</w:t>
      </w:r>
    </w:p>
    <w:tbl>
      <w:tblPr>
        <w:tblStyle w:val="45"/>
        <w:tblW w:w="533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85" w:type="dxa"/>
          <w:bottom w:w="0" w:type="dxa"/>
          <w:right w:w="85" w:type="dxa"/>
        </w:tblCellMar>
      </w:tblPr>
      <w:tblGrid>
        <w:gridCol w:w="615"/>
        <w:gridCol w:w="2030"/>
        <w:gridCol w:w="1949"/>
        <w:gridCol w:w="655"/>
        <w:gridCol w:w="736"/>
        <w:gridCol w:w="813"/>
        <w:gridCol w:w="1041"/>
        <w:gridCol w:w="744"/>
        <w:gridCol w:w="1072"/>
        <w:gridCol w:w="7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cantSplit/>
          <w:trHeight w:val="90" w:hRule="atLeast"/>
          <w:jc w:val="center"/>
        </w:trPr>
        <w:tc>
          <w:tcPr>
            <w:tcW w:w="296" w:type="pct"/>
            <w:tcBorders>
              <w:top w:val="single" w:color="000000" w:sz="6" w:space="0"/>
              <w:left w:val="single" w:color="000000" w:sz="6" w:space="0"/>
              <w:bottom w:val="single" w:color="000000" w:sz="6" w:space="0"/>
              <w:right w:val="single" w:color="000000" w:sz="6" w:space="0"/>
            </w:tcBorders>
            <w:vAlign w:val="center"/>
          </w:tcPr>
          <w:p>
            <w:pPr>
              <w:rPr>
                <w:szCs w:val="24"/>
              </w:rPr>
            </w:pPr>
            <w:r>
              <w:rPr>
                <w:rFonts w:hint="eastAsia"/>
                <w:szCs w:val="24"/>
              </w:rPr>
              <w:t>序号</w:t>
            </w:r>
          </w:p>
        </w:tc>
        <w:tc>
          <w:tcPr>
            <w:tcW w:w="979" w:type="pct"/>
            <w:tcBorders>
              <w:top w:val="single" w:color="000000" w:sz="6" w:space="0"/>
              <w:left w:val="nil"/>
              <w:bottom w:val="single" w:color="000000" w:sz="6" w:space="0"/>
              <w:right w:val="single" w:color="000000" w:sz="6" w:space="0"/>
            </w:tcBorders>
            <w:vAlign w:val="center"/>
          </w:tcPr>
          <w:p>
            <w:pPr>
              <w:rPr>
                <w:szCs w:val="24"/>
              </w:rPr>
            </w:pPr>
            <w:r>
              <w:rPr>
                <w:rFonts w:hint="eastAsia"/>
                <w:szCs w:val="24"/>
              </w:rPr>
              <w:t>机械或设备名称</w:t>
            </w:r>
          </w:p>
        </w:tc>
        <w:tc>
          <w:tcPr>
            <w:tcW w:w="940" w:type="pct"/>
            <w:tcBorders>
              <w:top w:val="single" w:color="000000" w:sz="6" w:space="0"/>
              <w:left w:val="nil"/>
              <w:bottom w:val="single" w:color="000000" w:sz="6" w:space="0"/>
              <w:right w:val="single" w:color="000000" w:sz="6" w:space="0"/>
            </w:tcBorders>
            <w:vAlign w:val="center"/>
          </w:tcPr>
          <w:p>
            <w:pPr>
              <w:rPr>
                <w:szCs w:val="24"/>
              </w:rPr>
            </w:pPr>
            <w:r>
              <w:rPr>
                <w:rFonts w:hint="eastAsia"/>
                <w:szCs w:val="24"/>
              </w:rPr>
              <w:t>型号</w:t>
            </w:r>
          </w:p>
          <w:p>
            <w:pPr>
              <w:rPr>
                <w:szCs w:val="24"/>
              </w:rPr>
            </w:pPr>
            <w:r>
              <w:rPr>
                <w:rFonts w:hint="eastAsia"/>
                <w:szCs w:val="24"/>
              </w:rPr>
              <w:t>规格</w:t>
            </w:r>
          </w:p>
        </w:tc>
        <w:tc>
          <w:tcPr>
            <w:tcW w:w="316" w:type="pct"/>
            <w:tcBorders>
              <w:top w:val="single" w:color="000000" w:sz="6" w:space="0"/>
              <w:left w:val="nil"/>
              <w:bottom w:val="single" w:color="000000" w:sz="6" w:space="0"/>
              <w:right w:val="single" w:color="000000" w:sz="6" w:space="0"/>
            </w:tcBorders>
            <w:vAlign w:val="center"/>
          </w:tcPr>
          <w:p>
            <w:pPr>
              <w:rPr>
                <w:szCs w:val="24"/>
              </w:rPr>
            </w:pPr>
            <w:r>
              <w:rPr>
                <w:rFonts w:hint="eastAsia"/>
                <w:szCs w:val="24"/>
              </w:rPr>
              <w:t>数量</w:t>
            </w:r>
          </w:p>
        </w:tc>
        <w:tc>
          <w:tcPr>
            <w:tcW w:w="355" w:type="pct"/>
            <w:tcBorders>
              <w:top w:val="single" w:color="000000" w:sz="6" w:space="0"/>
              <w:left w:val="nil"/>
              <w:bottom w:val="single" w:color="000000" w:sz="6" w:space="0"/>
              <w:right w:val="single" w:color="000000" w:sz="6" w:space="0"/>
            </w:tcBorders>
            <w:vAlign w:val="center"/>
          </w:tcPr>
          <w:p>
            <w:pPr>
              <w:rPr>
                <w:szCs w:val="24"/>
              </w:rPr>
            </w:pPr>
            <w:r>
              <w:rPr>
                <w:rFonts w:hint="eastAsia"/>
                <w:szCs w:val="24"/>
              </w:rPr>
              <w:t>国别</w:t>
            </w:r>
          </w:p>
          <w:p>
            <w:pPr>
              <w:rPr>
                <w:szCs w:val="24"/>
              </w:rPr>
            </w:pPr>
            <w:r>
              <w:rPr>
                <w:rFonts w:hint="eastAsia"/>
                <w:szCs w:val="24"/>
              </w:rPr>
              <w:t>产地</w:t>
            </w:r>
          </w:p>
        </w:tc>
        <w:tc>
          <w:tcPr>
            <w:tcW w:w="392" w:type="pct"/>
            <w:tcBorders>
              <w:top w:val="single" w:color="000000" w:sz="6" w:space="0"/>
              <w:left w:val="nil"/>
              <w:bottom w:val="single" w:color="000000" w:sz="6" w:space="0"/>
              <w:right w:val="single" w:color="000000" w:sz="6" w:space="0"/>
            </w:tcBorders>
            <w:vAlign w:val="center"/>
          </w:tcPr>
          <w:p>
            <w:pPr>
              <w:rPr>
                <w:szCs w:val="24"/>
              </w:rPr>
            </w:pPr>
            <w:r>
              <w:rPr>
                <w:rFonts w:hint="eastAsia"/>
                <w:szCs w:val="24"/>
              </w:rPr>
              <w:t>制造</w:t>
            </w:r>
          </w:p>
          <w:p>
            <w:pPr>
              <w:rPr>
                <w:szCs w:val="24"/>
              </w:rPr>
            </w:pPr>
            <w:r>
              <w:rPr>
                <w:rFonts w:hint="eastAsia"/>
                <w:szCs w:val="24"/>
              </w:rPr>
              <w:t>年份</w:t>
            </w:r>
          </w:p>
        </w:tc>
        <w:tc>
          <w:tcPr>
            <w:tcW w:w="502" w:type="pct"/>
            <w:tcBorders>
              <w:top w:val="single" w:color="000000" w:sz="6" w:space="0"/>
              <w:left w:val="nil"/>
              <w:bottom w:val="single" w:color="000000" w:sz="6" w:space="0"/>
              <w:right w:val="single" w:color="000000" w:sz="6" w:space="0"/>
            </w:tcBorders>
            <w:vAlign w:val="center"/>
          </w:tcPr>
          <w:p>
            <w:pPr>
              <w:rPr>
                <w:szCs w:val="24"/>
              </w:rPr>
            </w:pPr>
            <w:r>
              <w:rPr>
                <w:rFonts w:hint="eastAsia"/>
                <w:szCs w:val="24"/>
              </w:rPr>
              <w:t>额定功率（KW）</w:t>
            </w:r>
          </w:p>
        </w:tc>
        <w:tc>
          <w:tcPr>
            <w:tcW w:w="359" w:type="pct"/>
            <w:tcBorders>
              <w:top w:val="single" w:color="000000" w:sz="6" w:space="0"/>
              <w:left w:val="nil"/>
              <w:bottom w:val="single" w:color="000000" w:sz="6" w:space="0"/>
              <w:right w:val="single" w:color="000000" w:sz="6" w:space="0"/>
            </w:tcBorders>
            <w:vAlign w:val="center"/>
          </w:tcPr>
          <w:p>
            <w:pPr>
              <w:rPr>
                <w:szCs w:val="24"/>
              </w:rPr>
            </w:pPr>
            <w:r>
              <w:rPr>
                <w:rFonts w:hint="eastAsia"/>
                <w:szCs w:val="24"/>
              </w:rPr>
              <w:t>生产</w:t>
            </w:r>
          </w:p>
          <w:p>
            <w:pPr>
              <w:rPr>
                <w:szCs w:val="24"/>
              </w:rPr>
            </w:pPr>
            <w:r>
              <w:rPr>
                <w:rFonts w:hint="eastAsia"/>
                <w:szCs w:val="24"/>
              </w:rPr>
              <w:t>能力</w:t>
            </w:r>
          </w:p>
        </w:tc>
        <w:tc>
          <w:tcPr>
            <w:tcW w:w="517" w:type="pct"/>
            <w:tcBorders>
              <w:top w:val="single" w:color="000000" w:sz="6" w:space="0"/>
              <w:left w:val="nil"/>
              <w:bottom w:val="single" w:color="000000" w:sz="6" w:space="0"/>
              <w:right w:val="single" w:color="000000" w:sz="6" w:space="0"/>
            </w:tcBorders>
            <w:vAlign w:val="center"/>
          </w:tcPr>
          <w:p>
            <w:pPr>
              <w:rPr>
                <w:szCs w:val="24"/>
              </w:rPr>
            </w:pPr>
            <w:r>
              <w:rPr>
                <w:rFonts w:hint="eastAsia"/>
                <w:szCs w:val="24"/>
              </w:rPr>
              <w:t>用于施工部位</w:t>
            </w:r>
          </w:p>
        </w:tc>
        <w:tc>
          <w:tcPr>
            <w:tcW w:w="344" w:type="pct"/>
            <w:tcBorders>
              <w:top w:val="single" w:color="000000" w:sz="6" w:space="0"/>
              <w:left w:val="nil"/>
              <w:bottom w:val="single" w:color="000000" w:sz="6" w:space="0"/>
              <w:right w:val="single" w:color="000000" w:sz="6" w:space="0"/>
            </w:tcBorders>
            <w:vAlign w:val="center"/>
          </w:tcPr>
          <w:p>
            <w:pPr>
              <w:rPr>
                <w:szCs w:val="24"/>
              </w:rPr>
            </w:pPr>
            <w:r>
              <w:rPr>
                <w:rFonts w:hint="eastAsia"/>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cantSplit/>
          <w:trHeight w:val="567" w:hRule="atLeast"/>
          <w:jc w:val="center"/>
        </w:trPr>
        <w:tc>
          <w:tcPr>
            <w:tcW w:w="296" w:type="pct"/>
            <w:tcBorders>
              <w:top w:val="single" w:color="000000" w:sz="6" w:space="0"/>
              <w:left w:val="single" w:color="000000" w:sz="6" w:space="0"/>
              <w:bottom w:val="single" w:color="000000" w:sz="6" w:space="0"/>
              <w:right w:val="single" w:color="000000" w:sz="6" w:space="0"/>
            </w:tcBorders>
            <w:vAlign w:val="center"/>
          </w:tcPr>
          <w:p>
            <w:pPr>
              <w:rPr>
                <w:szCs w:val="24"/>
              </w:rPr>
            </w:pPr>
          </w:p>
        </w:tc>
        <w:tc>
          <w:tcPr>
            <w:tcW w:w="979" w:type="pct"/>
            <w:tcBorders>
              <w:top w:val="single" w:color="000000" w:sz="6" w:space="0"/>
              <w:left w:val="nil"/>
              <w:bottom w:val="single" w:color="000000" w:sz="6" w:space="0"/>
              <w:right w:val="single" w:color="000000" w:sz="6" w:space="0"/>
            </w:tcBorders>
            <w:vAlign w:val="center"/>
          </w:tcPr>
          <w:p>
            <w:pPr>
              <w:rPr>
                <w:szCs w:val="24"/>
              </w:rPr>
            </w:pPr>
          </w:p>
        </w:tc>
        <w:tc>
          <w:tcPr>
            <w:tcW w:w="940" w:type="pct"/>
            <w:tcBorders>
              <w:top w:val="single" w:color="000000" w:sz="6" w:space="0"/>
              <w:left w:val="nil"/>
              <w:bottom w:val="single" w:color="000000" w:sz="6" w:space="0"/>
              <w:right w:val="single" w:color="000000" w:sz="6" w:space="0"/>
            </w:tcBorders>
            <w:vAlign w:val="center"/>
          </w:tcPr>
          <w:p>
            <w:pPr>
              <w:rPr>
                <w:szCs w:val="24"/>
              </w:rPr>
            </w:pPr>
          </w:p>
        </w:tc>
        <w:tc>
          <w:tcPr>
            <w:tcW w:w="316" w:type="pct"/>
            <w:tcBorders>
              <w:top w:val="single" w:color="000000" w:sz="6" w:space="0"/>
              <w:left w:val="nil"/>
              <w:bottom w:val="single" w:color="000000" w:sz="6" w:space="0"/>
              <w:right w:val="single" w:color="000000" w:sz="6" w:space="0"/>
            </w:tcBorders>
            <w:vAlign w:val="center"/>
          </w:tcPr>
          <w:p>
            <w:pPr>
              <w:rPr>
                <w:szCs w:val="24"/>
              </w:rPr>
            </w:pPr>
          </w:p>
        </w:tc>
        <w:tc>
          <w:tcPr>
            <w:tcW w:w="355" w:type="pct"/>
            <w:tcBorders>
              <w:top w:val="single" w:color="000000" w:sz="6" w:space="0"/>
              <w:left w:val="nil"/>
              <w:bottom w:val="single" w:color="000000" w:sz="6" w:space="0"/>
              <w:right w:val="single" w:color="000000" w:sz="6" w:space="0"/>
            </w:tcBorders>
            <w:vAlign w:val="center"/>
          </w:tcPr>
          <w:p>
            <w:pPr>
              <w:rPr>
                <w:szCs w:val="24"/>
              </w:rPr>
            </w:pPr>
          </w:p>
        </w:tc>
        <w:tc>
          <w:tcPr>
            <w:tcW w:w="392" w:type="pct"/>
            <w:tcBorders>
              <w:top w:val="single" w:color="000000" w:sz="6" w:space="0"/>
              <w:left w:val="nil"/>
              <w:bottom w:val="single" w:color="000000" w:sz="6" w:space="0"/>
              <w:right w:val="single" w:color="000000" w:sz="6" w:space="0"/>
            </w:tcBorders>
            <w:vAlign w:val="center"/>
          </w:tcPr>
          <w:p>
            <w:pPr>
              <w:rPr>
                <w:szCs w:val="24"/>
              </w:rPr>
            </w:pPr>
          </w:p>
        </w:tc>
        <w:tc>
          <w:tcPr>
            <w:tcW w:w="502" w:type="pct"/>
            <w:tcBorders>
              <w:top w:val="single" w:color="000000" w:sz="6" w:space="0"/>
              <w:left w:val="nil"/>
              <w:bottom w:val="single" w:color="000000" w:sz="6" w:space="0"/>
              <w:right w:val="single" w:color="000000" w:sz="6" w:space="0"/>
            </w:tcBorders>
            <w:vAlign w:val="center"/>
          </w:tcPr>
          <w:p>
            <w:pPr>
              <w:rPr>
                <w:szCs w:val="24"/>
              </w:rPr>
            </w:pPr>
          </w:p>
        </w:tc>
        <w:tc>
          <w:tcPr>
            <w:tcW w:w="359" w:type="pct"/>
            <w:tcBorders>
              <w:top w:val="single" w:color="000000" w:sz="6" w:space="0"/>
              <w:left w:val="nil"/>
              <w:bottom w:val="single" w:color="000000" w:sz="6" w:space="0"/>
              <w:right w:val="single" w:color="000000" w:sz="6" w:space="0"/>
            </w:tcBorders>
            <w:vAlign w:val="center"/>
          </w:tcPr>
          <w:p>
            <w:pPr>
              <w:rPr>
                <w:szCs w:val="24"/>
              </w:rPr>
            </w:pPr>
          </w:p>
        </w:tc>
        <w:tc>
          <w:tcPr>
            <w:tcW w:w="517" w:type="pct"/>
            <w:tcBorders>
              <w:top w:val="single" w:color="000000" w:sz="6" w:space="0"/>
              <w:left w:val="nil"/>
              <w:bottom w:val="single" w:color="000000" w:sz="6" w:space="0"/>
              <w:right w:val="single" w:color="000000" w:sz="6" w:space="0"/>
            </w:tcBorders>
            <w:vAlign w:val="center"/>
          </w:tcPr>
          <w:p>
            <w:pPr>
              <w:rPr>
                <w:szCs w:val="24"/>
              </w:rPr>
            </w:pPr>
          </w:p>
          <w:p>
            <w:pPr>
              <w:rPr>
                <w:szCs w:val="24"/>
              </w:rPr>
            </w:pPr>
          </w:p>
        </w:tc>
        <w:tc>
          <w:tcPr>
            <w:tcW w:w="344" w:type="pct"/>
            <w:tcBorders>
              <w:top w:val="single" w:color="000000" w:sz="6" w:space="0"/>
              <w:left w:val="nil"/>
              <w:bottom w:val="single" w:color="000000" w:sz="6" w:space="0"/>
              <w:right w:val="single" w:color="000000" w:sz="6" w:space="0"/>
            </w:tcBorders>
            <w:vAlign w:val="center"/>
          </w:tcPr>
          <w:p>
            <w:pPr>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cantSplit/>
          <w:trHeight w:val="567" w:hRule="atLeast"/>
          <w:jc w:val="center"/>
        </w:trPr>
        <w:tc>
          <w:tcPr>
            <w:tcW w:w="296" w:type="pct"/>
            <w:tcBorders>
              <w:top w:val="single" w:color="000000" w:sz="6" w:space="0"/>
              <w:left w:val="single" w:color="000000" w:sz="6" w:space="0"/>
              <w:bottom w:val="single" w:color="000000" w:sz="6" w:space="0"/>
              <w:right w:val="single" w:color="000000" w:sz="6" w:space="0"/>
            </w:tcBorders>
            <w:vAlign w:val="center"/>
          </w:tcPr>
          <w:p>
            <w:pPr>
              <w:rPr>
                <w:szCs w:val="24"/>
              </w:rPr>
            </w:pPr>
          </w:p>
        </w:tc>
        <w:tc>
          <w:tcPr>
            <w:tcW w:w="979" w:type="pct"/>
            <w:tcBorders>
              <w:top w:val="single" w:color="000000" w:sz="6" w:space="0"/>
              <w:left w:val="nil"/>
              <w:bottom w:val="single" w:color="000000" w:sz="6" w:space="0"/>
              <w:right w:val="single" w:color="000000" w:sz="6" w:space="0"/>
            </w:tcBorders>
            <w:vAlign w:val="center"/>
          </w:tcPr>
          <w:p>
            <w:pPr>
              <w:rPr>
                <w:szCs w:val="24"/>
              </w:rPr>
            </w:pPr>
          </w:p>
        </w:tc>
        <w:tc>
          <w:tcPr>
            <w:tcW w:w="940" w:type="pct"/>
            <w:tcBorders>
              <w:top w:val="single" w:color="000000" w:sz="6" w:space="0"/>
              <w:left w:val="nil"/>
              <w:bottom w:val="single" w:color="000000" w:sz="6" w:space="0"/>
              <w:right w:val="single" w:color="000000" w:sz="6" w:space="0"/>
            </w:tcBorders>
            <w:vAlign w:val="center"/>
          </w:tcPr>
          <w:p>
            <w:pPr>
              <w:rPr>
                <w:szCs w:val="24"/>
              </w:rPr>
            </w:pPr>
          </w:p>
        </w:tc>
        <w:tc>
          <w:tcPr>
            <w:tcW w:w="316" w:type="pct"/>
            <w:tcBorders>
              <w:top w:val="single" w:color="000000" w:sz="6" w:space="0"/>
              <w:left w:val="nil"/>
              <w:bottom w:val="single" w:color="000000" w:sz="6" w:space="0"/>
              <w:right w:val="single" w:color="000000" w:sz="6" w:space="0"/>
            </w:tcBorders>
            <w:vAlign w:val="center"/>
          </w:tcPr>
          <w:p>
            <w:pPr>
              <w:rPr>
                <w:szCs w:val="24"/>
              </w:rPr>
            </w:pPr>
          </w:p>
        </w:tc>
        <w:tc>
          <w:tcPr>
            <w:tcW w:w="355" w:type="pct"/>
            <w:tcBorders>
              <w:top w:val="single" w:color="000000" w:sz="6" w:space="0"/>
              <w:left w:val="nil"/>
              <w:bottom w:val="single" w:color="000000" w:sz="6" w:space="0"/>
              <w:right w:val="single" w:color="000000" w:sz="6" w:space="0"/>
            </w:tcBorders>
            <w:vAlign w:val="center"/>
          </w:tcPr>
          <w:p>
            <w:pPr>
              <w:rPr>
                <w:szCs w:val="24"/>
              </w:rPr>
            </w:pPr>
          </w:p>
        </w:tc>
        <w:tc>
          <w:tcPr>
            <w:tcW w:w="392" w:type="pct"/>
            <w:tcBorders>
              <w:top w:val="single" w:color="000000" w:sz="6" w:space="0"/>
              <w:left w:val="nil"/>
              <w:bottom w:val="single" w:color="000000" w:sz="6" w:space="0"/>
              <w:right w:val="single" w:color="000000" w:sz="6" w:space="0"/>
            </w:tcBorders>
            <w:vAlign w:val="center"/>
          </w:tcPr>
          <w:p>
            <w:pPr>
              <w:rPr>
                <w:szCs w:val="24"/>
              </w:rPr>
            </w:pPr>
          </w:p>
        </w:tc>
        <w:tc>
          <w:tcPr>
            <w:tcW w:w="502" w:type="pct"/>
            <w:tcBorders>
              <w:top w:val="single" w:color="000000" w:sz="6" w:space="0"/>
              <w:left w:val="nil"/>
              <w:bottom w:val="single" w:color="000000" w:sz="6" w:space="0"/>
              <w:right w:val="single" w:color="000000" w:sz="6" w:space="0"/>
            </w:tcBorders>
            <w:vAlign w:val="center"/>
          </w:tcPr>
          <w:p>
            <w:pPr>
              <w:rPr>
                <w:szCs w:val="24"/>
              </w:rPr>
            </w:pPr>
          </w:p>
        </w:tc>
        <w:tc>
          <w:tcPr>
            <w:tcW w:w="359" w:type="pct"/>
            <w:tcBorders>
              <w:top w:val="single" w:color="000000" w:sz="6" w:space="0"/>
              <w:left w:val="nil"/>
              <w:bottom w:val="single" w:color="000000" w:sz="6" w:space="0"/>
              <w:right w:val="single" w:color="000000" w:sz="6" w:space="0"/>
            </w:tcBorders>
            <w:vAlign w:val="center"/>
          </w:tcPr>
          <w:p>
            <w:pPr>
              <w:rPr>
                <w:szCs w:val="24"/>
              </w:rPr>
            </w:pPr>
          </w:p>
        </w:tc>
        <w:tc>
          <w:tcPr>
            <w:tcW w:w="517" w:type="pct"/>
            <w:tcBorders>
              <w:top w:val="single" w:color="000000" w:sz="6" w:space="0"/>
              <w:left w:val="nil"/>
              <w:bottom w:val="single" w:color="000000" w:sz="6" w:space="0"/>
              <w:right w:val="single" w:color="000000" w:sz="6" w:space="0"/>
            </w:tcBorders>
            <w:vAlign w:val="center"/>
          </w:tcPr>
          <w:p>
            <w:pPr>
              <w:rPr>
                <w:szCs w:val="24"/>
              </w:rPr>
            </w:pPr>
          </w:p>
          <w:p>
            <w:pPr>
              <w:rPr>
                <w:szCs w:val="24"/>
              </w:rPr>
            </w:pPr>
          </w:p>
        </w:tc>
        <w:tc>
          <w:tcPr>
            <w:tcW w:w="344" w:type="pct"/>
            <w:tcBorders>
              <w:top w:val="single" w:color="000000" w:sz="6" w:space="0"/>
              <w:left w:val="nil"/>
              <w:bottom w:val="single" w:color="000000" w:sz="6" w:space="0"/>
              <w:right w:val="single" w:color="000000" w:sz="6" w:space="0"/>
            </w:tcBorders>
            <w:vAlign w:val="center"/>
          </w:tcPr>
          <w:p>
            <w:pPr>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cantSplit/>
          <w:trHeight w:val="567" w:hRule="atLeast"/>
          <w:jc w:val="center"/>
        </w:trPr>
        <w:tc>
          <w:tcPr>
            <w:tcW w:w="296" w:type="pct"/>
            <w:tcBorders>
              <w:top w:val="single" w:color="000000" w:sz="6" w:space="0"/>
              <w:left w:val="single" w:color="000000" w:sz="6" w:space="0"/>
              <w:bottom w:val="single" w:color="000000" w:sz="6" w:space="0"/>
              <w:right w:val="single" w:color="000000" w:sz="6" w:space="0"/>
            </w:tcBorders>
            <w:vAlign w:val="center"/>
          </w:tcPr>
          <w:p>
            <w:pPr>
              <w:rPr>
                <w:szCs w:val="24"/>
              </w:rPr>
            </w:pPr>
          </w:p>
        </w:tc>
        <w:tc>
          <w:tcPr>
            <w:tcW w:w="979" w:type="pct"/>
            <w:tcBorders>
              <w:top w:val="single" w:color="000000" w:sz="6" w:space="0"/>
              <w:left w:val="nil"/>
              <w:bottom w:val="single" w:color="000000" w:sz="6" w:space="0"/>
              <w:right w:val="single" w:color="000000" w:sz="6" w:space="0"/>
            </w:tcBorders>
            <w:vAlign w:val="center"/>
          </w:tcPr>
          <w:p>
            <w:pPr>
              <w:rPr>
                <w:szCs w:val="24"/>
              </w:rPr>
            </w:pPr>
          </w:p>
        </w:tc>
        <w:tc>
          <w:tcPr>
            <w:tcW w:w="940" w:type="pct"/>
            <w:tcBorders>
              <w:top w:val="single" w:color="000000" w:sz="6" w:space="0"/>
              <w:left w:val="nil"/>
              <w:bottom w:val="single" w:color="000000" w:sz="6" w:space="0"/>
              <w:right w:val="single" w:color="000000" w:sz="6" w:space="0"/>
            </w:tcBorders>
            <w:vAlign w:val="center"/>
          </w:tcPr>
          <w:p>
            <w:pPr>
              <w:rPr>
                <w:szCs w:val="24"/>
              </w:rPr>
            </w:pPr>
          </w:p>
        </w:tc>
        <w:tc>
          <w:tcPr>
            <w:tcW w:w="316" w:type="pct"/>
            <w:tcBorders>
              <w:top w:val="single" w:color="000000" w:sz="6" w:space="0"/>
              <w:left w:val="nil"/>
              <w:bottom w:val="single" w:color="000000" w:sz="6" w:space="0"/>
              <w:right w:val="single" w:color="000000" w:sz="6" w:space="0"/>
            </w:tcBorders>
            <w:vAlign w:val="center"/>
          </w:tcPr>
          <w:p>
            <w:pPr>
              <w:rPr>
                <w:szCs w:val="24"/>
              </w:rPr>
            </w:pPr>
          </w:p>
        </w:tc>
        <w:tc>
          <w:tcPr>
            <w:tcW w:w="355" w:type="pct"/>
            <w:tcBorders>
              <w:top w:val="single" w:color="000000" w:sz="6" w:space="0"/>
              <w:left w:val="nil"/>
              <w:bottom w:val="single" w:color="000000" w:sz="6" w:space="0"/>
              <w:right w:val="single" w:color="000000" w:sz="6" w:space="0"/>
            </w:tcBorders>
            <w:vAlign w:val="center"/>
          </w:tcPr>
          <w:p>
            <w:pPr>
              <w:rPr>
                <w:szCs w:val="24"/>
              </w:rPr>
            </w:pPr>
          </w:p>
        </w:tc>
        <w:tc>
          <w:tcPr>
            <w:tcW w:w="392" w:type="pct"/>
            <w:tcBorders>
              <w:top w:val="single" w:color="000000" w:sz="6" w:space="0"/>
              <w:left w:val="nil"/>
              <w:bottom w:val="single" w:color="000000" w:sz="6" w:space="0"/>
              <w:right w:val="single" w:color="000000" w:sz="6" w:space="0"/>
            </w:tcBorders>
            <w:vAlign w:val="center"/>
          </w:tcPr>
          <w:p>
            <w:pPr>
              <w:rPr>
                <w:szCs w:val="24"/>
              </w:rPr>
            </w:pPr>
          </w:p>
        </w:tc>
        <w:tc>
          <w:tcPr>
            <w:tcW w:w="502" w:type="pct"/>
            <w:tcBorders>
              <w:top w:val="single" w:color="000000" w:sz="6" w:space="0"/>
              <w:left w:val="nil"/>
              <w:bottom w:val="single" w:color="000000" w:sz="6" w:space="0"/>
              <w:right w:val="single" w:color="000000" w:sz="6" w:space="0"/>
            </w:tcBorders>
            <w:vAlign w:val="center"/>
          </w:tcPr>
          <w:p>
            <w:pPr>
              <w:rPr>
                <w:szCs w:val="24"/>
              </w:rPr>
            </w:pPr>
          </w:p>
        </w:tc>
        <w:tc>
          <w:tcPr>
            <w:tcW w:w="359" w:type="pct"/>
            <w:tcBorders>
              <w:top w:val="single" w:color="000000" w:sz="6" w:space="0"/>
              <w:left w:val="nil"/>
              <w:bottom w:val="single" w:color="000000" w:sz="6" w:space="0"/>
              <w:right w:val="single" w:color="000000" w:sz="6" w:space="0"/>
            </w:tcBorders>
            <w:vAlign w:val="center"/>
          </w:tcPr>
          <w:p>
            <w:pPr>
              <w:rPr>
                <w:szCs w:val="24"/>
              </w:rPr>
            </w:pPr>
          </w:p>
        </w:tc>
        <w:tc>
          <w:tcPr>
            <w:tcW w:w="517" w:type="pct"/>
            <w:tcBorders>
              <w:top w:val="single" w:color="000000" w:sz="6" w:space="0"/>
              <w:left w:val="nil"/>
              <w:bottom w:val="single" w:color="000000" w:sz="6" w:space="0"/>
              <w:right w:val="single" w:color="000000" w:sz="6" w:space="0"/>
            </w:tcBorders>
            <w:vAlign w:val="center"/>
          </w:tcPr>
          <w:p>
            <w:pPr>
              <w:rPr>
                <w:szCs w:val="24"/>
              </w:rPr>
            </w:pPr>
          </w:p>
        </w:tc>
        <w:tc>
          <w:tcPr>
            <w:tcW w:w="344" w:type="pct"/>
            <w:tcBorders>
              <w:top w:val="single" w:color="000000" w:sz="6" w:space="0"/>
              <w:left w:val="nil"/>
              <w:bottom w:val="single" w:color="000000" w:sz="6" w:space="0"/>
              <w:right w:val="single" w:color="000000" w:sz="6" w:space="0"/>
            </w:tcBorders>
            <w:vAlign w:val="center"/>
          </w:tcPr>
          <w:p>
            <w:pPr>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cantSplit/>
          <w:trHeight w:val="567" w:hRule="atLeast"/>
          <w:jc w:val="center"/>
        </w:trPr>
        <w:tc>
          <w:tcPr>
            <w:tcW w:w="296" w:type="pct"/>
            <w:tcBorders>
              <w:top w:val="single" w:color="000000" w:sz="6" w:space="0"/>
              <w:left w:val="single" w:color="000000" w:sz="6" w:space="0"/>
              <w:bottom w:val="single" w:color="000000" w:sz="6" w:space="0"/>
              <w:right w:val="single" w:color="000000" w:sz="6" w:space="0"/>
            </w:tcBorders>
            <w:vAlign w:val="center"/>
          </w:tcPr>
          <w:p>
            <w:pPr>
              <w:rPr>
                <w:szCs w:val="24"/>
              </w:rPr>
            </w:pPr>
          </w:p>
        </w:tc>
        <w:tc>
          <w:tcPr>
            <w:tcW w:w="979" w:type="pct"/>
            <w:tcBorders>
              <w:top w:val="single" w:color="000000" w:sz="6" w:space="0"/>
              <w:left w:val="nil"/>
              <w:bottom w:val="single" w:color="000000" w:sz="6" w:space="0"/>
              <w:right w:val="single" w:color="000000" w:sz="6" w:space="0"/>
            </w:tcBorders>
            <w:vAlign w:val="center"/>
          </w:tcPr>
          <w:p>
            <w:pPr>
              <w:rPr>
                <w:szCs w:val="24"/>
              </w:rPr>
            </w:pPr>
          </w:p>
        </w:tc>
        <w:tc>
          <w:tcPr>
            <w:tcW w:w="940" w:type="pct"/>
            <w:tcBorders>
              <w:top w:val="single" w:color="000000" w:sz="6" w:space="0"/>
              <w:left w:val="nil"/>
              <w:bottom w:val="single" w:color="000000" w:sz="6" w:space="0"/>
              <w:right w:val="single" w:color="000000" w:sz="6" w:space="0"/>
            </w:tcBorders>
            <w:vAlign w:val="center"/>
          </w:tcPr>
          <w:p>
            <w:pPr>
              <w:rPr>
                <w:szCs w:val="24"/>
              </w:rPr>
            </w:pPr>
          </w:p>
        </w:tc>
        <w:tc>
          <w:tcPr>
            <w:tcW w:w="316" w:type="pct"/>
            <w:tcBorders>
              <w:top w:val="single" w:color="000000" w:sz="6" w:space="0"/>
              <w:left w:val="nil"/>
              <w:bottom w:val="single" w:color="000000" w:sz="6" w:space="0"/>
              <w:right w:val="single" w:color="000000" w:sz="6" w:space="0"/>
            </w:tcBorders>
            <w:vAlign w:val="center"/>
          </w:tcPr>
          <w:p>
            <w:pPr>
              <w:rPr>
                <w:szCs w:val="24"/>
              </w:rPr>
            </w:pPr>
          </w:p>
        </w:tc>
        <w:tc>
          <w:tcPr>
            <w:tcW w:w="355" w:type="pct"/>
            <w:tcBorders>
              <w:top w:val="single" w:color="000000" w:sz="6" w:space="0"/>
              <w:left w:val="nil"/>
              <w:bottom w:val="single" w:color="000000" w:sz="6" w:space="0"/>
              <w:right w:val="single" w:color="000000" w:sz="6" w:space="0"/>
            </w:tcBorders>
            <w:vAlign w:val="center"/>
          </w:tcPr>
          <w:p>
            <w:pPr>
              <w:rPr>
                <w:szCs w:val="24"/>
              </w:rPr>
            </w:pPr>
          </w:p>
        </w:tc>
        <w:tc>
          <w:tcPr>
            <w:tcW w:w="392" w:type="pct"/>
            <w:tcBorders>
              <w:top w:val="single" w:color="000000" w:sz="6" w:space="0"/>
              <w:left w:val="nil"/>
              <w:bottom w:val="single" w:color="000000" w:sz="6" w:space="0"/>
              <w:right w:val="single" w:color="000000" w:sz="6" w:space="0"/>
            </w:tcBorders>
            <w:vAlign w:val="center"/>
          </w:tcPr>
          <w:p>
            <w:pPr>
              <w:rPr>
                <w:szCs w:val="24"/>
              </w:rPr>
            </w:pPr>
          </w:p>
        </w:tc>
        <w:tc>
          <w:tcPr>
            <w:tcW w:w="502" w:type="pct"/>
            <w:tcBorders>
              <w:top w:val="single" w:color="000000" w:sz="6" w:space="0"/>
              <w:left w:val="nil"/>
              <w:bottom w:val="single" w:color="000000" w:sz="6" w:space="0"/>
              <w:right w:val="single" w:color="000000" w:sz="6" w:space="0"/>
            </w:tcBorders>
            <w:vAlign w:val="center"/>
          </w:tcPr>
          <w:p>
            <w:pPr>
              <w:rPr>
                <w:szCs w:val="24"/>
              </w:rPr>
            </w:pPr>
          </w:p>
        </w:tc>
        <w:tc>
          <w:tcPr>
            <w:tcW w:w="359" w:type="pct"/>
            <w:tcBorders>
              <w:top w:val="single" w:color="000000" w:sz="6" w:space="0"/>
              <w:left w:val="nil"/>
              <w:bottom w:val="single" w:color="000000" w:sz="6" w:space="0"/>
              <w:right w:val="single" w:color="000000" w:sz="6" w:space="0"/>
            </w:tcBorders>
            <w:vAlign w:val="center"/>
          </w:tcPr>
          <w:p>
            <w:pPr>
              <w:rPr>
                <w:szCs w:val="24"/>
              </w:rPr>
            </w:pPr>
          </w:p>
        </w:tc>
        <w:tc>
          <w:tcPr>
            <w:tcW w:w="517" w:type="pct"/>
            <w:tcBorders>
              <w:top w:val="single" w:color="000000" w:sz="6" w:space="0"/>
              <w:left w:val="nil"/>
              <w:bottom w:val="single" w:color="000000" w:sz="6" w:space="0"/>
              <w:right w:val="single" w:color="000000" w:sz="6" w:space="0"/>
            </w:tcBorders>
            <w:vAlign w:val="center"/>
          </w:tcPr>
          <w:p>
            <w:pPr>
              <w:rPr>
                <w:szCs w:val="24"/>
              </w:rPr>
            </w:pPr>
          </w:p>
        </w:tc>
        <w:tc>
          <w:tcPr>
            <w:tcW w:w="344" w:type="pct"/>
            <w:tcBorders>
              <w:top w:val="single" w:color="000000" w:sz="6" w:space="0"/>
              <w:left w:val="nil"/>
              <w:bottom w:val="single" w:color="000000" w:sz="6" w:space="0"/>
              <w:right w:val="single" w:color="000000" w:sz="6" w:space="0"/>
            </w:tcBorders>
            <w:vAlign w:val="center"/>
          </w:tcPr>
          <w:p>
            <w:pPr>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cantSplit/>
          <w:trHeight w:val="567" w:hRule="atLeast"/>
          <w:jc w:val="center"/>
        </w:trPr>
        <w:tc>
          <w:tcPr>
            <w:tcW w:w="296" w:type="pct"/>
            <w:tcBorders>
              <w:top w:val="single" w:color="000000" w:sz="6" w:space="0"/>
              <w:left w:val="single" w:color="000000" w:sz="6" w:space="0"/>
              <w:bottom w:val="single" w:color="000000" w:sz="6" w:space="0"/>
              <w:right w:val="single" w:color="000000" w:sz="6" w:space="0"/>
            </w:tcBorders>
            <w:vAlign w:val="center"/>
          </w:tcPr>
          <w:p>
            <w:pPr>
              <w:rPr>
                <w:szCs w:val="24"/>
              </w:rPr>
            </w:pPr>
          </w:p>
        </w:tc>
        <w:tc>
          <w:tcPr>
            <w:tcW w:w="979" w:type="pct"/>
            <w:tcBorders>
              <w:top w:val="single" w:color="000000" w:sz="6" w:space="0"/>
              <w:left w:val="nil"/>
              <w:bottom w:val="single" w:color="000000" w:sz="6" w:space="0"/>
              <w:right w:val="single" w:color="000000" w:sz="6" w:space="0"/>
            </w:tcBorders>
            <w:vAlign w:val="center"/>
          </w:tcPr>
          <w:p>
            <w:pPr>
              <w:rPr>
                <w:szCs w:val="24"/>
              </w:rPr>
            </w:pPr>
          </w:p>
        </w:tc>
        <w:tc>
          <w:tcPr>
            <w:tcW w:w="940" w:type="pct"/>
            <w:tcBorders>
              <w:top w:val="single" w:color="000000" w:sz="6" w:space="0"/>
              <w:left w:val="nil"/>
              <w:bottom w:val="single" w:color="000000" w:sz="6" w:space="0"/>
              <w:right w:val="single" w:color="000000" w:sz="6" w:space="0"/>
            </w:tcBorders>
            <w:vAlign w:val="center"/>
          </w:tcPr>
          <w:p>
            <w:pPr>
              <w:rPr>
                <w:szCs w:val="24"/>
              </w:rPr>
            </w:pPr>
          </w:p>
        </w:tc>
        <w:tc>
          <w:tcPr>
            <w:tcW w:w="316" w:type="pct"/>
            <w:tcBorders>
              <w:top w:val="single" w:color="000000" w:sz="6" w:space="0"/>
              <w:left w:val="nil"/>
              <w:bottom w:val="single" w:color="000000" w:sz="6" w:space="0"/>
              <w:right w:val="single" w:color="000000" w:sz="6" w:space="0"/>
            </w:tcBorders>
            <w:vAlign w:val="center"/>
          </w:tcPr>
          <w:p>
            <w:pPr>
              <w:rPr>
                <w:szCs w:val="24"/>
              </w:rPr>
            </w:pPr>
          </w:p>
        </w:tc>
        <w:tc>
          <w:tcPr>
            <w:tcW w:w="355" w:type="pct"/>
            <w:tcBorders>
              <w:top w:val="single" w:color="000000" w:sz="6" w:space="0"/>
              <w:left w:val="nil"/>
              <w:bottom w:val="single" w:color="000000" w:sz="6" w:space="0"/>
              <w:right w:val="single" w:color="000000" w:sz="6" w:space="0"/>
            </w:tcBorders>
            <w:vAlign w:val="center"/>
          </w:tcPr>
          <w:p>
            <w:pPr>
              <w:rPr>
                <w:szCs w:val="24"/>
              </w:rPr>
            </w:pPr>
          </w:p>
        </w:tc>
        <w:tc>
          <w:tcPr>
            <w:tcW w:w="392" w:type="pct"/>
            <w:tcBorders>
              <w:top w:val="single" w:color="000000" w:sz="6" w:space="0"/>
              <w:left w:val="nil"/>
              <w:bottom w:val="single" w:color="000000" w:sz="6" w:space="0"/>
              <w:right w:val="single" w:color="000000" w:sz="6" w:space="0"/>
            </w:tcBorders>
            <w:vAlign w:val="center"/>
          </w:tcPr>
          <w:p>
            <w:pPr>
              <w:rPr>
                <w:szCs w:val="24"/>
              </w:rPr>
            </w:pPr>
          </w:p>
        </w:tc>
        <w:tc>
          <w:tcPr>
            <w:tcW w:w="502" w:type="pct"/>
            <w:tcBorders>
              <w:top w:val="single" w:color="000000" w:sz="6" w:space="0"/>
              <w:left w:val="nil"/>
              <w:bottom w:val="single" w:color="000000" w:sz="6" w:space="0"/>
              <w:right w:val="single" w:color="000000" w:sz="6" w:space="0"/>
            </w:tcBorders>
            <w:vAlign w:val="center"/>
          </w:tcPr>
          <w:p>
            <w:pPr>
              <w:rPr>
                <w:szCs w:val="24"/>
              </w:rPr>
            </w:pPr>
          </w:p>
        </w:tc>
        <w:tc>
          <w:tcPr>
            <w:tcW w:w="359" w:type="pct"/>
            <w:tcBorders>
              <w:top w:val="single" w:color="000000" w:sz="6" w:space="0"/>
              <w:left w:val="nil"/>
              <w:bottom w:val="single" w:color="000000" w:sz="6" w:space="0"/>
              <w:right w:val="single" w:color="000000" w:sz="6" w:space="0"/>
            </w:tcBorders>
            <w:vAlign w:val="center"/>
          </w:tcPr>
          <w:p>
            <w:pPr>
              <w:rPr>
                <w:szCs w:val="24"/>
              </w:rPr>
            </w:pPr>
          </w:p>
        </w:tc>
        <w:tc>
          <w:tcPr>
            <w:tcW w:w="517" w:type="pct"/>
            <w:tcBorders>
              <w:top w:val="single" w:color="000000" w:sz="6" w:space="0"/>
              <w:left w:val="nil"/>
              <w:bottom w:val="single" w:color="000000" w:sz="6" w:space="0"/>
              <w:right w:val="single" w:color="000000" w:sz="6" w:space="0"/>
            </w:tcBorders>
            <w:vAlign w:val="center"/>
          </w:tcPr>
          <w:p>
            <w:pPr>
              <w:rPr>
                <w:szCs w:val="24"/>
              </w:rPr>
            </w:pPr>
          </w:p>
        </w:tc>
        <w:tc>
          <w:tcPr>
            <w:tcW w:w="344" w:type="pct"/>
            <w:tcBorders>
              <w:top w:val="single" w:color="000000" w:sz="6" w:space="0"/>
              <w:left w:val="nil"/>
              <w:bottom w:val="single" w:color="000000" w:sz="6" w:space="0"/>
              <w:right w:val="single" w:color="000000" w:sz="6" w:space="0"/>
            </w:tcBorders>
            <w:vAlign w:val="center"/>
          </w:tcPr>
          <w:p>
            <w:pPr>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cantSplit/>
          <w:trHeight w:val="567" w:hRule="atLeast"/>
          <w:jc w:val="center"/>
        </w:trPr>
        <w:tc>
          <w:tcPr>
            <w:tcW w:w="296" w:type="pct"/>
            <w:tcBorders>
              <w:top w:val="single" w:color="000000" w:sz="6" w:space="0"/>
              <w:left w:val="single" w:color="000000" w:sz="6" w:space="0"/>
              <w:bottom w:val="single" w:color="000000" w:sz="6" w:space="0"/>
              <w:right w:val="single" w:color="000000" w:sz="6" w:space="0"/>
            </w:tcBorders>
            <w:vAlign w:val="center"/>
          </w:tcPr>
          <w:p>
            <w:pPr>
              <w:rPr>
                <w:szCs w:val="24"/>
              </w:rPr>
            </w:pPr>
          </w:p>
        </w:tc>
        <w:tc>
          <w:tcPr>
            <w:tcW w:w="979" w:type="pct"/>
            <w:tcBorders>
              <w:top w:val="single" w:color="000000" w:sz="6" w:space="0"/>
              <w:left w:val="nil"/>
              <w:bottom w:val="single" w:color="000000" w:sz="6" w:space="0"/>
              <w:right w:val="single" w:color="000000" w:sz="6" w:space="0"/>
            </w:tcBorders>
            <w:vAlign w:val="center"/>
          </w:tcPr>
          <w:p>
            <w:pPr>
              <w:rPr>
                <w:szCs w:val="24"/>
              </w:rPr>
            </w:pPr>
          </w:p>
        </w:tc>
        <w:tc>
          <w:tcPr>
            <w:tcW w:w="940" w:type="pct"/>
            <w:tcBorders>
              <w:top w:val="single" w:color="000000" w:sz="6" w:space="0"/>
              <w:left w:val="nil"/>
              <w:bottom w:val="single" w:color="000000" w:sz="6" w:space="0"/>
              <w:right w:val="single" w:color="000000" w:sz="6" w:space="0"/>
            </w:tcBorders>
            <w:vAlign w:val="center"/>
          </w:tcPr>
          <w:p>
            <w:pPr>
              <w:rPr>
                <w:szCs w:val="24"/>
              </w:rPr>
            </w:pPr>
          </w:p>
        </w:tc>
        <w:tc>
          <w:tcPr>
            <w:tcW w:w="316" w:type="pct"/>
            <w:tcBorders>
              <w:top w:val="single" w:color="000000" w:sz="6" w:space="0"/>
              <w:left w:val="nil"/>
              <w:bottom w:val="single" w:color="000000" w:sz="6" w:space="0"/>
              <w:right w:val="single" w:color="000000" w:sz="6" w:space="0"/>
            </w:tcBorders>
            <w:vAlign w:val="center"/>
          </w:tcPr>
          <w:p>
            <w:pPr>
              <w:rPr>
                <w:szCs w:val="24"/>
              </w:rPr>
            </w:pPr>
          </w:p>
        </w:tc>
        <w:tc>
          <w:tcPr>
            <w:tcW w:w="355" w:type="pct"/>
            <w:tcBorders>
              <w:top w:val="single" w:color="000000" w:sz="6" w:space="0"/>
              <w:left w:val="nil"/>
              <w:bottom w:val="single" w:color="000000" w:sz="6" w:space="0"/>
              <w:right w:val="single" w:color="000000" w:sz="6" w:space="0"/>
            </w:tcBorders>
            <w:vAlign w:val="center"/>
          </w:tcPr>
          <w:p>
            <w:pPr>
              <w:rPr>
                <w:szCs w:val="24"/>
              </w:rPr>
            </w:pPr>
          </w:p>
        </w:tc>
        <w:tc>
          <w:tcPr>
            <w:tcW w:w="392" w:type="pct"/>
            <w:tcBorders>
              <w:top w:val="single" w:color="000000" w:sz="6" w:space="0"/>
              <w:left w:val="nil"/>
              <w:bottom w:val="single" w:color="000000" w:sz="6" w:space="0"/>
              <w:right w:val="single" w:color="000000" w:sz="6" w:space="0"/>
            </w:tcBorders>
            <w:vAlign w:val="center"/>
          </w:tcPr>
          <w:p>
            <w:pPr>
              <w:rPr>
                <w:szCs w:val="24"/>
              </w:rPr>
            </w:pPr>
          </w:p>
        </w:tc>
        <w:tc>
          <w:tcPr>
            <w:tcW w:w="502" w:type="pct"/>
            <w:tcBorders>
              <w:top w:val="single" w:color="000000" w:sz="6" w:space="0"/>
              <w:left w:val="nil"/>
              <w:bottom w:val="single" w:color="000000" w:sz="6" w:space="0"/>
              <w:right w:val="single" w:color="000000" w:sz="6" w:space="0"/>
            </w:tcBorders>
            <w:vAlign w:val="center"/>
          </w:tcPr>
          <w:p>
            <w:pPr>
              <w:rPr>
                <w:szCs w:val="24"/>
              </w:rPr>
            </w:pPr>
          </w:p>
        </w:tc>
        <w:tc>
          <w:tcPr>
            <w:tcW w:w="359" w:type="pct"/>
            <w:tcBorders>
              <w:top w:val="single" w:color="000000" w:sz="6" w:space="0"/>
              <w:left w:val="nil"/>
              <w:bottom w:val="single" w:color="000000" w:sz="6" w:space="0"/>
              <w:right w:val="single" w:color="000000" w:sz="6" w:space="0"/>
            </w:tcBorders>
            <w:vAlign w:val="center"/>
          </w:tcPr>
          <w:p>
            <w:pPr>
              <w:rPr>
                <w:szCs w:val="24"/>
              </w:rPr>
            </w:pPr>
          </w:p>
        </w:tc>
        <w:tc>
          <w:tcPr>
            <w:tcW w:w="517" w:type="pct"/>
            <w:tcBorders>
              <w:top w:val="single" w:color="000000" w:sz="6" w:space="0"/>
              <w:left w:val="nil"/>
              <w:bottom w:val="single" w:color="000000" w:sz="6" w:space="0"/>
              <w:right w:val="single" w:color="000000" w:sz="6" w:space="0"/>
            </w:tcBorders>
            <w:vAlign w:val="center"/>
          </w:tcPr>
          <w:p>
            <w:pPr>
              <w:rPr>
                <w:szCs w:val="24"/>
              </w:rPr>
            </w:pPr>
          </w:p>
        </w:tc>
        <w:tc>
          <w:tcPr>
            <w:tcW w:w="344" w:type="pct"/>
            <w:tcBorders>
              <w:top w:val="single" w:color="000000" w:sz="6" w:space="0"/>
              <w:left w:val="nil"/>
              <w:bottom w:val="single" w:color="000000" w:sz="6" w:space="0"/>
              <w:right w:val="single" w:color="000000" w:sz="6" w:space="0"/>
            </w:tcBorders>
            <w:vAlign w:val="center"/>
          </w:tcPr>
          <w:p>
            <w:pPr>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cantSplit/>
          <w:trHeight w:val="567" w:hRule="atLeast"/>
          <w:jc w:val="center"/>
        </w:trPr>
        <w:tc>
          <w:tcPr>
            <w:tcW w:w="296" w:type="pct"/>
            <w:tcBorders>
              <w:top w:val="single" w:color="000000" w:sz="6" w:space="0"/>
              <w:left w:val="single" w:color="000000" w:sz="6" w:space="0"/>
              <w:bottom w:val="single" w:color="000000" w:sz="6" w:space="0"/>
              <w:right w:val="single" w:color="000000" w:sz="6" w:space="0"/>
            </w:tcBorders>
            <w:vAlign w:val="center"/>
          </w:tcPr>
          <w:p>
            <w:pPr>
              <w:rPr>
                <w:szCs w:val="24"/>
              </w:rPr>
            </w:pPr>
          </w:p>
        </w:tc>
        <w:tc>
          <w:tcPr>
            <w:tcW w:w="979" w:type="pct"/>
            <w:tcBorders>
              <w:top w:val="single" w:color="000000" w:sz="6" w:space="0"/>
              <w:left w:val="nil"/>
              <w:bottom w:val="single" w:color="000000" w:sz="6" w:space="0"/>
              <w:right w:val="single" w:color="000000" w:sz="6" w:space="0"/>
            </w:tcBorders>
            <w:vAlign w:val="center"/>
          </w:tcPr>
          <w:p>
            <w:pPr>
              <w:rPr>
                <w:szCs w:val="24"/>
              </w:rPr>
            </w:pPr>
          </w:p>
        </w:tc>
        <w:tc>
          <w:tcPr>
            <w:tcW w:w="940" w:type="pct"/>
            <w:tcBorders>
              <w:top w:val="single" w:color="000000" w:sz="6" w:space="0"/>
              <w:left w:val="nil"/>
              <w:bottom w:val="single" w:color="000000" w:sz="6" w:space="0"/>
              <w:right w:val="single" w:color="000000" w:sz="6" w:space="0"/>
            </w:tcBorders>
            <w:vAlign w:val="center"/>
          </w:tcPr>
          <w:p>
            <w:pPr>
              <w:rPr>
                <w:szCs w:val="24"/>
              </w:rPr>
            </w:pPr>
          </w:p>
        </w:tc>
        <w:tc>
          <w:tcPr>
            <w:tcW w:w="316" w:type="pct"/>
            <w:tcBorders>
              <w:top w:val="single" w:color="000000" w:sz="6" w:space="0"/>
              <w:left w:val="nil"/>
              <w:bottom w:val="single" w:color="000000" w:sz="6" w:space="0"/>
              <w:right w:val="single" w:color="000000" w:sz="6" w:space="0"/>
            </w:tcBorders>
            <w:vAlign w:val="center"/>
          </w:tcPr>
          <w:p>
            <w:pPr>
              <w:rPr>
                <w:szCs w:val="24"/>
              </w:rPr>
            </w:pPr>
          </w:p>
        </w:tc>
        <w:tc>
          <w:tcPr>
            <w:tcW w:w="355" w:type="pct"/>
            <w:tcBorders>
              <w:top w:val="single" w:color="000000" w:sz="6" w:space="0"/>
              <w:left w:val="nil"/>
              <w:bottom w:val="single" w:color="000000" w:sz="6" w:space="0"/>
              <w:right w:val="single" w:color="000000" w:sz="6" w:space="0"/>
            </w:tcBorders>
            <w:vAlign w:val="center"/>
          </w:tcPr>
          <w:p>
            <w:pPr>
              <w:rPr>
                <w:szCs w:val="24"/>
              </w:rPr>
            </w:pPr>
          </w:p>
        </w:tc>
        <w:tc>
          <w:tcPr>
            <w:tcW w:w="392" w:type="pct"/>
            <w:tcBorders>
              <w:top w:val="single" w:color="000000" w:sz="6" w:space="0"/>
              <w:left w:val="nil"/>
              <w:bottom w:val="single" w:color="000000" w:sz="6" w:space="0"/>
              <w:right w:val="single" w:color="000000" w:sz="6" w:space="0"/>
            </w:tcBorders>
            <w:vAlign w:val="center"/>
          </w:tcPr>
          <w:p>
            <w:pPr>
              <w:rPr>
                <w:szCs w:val="24"/>
              </w:rPr>
            </w:pPr>
          </w:p>
        </w:tc>
        <w:tc>
          <w:tcPr>
            <w:tcW w:w="502" w:type="pct"/>
            <w:tcBorders>
              <w:top w:val="single" w:color="000000" w:sz="6" w:space="0"/>
              <w:left w:val="nil"/>
              <w:bottom w:val="single" w:color="000000" w:sz="6" w:space="0"/>
              <w:right w:val="single" w:color="000000" w:sz="6" w:space="0"/>
            </w:tcBorders>
            <w:vAlign w:val="center"/>
          </w:tcPr>
          <w:p>
            <w:pPr>
              <w:rPr>
                <w:szCs w:val="24"/>
              </w:rPr>
            </w:pPr>
          </w:p>
        </w:tc>
        <w:tc>
          <w:tcPr>
            <w:tcW w:w="359" w:type="pct"/>
            <w:tcBorders>
              <w:top w:val="single" w:color="000000" w:sz="6" w:space="0"/>
              <w:left w:val="nil"/>
              <w:bottom w:val="single" w:color="000000" w:sz="6" w:space="0"/>
              <w:right w:val="single" w:color="000000" w:sz="6" w:space="0"/>
            </w:tcBorders>
            <w:vAlign w:val="center"/>
          </w:tcPr>
          <w:p>
            <w:pPr>
              <w:rPr>
                <w:szCs w:val="24"/>
              </w:rPr>
            </w:pPr>
          </w:p>
        </w:tc>
        <w:tc>
          <w:tcPr>
            <w:tcW w:w="517" w:type="pct"/>
            <w:tcBorders>
              <w:top w:val="single" w:color="000000" w:sz="6" w:space="0"/>
              <w:left w:val="nil"/>
              <w:bottom w:val="single" w:color="000000" w:sz="6" w:space="0"/>
              <w:right w:val="single" w:color="000000" w:sz="6" w:space="0"/>
            </w:tcBorders>
            <w:vAlign w:val="center"/>
          </w:tcPr>
          <w:p>
            <w:pPr>
              <w:rPr>
                <w:szCs w:val="24"/>
              </w:rPr>
            </w:pPr>
          </w:p>
        </w:tc>
        <w:tc>
          <w:tcPr>
            <w:tcW w:w="344" w:type="pct"/>
            <w:tcBorders>
              <w:top w:val="single" w:color="000000" w:sz="6" w:space="0"/>
              <w:left w:val="nil"/>
              <w:bottom w:val="single" w:color="000000" w:sz="6" w:space="0"/>
              <w:right w:val="single" w:color="000000" w:sz="6" w:space="0"/>
            </w:tcBorders>
            <w:vAlign w:val="center"/>
          </w:tcPr>
          <w:p>
            <w:pPr>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cantSplit/>
          <w:trHeight w:val="567" w:hRule="atLeast"/>
          <w:jc w:val="center"/>
        </w:trPr>
        <w:tc>
          <w:tcPr>
            <w:tcW w:w="296" w:type="pct"/>
            <w:tcBorders>
              <w:top w:val="single" w:color="000000" w:sz="6" w:space="0"/>
              <w:left w:val="single" w:color="000000" w:sz="6" w:space="0"/>
              <w:bottom w:val="single" w:color="000000" w:sz="6" w:space="0"/>
              <w:right w:val="single" w:color="000000" w:sz="6" w:space="0"/>
            </w:tcBorders>
            <w:vAlign w:val="center"/>
          </w:tcPr>
          <w:p>
            <w:pPr>
              <w:rPr>
                <w:szCs w:val="24"/>
              </w:rPr>
            </w:pPr>
          </w:p>
        </w:tc>
        <w:tc>
          <w:tcPr>
            <w:tcW w:w="979" w:type="pct"/>
            <w:tcBorders>
              <w:top w:val="single" w:color="000000" w:sz="6" w:space="0"/>
              <w:left w:val="nil"/>
              <w:bottom w:val="single" w:color="000000" w:sz="6" w:space="0"/>
              <w:right w:val="single" w:color="000000" w:sz="6" w:space="0"/>
            </w:tcBorders>
            <w:vAlign w:val="center"/>
          </w:tcPr>
          <w:p>
            <w:pPr>
              <w:rPr>
                <w:szCs w:val="24"/>
              </w:rPr>
            </w:pPr>
          </w:p>
        </w:tc>
        <w:tc>
          <w:tcPr>
            <w:tcW w:w="940" w:type="pct"/>
            <w:tcBorders>
              <w:top w:val="single" w:color="000000" w:sz="6" w:space="0"/>
              <w:left w:val="nil"/>
              <w:bottom w:val="single" w:color="000000" w:sz="6" w:space="0"/>
              <w:right w:val="single" w:color="000000" w:sz="6" w:space="0"/>
            </w:tcBorders>
            <w:vAlign w:val="center"/>
          </w:tcPr>
          <w:p>
            <w:pPr>
              <w:rPr>
                <w:szCs w:val="24"/>
              </w:rPr>
            </w:pPr>
          </w:p>
        </w:tc>
        <w:tc>
          <w:tcPr>
            <w:tcW w:w="316" w:type="pct"/>
            <w:tcBorders>
              <w:top w:val="single" w:color="000000" w:sz="6" w:space="0"/>
              <w:left w:val="nil"/>
              <w:bottom w:val="single" w:color="000000" w:sz="6" w:space="0"/>
              <w:right w:val="single" w:color="000000" w:sz="6" w:space="0"/>
            </w:tcBorders>
            <w:vAlign w:val="center"/>
          </w:tcPr>
          <w:p>
            <w:pPr>
              <w:rPr>
                <w:szCs w:val="24"/>
              </w:rPr>
            </w:pPr>
          </w:p>
        </w:tc>
        <w:tc>
          <w:tcPr>
            <w:tcW w:w="355" w:type="pct"/>
            <w:tcBorders>
              <w:top w:val="single" w:color="000000" w:sz="6" w:space="0"/>
              <w:left w:val="nil"/>
              <w:bottom w:val="single" w:color="000000" w:sz="6" w:space="0"/>
              <w:right w:val="single" w:color="000000" w:sz="6" w:space="0"/>
            </w:tcBorders>
            <w:vAlign w:val="center"/>
          </w:tcPr>
          <w:p>
            <w:pPr>
              <w:rPr>
                <w:szCs w:val="24"/>
              </w:rPr>
            </w:pPr>
          </w:p>
        </w:tc>
        <w:tc>
          <w:tcPr>
            <w:tcW w:w="392" w:type="pct"/>
            <w:tcBorders>
              <w:top w:val="single" w:color="000000" w:sz="6" w:space="0"/>
              <w:left w:val="nil"/>
              <w:bottom w:val="single" w:color="000000" w:sz="6" w:space="0"/>
              <w:right w:val="single" w:color="000000" w:sz="6" w:space="0"/>
            </w:tcBorders>
            <w:vAlign w:val="center"/>
          </w:tcPr>
          <w:p>
            <w:pPr>
              <w:rPr>
                <w:szCs w:val="24"/>
              </w:rPr>
            </w:pPr>
          </w:p>
        </w:tc>
        <w:tc>
          <w:tcPr>
            <w:tcW w:w="502" w:type="pct"/>
            <w:tcBorders>
              <w:top w:val="single" w:color="000000" w:sz="6" w:space="0"/>
              <w:left w:val="nil"/>
              <w:bottom w:val="single" w:color="000000" w:sz="6" w:space="0"/>
              <w:right w:val="single" w:color="000000" w:sz="6" w:space="0"/>
            </w:tcBorders>
            <w:vAlign w:val="center"/>
          </w:tcPr>
          <w:p>
            <w:pPr>
              <w:rPr>
                <w:szCs w:val="24"/>
              </w:rPr>
            </w:pPr>
          </w:p>
        </w:tc>
        <w:tc>
          <w:tcPr>
            <w:tcW w:w="359" w:type="pct"/>
            <w:tcBorders>
              <w:top w:val="single" w:color="000000" w:sz="6" w:space="0"/>
              <w:left w:val="nil"/>
              <w:bottom w:val="single" w:color="000000" w:sz="6" w:space="0"/>
              <w:right w:val="single" w:color="000000" w:sz="6" w:space="0"/>
            </w:tcBorders>
            <w:vAlign w:val="center"/>
          </w:tcPr>
          <w:p>
            <w:pPr>
              <w:rPr>
                <w:szCs w:val="24"/>
              </w:rPr>
            </w:pPr>
          </w:p>
        </w:tc>
        <w:tc>
          <w:tcPr>
            <w:tcW w:w="517" w:type="pct"/>
            <w:tcBorders>
              <w:top w:val="single" w:color="000000" w:sz="6" w:space="0"/>
              <w:left w:val="nil"/>
              <w:bottom w:val="single" w:color="000000" w:sz="6" w:space="0"/>
              <w:right w:val="single" w:color="000000" w:sz="6" w:space="0"/>
            </w:tcBorders>
            <w:vAlign w:val="center"/>
          </w:tcPr>
          <w:p>
            <w:pPr>
              <w:rPr>
                <w:szCs w:val="24"/>
              </w:rPr>
            </w:pPr>
          </w:p>
        </w:tc>
        <w:tc>
          <w:tcPr>
            <w:tcW w:w="344" w:type="pct"/>
            <w:tcBorders>
              <w:top w:val="single" w:color="000000" w:sz="6" w:space="0"/>
              <w:left w:val="nil"/>
              <w:bottom w:val="single" w:color="000000" w:sz="6" w:space="0"/>
              <w:right w:val="single" w:color="000000" w:sz="6" w:space="0"/>
            </w:tcBorders>
            <w:vAlign w:val="center"/>
          </w:tcPr>
          <w:p>
            <w:pPr>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cantSplit/>
          <w:trHeight w:val="567" w:hRule="atLeast"/>
          <w:jc w:val="center"/>
        </w:trPr>
        <w:tc>
          <w:tcPr>
            <w:tcW w:w="296" w:type="pct"/>
            <w:tcBorders>
              <w:top w:val="single" w:color="000000" w:sz="6" w:space="0"/>
              <w:left w:val="single" w:color="000000" w:sz="6" w:space="0"/>
              <w:bottom w:val="single" w:color="000000" w:sz="6" w:space="0"/>
              <w:right w:val="single" w:color="000000" w:sz="6" w:space="0"/>
            </w:tcBorders>
            <w:vAlign w:val="center"/>
          </w:tcPr>
          <w:p>
            <w:pPr>
              <w:rPr>
                <w:szCs w:val="24"/>
              </w:rPr>
            </w:pPr>
          </w:p>
        </w:tc>
        <w:tc>
          <w:tcPr>
            <w:tcW w:w="979" w:type="pct"/>
            <w:tcBorders>
              <w:top w:val="single" w:color="000000" w:sz="6" w:space="0"/>
              <w:left w:val="nil"/>
              <w:bottom w:val="single" w:color="000000" w:sz="6" w:space="0"/>
              <w:right w:val="single" w:color="000000" w:sz="6" w:space="0"/>
            </w:tcBorders>
            <w:vAlign w:val="center"/>
          </w:tcPr>
          <w:p>
            <w:pPr>
              <w:rPr>
                <w:szCs w:val="24"/>
              </w:rPr>
            </w:pPr>
          </w:p>
        </w:tc>
        <w:tc>
          <w:tcPr>
            <w:tcW w:w="940" w:type="pct"/>
            <w:tcBorders>
              <w:top w:val="single" w:color="000000" w:sz="6" w:space="0"/>
              <w:left w:val="nil"/>
              <w:bottom w:val="single" w:color="000000" w:sz="6" w:space="0"/>
              <w:right w:val="single" w:color="000000" w:sz="6" w:space="0"/>
            </w:tcBorders>
            <w:vAlign w:val="center"/>
          </w:tcPr>
          <w:p>
            <w:pPr>
              <w:rPr>
                <w:szCs w:val="24"/>
              </w:rPr>
            </w:pPr>
          </w:p>
        </w:tc>
        <w:tc>
          <w:tcPr>
            <w:tcW w:w="316" w:type="pct"/>
            <w:tcBorders>
              <w:top w:val="single" w:color="000000" w:sz="6" w:space="0"/>
              <w:left w:val="nil"/>
              <w:bottom w:val="single" w:color="000000" w:sz="6" w:space="0"/>
              <w:right w:val="single" w:color="000000" w:sz="6" w:space="0"/>
            </w:tcBorders>
            <w:vAlign w:val="center"/>
          </w:tcPr>
          <w:p>
            <w:pPr>
              <w:rPr>
                <w:szCs w:val="24"/>
              </w:rPr>
            </w:pPr>
          </w:p>
        </w:tc>
        <w:tc>
          <w:tcPr>
            <w:tcW w:w="355" w:type="pct"/>
            <w:tcBorders>
              <w:top w:val="single" w:color="000000" w:sz="6" w:space="0"/>
              <w:left w:val="nil"/>
              <w:bottom w:val="single" w:color="000000" w:sz="6" w:space="0"/>
              <w:right w:val="single" w:color="000000" w:sz="6" w:space="0"/>
            </w:tcBorders>
            <w:vAlign w:val="center"/>
          </w:tcPr>
          <w:p>
            <w:pPr>
              <w:rPr>
                <w:szCs w:val="24"/>
              </w:rPr>
            </w:pPr>
          </w:p>
        </w:tc>
        <w:tc>
          <w:tcPr>
            <w:tcW w:w="392" w:type="pct"/>
            <w:tcBorders>
              <w:top w:val="single" w:color="000000" w:sz="6" w:space="0"/>
              <w:left w:val="nil"/>
              <w:bottom w:val="single" w:color="000000" w:sz="6" w:space="0"/>
              <w:right w:val="single" w:color="000000" w:sz="6" w:space="0"/>
            </w:tcBorders>
            <w:vAlign w:val="center"/>
          </w:tcPr>
          <w:p>
            <w:pPr>
              <w:rPr>
                <w:szCs w:val="24"/>
              </w:rPr>
            </w:pPr>
          </w:p>
        </w:tc>
        <w:tc>
          <w:tcPr>
            <w:tcW w:w="502" w:type="pct"/>
            <w:tcBorders>
              <w:top w:val="single" w:color="000000" w:sz="6" w:space="0"/>
              <w:left w:val="nil"/>
              <w:bottom w:val="single" w:color="000000" w:sz="6" w:space="0"/>
              <w:right w:val="single" w:color="000000" w:sz="6" w:space="0"/>
            </w:tcBorders>
            <w:vAlign w:val="center"/>
          </w:tcPr>
          <w:p>
            <w:pPr>
              <w:rPr>
                <w:szCs w:val="24"/>
              </w:rPr>
            </w:pPr>
          </w:p>
        </w:tc>
        <w:tc>
          <w:tcPr>
            <w:tcW w:w="359" w:type="pct"/>
            <w:tcBorders>
              <w:top w:val="single" w:color="000000" w:sz="6" w:space="0"/>
              <w:left w:val="nil"/>
              <w:bottom w:val="single" w:color="000000" w:sz="6" w:space="0"/>
              <w:right w:val="single" w:color="000000" w:sz="6" w:space="0"/>
            </w:tcBorders>
            <w:vAlign w:val="center"/>
          </w:tcPr>
          <w:p>
            <w:pPr>
              <w:rPr>
                <w:szCs w:val="24"/>
              </w:rPr>
            </w:pPr>
          </w:p>
        </w:tc>
        <w:tc>
          <w:tcPr>
            <w:tcW w:w="517" w:type="pct"/>
            <w:tcBorders>
              <w:top w:val="single" w:color="000000" w:sz="6" w:space="0"/>
              <w:left w:val="nil"/>
              <w:bottom w:val="single" w:color="000000" w:sz="6" w:space="0"/>
              <w:right w:val="single" w:color="000000" w:sz="6" w:space="0"/>
            </w:tcBorders>
            <w:vAlign w:val="center"/>
          </w:tcPr>
          <w:p>
            <w:pPr>
              <w:rPr>
                <w:szCs w:val="24"/>
              </w:rPr>
            </w:pPr>
          </w:p>
        </w:tc>
        <w:tc>
          <w:tcPr>
            <w:tcW w:w="344" w:type="pct"/>
            <w:tcBorders>
              <w:top w:val="single" w:color="000000" w:sz="6" w:space="0"/>
              <w:left w:val="nil"/>
              <w:bottom w:val="single" w:color="000000" w:sz="6" w:space="0"/>
              <w:right w:val="single" w:color="000000" w:sz="6" w:space="0"/>
            </w:tcBorders>
            <w:vAlign w:val="center"/>
          </w:tcPr>
          <w:p>
            <w:pPr>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cantSplit/>
          <w:trHeight w:val="567" w:hRule="atLeast"/>
          <w:jc w:val="center"/>
        </w:trPr>
        <w:tc>
          <w:tcPr>
            <w:tcW w:w="296" w:type="pct"/>
            <w:tcBorders>
              <w:top w:val="single" w:color="000000" w:sz="6" w:space="0"/>
              <w:left w:val="single" w:color="000000" w:sz="6" w:space="0"/>
              <w:bottom w:val="single" w:color="000000" w:sz="6" w:space="0"/>
              <w:right w:val="single" w:color="000000" w:sz="6" w:space="0"/>
            </w:tcBorders>
            <w:vAlign w:val="center"/>
          </w:tcPr>
          <w:p>
            <w:pPr>
              <w:rPr>
                <w:szCs w:val="24"/>
              </w:rPr>
            </w:pPr>
          </w:p>
        </w:tc>
        <w:tc>
          <w:tcPr>
            <w:tcW w:w="979" w:type="pct"/>
            <w:tcBorders>
              <w:top w:val="single" w:color="000000" w:sz="6" w:space="0"/>
              <w:left w:val="nil"/>
              <w:bottom w:val="single" w:color="000000" w:sz="6" w:space="0"/>
              <w:right w:val="single" w:color="000000" w:sz="6" w:space="0"/>
            </w:tcBorders>
            <w:vAlign w:val="center"/>
          </w:tcPr>
          <w:p>
            <w:pPr>
              <w:rPr>
                <w:szCs w:val="24"/>
              </w:rPr>
            </w:pPr>
          </w:p>
        </w:tc>
        <w:tc>
          <w:tcPr>
            <w:tcW w:w="940" w:type="pct"/>
            <w:tcBorders>
              <w:top w:val="single" w:color="000000" w:sz="6" w:space="0"/>
              <w:left w:val="nil"/>
              <w:bottom w:val="single" w:color="000000" w:sz="6" w:space="0"/>
              <w:right w:val="single" w:color="000000" w:sz="6" w:space="0"/>
            </w:tcBorders>
            <w:vAlign w:val="center"/>
          </w:tcPr>
          <w:p>
            <w:pPr>
              <w:rPr>
                <w:szCs w:val="24"/>
              </w:rPr>
            </w:pPr>
          </w:p>
        </w:tc>
        <w:tc>
          <w:tcPr>
            <w:tcW w:w="316" w:type="pct"/>
            <w:tcBorders>
              <w:top w:val="single" w:color="000000" w:sz="6" w:space="0"/>
              <w:left w:val="nil"/>
              <w:bottom w:val="single" w:color="000000" w:sz="6" w:space="0"/>
              <w:right w:val="single" w:color="000000" w:sz="6" w:space="0"/>
            </w:tcBorders>
            <w:vAlign w:val="center"/>
          </w:tcPr>
          <w:p>
            <w:pPr>
              <w:rPr>
                <w:szCs w:val="24"/>
              </w:rPr>
            </w:pPr>
          </w:p>
        </w:tc>
        <w:tc>
          <w:tcPr>
            <w:tcW w:w="355" w:type="pct"/>
            <w:tcBorders>
              <w:top w:val="single" w:color="000000" w:sz="6" w:space="0"/>
              <w:left w:val="nil"/>
              <w:bottom w:val="single" w:color="000000" w:sz="6" w:space="0"/>
              <w:right w:val="single" w:color="000000" w:sz="6" w:space="0"/>
            </w:tcBorders>
            <w:vAlign w:val="center"/>
          </w:tcPr>
          <w:p>
            <w:pPr>
              <w:rPr>
                <w:szCs w:val="24"/>
              </w:rPr>
            </w:pPr>
          </w:p>
        </w:tc>
        <w:tc>
          <w:tcPr>
            <w:tcW w:w="392" w:type="pct"/>
            <w:tcBorders>
              <w:top w:val="single" w:color="000000" w:sz="6" w:space="0"/>
              <w:left w:val="nil"/>
              <w:bottom w:val="single" w:color="000000" w:sz="6" w:space="0"/>
              <w:right w:val="single" w:color="000000" w:sz="6" w:space="0"/>
            </w:tcBorders>
            <w:vAlign w:val="center"/>
          </w:tcPr>
          <w:p>
            <w:pPr>
              <w:rPr>
                <w:szCs w:val="24"/>
              </w:rPr>
            </w:pPr>
          </w:p>
        </w:tc>
        <w:tc>
          <w:tcPr>
            <w:tcW w:w="502" w:type="pct"/>
            <w:tcBorders>
              <w:top w:val="single" w:color="000000" w:sz="6" w:space="0"/>
              <w:left w:val="nil"/>
              <w:bottom w:val="single" w:color="000000" w:sz="6" w:space="0"/>
              <w:right w:val="single" w:color="000000" w:sz="6" w:space="0"/>
            </w:tcBorders>
            <w:vAlign w:val="center"/>
          </w:tcPr>
          <w:p>
            <w:pPr>
              <w:rPr>
                <w:szCs w:val="24"/>
              </w:rPr>
            </w:pPr>
          </w:p>
        </w:tc>
        <w:tc>
          <w:tcPr>
            <w:tcW w:w="359" w:type="pct"/>
            <w:tcBorders>
              <w:top w:val="single" w:color="000000" w:sz="6" w:space="0"/>
              <w:left w:val="nil"/>
              <w:bottom w:val="single" w:color="000000" w:sz="6" w:space="0"/>
              <w:right w:val="single" w:color="000000" w:sz="6" w:space="0"/>
            </w:tcBorders>
            <w:vAlign w:val="center"/>
          </w:tcPr>
          <w:p>
            <w:pPr>
              <w:rPr>
                <w:szCs w:val="24"/>
              </w:rPr>
            </w:pPr>
          </w:p>
        </w:tc>
        <w:tc>
          <w:tcPr>
            <w:tcW w:w="517" w:type="pct"/>
            <w:tcBorders>
              <w:top w:val="single" w:color="000000" w:sz="6" w:space="0"/>
              <w:left w:val="nil"/>
              <w:bottom w:val="single" w:color="000000" w:sz="6" w:space="0"/>
              <w:right w:val="single" w:color="000000" w:sz="6" w:space="0"/>
            </w:tcBorders>
            <w:vAlign w:val="center"/>
          </w:tcPr>
          <w:p>
            <w:pPr>
              <w:rPr>
                <w:szCs w:val="24"/>
              </w:rPr>
            </w:pPr>
          </w:p>
        </w:tc>
        <w:tc>
          <w:tcPr>
            <w:tcW w:w="344" w:type="pct"/>
            <w:tcBorders>
              <w:top w:val="single" w:color="000000" w:sz="6" w:space="0"/>
              <w:left w:val="nil"/>
              <w:bottom w:val="single" w:color="000000" w:sz="6" w:space="0"/>
              <w:right w:val="single" w:color="000000" w:sz="6" w:space="0"/>
            </w:tcBorders>
            <w:vAlign w:val="center"/>
          </w:tcPr>
          <w:p>
            <w:pPr>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cantSplit/>
          <w:trHeight w:val="454" w:hRule="atLeast"/>
          <w:jc w:val="center"/>
        </w:trPr>
        <w:tc>
          <w:tcPr>
            <w:tcW w:w="296" w:type="pct"/>
            <w:tcBorders>
              <w:top w:val="single" w:color="000000" w:sz="6" w:space="0"/>
              <w:left w:val="single" w:color="000000" w:sz="6" w:space="0"/>
              <w:bottom w:val="single" w:color="000000" w:sz="6" w:space="0"/>
              <w:right w:val="single" w:color="000000" w:sz="6" w:space="0"/>
            </w:tcBorders>
            <w:vAlign w:val="center"/>
          </w:tcPr>
          <w:p>
            <w:pPr>
              <w:rPr>
                <w:szCs w:val="24"/>
              </w:rPr>
            </w:pPr>
          </w:p>
        </w:tc>
        <w:tc>
          <w:tcPr>
            <w:tcW w:w="979" w:type="pct"/>
            <w:tcBorders>
              <w:top w:val="single" w:color="000000" w:sz="6" w:space="0"/>
              <w:left w:val="nil"/>
              <w:bottom w:val="single" w:color="000000" w:sz="6" w:space="0"/>
              <w:right w:val="single" w:color="000000" w:sz="6" w:space="0"/>
            </w:tcBorders>
            <w:vAlign w:val="center"/>
          </w:tcPr>
          <w:p>
            <w:pPr>
              <w:rPr>
                <w:szCs w:val="24"/>
              </w:rPr>
            </w:pPr>
          </w:p>
        </w:tc>
        <w:tc>
          <w:tcPr>
            <w:tcW w:w="940" w:type="pct"/>
            <w:tcBorders>
              <w:top w:val="single" w:color="000000" w:sz="6" w:space="0"/>
              <w:left w:val="nil"/>
              <w:bottom w:val="single" w:color="000000" w:sz="6" w:space="0"/>
              <w:right w:val="single" w:color="000000" w:sz="6" w:space="0"/>
            </w:tcBorders>
            <w:vAlign w:val="center"/>
          </w:tcPr>
          <w:p>
            <w:pPr>
              <w:rPr>
                <w:szCs w:val="24"/>
              </w:rPr>
            </w:pPr>
          </w:p>
        </w:tc>
        <w:tc>
          <w:tcPr>
            <w:tcW w:w="316" w:type="pct"/>
            <w:tcBorders>
              <w:top w:val="single" w:color="000000" w:sz="6" w:space="0"/>
              <w:left w:val="nil"/>
              <w:bottom w:val="single" w:color="000000" w:sz="6" w:space="0"/>
              <w:right w:val="single" w:color="000000" w:sz="6" w:space="0"/>
            </w:tcBorders>
            <w:vAlign w:val="center"/>
          </w:tcPr>
          <w:p>
            <w:pPr>
              <w:rPr>
                <w:szCs w:val="24"/>
              </w:rPr>
            </w:pPr>
          </w:p>
        </w:tc>
        <w:tc>
          <w:tcPr>
            <w:tcW w:w="355" w:type="pct"/>
            <w:tcBorders>
              <w:top w:val="single" w:color="000000" w:sz="6" w:space="0"/>
              <w:left w:val="nil"/>
              <w:bottom w:val="single" w:color="000000" w:sz="6" w:space="0"/>
              <w:right w:val="single" w:color="000000" w:sz="6" w:space="0"/>
            </w:tcBorders>
            <w:vAlign w:val="center"/>
          </w:tcPr>
          <w:p>
            <w:pPr>
              <w:rPr>
                <w:szCs w:val="24"/>
              </w:rPr>
            </w:pPr>
          </w:p>
        </w:tc>
        <w:tc>
          <w:tcPr>
            <w:tcW w:w="392" w:type="pct"/>
            <w:tcBorders>
              <w:top w:val="single" w:color="000000" w:sz="6" w:space="0"/>
              <w:left w:val="nil"/>
              <w:bottom w:val="single" w:color="000000" w:sz="6" w:space="0"/>
              <w:right w:val="single" w:color="000000" w:sz="6" w:space="0"/>
            </w:tcBorders>
            <w:vAlign w:val="center"/>
          </w:tcPr>
          <w:p>
            <w:pPr>
              <w:rPr>
                <w:szCs w:val="24"/>
              </w:rPr>
            </w:pPr>
          </w:p>
        </w:tc>
        <w:tc>
          <w:tcPr>
            <w:tcW w:w="502" w:type="pct"/>
            <w:tcBorders>
              <w:top w:val="single" w:color="000000" w:sz="6" w:space="0"/>
              <w:left w:val="nil"/>
              <w:bottom w:val="single" w:color="000000" w:sz="6" w:space="0"/>
              <w:right w:val="single" w:color="000000" w:sz="6" w:space="0"/>
            </w:tcBorders>
            <w:vAlign w:val="center"/>
          </w:tcPr>
          <w:p>
            <w:pPr>
              <w:rPr>
                <w:szCs w:val="24"/>
              </w:rPr>
            </w:pPr>
          </w:p>
        </w:tc>
        <w:tc>
          <w:tcPr>
            <w:tcW w:w="359" w:type="pct"/>
            <w:tcBorders>
              <w:top w:val="single" w:color="000000" w:sz="6" w:space="0"/>
              <w:left w:val="nil"/>
              <w:bottom w:val="single" w:color="000000" w:sz="6" w:space="0"/>
              <w:right w:val="single" w:color="000000" w:sz="6" w:space="0"/>
            </w:tcBorders>
            <w:vAlign w:val="center"/>
          </w:tcPr>
          <w:p>
            <w:pPr>
              <w:rPr>
                <w:szCs w:val="24"/>
              </w:rPr>
            </w:pPr>
          </w:p>
        </w:tc>
        <w:tc>
          <w:tcPr>
            <w:tcW w:w="517" w:type="pct"/>
            <w:tcBorders>
              <w:top w:val="single" w:color="000000" w:sz="6" w:space="0"/>
              <w:left w:val="nil"/>
              <w:bottom w:val="single" w:color="000000" w:sz="6" w:space="0"/>
              <w:right w:val="single" w:color="000000" w:sz="6" w:space="0"/>
            </w:tcBorders>
            <w:vAlign w:val="center"/>
          </w:tcPr>
          <w:p>
            <w:pPr>
              <w:rPr>
                <w:szCs w:val="24"/>
              </w:rPr>
            </w:pPr>
          </w:p>
        </w:tc>
        <w:tc>
          <w:tcPr>
            <w:tcW w:w="344" w:type="pct"/>
            <w:tcBorders>
              <w:top w:val="single" w:color="000000" w:sz="6" w:space="0"/>
              <w:left w:val="nil"/>
              <w:bottom w:val="single" w:color="000000" w:sz="6" w:space="0"/>
              <w:right w:val="single" w:color="000000" w:sz="6" w:space="0"/>
            </w:tcBorders>
            <w:vAlign w:val="center"/>
          </w:tcPr>
          <w:p>
            <w:pPr>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cantSplit/>
          <w:trHeight w:val="567" w:hRule="atLeast"/>
          <w:jc w:val="center"/>
        </w:trPr>
        <w:tc>
          <w:tcPr>
            <w:tcW w:w="296" w:type="pct"/>
            <w:tcBorders>
              <w:top w:val="single" w:color="000000" w:sz="6" w:space="0"/>
              <w:left w:val="single" w:color="000000" w:sz="6" w:space="0"/>
              <w:bottom w:val="single" w:color="000000" w:sz="6" w:space="0"/>
              <w:right w:val="single" w:color="000000" w:sz="6" w:space="0"/>
            </w:tcBorders>
            <w:vAlign w:val="center"/>
          </w:tcPr>
          <w:p>
            <w:pPr>
              <w:rPr>
                <w:szCs w:val="24"/>
              </w:rPr>
            </w:pPr>
          </w:p>
        </w:tc>
        <w:tc>
          <w:tcPr>
            <w:tcW w:w="979" w:type="pct"/>
            <w:tcBorders>
              <w:top w:val="single" w:color="000000" w:sz="6" w:space="0"/>
              <w:left w:val="nil"/>
              <w:bottom w:val="single" w:color="000000" w:sz="6" w:space="0"/>
              <w:right w:val="single" w:color="000000" w:sz="6" w:space="0"/>
            </w:tcBorders>
            <w:vAlign w:val="center"/>
          </w:tcPr>
          <w:p>
            <w:pPr>
              <w:rPr>
                <w:szCs w:val="24"/>
              </w:rPr>
            </w:pPr>
          </w:p>
        </w:tc>
        <w:tc>
          <w:tcPr>
            <w:tcW w:w="940" w:type="pct"/>
            <w:tcBorders>
              <w:top w:val="single" w:color="000000" w:sz="6" w:space="0"/>
              <w:left w:val="nil"/>
              <w:bottom w:val="single" w:color="000000" w:sz="6" w:space="0"/>
              <w:right w:val="single" w:color="000000" w:sz="6" w:space="0"/>
            </w:tcBorders>
            <w:vAlign w:val="center"/>
          </w:tcPr>
          <w:p>
            <w:pPr>
              <w:rPr>
                <w:szCs w:val="24"/>
              </w:rPr>
            </w:pPr>
          </w:p>
        </w:tc>
        <w:tc>
          <w:tcPr>
            <w:tcW w:w="316" w:type="pct"/>
            <w:tcBorders>
              <w:top w:val="single" w:color="000000" w:sz="6" w:space="0"/>
              <w:left w:val="nil"/>
              <w:bottom w:val="single" w:color="000000" w:sz="6" w:space="0"/>
              <w:right w:val="single" w:color="000000" w:sz="6" w:space="0"/>
            </w:tcBorders>
            <w:vAlign w:val="center"/>
          </w:tcPr>
          <w:p>
            <w:pPr>
              <w:rPr>
                <w:szCs w:val="24"/>
              </w:rPr>
            </w:pPr>
          </w:p>
        </w:tc>
        <w:tc>
          <w:tcPr>
            <w:tcW w:w="355" w:type="pct"/>
            <w:tcBorders>
              <w:top w:val="single" w:color="000000" w:sz="6" w:space="0"/>
              <w:left w:val="nil"/>
              <w:bottom w:val="single" w:color="000000" w:sz="6" w:space="0"/>
              <w:right w:val="single" w:color="000000" w:sz="6" w:space="0"/>
            </w:tcBorders>
            <w:vAlign w:val="center"/>
          </w:tcPr>
          <w:p>
            <w:pPr>
              <w:rPr>
                <w:szCs w:val="24"/>
              </w:rPr>
            </w:pPr>
          </w:p>
        </w:tc>
        <w:tc>
          <w:tcPr>
            <w:tcW w:w="392" w:type="pct"/>
            <w:tcBorders>
              <w:top w:val="single" w:color="000000" w:sz="6" w:space="0"/>
              <w:left w:val="nil"/>
              <w:bottom w:val="single" w:color="000000" w:sz="6" w:space="0"/>
              <w:right w:val="single" w:color="000000" w:sz="6" w:space="0"/>
            </w:tcBorders>
            <w:vAlign w:val="center"/>
          </w:tcPr>
          <w:p>
            <w:pPr>
              <w:rPr>
                <w:szCs w:val="24"/>
              </w:rPr>
            </w:pPr>
          </w:p>
        </w:tc>
        <w:tc>
          <w:tcPr>
            <w:tcW w:w="502" w:type="pct"/>
            <w:tcBorders>
              <w:top w:val="single" w:color="000000" w:sz="6" w:space="0"/>
              <w:left w:val="nil"/>
              <w:bottom w:val="single" w:color="000000" w:sz="6" w:space="0"/>
              <w:right w:val="single" w:color="000000" w:sz="6" w:space="0"/>
            </w:tcBorders>
            <w:vAlign w:val="center"/>
          </w:tcPr>
          <w:p>
            <w:pPr>
              <w:rPr>
                <w:szCs w:val="24"/>
              </w:rPr>
            </w:pPr>
          </w:p>
        </w:tc>
        <w:tc>
          <w:tcPr>
            <w:tcW w:w="359" w:type="pct"/>
            <w:tcBorders>
              <w:top w:val="single" w:color="000000" w:sz="6" w:space="0"/>
              <w:left w:val="nil"/>
              <w:bottom w:val="single" w:color="000000" w:sz="6" w:space="0"/>
              <w:right w:val="single" w:color="000000" w:sz="6" w:space="0"/>
            </w:tcBorders>
            <w:vAlign w:val="center"/>
          </w:tcPr>
          <w:p>
            <w:pPr>
              <w:rPr>
                <w:szCs w:val="24"/>
              </w:rPr>
            </w:pPr>
          </w:p>
        </w:tc>
        <w:tc>
          <w:tcPr>
            <w:tcW w:w="517" w:type="pct"/>
            <w:tcBorders>
              <w:top w:val="single" w:color="000000" w:sz="6" w:space="0"/>
              <w:left w:val="nil"/>
              <w:bottom w:val="single" w:color="000000" w:sz="6" w:space="0"/>
              <w:right w:val="single" w:color="000000" w:sz="6" w:space="0"/>
            </w:tcBorders>
            <w:vAlign w:val="center"/>
          </w:tcPr>
          <w:p>
            <w:pPr>
              <w:rPr>
                <w:szCs w:val="24"/>
              </w:rPr>
            </w:pPr>
          </w:p>
          <w:p>
            <w:pPr>
              <w:rPr>
                <w:szCs w:val="24"/>
              </w:rPr>
            </w:pPr>
          </w:p>
        </w:tc>
        <w:tc>
          <w:tcPr>
            <w:tcW w:w="344" w:type="pct"/>
            <w:tcBorders>
              <w:top w:val="single" w:color="000000" w:sz="6" w:space="0"/>
              <w:left w:val="nil"/>
              <w:bottom w:val="single" w:color="000000" w:sz="6" w:space="0"/>
              <w:right w:val="single" w:color="000000" w:sz="6" w:space="0"/>
            </w:tcBorders>
            <w:vAlign w:val="center"/>
          </w:tcPr>
          <w:p>
            <w:pPr>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cantSplit/>
          <w:trHeight w:val="454" w:hRule="atLeast"/>
          <w:jc w:val="center"/>
        </w:trPr>
        <w:tc>
          <w:tcPr>
            <w:tcW w:w="296" w:type="pct"/>
            <w:tcBorders>
              <w:top w:val="single" w:color="000000" w:sz="6" w:space="0"/>
              <w:left w:val="single" w:color="000000" w:sz="6" w:space="0"/>
              <w:bottom w:val="single" w:color="000000" w:sz="6" w:space="0"/>
              <w:right w:val="single" w:color="000000" w:sz="6" w:space="0"/>
            </w:tcBorders>
            <w:vAlign w:val="center"/>
          </w:tcPr>
          <w:p>
            <w:pPr>
              <w:rPr>
                <w:szCs w:val="24"/>
              </w:rPr>
            </w:pPr>
          </w:p>
        </w:tc>
        <w:tc>
          <w:tcPr>
            <w:tcW w:w="979" w:type="pct"/>
            <w:tcBorders>
              <w:top w:val="single" w:color="000000" w:sz="6" w:space="0"/>
              <w:left w:val="nil"/>
              <w:bottom w:val="single" w:color="000000" w:sz="6" w:space="0"/>
              <w:right w:val="single" w:color="000000" w:sz="6" w:space="0"/>
            </w:tcBorders>
            <w:vAlign w:val="center"/>
          </w:tcPr>
          <w:p>
            <w:pPr>
              <w:rPr>
                <w:szCs w:val="24"/>
              </w:rPr>
            </w:pPr>
          </w:p>
        </w:tc>
        <w:tc>
          <w:tcPr>
            <w:tcW w:w="940" w:type="pct"/>
            <w:tcBorders>
              <w:top w:val="single" w:color="000000" w:sz="6" w:space="0"/>
              <w:left w:val="nil"/>
              <w:bottom w:val="single" w:color="000000" w:sz="6" w:space="0"/>
              <w:right w:val="single" w:color="000000" w:sz="6" w:space="0"/>
            </w:tcBorders>
            <w:vAlign w:val="center"/>
          </w:tcPr>
          <w:p>
            <w:pPr>
              <w:rPr>
                <w:szCs w:val="24"/>
              </w:rPr>
            </w:pPr>
          </w:p>
        </w:tc>
        <w:tc>
          <w:tcPr>
            <w:tcW w:w="316" w:type="pct"/>
            <w:tcBorders>
              <w:top w:val="single" w:color="000000" w:sz="6" w:space="0"/>
              <w:left w:val="nil"/>
              <w:bottom w:val="single" w:color="000000" w:sz="6" w:space="0"/>
              <w:right w:val="single" w:color="000000" w:sz="6" w:space="0"/>
            </w:tcBorders>
            <w:vAlign w:val="center"/>
          </w:tcPr>
          <w:p>
            <w:pPr>
              <w:rPr>
                <w:szCs w:val="24"/>
              </w:rPr>
            </w:pPr>
          </w:p>
        </w:tc>
        <w:tc>
          <w:tcPr>
            <w:tcW w:w="355" w:type="pct"/>
            <w:tcBorders>
              <w:top w:val="single" w:color="000000" w:sz="6" w:space="0"/>
              <w:left w:val="nil"/>
              <w:bottom w:val="single" w:color="000000" w:sz="6" w:space="0"/>
              <w:right w:val="single" w:color="000000" w:sz="6" w:space="0"/>
            </w:tcBorders>
            <w:vAlign w:val="center"/>
          </w:tcPr>
          <w:p>
            <w:pPr>
              <w:rPr>
                <w:szCs w:val="24"/>
              </w:rPr>
            </w:pPr>
          </w:p>
        </w:tc>
        <w:tc>
          <w:tcPr>
            <w:tcW w:w="392" w:type="pct"/>
            <w:tcBorders>
              <w:top w:val="single" w:color="000000" w:sz="6" w:space="0"/>
              <w:left w:val="nil"/>
              <w:bottom w:val="single" w:color="000000" w:sz="6" w:space="0"/>
              <w:right w:val="single" w:color="000000" w:sz="6" w:space="0"/>
            </w:tcBorders>
            <w:vAlign w:val="center"/>
          </w:tcPr>
          <w:p>
            <w:pPr>
              <w:rPr>
                <w:szCs w:val="24"/>
              </w:rPr>
            </w:pPr>
          </w:p>
        </w:tc>
        <w:tc>
          <w:tcPr>
            <w:tcW w:w="502" w:type="pct"/>
            <w:tcBorders>
              <w:top w:val="single" w:color="000000" w:sz="6" w:space="0"/>
              <w:left w:val="nil"/>
              <w:bottom w:val="single" w:color="000000" w:sz="6" w:space="0"/>
              <w:right w:val="single" w:color="000000" w:sz="6" w:space="0"/>
            </w:tcBorders>
            <w:vAlign w:val="center"/>
          </w:tcPr>
          <w:p>
            <w:pPr>
              <w:rPr>
                <w:szCs w:val="24"/>
              </w:rPr>
            </w:pPr>
          </w:p>
        </w:tc>
        <w:tc>
          <w:tcPr>
            <w:tcW w:w="359" w:type="pct"/>
            <w:tcBorders>
              <w:top w:val="single" w:color="000000" w:sz="6" w:space="0"/>
              <w:left w:val="nil"/>
              <w:bottom w:val="single" w:color="000000" w:sz="6" w:space="0"/>
              <w:right w:val="single" w:color="000000" w:sz="6" w:space="0"/>
            </w:tcBorders>
            <w:vAlign w:val="center"/>
          </w:tcPr>
          <w:p>
            <w:pPr>
              <w:rPr>
                <w:szCs w:val="24"/>
              </w:rPr>
            </w:pPr>
          </w:p>
        </w:tc>
        <w:tc>
          <w:tcPr>
            <w:tcW w:w="517" w:type="pct"/>
            <w:tcBorders>
              <w:top w:val="single" w:color="000000" w:sz="6" w:space="0"/>
              <w:left w:val="nil"/>
              <w:bottom w:val="single" w:color="000000" w:sz="6" w:space="0"/>
              <w:right w:val="single" w:color="000000" w:sz="6" w:space="0"/>
            </w:tcBorders>
            <w:vAlign w:val="center"/>
          </w:tcPr>
          <w:p>
            <w:pPr>
              <w:rPr>
                <w:szCs w:val="24"/>
              </w:rPr>
            </w:pPr>
          </w:p>
        </w:tc>
        <w:tc>
          <w:tcPr>
            <w:tcW w:w="344" w:type="pct"/>
            <w:tcBorders>
              <w:top w:val="single" w:color="000000" w:sz="6" w:space="0"/>
              <w:left w:val="nil"/>
              <w:bottom w:val="single" w:color="000000" w:sz="6" w:space="0"/>
              <w:right w:val="single" w:color="000000" w:sz="6" w:space="0"/>
            </w:tcBorders>
            <w:vAlign w:val="center"/>
          </w:tcPr>
          <w:p>
            <w:pPr>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cantSplit/>
          <w:trHeight w:val="454" w:hRule="atLeast"/>
          <w:jc w:val="center"/>
        </w:trPr>
        <w:tc>
          <w:tcPr>
            <w:tcW w:w="296" w:type="pct"/>
            <w:tcBorders>
              <w:top w:val="single" w:color="000000" w:sz="6" w:space="0"/>
              <w:left w:val="single" w:color="000000" w:sz="6" w:space="0"/>
              <w:bottom w:val="single" w:color="000000" w:sz="6" w:space="0"/>
              <w:right w:val="single" w:color="000000" w:sz="6" w:space="0"/>
            </w:tcBorders>
            <w:vAlign w:val="center"/>
          </w:tcPr>
          <w:p>
            <w:pPr>
              <w:rPr>
                <w:szCs w:val="24"/>
              </w:rPr>
            </w:pPr>
          </w:p>
        </w:tc>
        <w:tc>
          <w:tcPr>
            <w:tcW w:w="979" w:type="pct"/>
            <w:tcBorders>
              <w:top w:val="single" w:color="000000" w:sz="6" w:space="0"/>
              <w:left w:val="nil"/>
              <w:bottom w:val="single" w:color="000000" w:sz="6" w:space="0"/>
              <w:right w:val="single" w:color="000000" w:sz="6" w:space="0"/>
            </w:tcBorders>
            <w:vAlign w:val="center"/>
          </w:tcPr>
          <w:p>
            <w:pPr>
              <w:rPr>
                <w:szCs w:val="24"/>
              </w:rPr>
            </w:pPr>
          </w:p>
        </w:tc>
        <w:tc>
          <w:tcPr>
            <w:tcW w:w="940" w:type="pct"/>
            <w:tcBorders>
              <w:top w:val="single" w:color="000000" w:sz="6" w:space="0"/>
              <w:left w:val="nil"/>
              <w:bottom w:val="single" w:color="000000" w:sz="6" w:space="0"/>
              <w:right w:val="single" w:color="000000" w:sz="6" w:space="0"/>
            </w:tcBorders>
            <w:vAlign w:val="center"/>
          </w:tcPr>
          <w:p>
            <w:pPr>
              <w:rPr>
                <w:szCs w:val="24"/>
              </w:rPr>
            </w:pPr>
          </w:p>
        </w:tc>
        <w:tc>
          <w:tcPr>
            <w:tcW w:w="316" w:type="pct"/>
            <w:tcBorders>
              <w:top w:val="single" w:color="000000" w:sz="6" w:space="0"/>
              <w:left w:val="nil"/>
              <w:bottom w:val="single" w:color="000000" w:sz="6" w:space="0"/>
              <w:right w:val="single" w:color="000000" w:sz="6" w:space="0"/>
            </w:tcBorders>
            <w:vAlign w:val="center"/>
          </w:tcPr>
          <w:p>
            <w:pPr>
              <w:rPr>
                <w:szCs w:val="24"/>
              </w:rPr>
            </w:pPr>
          </w:p>
        </w:tc>
        <w:tc>
          <w:tcPr>
            <w:tcW w:w="355" w:type="pct"/>
            <w:tcBorders>
              <w:top w:val="single" w:color="000000" w:sz="6" w:space="0"/>
              <w:left w:val="nil"/>
              <w:bottom w:val="single" w:color="000000" w:sz="6" w:space="0"/>
              <w:right w:val="single" w:color="000000" w:sz="6" w:space="0"/>
            </w:tcBorders>
            <w:vAlign w:val="center"/>
          </w:tcPr>
          <w:p>
            <w:pPr>
              <w:rPr>
                <w:szCs w:val="24"/>
              </w:rPr>
            </w:pPr>
          </w:p>
        </w:tc>
        <w:tc>
          <w:tcPr>
            <w:tcW w:w="392" w:type="pct"/>
            <w:tcBorders>
              <w:top w:val="single" w:color="000000" w:sz="6" w:space="0"/>
              <w:left w:val="nil"/>
              <w:bottom w:val="single" w:color="000000" w:sz="6" w:space="0"/>
              <w:right w:val="single" w:color="000000" w:sz="6" w:space="0"/>
            </w:tcBorders>
            <w:vAlign w:val="center"/>
          </w:tcPr>
          <w:p>
            <w:pPr>
              <w:rPr>
                <w:szCs w:val="24"/>
              </w:rPr>
            </w:pPr>
          </w:p>
        </w:tc>
        <w:tc>
          <w:tcPr>
            <w:tcW w:w="502" w:type="pct"/>
            <w:tcBorders>
              <w:top w:val="single" w:color="000000" w:sz="6" w:space="0"/>
              <w:left w:val="nil"/>
              <w:bottom w:val="single" w:color="000000" w:sz="6" w:space="0"/>
              <w:right w:val="single" w:color="000000" w:sz="6" w:space="0"/>
            </w:tcBorders>
            <w:vAlign w:val="center"/>
          </w:tcPr>
          <w:p>
            <w:pPr>
              <w:rPr>
                <w:szCs w:val="24"/>
              </w:rPr>
            </w:pPr>
          </w:p>
        </w:tc>
        <w:tc>
          <w:tcPr>
            <w:tcW w:w="359" w:type="pct"/>
            <w:tcBorders>
              <w:top w:val="single" w:color="000000" w:sz="6" w:space="0"/>
              <w:left w:val="nil"/>
              <w:bottom w:val="single" w:color="000000" w:sz="6" w:space="0"/>
              <w:right w:val="single" w:color="000000" w:sz="6" w:space="0"/>
            </w:tcBorders>
            <w:vAlign w:val="center"/>
          </w:tcPr>
          <w:p>
            <w:pPr>
              <w:rPr>
                <w:szCs w:val="24"/>
              </w:rPr>
            </w:pPr>
          </w:p>
        </w:tc>
        <w:tc>
          <w:tcPr>
            <w:tcW w:w="517" w:type="pct"/>
            <w:tcBorders>
              <w:top w:val="single" w:color="000000" w:sz="6" w:space="0"/>
              <w:left w:val="nil"/>
              <w:bottom w:val="single" w:color="000000" w:sz="6" w:space="0"/>
              <w:right w:val="single" w:color="000000" w:sz="6" w:space="0"/>
            </w:tcBorders>
            <w:vAlign w:val="center"/>
          </w:tcPr>
          <w:p>
            <w:pPr>
              <w:rPr>
                <w:szCs w:val="24"/>
              </w:rPr>
            </w:pPr>
          </w:p>
        </w:tc>
        <w:tc>
          <w:tcPr>
            <w:tcW w:w="344" w:type="pct"/>
            <w:tcBorders>
              <w:top w:val="single" w:color="000000" w:sz="6" w:space="0"/>
              <w:left w:val="nil"/>
              <w:bottom w:val="single" w:color="000000" w:sz="6" w:space="0"/>
              <w:right w:val="single" w:color="000000" w:sz="6" w:space="0"/>
            </w:tcBorders>
            <w:vAlign w:val="center"/>
          </w:tcPr>
          <w:p>
            <w:pPr>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cantSplit/>
          <w:trHeight w:val="567" w:hRule="atLeast"/>
          <w:jc w:val="center"/>
        </w:trPr>
        <w:tc>
          <w:tcPr>
            <w:tcW w:w="296" w:type="pct"/>
            <w:tcBorders>
              <w:top w:val="single" w:color="000000" w:sz="6" w:space="0"/>
              <w:left w:val="single" w:color="000000" w:sz="6" w:space="0"/>
              <w:bottom w:val="single" w:color="000000" w:sz="6" w:space="0"/>
              <w:right w:val="single" w:color="000000" w:sz="6" w:space="0"/>
            </w:tcBorders>
            <w:vAlign w:val="center"/>
          </w:tcPr>
          <w:p>
            <w:pPr>
              <w:rPr>
                <w:szCs w:val="24"/>
              </w:rPr>
            </w:pPr>
          </w:p>
        </w:tc>
        <w:tc>
          <w:tcPr>
            <w:tcW w:w="979" w:type="pct"/>
            <w:tcBorders>
              <w:top w:val="single" w:color="000000" w:sz="6" w:space="0"/>
              <w:left w:val="nil"/>
              <w:bottom w:val="single" w:color="000000" w:sz="6" w:space="0"/>
              <w:right w:val="single" w:color="000000" w:sz="6" w:space="0"/>
            </w:tcBorders>
            <w:vAlign w:val="center"/>
          </w:tcPr>
          <w:p>
            <w:pPr>
              <w:rPr>
                <w:szCs w:val="24"/>
              </w:rPr>
            </w:pPr>
          </w:p>
        </w:tc>
        <w:tc>
          <w:tcPr>
            <w:tcW w:w="940" w:type="pct"/>
            <w:tcBorders>
              <w:top w:val="single" w:color="000000" w:sz="6" w:space="0"/>
              <w:left w:val="nil"/>
              <w:bottom w:val="single" w:color="000000" w:sz="6" w:space="0"/>
              <w:right w:val="single" w:color="000000" w:sz="6" w:space="0"/>
            </w:tcBorders>
            <w:vAlign w:val="center"/>
          </w:tcPr>
          <w:p>
            <w:pPr>
              <w:rPr>
                <w:szCs w:val="24"/>
              </w:rPr>
            </w:pPr>
          </w:p>
        </w:tc>
        <w:tc>
          <w:tcPr>
            <w:tcW w:w="316" w:type="pct"/>
            <w:tcBorders>
              <w:top w:val="single" w:color="000000" w:sz="6" w:space="0"/>
              <w:left w:val="nil"/>
              <w:bottom w:val="single" w:color="000000" w:sz="6" w:space="0"/>
              <w:right w:val="single" w:color="000000" w:sz="6" w:space="0"/>
            </w:tcBorders>
            <w:vAlign w:val="center"/>
          </w:tcPr>
          <w:p>
            <w:pPr>
              <w:rPr>
                <w:szCs w:val="24"/>
              </w:rPr>
            </w:pPr>
          </w:p>
        </w:tc>
        <w:tc>
          <w:tcPr>
            <w:tcW w:w="355" w:type="pct"/>
            <w:tcBorders>
              <w:top w:val="single" w:color="000000" w:sz="6" w:space="0"/>
              <w:left w:val="nil"/>
              <w:bottom w:val="single" w:color="000000" w:sz="6" w:space="0"/>
              <w:right w:val="single" w:color="000000" w:sz="6" w:space="0"/>
            </w:tcBorders>
            <w:vAlign w:val="center"/>
          </w:tcPr>
          <w:p>
            <w:pPr>
              <w:rPr>
                <w:szCs w:val="24"/>
              </w:rPr>
            </w:pPr>
          </w:p>
        </w:tc>
        <w:tc>
          <w:tcPr>
            <w:tcW w:w="392" w:type="pct"/>
            <w:tcBorders>
              <w:top w:val="single" w:color="000000" w:sz="6" w:space="0"/>
              <w:left w:val="nil"/>
              <w:bottom w:val="single" w:color="000000" w:sz="6" w:space="0"/>
              <w:right w:val="single" w:color="000000" w:sz="6" w:space="0"/>
            </w:tcBorders>
            <w:vAlign w:val="center"/>
          </w:tcPr>
          <w:p>
            <w:pPr>
              <w:rPr>
                <w:szCs w:val="24"/>
              </w:rPr>
            </w:pPr>
          </w:p>
        </w:tc>
        <w:tc>
          <w:tcPr>
            <w:tcW w:w="502" w:type="pct"/>
            <w:tcBorders>
              <w:top w:val="single" w:color="000000" w:sz="6" w:space="0"/>
              <w:left w:val="nil"/>
              <w:bottom w:val="single" w:color="000000" w:sz="6" w:space="0"/>
              <w:right w:val="single" w:color="000000" w:sz="6" w:space="0"/>
            </w:tcBorders>
            <w:vAlign w:val="center"/>
          </w:tcPr>
          <w:p>
            <w:pPr>
              <w:rPr>
                <w:szCs w:val="24"/>
              </w:rPr>
            </w:pPr>
          </w:p>
        </w:tc>
        <w:tc>
          <w:tcPr>
            <w:tcW w:w="359" w:type="pct"/>
            <w:tcBorders>
              <w:top w:val="single" w:color="000000" w:sz="6" w:space="0"/>
              <w:left w:val="nil"/>
              <w:bottom w:val="single" w:color="000000" w:sz="6" w:space="0"/>
              <w:right w:val="single" w:color="000000" w:sz="6" w:space="0"/>
            </w:tcBorders>
            <w:vAlign w:val="center"/>
          </w:tcPr>
          <w:p>
            <w:pPr>
              <w:rPr>
                <w:szCs w:val="24"/>
              </w:rPr>
            </w:pPr>
          </w:p>
        </w:tc>
        <w:tc>
          <w:tcPr>
            <w:tcW w:w="517" w:type="pct"/>
            <w:tcBorders>
              <w:top w:val="single" w:color="000000" w:sz="6" w:space="0"/>
              <w:left w:val="nil"/>
              <w:bottom w:val="single" w:color="000000" w:sz="6" w:space="0"/>
              <w:right w:val="single" w:color="000000" w:sz="6" w:space="0"/>
            </w:tcBorders>
            <w:vAlign w:val="center"/>
          </w:tcPr>
          <w:p>
            <w:pPr>
              <w:rPr>
                <w:szCs w:val="24"/>
              </w:rPr>
            </w:pPr>
          </w:p>
          <w:p>
            <w:pPr>
              <w:rPr>
                <w:szCs w:val="24"/>
              </w:rPr>
            </w:pPr>
          </w:p>
        </w:tc>
        <w:tc>
          <w:tcPr>
            <w:tcW w:w="344" w:type="pct"/>
            <w:tcBorders>
              <w:top w:val="single" w:color="000000" w:sz="6" w:space="0"/>
              <w:left w:val="nil"/>
              <w:bottom w:val="single" w:color="000000" w:sz="6" w:space="0"/>
              <w:right w:val="single" w:color="000000" w:sz="6" w:space="0"/>
            </w:tcBorders>
            <w:vAlign w:val="center"/>
          </w:tcPr>
          <w:p>
            <w:pPr>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cantSplit/>
          <w:trHeight w:val="567" w:hRule="atLeast"/>
          <w:jc w:val="center"/>
        </w:trPr>
        <w:tc>
          <w:tcPr>
            <w:tcW w:w="296" w:type="pct"/>
            <w:tcBorders>
              <w:top w:val="single" w:color="000000" w:sz="6" w:space="0"/>
              <w:left w:val="single" w:color="000000" w:sz="6" w:space="0"/>
              <w:bottom w:val="single" w:color="000000" w:sz="6" w:space="0"/>
              <w:right w:val="single" w:color="000000" w:sz="6" w:space="0"/>
            </w:tcBorders>
            <w:vAlign w:val="center"/>
          </w:tcPr>
          <w:p>
            <w:pPr>
              <w:rPr>
                <w:szCs w:val="24"/>
              </w:rPr>
            </w:pPr>
          </w:p>
        </w:tc>
        <w:tc>
          <w:tcPr>
            <w:tcW w:w="979" w:type="pct"/>
            <w:tcBorders>
              <w:top w:val="single" w:color="000000" w:sz="6" w:space="0"/>
              <w:left w:val="nil"/>
              <w:bottom w:val="single" w:color="000000" w:sz="6" w:space="0"/>
              <w:right w:val="single" w:color="000000" w:sz="6" w:space="0"/>
            </w:tcBorders>
            <w:vAlign w:val="center"/>
          </w:tcPr>
          <w:p>
            <w:pPr>
              <w:rPr>
                <w:szCs w:val="24"/>
              </w:rPr>
            </w:pPr>
          </w:p>
        </w:tc>
        <w:tc>
          <w:tcPr>
            <w:tcW w:w="940" w:type="pct"/>
            <w:tcBorders>
              <w:top w:val="single" w:color="000000" w:sz="6" w:space="0"/>
              <w:left w:val="nil"/>
              <w:bottom w:val="single" w:color="000000" w:sz="6" w:space="0"/>
              <w:right w:val="single" w:color="000000" w:sz="6" w:space="0"/>
            </w:tcBorders>
            <w:vAlign w:val="center"/>
          </w:tcPr>
          <w:p>
            <w:pPr>
              <w:rPr>
                <w:szCs w:val="24"/>
              </w:rPr>
            </w:pPr>
          </w:p>
        </w:tc>
        <w:tc>
          <w:tcPr>
            <w:tcW w:w="316" w:type="pct"/>
            <w:tcBorders>
              <w:top w:val="single" w:color="000000" w:sz="6" w:space="0"/>
              <w:left w:val="nil"/>
              <w:bottom w:val="single" w:color="000000" w:sz="6" w:space="0"/>
              <w:right w:val="single" w:color="000000" w:sz="6" w:space="0"/>
            </w:tcBorders>
            <w:vAlign w:val="center"/>
          </w:tcPr>
          <w:p>
            <w:pPr>
              <w:rPr>
                <w:szCs w:val="24"/>
              </w:rPr>
            </w:pPr>
          </w:p>
        </w:tc>
        <w:tc>
          <w:tcPr>
            <w:tcW w:w="355" w:type="pct"/>
            <w:tcBorders>
              <w:top w:val="single" w:color="000000" w:sz="6" w:space="0"/>
              <w:left w:val="nil"/>
              <w:bottom w:val="single" w:color="000000" w:sz="6" w:space="0"/>
              <w:right w:val="single" w:color="000000" w:sz="6" w:space="0"/>
            </w:tcBorders>
            <w:vAlign w:val="center"/>
          </w:tcPr>
          <w:p>
            <w:pPr>
              <w:rPr>
                <w:szCs w:val="24"/>
              </w:rPr>
            </w:pPr>
          </w:p>
        </w:tc>
        <w:tc>
          <w:tcPr>
            <w:tcW w:w="392" w:type="pct"/>
            <w:tcBorders>
              <w:top w:val="single" w:color="000000" w:sz="6" w:space="0"/>
              <w:left w:val="nil"/>
              <w:bottom w:val="single" w:color="000000" w:sz="6" w:space="0"/>
              <w:right w:val="single" w:color="000000" w:sz="6" w:space="0"/>
            </w:tcBorders>
            <w:vAlign w:val="center"/>
          </w:tcPr>
          <w:p>
            <w:pPr>
              <w:rPr>
                <w:szCs w:val="24"/>
              </w:rPr>
            </w:pPr>
          </w:p>
        </w:tc>
        <w:tc>
          <w:tcPr>
            <w:tcW w:w="502" w:type="pct"/>
            <w:tcBorders>
              <w:top w:val="single" w:color="000000" w:sz="6" w:space="0"/>
              <w:left w:val="nil"/>
              <w:bottom w:val="single" w:color="000000" w:sz="6" w:space="0"/>
              <w:right w:val="single" w:color="000000" w:sz="6" w:space="0"/>
            </w:tcBorders>
            <w:vAlign w:val="center"/>
          </w:tcPr>
          <w:p>
            <w:pPr>
              <w:rPr>
                <w:szCs w:val="24"/>
              </w:rPr>
            </w:pPr>
          </w:p>
        </w:tc>
        <w:tc>
          <w:tcPr>
            <w:tcW w:w="359" w:type="pct"/>
            <w:tcBorders>
              <w:top w:val="single" w:color="000000" w:sz="6" w:space="0"/>
              <w:left w:val="nil"/>
              <w:bottom w:val="single" w:color="000000" w:sz="6" w:space="0"/>
              <w:right w:val="single" w:color="000000" w:sz="6" w:space="0"/>
            </w:tcBorders>
            <w:vAlign w:val="center"/>
          </w:tcPr>
          <w:p>
            <w:pPr>
              <w:rPr>
                <w:szCs w:val="24"/>
              </w:rPr>
            </w:pPr>
          </w:p>
        </w:tc>
        <w:tc>
          <w:tcPr>
            <w:tcW w:w="517" w:type="pct"/>
            <w:tcBorders>
              <w:top w:val="single" w:color="000000" w:sz="6" w:space="0"/>
              <w:left w:val="nil"/>
              <w:bottom w:val="single" w:color="000000" w:sz="6" w:space="0"/>
              <w:right w:val="single" w:color="000000" w:sz="6" w:space="0"/>
            </w:tcBorders>
            <w:vAlign w:val="center"/>
          </w:tcPr>
          <w:p>
            <w:pPr>
              <w:rPr>
                <w:szCs w:val="24"/>
              </w:rPr>
            </w:pPr>
          </w:p>
          <w:p>
            <w:pPr>
              <w:rPr>
                <w:szCs w:val="24"/>
              </w:rPr>
            </w:pPr>
          </w:p>
        </w:tc>
        <w:tc>
          <w:tcPr>
            <w:tcW w:w="344" w:type="pct"/>
            <w:tcBorders>
              <w:top w:val="single" w:color="000000" w:sz="6" w:space="0"/>
              <w:left w:val="nil"/>
              <w:bottom w:val="single" w:color="000000" w:sz="6" w:space="0"/>
              <w:right w:val="single" w:color="000000" w:sz="6" w:space="0"/>
            </w:tcBorders>
            <w:vAlign w:val="center"/>
          </w:tcPr>
          <w:p>
            <w:pPr>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cantSplit/>
          <w:trHeight w:val="454" w:hRule="atLeast"/>
          <w:jc w:val="center"/>
        </w:trPr>
        <w:tc>
          <w:tcPr>
            <w:tcW w:w="296" w:type="pct"/>
            <w:tcBorders>
              <w:top w:val="single" w:color="000000" w:sz="6" w:space="0"/>
              <w:left w:val="single" w:color="000000" w:sz="6" w:space="0"/>
              <w:bottom w:val="single" w:color="000000" w:sz="6" w:space="0"/>
              <w:right w:val="single" w:color="000000" w:sz="6" w:space="0"/>
            </w:tcBorders>
            <w:vAlign w:val="center"/>
          </w:tcPr>
          <w:p>
            <w:pPr>
              <w:rPr>
                <w:szCs w:val="24"/>
              </w:rPr>
            </w:pPr>
          </w:p>
        </w:tc>
        <w:tc>
          <w:tcPr>
            <w:tcW w:w="979" w:type="pct"/>
            <w:tcBorders>
              <w:top w:val="single" w:color="000000" w:sz="6" w:space="0"/>
              <w:left w:val="nil"/>
              <w:bottom w:val="single" w:color="000000" w:sz="6" w:space="0"/>
              <w:right w:val="single" w:color="000000" w:sz="6" w:space="0"/>
            </w:tcBorders>
            <w:vAlign w:val="center"/>
          </w:tcPr>
          <w:p>
            <w:pPr>
              <w:rPr>
                <w:szCs w:val="24"/>
              </w:rPr>
            </w:pPr>
          </w:p>
        </w:tc>
        <w:tc>
          <w:tcPr>
            <w:tcW w:w="940" w:type="pct"/>
            <w:tcBorders>
              <w:top w:val="single" w:color="000000" w:sz="6" w:space="0"/>
              <w:left w:val="nil"/>
              <w:bottom w:val="single" w:color="000000" w:sz="6" w:space="0"/>
              <w:right w:val="single" w:color="000000" w:sz="6" w:space="0"/>
            </w:tcBorders>
            <w:vAlign w:val="center"/>
          </w:tcPr>
          <w:p>
            <w:pPr>
              <w:rPr>
                <w:szCs w:val="24"/>
              </w:rPr>
            </w:pPr>
          </w:p>
        </w:tc>
        <w:tc>
          <w:tcPr>
            <w:tcW w:w="316" w:type="pct"/>
            <w:tcBorders>
              <w:top w:val="single" w:color="000000" w:sz="6" w:space="0"/>
              <w:left w:val="nil"/>
              <w:bottom w:val="single" w:color="000000" w:sz="6" w:space="0"/>
              <w:right w:val="single" w:color="000000" w:sz="6" w:space="0"/>
            </w:tcBorders>
            <w:vAlign w:val="center"/>
          </w:tcPr>
          <w:p>
            <w:pPr>
              <w:rPr>
                <w:szCs w:val="24"/>
              </w:rPr>
            </w:pPr>
          </w:p>
        </w:tc>
        <w:tc>
          <w:tcPr>
            <w:tcW w:w="355" w:type="pct"/>
            <w:tcBorders>
              <w:top w:val="single" w:color="000000" w:sz="6" w:space="0"/>
              <w:left w:val="nil"/>
              <w:bottom w:val="single" w:color="000000" w:sz="6" w:space="0"/>
              <w:right w:val="single" w:color="000000" w:sz="6" w:space="0"/>
            </w:tcBorders>
            <w:vAlign w:val="center"/>
          </w:tcPr>
          <w:p>
            <w:pPr>
              <w:rPr>
                <w:szCs w:val="24"/>
              </w:rPr>
            </w:pPr>
          </w:p>
        </w:tc>
        <w:tc>
          <w:tcPr>
            <w:tcW w:w="392" w:type="pct"/>
            <w:tcBorders>
              <w:top w:val="single" w:color="000000" w:sz="6" w:space="0"/>
              <w:left w:val="nil"/>
              <w:bottom w:val="single" w:color="000000" w:sz="6" w:space="0"/>
              <w:right w:val="single" w:color="000000" w:sz="6" w:space="0"/>
            </w:tcBorders>
            <w:vAlign w:val="center"/>
          </w:tcPr>
          <w:p>
            <w:pPr>
              <w:rPr>
                <w:szCs w:val="24"/>
              </w:rPr>
            </w:pPr>
          </w:p>
        </w:tc>
        <w:tc>
          <w:tcPr>
            <w:tcW w:w="502" w:type="pct"/>
            <w:tcBorders>
              <w:top w:val="single" w:color="000000" w:sz="6" w:space="0"/>
              <w:left w:val="nil"/>
              <w:bottom w:val="single" w:color="000000" w:sz="6" w:space="0"/>
              <w:right w:val="single" w:color="000000" w:sz="6" w:space="0"/>
            </w:tcBorders>
            <w:vAlign w:val="center"/>
          </w:tcPr>
          <w:p>
            <w:pPr>
              <w:rPr>
                <w:szCs w:val="24"/>
              </w:rPr>
            </w:pPr>
          </w:p>
        </w:tc>
        <w:tc>
          <w:tcPr>
            <w:tcW w:w="359" w:type="pct"/>
            <w:tcBorders>
              <w:top w:val="single" w:color="000000" w:sz="6" w:space="0"/>
              <w:left w:val="nil"/>
              <w:bottom w:val="single" w:color="000000" w:sz="6" w:space="0"/>
              <w:right w:val="single" w:color="000000" w:sz="6" w:space="0"/>
            </w:tcBorders>
            <w:vAlign w:val="center"/>
          </w:tcPr>
          <w:p>
            <w:pPr>
              <w:rPr>
                <w:szCs w:val="24"/>
              </w:rPr>
            </w:pPr>
          </w:p>
        </w:tc>
        <w:tc>
          <w:tcPr>
            <w:tcW w:w="517" w:type="pct"/>
            <w:tcBorders>
              <w:top w:val="single" w:color="000000" w:sz="6" w:space="0"/>
              <w:left w:val="nil"/>
              <w:bottom w:val="single" w:color="000000" w:sz="6" w:space="0"/>
              <w:right w:val="single" w:color="000000" w:sz="6" w:space="0"/>
            </w:tcBorders>
            <w:vAlign w:val="center"/>
          </w:tcPr>
          <w:p>
            <w:pPr>
              <w:rPr>
                <w:szCs w:val="24"/>
              </w:rPr>
            </w:pPr>
          </w:p>
        </w:tc>
        <w:tc>
          <w:tcPr>
            <w:tcW w:w="344" w:type="pct"/>
            <w:tcBorders>
              <w:top w:val="single" w:color="000000" w:sz="6" w:space="0"/>
              <w:left w:val="nil"/>
              <w:bottom w:val="single" w:color="000000" w:sz="6" w:space="0"/>
              <w:right w:val="single" w:color="000000" w:sz="6" w:space="0"/>
            </w:tcBorders>
            <w:vAlign w:val="center"/>
          </w:tcPr>
          <w:p>
            <w:pPr>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cantSplit/>
          <w:trHeight w:val="567" w:hRule="atLeast"/>
          <w:jc w:val="center"/>
        </w:trPr>
        <w:tc>
          <w:tcPr>
            <w:tcW w:w="296" w:type="pct"/>
            <w:tcBorders>
              <w:top w:val="single" w:color="000000" w:sz="6" w:space="0"/>
              <w:left w:val="single" w:color="000000" w:sz="6" w:space="0"/>
              <w:bottom w:val="single" w:color="000000" w:sz="6" w:space="0"/>
              <w:right w:val="single" w:color="000000" w:sz="6" w:space="0"/>
            </w:tcBorders>
            <w:vAlign w:val="center"/>
          </w:tcPr>
          <w:p>
            <w:pPr>
              <w:rPr>
                <w:szCs w:val="24"/>
              </w:rPr>
            </w:pPr>
          </w:p>
        </w:tc>
        <w:tc>
          <w:tcPr>
            <w:tcW w:w="979" w:type="pct"/>
            <w:tcBorders>
              <w:top w:val="single" w:color="000000" w:sz="6" w:space="0"/>
              <w:left w:val="nil"/>
              <w:bottom w:val="single" w:color="000000" w:sz="6" w:space="0"/>
              <w:right w:val="single" w:color="000000" w:sz="6" w:space="0"/>
            </w:tcBorders>
            <w:vAlign w:val="center"/>
          </w:tcPr>
          <w:p>
            <w:pPr>
              <w:rPr>
                <w:szCs w:val="24"/>
              </w:rPr>
            </w:pPr>
          </w:p>
        </w:tc>
        <w:tc>
          <w:tcPr>
            <w:tcW w:w="940" w:type="pct"/>
            <w:tcBorders>
              <w:top w:val="single" w:color="000000" w:sz="6" w:space="0"/>
              <w:left w:val="nil"/>
              <w:bottom w:val="single" w:color="000000" w:sz="6" w:space="0"/>
              <w:right w:val="single" w:color="000000" w:sz="6" w:space="0"/>
            </w:tcBorders>
            <w:vAlign w:val="center"/>
          </w:tcPr>
          <w:p>
            <w:pPr>
              <w:rPr>
                <w:szCs w:val="24"/>
              </w:rPr>
            </w:pPr>
          </w:p>
        </w:tc>
        <w:tc>
          <w:tcPr>
            <w:tcW w:w="316" w:type="pct"/>
            <w:tcBorders>
              <w:top w:val="single" w:color="000000" w:sz="6" w:space="0"/>
              <w:left w:val="nil"/>
              <w:bottom w:val="single" w:color="000000" w:sz="6" w:space="0"/>
              <w:right w:val="single" w:color="000000" w:sz="6" w:space="0"/>
            </w:tcBorders>
            <w:vAlign w:val="center"/>
          </w:tcPr>
          <w:p>
            <w:pPr>
              <w:rPr>
                <w:szCs w:val="24"/>
              </w:rPr>
            </w:pPr>
          </w:p>
        </w:tc>
        <w:tc>
          <w:tcPr>
            <w:tcW w:w="355" w:type="pct"/>
            <w:tcBorders>
              <w:top w:val="single" w:color="000000" w:sz="6" w:space="0"/>
              <w:left w:val="nil"/>
              <w:bottom w:val="single" w:color="000000" w:sz="6" w:space="0"/>
              <w:right w:val="single" w:color="000000" w:sz="6" w:space="0"/>
            </w:tcBorders>
            <w:vAlign w:val="center"/>
          </w:tcPr>
          <w:p>
            <w:pPr>
              <w:rPr>
                <w:szCs w:val="24"/>
              </w:rPr>
            </w:pPr>
          </w:p>
        </w:tc>
        <w:tc>
          <w:tcPr>
            <w:tcW w:w="392" w:type="pct"/>
            <w:tcBorders>
              <w:top w:val="single" w:color="000000" w:sz="6" w:space="0"/>
              <w:left w:val="nil"/>
              <w:bottom w:val="single" w:color="000000" w:sz="6" w:space="0"/>
              <w:right w:val="single" w:color="000000" w:sz="6" w:space="0"/>
            </w:tcBorders>
            <w:vAlign w:val="center"/>
          </w:tcPr>
          <w:p>
            <w:pPr>
              <w:rPr>
                <w:szCs w:val="24"/>
              </w:rPr>
            </w:pPr>
          </w:p>
        </w:tc>
        <w:tc>
          <w:tcPr>
            <w:tcW w:w="502" w:type="pct"/>
            <w:tcBorders>
              <w:top w:val="single" w:color="000000" w:sz="6" w:space="0"/>
              <w:left w:val="nil"/>
              <w:bottom w:val="single" w:color="000000" w:sz="6" w:space="0"/>
              <w:right w:val="single" w:color="000000" w:sz="6" w:space="0"/>
            </w:tcBorders>
            <w:vAlign w:val="center"/>
          </w:tcPr>
          <w:p>
            <w:pPr>
              <w:rPr>
                <w:szCs w:val="24"/>
              </w:rPr>
            </w:pPr>
          </w:p>
        </w:tc>
        <w:tc>
          <w:tcPr>
            <w:tcW w:w="359" w:type="pct"/>
            <w:tcBorders>
              <w:top w:val="single" w:color="000000" w:sz="6" w:space="0"/>
              <w:left w:val="nil"/>
              <w:bottom w:val="single" w:color="000000" w:sz="6" w:space="0"/>
              <w:right w:val="single" w:color="000000" w:sz="6" w:space="0"/>
            </w:tcBorders>
            <w:vAlign w:val="center"/>
          </w:tcPr>
          <w:p>
            <w:pPr>
              <w:rPr>
                <w:szCs w:val="24"/>
              </w:rPr>
            </w:pPr>
          </w:p>
        </w:tc>
        <w:tc>
          <w:tcPr>
            <w:tcW w:w="517" w:type="pct"/>
            <w:tcBorders>
              <w:top w:val="single" w:color="000000" w:sz="6" w:space="0"/>
              <w:left w:val="nil"/>
              <w:bottom w:val="single" w:color="000000" w:sz="6" w:space="0"/>
              <w:right w:val="single" w:color="000000" w:sz="6" w:space="0"/>
            </w:tcBorders>
            <w:vAlign w:val="center"/>
          </w:tcPr>
          <w:p>
            <w:pPr>
              <w:rPr>
                <w:szCs w:val="24"/>
              </w:rPr>
            </w:pPr>
          </w:p>
          <w:p>
            <w:pPr>
              <w:rPr>
                <w:szCs w:val="24"/>
              </w:rPr>
            </w:pPr>
          </w:p>
        </w:tc>
        <w:tc>
          <w:tcPr>
            <w:tcW w:w="344" w:type="pct"/>
            <w:tcBorders>
              <w:top w:val="single" w:color="000000" w:sz="6" w:space="0"/>
              <w:left w:val="nil"/>
              <w:bottom w:val="single" w:color="000000" w:sz="6" w:space="0"/>
              <w:right w:val="single" w:color="000000" w:sz="6" w:space="0"/>
            </w:tcBorders>
            <w:vAlign w:val="center"/>
          </w:tcPr>
          <w:p>
            <w:pPr>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cantSplit/>
          <w:trHeight w:val="454" w:hRule="atLeast"/>
          <w:jc w:val="center"/>
        </w:trPr>
        <w:tc>
          <w:tcPr>
            <w:tcW w:w="296" w:type="pct"/>
            <w:tcBorders>
              <w:top w:val="single" w:color="000000" w:sz="6" w:space="0"/>
              <w:left w:val="single" w:color="000000" w:sz="6" w:space="0"/>
              <w:bottom w:val="single" w:color="000000" w:sz="6" w:space="0"/>
              <w:right w:val="single" w:color="000000" w:sz="6" w:space="0"/>
            </w:tcBorders>
            <w:vAlign w:val="center"/>
          </w:tcPr>
          <w:p>
            <w:pPr>
              <w:rPr>
                <w:szCs w:val="24"/>
              </w:rPr>
            </w:pPr>
          </w:p>
        </w:tc>
        <w:tc>
          <w:tcPr>
            <w:tcW w:w="979" w:type="pct"/>
            <w:tcBorders>
              <w:top w:val="single" w:color="000000" w:sz="6" w:space="0"/>
              <w:left w:val="nil"/>
              <w:bottom w:val="single" w:color="000000" w:sz="6" w:space="0"/>
              <w:right w:val="single" w:color="000000" w:sz="6" w:space="0"/>
            </w:tcBorders>
            <w:vAlign w:val="center"/>
          </w:tcPr>
          <w:p>
            <w:pPr>
              <w:rPr>
                <w:szCs w:val="24"/>
              </w:rPr>
            </w:pPr>
          </w:p>
        </w:tc>
        <w:tc>
          <w:tcPr>
            <w:tcW w:w="940" w:type="pct"/>
            <w:tcBorders>
              <w:top w:val="single" w:color="000000" w:sz="6" w:space="0"/>
              <w:left w:val="nil"/>
              <w:bottom w:val="single" w:color="000000" w:sz="6" w:space="0"/>
              <w:right w:val="single" w:color="000000" w:sz="6" w:space="0"/>
            </w:tcBorders>
            <w:vAlign w:val="center"/>
          </w:tcPr>
          <w:p>
            <w:pPr>
              <w:rPr>
                <w:szCs w:val="24"/>
              </w:rPr>
            </w:pPr>
          </w:p>
        </w:tc>
        <w:tc>
          <w:tcPr>
            <w:tcW w:w="316" w:type="pct"/>
            <w:tcBorders>
              <w:top w:val="single" w:color="000000" w:sz="6" w:space="0"/>
              <w:left w:val="nil"/>
              <w:bottom w:val="single" w:color="000000" w:sz="6" w:space="0"/>
              <w:right w:val="single" w:color="000000" w:sz="6" w:space="0"/>
            </w:tcBorders>
            <w:vAlign w:val="center"/>
          </w:tcPr>
          <w:p>
            <w:pPr>
              <w:rPr>
                <w:szCs w:val="24"/>
              </w:rPr>
            </w:pPr>
          </w:p>
        </w:tc>
        <w:tc>
          <w:tcPr>
            <w:tcW w:w="355" w:type="pct"/>
            <w:tcBorders>
              <w:top w:val="single" w:color="000000" w:sz="6" w:space="0"/>
              <w:left w:val="nil"/>
              <w:bottom w:val="single" w:color="000000" w:sz="6" w:space="0"/>
              <w:right w:val="single" w:color="000000" w:sz="6" w:space="0"/>
            </w:tcBorders>
            <w:vAlign w:val="center"/>
          </w:tcPr>
          <w:p>
            <w:pPr>
              <w:rPr>
                <w:szCs w:val="24"/>
              </w:rPr>
            </w:pPr>
          </w:p>
        </w:tc>
        <w:tc>
          <w:tcPr>
            <w:tcW w:w="392" w:type="pct"/>
            <w:tcBorders>
              <w:top w:val="single" w:color="000000" w:sz="6" w:space="0"/>
              <w:left w:val="nil"/>
              <w:bottom w:val="single" w:color="000000" w:sz="6" w:space="0"/>
              <w:right w:val="single" w:color="000000" w:sz="6" w:space="0"/>
            </w:tcBorders>
            <w:vAlign w:val="center"/>
          </w:tcPr>
          <w:p>
            <w:pPr>
              <w:rPr>
                <w:szCs w:val="24"/>
              </w:rPr>
            </w:pPr>
          </w:p>
        </w:tc>
        <w:tc>
          <w:tcPr>
            <w:tcW w:w="502" w:type="pct"/>
            <w:tcBorders>
              <w:top w:val="single" w:color="000000" w:sz="6" w:space="0"/>
              <w:left w:val="nil"/>
              <w:bottom w:val="single" w:color="000000" w:sz="6" w:space="0"/>
              <w:right w:val="single" w:color="000000" w:sz="6" w:space="0"/>
            </w:tcBorders>
            <w:vAlign w:val="center"/>
          </w:tcPr>
          <w:p>
            <w:pPr>
              <w:rPr>
                <w:szCs w:val="24"/>
              </w:rPr>
            </w:pPr>
          </w:p>
        </w:tc>
        <w:tc>
          <w:tcPr>
            <w:tcW w:w="359" w:type="pct"/>
            <w:tcBorders>
              <w:top w:val="single" w:color="000000" w:sz="6" w:space="0"/>
              <w:left w:val="nil"/>
              <w:bottom w:val="single" w:color="000000" w:sz="6" w:space="0"/>
              <w:right w:val="single" w:color="000000" w:sz="6" w:space="0"/>
            </w:tcBorders>
            <w:vAlign w:val="center"/>
          </w:tcPr>
          <w:p>
            <w:pPr>
              <w:rPr>
                <w:szCs w:val="24"/>
              </w:rPr>
            </w:pPr>
          </w:p>
        </w:tc>
        <w:tc>
          <w:tcPr>
            <w:tcW w:w="517" w:type="pct"/>
            <w:tcBorders>
              <w:top w:val="single" w:color="000000" w:sz="6" w:space="0"/>
              <w:left w:val="nil"/>
              <w:bottom w:val="single" w:color="000000" w:sz="6" w:space="0"/>
              <w:right w:val="single" w:color="000000" w:sz="6" w:space="0"/>
            </w:tcBorders>
            <w:vAlign w:val="center"/>
          </w:tcPr>
          <w:p>
            <w:pPr>
              <w:rPr>
                <w:szCs w:val="24"/>
              </w:rPr>
            </w:pPr>
          </w:p>
        </w:tc>
        <w:tc>
          <w:tcPr>
            <w:tcW w:w="344" w:type="pct"/>
            <w:tcBorders>
              <w:top w:val="single" w:color="000000" w:sz="6" w:space="0"/>
              <w:left w:val="nil"/>
              <w:bottom w:val="single" w:color="000000" w:sz="6" w:space="0"/>
              <w:right w:val="single" w:color="000000" w:sz="6" w:space="0"/>
            </w:tcBorders>
            <w:vAlign w:val="center"/>
          </w:tcPr>
          <w:p>
            <w:pPr>
              <w:rPr>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85" w:type="dxa"/>
            <w:bottom w:w="0" w:type="dxa"/>
            <w:right w:w="85" w:type="dxa"/>
          </w:tblCellMar>
        </w:tblPrEx>
        <w:trPr>
          <w:cantSplit/>
          <w:trHeight w:val="454" w:hRule="atLeast"/>
          <w:jc w:val="center"/>
        </w:trPr>
        <w:tc>
          <w:tcPr>
            <w:tcW w:w="296" w:type="pct"/>
            <w:tcBorders>
              <w:top w:val="single" w:color="000000" w:sz="6" w:space="0"/>
              <w:left w:val="single" w:color="000000" w:sz="6" w:space="0"/>
              <w:bottom w:val="single" w:color="000000" w:sz="6" w:space="0"/>
              <w:right w:val="single" w:color="000000" w:sz="6" w:space="0"/>
            </w:tcBorders>
            <w:vAlign w:val="center"/>
          </w:tcPr>
          <w:p>
            <w:pPr>
              <w:rPr>
                <w:szCs w:val="24"/>
              </w:rPr>
            </w:pPr>
          </w:p>
        </w:tc>
        <w:tc>
          <w:tcPr>
            <w:tcW w:w="979" w:type="pct"/>
            <w:tcBorders>
              <w:top w:val="single" w:color="000000" w:sz="6" w:space="0"/>
              <w:left w:val="nil"/>
              <w:bottom w:val="single" w:color="000000" w:sz="6" w:space="0"/>
              <w:right w:val="single" w:color="000000" w:sz="6" w:space="0"/>
            </w:tcBorders>
            <w:vAlign w:val="center"/>
          </w:tcPr>
          <w:p>
            <w:pPr>
              <w:rPr>
                <w:szCs w:val="24"/>
              </w:rPr>
            </w:pPr>
          </w:p>
        </w:tc>
        <w:tc>
          <w:tcPr>
            <w:tcW w:w="940" w:type="pct"/>
            <w:tcBorders>
              <w:top w:val="single" w:color="000000" w:sz="6" w:space="0"/>
              <w:left w:val="nil"/>
              <w:bottom w:val="single" w:color="000000" w:sz="6" w:space="0"/>
              <w:right w:val="single" w:color="000000" w:sz="6" w:space="0"/>
            </w:tcBorders>
            <w:vAlign w:val="center"/>
          </w:tcPr>
          <w:p>
            <w:pPr>
              <w:rPr>
                <w:szCs w:val="24"/>
              </w:rPr>
            </w:pPr>
          </w:p>
        </w:tc>
        <w:tc>
          <w:tcPr>
            <w:tcW w:w="316" w:type="pct"/>
            <w:tcBorders>
              <w:top w:val="single" w:color="000000" w:sz="6" w:space="0"/>
              <w:left w:val="nil"/>
              <w:bottom w:val="single" w:color="000000" w:sz="6" w:space="0"/>
              <w:right w:val="single" w:color="000000" w:sz="6" w:space="0"/>
            </w:tcBorders>
            <w:vAlign w:val="center"/>
          </w:tcPr>
          <w:p>
            <w:pPr>
              <w:rPr>
                <w:szCs w:val="24"/>
              </w:rPr>
            </w:pPr>
          </w:p>
        </w:tc>
        <w:tc>
          <w:tcPr>
            <w:tcW w:w="355" w:type="pct"/>
            <w:tcBorders>
              <w:top w:val="single" w:color="000000" w:sz="6" w:space="0"/>
              <w:left w:val="nil"/>
              <w:bottom w:val="single" w:color="000000" w:sz="6" w:space="0"/>
              <w:right w:val="single" w:color="000000" w:sz="6" w:space="0"/>
            </w:tcBorders>
            <w:vAlign w:val="center"/>
          </w:tcPr>
          <w:p>
            <w:pPr>
              <w:rPr>
                <w:szCs w:val="24"/>
              </w:rPr>
            </w:pPr>
          </w:p>
        </w:tc>
        <w:tc>
          <w:tcPr>
            <w:tcW w:w="392" w:type="pct"/>
            <w:tcBorders>
              <w:top w:val="single" w:color="000000" w:sz="6" w:space="0"/>
              <w:left w:val="nil"/>
              <w:bottom w:val="single" w:color="000000" w:sz="6" w:space="0"/>
              <w:right w:val="single" w:color="000000" w:sz="6" w:space="0"/>
            </w:tcBorders>
            <w:vAlign w:val="center"/>
          </w:tcPr>
          <w:p>
            <w:pPr>
              <w:rPr>
                <w:szCs w:val="24"/>
              </w:rPr>
            </w:pPr>
          </w:p>
        </w:tc>
        <w:tc>
          <w:tcPr>
            <w:tcW w:w="502" w:type="pct"/>
            <w:tcBorders>
              <w:top w:val="single" w:color="000000" w:sz="6" w:space="0"/>
              <w:left w:val="nil"/>
              <w:bottom w:val="single" w:color="000000" w:sz="6" w:space="0"/>
              <w:right w:val="single" w:color="000000" w:sz="6" w:space="0"/>
            </w:tcBorders>
            <w:vAlign w:val="center"/>
          </w:tcPr>
          <w:p>
            <w:pPr>
              <w:rPr>
                <w:szCs w:val="24"/>
              </w:rPr>
            </w:pPr>
          </w:p>
        </w:tc>
        <w:tc>
          <w:tcPr>
            <w:tcW w:w="359" w:type="pct"/>
            <w:tcBorders>
              <w:top w:val="single" w:color="000000" w:sz="6" w:space="0"/>
              <w:left w:val="nil"/>
              <w:bottom w:val="single" w:color="000000" w:sz="6" w:space="0"/>
              <w:right w:val="single" w:color="000000" w:sz="6" w:space="0"/>
            </w:tcBorders>
            <w:vAlign w:val="center"/>
          </w:tcPr>
          <w:p>
            <w:pPr>
              <w:rPr>
                <w:szCs w:val="24"/>
              </w:rPr>
            </w:pPr>
          </w:p>
        </w:tc>
        <w:tc>
          <w:tcPr>
            <w:tcW w:w="517" w:type="pct"/>
            <w:tcBorders>
              <w:top w:val="single" w:color="000000" w:sz="6" w:space="0"/>
              <w:left w:val="nil"/>
              <w:bottom w:val="single" w:color="000000" w:sz="6" w:space="0"/>
              <w:right w:val="single" w:color="000000" w:sz="6" w:space="0"/>
            </w:tcBorders>
            <w:vAlign w:val="center"/>
          </w:tcPr>
          <w:p>
            <w:pPr>
              <w:rPr>
                <w:szCs w:val="24"/>
              </w:rPr>
            </w:pPr>
          </w:p>
        </w:tc>
        <w:tc>
          <w:tcPr>
            <w:tcW w:w="344" w:type="pct"/>
            <w:tcBorders>
              <w:top w:val="single" w:color="000000" w:sz="6" w:space="0"/>
              <w:left w:val="nil"/>
              <w:bottom w:val="single" w:color="000000" w:sz="6" w:space="0"/>
              <w:right w:val="single" w:color="000000" w:sz="6" w:space="0"/>
            </w:tcBorders>
            <w:vAlign w:val="center"/>
          </w:tcPr>
          <w:p>
            <w:pPr>
              <w:rPr>
                <w:szCs w:val="24"/>
              </w:rPr>
            </w:pPr>
          </w:p>
        </w:tc>
      </w:tr>
    </w:tbl>
    <w:p>
      <w:pPr>
        <w:spacing w:line="400" w:lineRule="exact"/>
        <w:ind w:firstLine="420" w:firstLineChars="200"/>
        <w:rPr>
          <w:rFonts w:ascii="宋体" w:hAnsi="宋体" w:cs="宋体"/>
          <w:szCs w:val="22"/>
        </w:rPr>
      </w:pPr>
    </w:p>
    <w:p>
      <w:pPr>
        <w:sectPr>
          <w:pgSz w:w="11906" w:h="16838"/>
          <w:pgMar w:top="935" w:right="1106" w:bottom="1440" w:left="1260" w:header="851" w:footer="992" w:gutter="0"/>
          <w:cols w:space="720" w:num="1"/>
          <w:docGrid w:type="lines" w:linePitch="312" w:charSpace="0"/>
        </w:sectPr>
      </w:pPr>
    </w:p>
    <w:p>
      <w:pPr>
        <w:spacing w:line="400" w:lineRule="exact"/>
        <w:ind w:firstLine="420" w:firstLineChars="200"/>
        <w:rPr>
          <w:rFonts w:ascii="宋体" w:hAnsi="宋体" w:cs="宋体"/>
          <w:szCs w:val="22"/>
        </w:rPr>
      </w:pPr>
      <w:r>
        <w:rPr>
          <w:rFonts w:hint="eastAsia" w:ascii="宋体" w:hAnsi="宋体" w:cs="宋体"/>
          <w:szCs w:val="22"/>
        </w:rPr>
        <w:t xml:space="preserve">附件6：      </w:t>
      </w:r>
    </w:p>
    <w:p>
      <w:pPr>
        <w:spacing w:line="400" w:lineRule="exact"/>
        <w:ind w:firstLine="420" w:firstLineChars="200"/>
        <w:rPr>
          <w:rFonts w:ascii="宋体" w:hAnsi="宋体" w:cs="宋体"/>
          <w:szCs w:val="22"/>
        </w:rPr>
      </w:pPr>
      <w:r>
        <w:rPr>
          <w:rFonts w:hint="eastAsia" w:ascii="宋体" w:hAnsi="宋体" w:cs="宋体"/>
          <w:szCs w:val="22"/>
        </w:rPr>
        <w:t>承包人主要施工管理人员表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spacing w:line="440" w:lineRule="exact"/>
              <w:ind w:left="63" w:right="63"/>
              <w:rPr>
                <w:rFonts w:eastAsia="仿宋_GB2312"/>
                <w:sz w:val="28"/>
                <w:szCs w:val="28"/>
              </w:rPr>
            </w:pPr>
            <w:r>
              <w:rPr>
                <w:rFonts w:hint="eastAsia" w:eastAsia="仿宋_GB2312" w:cs="仿宋_GB2312"/>
                <w:sz w:val="28"/>
                <w:szCs w:val="28"/>
              </w:rPr>
              <w:t>名</w:t>
            </w:r>
            <w:r>
              <w:rPr>
                <w:rFonts w:eastAsia="仿宋_GB2312"/>
                <w:sz w:val="28"/>
                <w:szCs w:val="28"/>
              </w:rPr>
              <w:t xml:space="preserve">    </w:t>
            </w:r>
            <w:r>
              <w:rPr>
                <w:rFonts w:hint="eastAsia" w:eastAsia="仿宋_GB2312" w:cs="仿宋_GB2312"/>
                <w:sz w:val="28"/>
                <w:szCs w:val="28"/>
              </w:rPr>
              <w:t>称</w:t>
            </w:r>
          </w:p>
        </w:tc>
        <w:tc>
          <w:tcPr>
            <w:tcW w:w="1418" w:type="dxa"/>
            <w:vAlign w:val="center"/>
          </w:tcPr>
          <w:p>
            <w:pPr>
              <w:keepNext/>
              <w:spacing w:line="440" w:lineRule="exact"/>
              <w:ind w:left="63" w:right="63"/>
              <w:rPr>
                <w:rFonts w:eastAsia="仿宋_GB2312"/>
                <w:sz w:val="28"/>
                <w:szCs w:val="28"/>
              </w:rPr>
            </w:pPr>
            <w:r>
              <w:rPr>
                <w:rFonts w:hint="eastAsia" w:eastAsia="仿宋_GB2312" w:cs="仿宋_GB2312"/>
                <w:sz w:val="28"/>
                <w:szCs w:val="28"/>
              </w:rPr>
              <w:t>姓名</w:t>
            </w:r>
          </w:p>
        </w:tc>
        <w:tc>
          <w:tcPr>
            <w:tcW w:w="1134" w:type="dxa"/>
            <w:vAlign w:val="center"/>
          </w:tcPr>
          <w:p>
            <w:pPr>
              <w:keepNext/>
              <w:spacing w:line="440" w:lineRule="exact"/>
              <w:ind w:left="63" w:right="63"/>
              <w:rPr>
                <w:rFonts w:eastAsia="仿宋_GB2312"/>
                <w:sz w:val="30"/>
                <w:szCs w:val="30"/>
              </w:rPr>
            </w:pPr>
            <w:r>
              <w:rPr>
                <w:rFonts w:hint="eastAsia" w:eastAsia="仿宋_GB2312" w:cs="仿宋_GB2312"/>
                <w:sz w:val="30"/>
                <w:szCs w:val="30"/>
              </w:rPr>
              <w:t>职务</w:t>
            </w:r>
          </w:p>
        </w:tc>
        <w:tc>
          <w:tcPr>
            <w:tcW w:w="1134" w:type="dxa"/>
            <w:vAlign w:val="center"/>
          </w:tcPr>
          <w:p>
            <w:pPr>
              <w:keepNext/>
              <w:spacing w:line="440" w:lineRule="exact"/>
              <w:ind w:left="63" w:right="63"/>
              <w:rPr>
                <w:rFonts w:eastAsia="仿宋_GB2312"/>
                <w:sz w:val="30"/>
                <w:szCs w:val="30"/>
              </w:rPr>
            </w:pPr>
            <w:r>
              <w:rPr>
                <w:rFonts w:hint="eastAsia" w:eastAsia="仿宋_GB2312" w:cs="仿宋_GB2312"/>
                <w:sz w:val="30"/>
                <w:szCs w:val="30"/>
              </w:rPr>
              <w:t>职称</w:t>
            </w:r>
          </w:p>
        </w:tc>
        <w:tc>
          <w:tcPr>
            <w:tcW w:w="4252" w:type="dxa"/>
            <w:vAlign w:val="center"/>
          </w:tcPr>
          <w:p>
            <w:pPr>
              <w:keepNext/>
              <w:spacing w:line="440" w:lineRule="exact"/>
              <w:ind w:right="63"/>
              <w:rPr>
                <w:rFonts w:eastAsia="仿宋_GB2312"/>
                <w:sz w:val="30"/>
                <w:szCs w:val="30"/>
              </w:rPr>
            </w:pPr>
            <w:r>
              <w:rPr>
                <w:rFonts w:hint="eastAsia" w:eastAsia="仿宋_GB2312" w:cs="仿宋_GB2312"/>
                <w:sz w:val="30"/>
                <w:szCs w:val="30"/>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keepNext/>
              <w:spacing w:line="440" w:lineRule="exact"/>
              <w:ind w:left="63" w:right="63"/>
              <w:rPr>
                <w:rFonts w:eastAsia="仿宋_GB2312"/>
                <w:sz w:val="28"/>
                <w:szCs w:val="28"/>
              </w:rPr>
            </w:pPr>
            <w:r>
              <w:rPr>
                <w:rFonts w:hint="eastAsia" w:eastAsia="仿宋_GB2312" w:cs="仿宋_GB2312"/>
                <w:sz w:val="28"/>
                <w:szCs w:val="28"/>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spacing w:line="440" w:lineRule="exact"/>
              <w:ind w:left="63" w:right="63"/>
              <w:rPr>
                <w:rFonts w:eastAsia="仿宋_GB2312"/>
                <w:sz w:val="28"/>
                <w:szCs w:val="28"/>
              </w:rPr>
            </w:pPr>
            <w:r>
              <w:rPr>
                <w:rFonts w:hint="eastAsia" w:eastAsia="仿宋_GB2312" w:cs="仿宋_GB2312"/>
                <w:sz w:val="28"/>
                <w:szCs w:val="28"/>
              </w:rPr>
              <w:t>项目主管</w:t>
            </w:r>
          </w:p>
        </w:tc>
        <w:tc>
          <w:tcPr>
            <w:tcW w:w="1418" w:type="dxa"/>
            <w:vAlign w:val="center"/>
          </w:tcPr>
          <w:p>
            <w:pPr>
              <w:keepNext/>
              <w:spacing w:line="440" w:lineRule="exact"/>
              <w:ind w:left="63" w:right="63"/>
              <w:rPr>
                <w:rFonts w:eastAsia="仿宋_GB2312"/>
                <w:sz w:val="28"/>
                <w:szCs w:val="28"/>
              </w:rPr>
            </w:pPr>
          </w:p>
        </w:tc>
        <w:tc>
          <w:tcPr>
            <w:tcW w:w="1134" w:type="dxa"/>
            <w:vAlign w:val="center"/>
          </w:tcPr>
          <w:p>
            <w:pPr>
              <w:keepNext/>
              <w:spacing w:line="440" w:lineRule="exact"/>
              <w:ind w:left="63" w:right="63"/>
              <w:rPr>
                <w:rFonts w:eastAsia="仿宋_GB2312"/>
                <w:sz w:val="30"/>
                <w:szCs w:val="30"/>
              </w:rPr>
            </w:pPr>
          </w:p>
        </w:tc>
        <w:tc>
          <w:tcPr>
            <w:tcW w:w="1134" w:type="dxa"/>
            <w:vAlign w:val="center"/>
          </w:tcPr>
          <w:p>
            <w:pPr>
              <w:keepNext/>
              <w:spacing w:line="440" w:lineRule="exact"/>
              <w:ind w:left="63" w:right="63"/>
              <w:rPr>
                <w:rFonts w:eastAsia="仿宋_GB2312"/>
                <w:sz w:val="30"/>
                <w:szCs w:val="30"/>
              </w:rPr>
            </w:pPr>
          </w:p>
        </w:tc>
        <w:tc>
          <w:tcPr>
            <w:tcW w:w="4252" w:type="dxa"/>
            <w:vAlign w:val="center"/>
          </w:tcPr>
          <w:p>
            <w:pPr>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keepNext/>
              <w:spacing w:after="120" w:line="440" w:lineRule="exact"/>
              <w:ind w:left="63" w:right="63"/>
              <w:rPr>
                <w:rFonts w:eastAsia="仿宋_GB2312"/>
                <w:sz w:val="28"/>
                <w:szCs w:val="28"/>
              </w:rPr>
            </w:pPr>
            <w:r>
              <w:rPr>
                <w:rFonts w:hint="eastAsia" w:eastAsia="仿宋_GB2312" w:cs="仿宋_GB2312"/>
                <w:sz w:val="28"/>
                <w:szCs w:val="28"/>
              </w:rPr>
              <w:t>其他人员</w:t>
            </w:r>
          </w:p>
        </w:tc>
        <w:tc>
          <w:tcPr>
            <w:tcW w:w="1418" w:type="dxa"/>
            <w:vAlign w:val="center"/>
          </w:tcPr>
          <w:p>
            <w:pPr>
              <w:keepNext/>
              <w:spacing w:line="440" w:lineRule="exact"/>
              <w:ind w:left="63" w:right="63"/>
              <w:rPr>
                <w:rFonts w:eastAsia="仿宋_GB2312"/>
                <w:sz w:val="28"/>
                <w:szCs w:val="28"/>
              </w:rPr>
            </w:pPr>
          </w:p>
        </w:tc>
        <w:tc>
          <w:tcPr>
            <w:tcW w:w="1134" w:type="dxa"/>
            <w:vAlign w:val="center"/>
          </w:tcPr>
          <w:p>
            <w:pPr>
              <w:keepNext/>
              <w:spacing w:line="440" w:lineRule="exact"/>
              <w:ind w:left="63" w:right="63"/>
              <w:rPr>
                <w:rFonts w:eastAsia="仿宋_GB2312"/>
                <w:sz w:val="30"/>
                <w:szCs w:val="30"/>
              </w:rPr>
            </w:pPr>
          </w:p>
        </w:tc>
        <w:tc>
          <w:tcPr>
            <w:tcW w:w="1134" w:type="dxa"/>
            <w:vAlign w:val="center"/>
          </w:tcPr>
          <w:p>
            <w:pPr>
              <w:keepNext/>
              <w:spacing w:line="440" w:lineRule="exact"/>
              <w:ind w:left="63" w:right="63"/>
              <w:rPr>
                <w:rFonts w:eastAsia="仿宋_GB2312"/>
                <w:sz w:val="30"/>
                <w:szCs w:val="30"/>
              </w:rPr>
            </w:pPr>
          </w:p>
        </w:tc>
        <w:tc>
          <w:tcPr>
            <w:tcW w:w="4252" w:type="dxa"/>
            <w:vAlign w:val="center"/>
          </w:tcPr>
          <w:p>
            <w:pPr>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keepNext/>
              <w:spacing w:line="440" w:lineRule="exact"/>
              <w:ind w:left="63" w:right="63"/>
              <w:rPr>
                <w:rFonts w:eastAsia="仿宋_GB2312"/>
                <w:sz w:val="28"/>
                <w:szCs w:val="28"/>
              </w:rPr>
            </w:pPr>
          </w:p>
        </w:tc>
        <w:tc>
          <w:tcPr>
            <w:tcW w:w="1418" w:type="dxa"/>
            <w:vAlign w:val="center"/>
          </w:tcPr>
          <w:p>
            <w:pPr>
              <w:keepNext/>
              <w:spacing w:line="440" w:lineRule="exact"/>
              <w:ind w:left="63" w:right="63"/>
              <w:rPr>
                <w:rFonts w:eastAsia="仿宋_GB2312"/>
                <w:sz w:val="28"/>
                <w:szCs w:val="28"/>
              </w:rPr>
            </w:pPr>
          </w:p>
        </w:tc>
        <w:tc>
          <w:tcPr>
            <w:tcW w:w="1134" w:type="dxa"/>
            <w:vAlign w:val="center"/>
          </w:tcPr>
          <w:p>
            <w:pPr>
              <w:keepNext/>
              <w:spacing w:line="440" w:lineRule="exact"/>
              <w:ind w:left="63" w:right="63"/>
              <w:rPr>
                <w:rFonts w:eastAsia="仿宋_GB2312"/>
                <w:sz w:val="30"/>
                <w:szCs w:val="30"/>
              </w:rPr>
            </w:pPr>
          </w:p>
        </w:tc>
        <w:tc>
          <w:tcPr>
            <w:tcW w:w="1134" w:type="dxa"/>
            <w:vAlign w:val="center"/>
          </w:tcPr>
          <w:p>
            <w:pPr>
              <w:keepNext/>
              <w:spacing w:line="440" w:lineRule="exact"/>
              <w:ind w:left="63" w:right="63"/>
              <w:rPr>
                <w:rFonts w:eastAsia="仿宋_GB2312"/>
                <w:sz w:val="30"/>
                <w:szCs w:val="30"/>
              </w:rPr>
            </w:pPr>
          </w:p>
        </w:tc>
        <w:tc>
          <w:tcPr>
            <w:tcW w:w="4252" w:type="dxa"/>
            <w:vAlign w:val="center"/>
          </w:tcPr>
          <w:p>
            <w:pPr>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keepNext/>
              <w:spacing w:line="440" w:lineRule="exact"/>
              <w:ind w:left="63" w:right="63"/>
              <w:rPr>
                <w:rFonts w:eastAsia="仿宋_GB2312"/>
                <w:sz w:val="28"/>
                <w:szCs w:val="28"/>
              </w:rPr>
            </w:pPr>
          </w:p>
        </w:tc>
        <w:tc>
          <w:tcPr>
            <w:tcW w:w="1418" w:type="dxa"/>
            <w:vAlign w:val="center"/>
          </w:tcPr>
          <w:p>
            <w:pPr>
              <w:keepNext/>
              <w:spacing w:line="440" w:lineRule="exact"/>
              <w:ind w:left="63" w:right="63"/>
              <w:rPr>
                <w:rFonts w:eastAsia="仿宋_GB2312"/>
                <w:sz w:val="28"/>
                <w:szCs w:val="28"/>
              </w:rPr>
            </w:pPr>
          </w:p>
        </w:tc>
        <w:tc>
          <w:tcPr>
            <w:tcW w:w="1134" w:type="dxa"/>
            <w:vAlign w:val="center"/>
          </w:tcPr>
          <w:p>
            <w:pPr>
              <w:keepNext/>
              <w:spacing w:line="440" w:lineRule="exact"/>
              <w:ind w:left="63" w:right="63"/>
              <w:rPr>
                <w:rFonts w:eastAsia="仿宋_GB2312"/>
                <w:sz w:val="30"/>
                <w:szCs w:val="30"/>
              </w:rPr>
            </w:pPr>
          </w:p>
        </w:tc>
        <w:tc>
          <w:tcPr>
            <w:tcW w:w="1134" w:type="dxa"/>
            <w:vAlign w:val="center"/>
          </w:tcPr>
          <w:p>
            <w:pPr>
              <w:keepNext/>
              <w:spacing w:line="440" w:lineRule="exact"/>
              <w:ind w:left="63" w:right="63"/>
              <w:rPr>
                <w:rFonts w:eastAsia="仿宋_GB2312"/>
                <w:sz w:val="30"/>
                <w:szCs w:val="30"/>
              </w:rPr>
            </w:pPr>
          </w:p>
        </w:tc>
        <w:tc>
          <w:tcPr>
            <w:tcW w:w="4252" w:type="dxa"/>
            <w:vAlign w:val="center"/>
          </w:tcPr>
          <w:p>
            <w:pPr>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keepNext/>
              <w:spacing w:line="440" w:lineRule="exact"/>
              <w:ind w:left="63" w:right="63"/>
              <w:rPr>
                <w:rFonts w:eastAsia="仿宋_GB2312"/>
                <w:sz w:val="28"/>
                <w:szCs w:val="28"/>
              </w:rPr>
            </w:pPr>
            <w:r>
              <w:rPr>
                <w:rFonts w:hint="eastAsia" w:eastAsia="仿宋_GB2312" w:cs="仿宋_GB2312"/>
                <w:sz w:val="28"/>
                <w:szCs w:val="28"/>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spacing w:line="440" w:lineRule="exact"/>
              <w:ind w:left="63" w:right="63"/>
              <w:rPr>
                <w:rFonts w:eastAsia="仿宋_GB2312"/>
                <w:sz w:val="28"/>
                <w:szCs w:val="28"/>
              </w:rPr>
            </w:pPr>
            <w:r>
              <w:rPr>
                <w:rFonts w:hint="eastAsia" w:eastAsia="仿宋_GB2312" w:cs="仿宋_GB2312"/>
                <w:sz w:val="28"/>
                <w:szCs w:val="28"/>
              </w:rPr>
              <w:t>项目经理</w:t>
            </w:r>
          </w:p>
        </w:tc>
        <w:tc>
          <w:tcPr>
            <w:tcW w:w="1418" w:type="dxa"/>
            <w:vAlign w:val="center"/>
          </w:tcPr>
          <w:p>
            <w:pPr>
              <w:keepNext/>
              <w:spacing w:line="440" w:lineRule="exact"/>
              <w:ind w:left="63" w:right="63"/>
              <w:rPr>
                <w:rFonts w:eastAsia="仿宋_GB2312"/>
                <w:sz w:val="28"/>
                <w:szCs w:val="28"/>
              </w:rPr>
            </w:pPr>
          </w:p>
        </w:tc>
        <w:tc>
          <w:tcPr>
            <w:tcW w:w="1134" w:type="dxa"/>
            <w:vAlign w:val="center"/>
          </w:tcPr>
          <w:p>
            <w:pPr>
              <w:keepNext/>
              <w:spacing w:line="440" w:lineRule="exact"/>
              <w:ind w:left="63" w:right="63"/>
              <w:rPr>
                <w:rFonts w:eastAsia="仿宋_GB2312"/>
                <w:sz w:val="30"/>
                <w:szCs w:val="30"/>
              </w:rPr>
            </w:pPr>
          </w:p>
        </w:tc>
        <w:tc>
          <w:tcPr>
            <w:tcW w:w="1134" w:type="dxa"/>
            <w:vAlign w:val="center"/>
          </w:tcPr>
          <w:p>
            <w:pPr>
              <w:keepNext/>
              <w:spacing w:line="440" w:lineRule="exact"/>
              <w:ind w:left="63" w:right="63"/>
              <w:rPr>
                <w:rFonts w:eastAsia="仿宋_GB2312"/>
                <w:sz w:val="30"/>
                <w:szCs w:val="30"/>
              </w:rPr>
            </w:pPr>
          </w:p>
        </w:tc>
        <w:tc>
          <w:tcPr>
            <w:tcW w:w="4252" w:type="dxa"/>
            <w:vAlign w:val="center"/>
          </w:tcPr>
          <w:p>
            <w:pPr>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spacing w:line="440" w:lineRule="exact"/>
              <w:ind w:left="63" w:right="63"/>
              <w:rPr>
                <w:rFonts w:eastAsia="仿宋_GB2312"/>
                <w:sz w:val="28"/>
                <w:szCs w:val="28"/>
              </w:rPr>
            </w:pPr>
            <w:r>
              <w:rPr>
                <w:rFonts w:hint="eastAsia" w:eastAsia="仿宋_GB2312" w:cs="仿宋_GB2312"/>
                <w:sz w:val="28"/>
                <w:szCs w:val="28"/>
              </w:rPr>
              <w:t>项目副经理</w:t>
            </w:r>
          </w:p>
        </w:tc>
        <w:tc>
          <w:tcPr>
            <w:tcW w:w="1418" w:type="dxa"/>
            <w:vAlign w:val="center"/>
          </w:tcPr>
          <w:p>
            <w:pPr>
              <w:keepNext/>
              <w:spacing w:line="440" w:lineRule="exact"/>
              <w:ind w:left="63" w:right="63"/>
              <w:rPr>
                <w:rFonts w:eastAsia="仿宋_GB2312"/>
                <w:sz w:val="28"/>
                <w:szCs w:val="28"/>
              </w:rPr>
            </w:pPr>
          </w:p>
        </w:tc>
        <w:tc>
          <w:tcPr>
            <w:tcW w:w="1134" w:type="dxa"/>
            <w:vAlign w:val="center"/>
          </w:tcPr>
          <w:p>
            <w:pPr>
              <w:keepNext/>
              <w:spacing w:line="440" w:lineRule="exact"/>
              <w:ind w:left="63" w:right="63"/>
              <w:rPr>
                <w:rFonts w:eastAsia="仿宋_GB2312"/>
                <w:sz w:val="30"/>
                <w:szCs w:val="30"/>
              </w:rPr>
            </w:pPr>
          </w:p>
        </w:tc>
        <w:tc>
          <w:tcPr>
            <w:tcW w:w="1134" w:type="dxa"/>
            <w:vAlign w:val="center"/>
          </w:tcPr>
          <w:p>
            <w:pPr>
              <w:keepNext/>
              <w:spacing w:line="440" w:lineRule="exact"/>
              <w:ind w:left="63" w:right="63"/>
              <w:rPr>
                <w:rFonts w:eastAsia="仿宋_GB2312"/>
                <w:sz w:val="30"/>
                <w:szCs w:val="30"/>
              </w:rPr>
            </w:pPr>
          </w:p>
        </w:tc>
        <w:tc>
          <w:tcPr>
            <w:tcW w:w="4252" w:type="dxa"/>
            <w:vAlign w:val="center"/>
          </w:tcPr>
          <w:p>
            <w:pPr>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spacing w:line="440" w:lineRule="exact"/>
              <w:ind w:left="63" w:right="63"/>
              <w:rPr>
                <w:rFonts w:eastAsia="仿宋_GB2312"/>
                <w:sz w:val="28"/>
                <w:szCs w:val="28"/>
              </w:rPr>
            </w:pPr>
            <w:r>
              <w:rPr>
                <w:rFonts w:hint="eastAsia" w:eastAsia="仿宋_GB2312" w:cs="仿宋_GB2312"/>
                <w:sz w:val="28"/>
                <w:szCs w:val="28"/>
              </w:rPr>
              <w:t>技术负责人</w:t>
            </w:r>
          </w:p>
        </w:tc>
        <w:tc>
          <w:tcPr>
            <w:tcW w:w="1418" w:type="dxa"/>
            <w:vAlign w:val="center"/>
          </w:tcPr>
          <w:p>
            <w:pPr>
              <w:keepNext/>
              <w:spacing w:line="440" w:lineRule="exact"/>
              <w:ind w:left="63" w:right="63"/>
              <w:rPr>
                <w:rFonts w:eastAsia="仿宋_GB2312"/>
                <w:sz w:val="28"/>
                <w:szCs w:val="28"/>
              </w:rPr>
            </w:pPr>
          </w:p>
        </w:tc>
        <w:tc>
          <w:tcPr>
            <w:tcW w:w="1134" w:type="dxa"/>
            <w:vAlign w:val="center"/>
          </w:tcPr>
          <w:p>
            <w:pPr>
              <w:keepNext/>
              <w:spacing w:line="440" w:lineRule="exact"/>
              <w:ind w:left="63" w:right="63"/>
              <w:rPr>
                <w:rFonts w:eastAsia="仿宋_GB2312"/>
                <w:sz w:val="30"/>
                <w:szCs w:val="30"/>
              </w:rPr>
            </w:pPr>
          </w:p>
        </w:tc>
        <w:tc>
          <w:tcPr>
            <w:tcW w:w="1134" w:type="dxa"/>
            <w:vAlign w:val="center"/>
          </w:tcPr>
          <w:p>
            <w:pPr>
              <w:keepNext/>
              <w:spacing w:line="440" w:lineRule="exact"/>
              <w:ind w:left="63" w:right="63"/>
              <w:rPr>
                <w:rFonts w:eastAsia="仿宋_GB2312"/>
                <w:sz w:val="30"/>
                <w:szCs w:val="30"/>
              </w:rPr>
            </w:pPr>
          </w:p>
        </w:tc>
        <w:tc>
          <w:tcPr>
            <w:tcW w:w="4252" w:type="dxa"/>
            <w:vAlign w:val="center"/>
          </w:tcPr>
          <w:p>
            <w:pPr>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spacing w:line="440" w:lineRule="exact"/>
              <w:ind w:left="63" w:right="63"/>
              <w:rPr>
                <w:rFonts w:eastAsia="仿宋_GB2312"/>
                <w:sz w:val="28"/>
                <w:szCs w:val="28"/>
              </w:rPr>
            </w:pPr>
            <w:r>
              <w:rPr>
                <w:rFonts w:hint="eastAsia" w:eastAsia="仿宋_GB2312" w:cs="仿宋_GB2312"/>
                <w:sz w:val="28"/>
                <w:szCs w:val="28"/>
              </w:rPr>
              <w:t>造价管理</w:t>
            </w:r>
          </w:p>
        </w:tc>
        <w:tc>
          <w:tcPr>
            <w:tcW w:w="1418" w:type="dxa"/>
            <w:vAlign w:val="center"/>
          </w:tcPr>
          <w:p>
            <w:pPr>
              <w:keepNext/>
              <w:spacing w:line="440" w:lineRule="exact"/>
              <w:ind w:left="63" w:right="63"/>
              <w:rPr>
                <w:rFonts w:eastAsia="仿宋_GB2312"/>
                <w:sz w:val="28"/>
                <w:szCs w:val="28"/>
              </w:rPr>
            </w:pPr>
          </w:p>
        </w:tc>
        <w:tc>
          <w:tcPr>
            <w:tcW w:w="1134" w:type="dxa"/>
            <w:vAlign w:val="center"/>
          </w:tcPr>
          <w:p>
            <w:pPr>
              <w:keepNext/>
              <w:spacing w:line="440" w:lineRule="exact"/>
              <w:ind w:left="63" w:right="63"/>
              <w:rPr>
                <w:rFonts w:eastAsia="仿宋_GB2312"/>
                <w:sz w:val="30"/>
                <w:szCs w:val="30"/>
              </w:rPr>
            </w:pPr>
          </w:p>
        </w:tc>
        <w:tc>
          <w:tcPr>
            <w:tcW w:w="1134" w:type="dxa"/>
            <w:vAlign w:val="center"/>
          </w:tcPr>
          <w:p>
            <w:pPr>
              <w:keepNext/>
              <w:spacing w:line="440" w:lineRule="exact"/>
              <w:ind w:left="63" w:right="63"/>
              <w:rPr>
                <w:rFonts w:eastAsia="仿宋_GB2312"/>
                <w:sz w:val="30"/>
                <w:szCs w:val="30"/>
              </w:rPr>
            </w:pPr>
          </w:p>
        </w:tc>
        <w:tc>
          <w:tcPr>
            <w:tcW w:w="4252" w:type="dxa"/>
            <w:vAlign w:val="center"/>
          </w:tcPr>
          <w:p>
            <w:pPr>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keepNext/>
              <w:spacing w:after="120" w:line="440" w:lineRule="exact"/>
              <w:ind w:left="63" w:right="63"/>
              <w:rPr>
                <w:rFonts w:eastAsia="仿宋_GB2312"/>
                <w:sz w:val="28"/>
                <w:szCs w:val="28"/>
              </w:rPr>
            </w:pPr>
            <w:r>
              <w:rPr>
                <w:rFonts w:hint="eastAsia" w:eastAsia="仿宋_GB2312" w:cs="仿宋_GB2312"/>
                <w:sz w:val="28"/>
                <w:szCs w:val="28"/>
              </w:rPr>
              <w:t>质量管理</w:t>
            </w:r>
          </w:p>
        </w:tc>
        <w:tc>
          <w:tcPr>
            <w:tcW w:w="1418" w:type="dxa"/>
            <w:vAlign w:val="center"/>
          </w:tcPr>
          <w:p>
            <w:pPr>
              <w:keepNext/>
              <w:spacing w:line="440" w:lineRule="exact"/>
              <w:ind w:left="63" w:right="63"/>
              <w:rPr>
                <w:rFonts w:eastAsia="仿宋_GB2312"/>
                <w:sz w:val="28"/>
                <w:szCs w:val="28"/>
              </w:rPr>
            </w:pPr>
          </w:p>
        </w:tc>
        <w:tc>
          <w:tcPr>
            <w:tcW w:w="1134" w:type="dxa"/>
            <w:vAlign w:val="center"/>
          </w:tcPr>
          <w:p>
            <w:pPr>
              <w:keepNext/>
              <w:spacing w:line="440" w:lineRule="exact"/>
              <w:ind w:left="63" w:right="63"/>
              <w:rPr>
                <w:rFonts w:eastAsia="仿宋_GB2312"/>
                <w:sz w:val="30"/>
                <w:szCs w:val="30"/>
              </w:rPr>
            </w:pPr>
          </w:p>
        </w:tc>
        <w:tc>
          <w:tcPr>
            <w:tcW w:w="1134" w:type="dxa"/>
            <w:vAlign w:val="center"/>
          </w:tcPr>
          <w:p>
            <w:pPr>
              <w:keepNext/>
              <w:spacing w:line="440" w:lineRule="exact"/>
              <w:ind w:left="63" w:right="63"/>
              <w:rPr>
                <w:rFonts w:eastAsia="仿宋_GB2312"/>
                <w:sz w:val="30"/>
                <w:szCs w:val="30"/>
              </w:rPr>
            </w:pPr>
          </w:p>
        </w:tc>
        <w:tc>
          <w:tcPr>
            <w:tcW w:w="4252" w:type="dxa"/>
            <w:vAlign w:val="center"/>
          </w:tcPr>
          <w:p>
            <w:pPr>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keepNext/>
              <w:spacing w:after="120" w:line="440" w:lineRule="exact"/>
              <w:ind w:left="63" w:right="63"/>
              <w:rPr>
                <w:rFonts w:eastAsia="仿宋_GB2312"/>
                <w:sz w:val="28"/>
                <w:szCs w:val="28"/>
              </w:rPr>
            </w:pPr>
          </w:p>
        </w:tc>
        <w:tc>
          <w:tcPr>
            <w:tcW w:w="1418" w:type="dxa"/>
            <w:vAlign w:val="center"/>
          </w:tcPr>
          <w:p>
            <w:pPr>
              <w:keepNext/>
              <w:spacing w:line="440" w:lineRule="exact"/>
              <w:ind w:left="63" w:right="63"/>
              <w:rPr>
                <w:rFonts w:eastAsia="仿宋_GB2312"/>
                <w:sz w:val="28"/>
                <w:szCs w:val="28"/>
              </w:rPr>
            </w:pPr>
          </w:p>
        </w:tc>
        <w:tc>
          <w:tcPr>
            <w:tcW w:w="1134" w:type="dxa"/>
            <w:vAlign w:val="center"/>
          </w:tcPr>
          <w:p>
            <w:pPr>
              <w:keepNext/>
              <w:spacing w:line="440" w:lineRule="exact"/>
              <w:ind w:left="63" w:right="63"/>
              <w:rPr>
                <w:rFonts w:eastAsia="仿宋_GB2312"/>
                <w:sz w:val="30"/>
                <w:szCs w:val="30"/>
              </w:rPr>
            </w:pPr>
          </w:p>
        </w:tc>
        <w:tc>
          <w:tcPr>
            <w:tcW w:w="1134" w:type="dxa"/>
            <w:vAlign w:val="center"/>
          </w:tcPr>
          <w:p>
            <w:pPr>
              <w:keepNext/>
              <w:spacing w:line="440" w:lineRule="exact"/>
              <w:ind w:left="63" w:right="63"/>
              <w:rPr>
                <w:rFonts w:eastAsia="仿宋_GB2312"/>
                <w:sz w:val="30"/>
                <w:szCs w:val="30"/>
              </w:rPr>
            </w:pPr>
          </w:p>
        </w:tc>
        <w:tc>
          <w:tcPr>
            <w:tcW w:w="4252" w:type="dxa"/>
            <w:vAlign w:val="center"/>
          </w:tcPr>
          <w:p>
            <w:pPr>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keepNext/>
              <w:spacing w:line="440" w:lineRule="exact"/>
              <w:ind w:left="63" w:right="63"/>
              <w:rPr>
                <w:rFonts w:eastAsia="仿宋_GB2312"/>
                <w:sz w:val="28"/>
                <w:szCs w:val="28"/>
              </w:rPr>
            </w:pPr>
          </w:p>
        </w:tc>
        <w:tc>
          <w:tcPr>
            <w:tcW w:w="1418" w:type="dxa"/>
            <w:vAlign w:val="center"/>
          </w:tcPr>
          <w:p>
            <w:pPr>
              <w:keepNext/>
              <w:spacing w:line="440" w:lineRule="exact"/>
              <w:ind w:left="63" w:right="63"/>
              <w:rPr>
                <w:rFonts w:eastAsia="仿宋_GB2312"/>
                <w:sz w:val="28"/>
                <w:szCs w:val="28"/>
              </w:rPr>
            </w:pPr>
          </w:p>
        </w:tc>
        <w:tc>
          <w:tcPr>
            <w:tcW w:w="1134" w:type="dxa"/>
            <w:vAlign w:val="center"/>
          </w:tcPr>
          <w:p>
            <w:pPr>
              <w:keepNext/>
              <w:spacing w:line="440" w:lineRule="exact"/>
              <w:ind w:left="63" w:right="63"/>
              <w:rPr>
                <w:rFonts w:eastAsia="仿宋_GB2312"/>
                <w:sz w:val="30"/>
                <w:szCs w:val="30"/>
              </w:rPr>
            </w:pPr>
          </w:p>
        </w:tc>
        <w:tc>
          <w:tcPr>
            <w:tcW w:w="1134" w:type="dxa"/>
            <w:vAlign w:val="center"/>
          </w:tcPr>
          <w:p>
            <w:pPr>
              <w:keepNext/>
              <w:spacing w:line="440" w:lineRule="exact"/>
              <w:ind w:left="63" w:right="63"/>
              <w:rPr>
                <w:rFonts w:eastAsia="仿宋_GB2312"/>
                <w:sz w:val="30"/>
                <w:szCs w:val="30"/>
              </w:rPr>
            </w:pPr>
          </w:p>
        </w:tc>
        <w:tc>
          <w:tcPr>
            <w:tcW w:w="4252" w:type="dxa"/>
            <w:vAlign w:val="center"/>
          </w:tcPr>
          <w:p>
            <w:pPr>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spacing w:line="440" w:lineRule="exact"/>
              <w:ind w:left="63" w:right="63"/>
              <w:rPr>
                <w:rFonts w:eastAsia="仿宋_GB2312"/>
                <w:sz w:val="28"/>
                <w:szCs w:val="28"/>
              </w:rPr>
            </w:pPr>
            <w:r>
              <w:rPr>
                <w:rFonts w:hint="eastAsia" w:eastAsia="仿宋_GB2312" w:cs="仿宋_GB2312"/>
                <w:sz w:val="28"/>
                <w:szCs w:val="28"/>
              </w:rPr>
              <w:t>材料管理</w:t>
            </w:r>
          </w:p>
        </w:tc>
        <w:tc>
          <w:tcPr>
            <w:tcW w:w="1418" w:type="dxa"/>
            <w:vAlign w:val="center"/>
          </w:tcPr>
          <w:p>
            <w:pPr>
              <w:keepNext/>
              <w:spacing w:line="440" w:lineRule="exact"/>
              <w:ind w:left="63" w:right="63"/>
              <w:rPr>
                <w:rFonts w:eastAsia="仿宋_GB2312"/>
                <w:sz w:val="28"/>
                <w:szCs w:val="28"/>
              </w:rPr>
            </w:pPr>
          </w:p>
        </w:tc>
        <w:tc>
          <w:tcPr>
            <w:tcW w:w="1134" w:type="dxa"/>
            <w:vAlign w:val="center"/>
          </w:tcPr>
          <w:p>
            <w:pPr>
              <w:keepNext/>
              <w:spacing w:line="440" w:lineRule="exact"/>
              <w:ind w:left="63" w:right="63"/>
              <w:rPr>
                <w:rFonts w:eastAsia="仿宋_GB2312"/>
                <w:sz w:val="30"/>
                <w:szCs w:val="30"/>
              </w:rPr>
            </w:pPr>
          </w:p>
        </w:tc>
        <w:tc>
          <w:tcPr>
            <w:tcW w:w="1134" w:type="dxa"/>
            <w:vAlign w:val="center"/>
          </w:tcPr>
          <w:p>
            <w:pPr>
              <w:keepNext/>
              <w:spacing w:line="440" w:lineRule="exact"/>
              <w:ind w:left="63" w:right="63"/>
              <w:rPr>
                <w:rFonts w:eastAsia="仿宋_GB2312"/>
                <w:sz w:val="30"/>
                <w:szCs w:val="30"/>
              </w:rPr>
            </w:pPr>
          </w:p>
        </w:tc>
        <w:tc>
          <w:tcPr>
            <w:tcW w:w="4252" w:type="dxa"/>
            <w:vAlign w:val="center"/>
          </w:tcPr>
          <w:p>
            <w:pPr>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keepNext/>
              <w:spacing w:line="440" w:lineRule="exact"/>
              <w:ind w:left="63" w:right="63"/>
              <w:rPr>
                <w:rFonts w:eastAsia="仿宋_GB2312"/>
                <w:sz w:val="28"/>
                <w:szCs w:val="28"/>
              </w:rPr>
            </w:pPr>
            <w:r>
              <w:rPr>
                <w:rFonts w:hint="eastAsia" w:eastAsia="仿宋_GB2312" w:cs="仿宋_GB2312"/>
                <w:sz w:val="28"/>
                <w:szCs w:val="28"/>
              </w:rPr>
              <w:t>计划管理</w:t>
            </w:r>
          </w:p>
        </w:tc>
        <w:tc>
          <w:tcPr>
            <w:tcW w:w="1418" w:type="dxa"/>
            <w:vAlign w:val="center"/>
          </w:tcPr>
          <w:p>
            <w:pPr>
              <w:keepNext/>
              <w:spacing w:line="440" w:lineRule="exact"/>
              <w:ind w:left="63" w:right="63"/>
              <w:rPr>
                <w:rFonts w:eastAsia="仿宋_GB2312"/>
                <w:sz w:val="28"/>
                <w:szCs w:val="28"/>
              </w:rPr>
            </w:pPr>
          </w:p>
        </w:tc>
        <w:tc>
          <w:tcPr>
            <w:tcW w:w="1134" w:type="dxa"/>
            <w:vAlign w:val="center"/>
          </w:tcPr>
          <w:p>
            <w:pPr>
              <w:keepNext/>
              <w:spacing w:line="440" w:lineRule="exact"/>
              <w:ind w:left="63" w:right="63"/>
              <w:rPr>
                <w:rFonts w:eastAsia="仿宋_GB2312"/>
                <w:sz w:val="30"/>
                <w:szCs w:val="30"/>
              </w:rPr>
            </w:pPr>
          </w:p>
        </w:tc>
        <w:tc>
          <w:tcPr>
            <w:tcW w:w="1134" w:type="dxa"/>
            <w:vAlign w:val="center"/>
          </w:tcPr>
          <w:p>
            <w:pPr>
              <w:keepNext/>
              <w:spacing w:line="440" w:lineRule="exact"/>
              <w:ind w:left="63" w:right="63"/>
              <w:rPr>
                <w:rFonts w:eastAsia="仿宋_GB2312"/>
                <w:sz w:val="30"/>
                <w:szCs w:val="30"/>
              </w:rPr>
            </w:pPr>
          </w:p>
        </w:tc>
        <w:tc>
          <w:tcPr>
            <w:tcW w:w="4252" w:type="dxa"/>
            <w:vAlign w:val="center"/>
          </w:tcPr>
          <w:p>
            <w:pPr>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keepNext/>
              <w:spacing w:after="120" w:line="440" w:lineRule="exact"/>
              <w:ind w:left="63" w:right="63"/>
              <w:rPr>
                <w:rFonts w:eastAsia="仿宋_GB2312"/>
                <w:sz w:val="28"/>
                <w:szCs w:val="28"/>
              </w:rPr>
            </w:pPr>
            <w:r>
              <w:rPr>
                <w:rFonts w:hint="eastAsia" w:eastAsia="仿宋_GB2312" w:cs="仿宋_GB2312"/>
                <w:sz w:val="28"/>
                <w:szCs w:val="28"/>
              </w:rPr>
              <w:t>安全管理</w:t>
            </w:r>
          </w:p>
        </w:tc>
        <w:tc>
          <w:tcPr>
            <w:tcW w:w="1418" w:type="dxa"/>
            <w:vAlign w:val="center"/>
          </w:tcPr>
          <w:p>
            <w:pPr>
              <w:keepNext/>
              <w:spacing w:line="440" w:lineRule="exact"/>
              <w:ind w:left="63" w:right="63"/>
              <w:rPr>
                <w:rFonts w:eastAsia="仿宋_GB2312"/>
                <w:sz w:val="28"/>
                <w:szCs w:val="28"/>
              </w:rPr>
            </w:pPr>
          </w:p>
        </w:tc>
        <w:tc>
          <w:tcPr>
            <w:tcW w:w="1134" w:type="dxa"/>
            <w:vAlign w:val="center"/>
          </w:tcPr>
          <w:p>
            <w:pPr>
              <w:keepNext/>
              <w:spacing w:line="440" w:lineRule="exact"/>
              <w:ind w:left="63" w:right="63"/>
              <w:rPr>
                <w:rFonts w:eastAsia="仿宋_GB2312"/>
                <w:sz w:val="30"/>
                <w:szCs w:val="30"/>
              </w:rPr>
            </w:pPr>
          </w:p>
        </w:tc>
        <w:tc>
          <w:tcPr>
            <w:tcW w:w="1134" w:type="dxa"/>
            <w:vAlign w:val="center"/>
          </w:tcPr>
          <w:p>
            <w:pPr>
              <w:keepNext/>
              <w:spacing w:line="440" w:lineRule="exact"/>
              <w:ind w:left="63" w:right="63"/>
              <w:rPr>
                <w:rFonts w:eastAsia="仿宋_GB2312"/>
                <w:sz w:val="30"/>
                <w:szCs w:val="30"/>
              </w:rPr>
            </w:pPr>
          </w:p>
        </w:tc>
        <w:tc>
          <w:tcPr>
            <w:tcW w:w="4252" w:type="dxa"/>
            <w:vAlign w:val="center"/>
          </w:tcPr>
          <w:p>
            <w:pPr>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keepNext/>
              <w:spacing w:after="120" w:line="440" w:lineRule="exact"/>
              <w:ind w:left="63" w:right="63"/>
              <w:rPr>
                <w:rFonts w:eastAsia="仿宋_GB2312"/>
                <w:sz w:val="28"/>
                <w:szCs w:val="28"/>
              </w:rPr>
            </w:pPr>
          </w:p>
        </w:tc>
        <w:tc>
          <w:tcPr>
            <w:tcW w:w="1418" w:type="dxa"/>
            <w:vAlign w:val="center"/>
          </w:tcPr>
          <w:p>
            <w:pPr>
              <w:keepNext/>
              <w:spacing w:line="440" w:lineRule="exact"/>
              <w:ind w:left="63" w:right="63"/>
              <w:rPr>
                <w:rFonts w:eastAsia="仿宋_GB2312"/>
                <w:sz w:val="28"/>
                <w:szCs w:val="28"/>
              </w:rPr>
            </w:pPr>
          </w:p>
        </w:tc>
        <w:tc>
          <w:tcPr>
            <w:tcW w:w="1134" w:type="dxa"/>
            <w:vAlign w:val="center"/>
          </w:tcPr>
          <w:p>
            <w:pPr>
              <w:keepNext/>
              <w:spacing w:line="440" w:lineRule="exact"/>
              <w:ind w:left="63" w:right="63"/>
              <w:rPr>
                <w:rFonts w:eastAsia="仿宋_GB2312"/>
                <w:sz w:val="30"/>
                <w:szCs w:val="30"/>
              </w:rPr>
            </w:pPr>
          </w:p>
        </w:tc>
        <w:tc>
          <w:tcPr>
            <w:tcW w:w="1134" w:type="dxa"/>
            <w:vAlign w:val="center"/>
          </w:tcPr>
          <w:p>
            <w:pPr>
              <w:keepNext/>
              <w:spacing w:line="440" w:lineRule="exact"/>
              <w:ind w:left="63" w:right="63"/>
              <w:rPr>
                <w:rFonts w:eastAsia="仿宋_GB2312"/>
                <w:sz w:val="30"/>
                <w:szCs w:val="30"/>
              </w:rPr>
            </w:pPr>
          </w:p>
        </w:tc>
        <w:tc>
          <w:tcPr>
            <w:tcW w:w="4252" w:type="dxa"/>
            <w:vAlign w:val="center"/>
          </w:tcPr>
          <w:p>
            <w:pPr>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keepNext/>
              <w:spacing w:line="440" w:lineRule="exact"/>
              <w:ind w:left="63" w:right="63"/>
              <w:rPr>
                <w:rFonts w:eastAsia="仿宋_GB2312"/>
                <w:sz w:val="28"/>
                <w:szCs w:val="28"/>
              </w:rPr>
            </w:pPr>
          </w:p>
        </w:tc>
        <w:tc>
          <w:tcPr>
            <w:tcW w:w="1418" w:type="dxa"/>
            <w:vAlign w:val="center"/>
          </w:tcPr>
          <w:p>
            <w:pPr>
              <w:keepNext/>
              <w:spacing w:line="440" w:lineRule="exact"/>
              <w:ind w:left="63" w:right="63"/>
              <w:rPr>
                <w:rFonts w:eastAsia="仿宋_GB2312"/>
                <w:sz w:val="28"/>
                <w:szCs w:val="28"/>
              </w:rPr>
            </w:pPr>
          </w:p>
        </w:tc>
        <w:tc>
          <w:tcPr>
            <w:tcW w:w="1134" w:type="dxa"/>
            <w:vAlign w:val="center"/>
          </w:tcPr>
          <w:p>
            <w:pPr>
              <w:keepNext/>
              <w:spacing w:line="440" w:lineRule="exact"/>
              <w:ind w:left="63" w:right="63"/>
              <w:rPr>
                <w:rFonts w:eastAsia="仿宋_GB2312"/>
                <w:sz w:val="30"/>
                <w:szCs w:val="30"/>
              </w:rPr>
            </w:pPr>
          </w:p>
        </w:tc>
        <w:tc>
          <w:tcPr>
            <w:tcW w:w="1134" w:type="dxa"/>
            <w:vAlign w:val="center"/>
          </w:tcPr>
          <w:p>
            <w:pPr>
              <w:keepNext/>
              <w:spacing w:line="440" w:lineRule="exact"/>
              <w:ind w:left="63" w:right="63"/>
              <w:rPr>
                <w:rFonts w:eastAsia="仿宋_GB2312"/>
                <w:sz w:val="30"/>
                <w:szCs w:val="30"/>
              </w:rPr>
            </w:pPr>
          </w:p>
        </w:tc>
        <w:tc>
          <w:tcPr>
            <w:tcW w:w="4252" w:type="dxa"/>
            <w:vAlign w:val="center"/>
          </w:tcPr>
          <w:p>
            <w:pPr>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keepNext/>
              <w:spacing w:line="440" w:lineRule="exact"/>
              <w:ind w:left="63" w:right="63"/>
              <w:rPr>
                <w:rFonts w:eastAsia="仿宋_GB2312"/>
                <w:sz w:val="28"/>
                <w:szCs w:val="28"/>
              </w:rPr>
            </w:pPr>
            <w:r>
              <w:rPr>
                <w:rFonts w:hint="eastAsia" w:eastAsia="仿宋_GB2312" w:cs="仿宋_GB2312"/>
                <w:sz w:val="28"/>
                <w:szCs w:val="28"/>
              </w:rPr>
              <w:t>其他人员</w:t>
            </w:r>
          </w:p>
        </w:tc>
        <w:tc>
          <w:tcPr>
            <w:tcW w:w="1418" w:type="dxa"/>
            <w:vAlign w:val="center"/>
          </w:tcPr>
          <w:p>
            <w:pPr>
              <w:keepNext/>
              <w:spacing w:line="440" w:lineRule="exact"/>
              <w:ind w:left="63" w:right="63"/>
              <w:rPr>
                <w:rFonts w:eastAsia="仿宋_GB2312"/>
                <w:sz w:val="28"/>
                <w:szCs w:val="28"/>
              </w:rPr>
            </w:pPr>
          </w:p>
        </w:tc>
        <w:tc>
          <w:tcPr>
            <w:tcW w:w="1134" w:type="dxa"/>
            <w:vAlign w:val="center"/>
          </w:tcPr>
          <w:p>
            <w:pPr>
              <w:keepNext/>
              <w:spacing w:line="440" w:lineRule="exact"/>
              <w:ind w:left="63" w:right="63"/>
              <w:rPr>
                <w:rFonts w:eastAsia="仿宋_GB2312"/>
                <w:sz w:val="30"/>
                <w:szCs w:val="30"/>
              </w:rPr>
            </w:pPr>
          </w:p>
        </w:tc>
        <w:tc>
          <w:tcPr>
            <w:tcW w:w="1134" w:type="dxa"/>
            <w:vAlign w:val="center"/>
          </w:tcPr>
          <w:p>
            <w:pPr>
              <w:keepNext/>
              <w:spacing w:line="440" w:lineRule="exact"/>
              <w:ind w:left="63" w:right="63"/>
              <w:rPr>
                <w:rFonts w:eastAsia="仿宋_GB2312"/>
                <w:sz w:val="30"/>
                <w:szCs w:val="30"/>
              </w:rPr>
            </w:pPr>
          </w:p>
        </w:tc>
        <w:tc>
          <w:tcPr>
            <w:tcW w:w="4252" w:type="dxa"/>
            <w:vAlign w:val="center"/>
          </w:tcPr>
          <w:p>
            <w:pPr>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keepNext/>
              <w:spacing w:line="440" w:lineRule="exact"/>
              <w:ind w:left="63" w:right="63"/>
              <w:rPr>
                <w:rFonts w:eastAsia="仿宋_GB2312"/>
                <w:sz w:val="28"/>
                <w:szCs w:val="28"/>
              </w:rPr>
            </w:pPr>
          </w:p>
        </w:tc>
        <w:tc>
          <w:tcPr>
            <w:tcW w:w="1418" w:type="dxa"/>
            <w:vAlign w:val="center"/>
          </w:tcPr>
          <w:p>
            <w:pPr>
              <w:keepNext/>
              <w:spacing w:line="440" w:lineRule="exact"/>
              <w:ind w:left="63" w:right="63"/>
              <w:rPr>
                <w:rFonts w:eastAsia="仿宋_GB2312"/>
                <w:sz w:val="28"/>
                <w:szCs w:val="28"/>
              </w:rPr>
            </w:pPr>
          </w:p>
        </w:tc>
        <w:tc>
          <w:tcPr>
            <w:tcW w:w="1134" w:type="dxa"/>
            <w:vAlign w:val="center"/>
          </w:tcPr>
          <w:p>
            <w:pPr>
              <w:keepNext/>
              <w:spacing w:line="440" w:lineRule="exact"/>
              <w:ind w:left="63" w:right="63"/>
              <w:rPr>
                <w:rFonts w:eastAsia="仿宋_GB2312"/>
                <w:sz w:val="30"/>
                <w:szCs w:val="30"/>
              </w:rPr>
            </w:pPr>
          </w:p>
        </w:tc>
        <w:tc>
          <w:tcPr>
            <w:tcW w:w="1134" w:type="dxa"/>
            <w:vAlign w:val="center"/>
          </w:tcPr>
          <w:p>
            <w:pPr>
              <w:keepNext/>
              <w:spacing w:line="440" w:lineRule="exact"/>
              <w:ind w:left="63" w:right="63"/>
              <w:rPr>
                <w:rFonts w:eastAsia="仿宋_GB2312"/>
                <w:sz w:val="30"/>
                <w:szCs w:val="30"/>
              </w:rPr>
            </w:pPr>
          </w:p>
        </w:tc>
        <w:tc>
          <w:tcPr>
            <w:tcW w:w="4252" w:type="dxa"/>
            <w:vAlign w:val="center"/>
          </w:tcPr>
          <w:p>
            <w:pPr>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keepNext/>
              <w:spacing w:line="440" w:lineRule="exact"/>
              <w:ind w:left="63" w:right="63"/>
              <w:rPr>
                <w:rFonts w:eastAsia="仿宋_GB2312"/>
                <w:sz w:val="28"/>
                <w:szCs w:val="28"/>
              </w:rPr>
            </w:pPr>
          </w:p>
        </w:tc>
        <w:tc>
          <w:tcPr>
            <w:tcW w:w="1418" w:type="dxa"/>
            <w:vAlign w:val="center"/>
          </w:tcPr>
          <w:p>
            <w:pPr>
              <w:keepNext/>
              <w:spacing w:line="440" w:lineRule="exact"/>
              <w:ind w:left="63" w:right="63"/>
              <w:rPr>
                <w:rFonts w:eastAsia="仿宋_GB2312"/>
                <w:sz w:val="28"/>
                <w:szCs w:val="28"/>
              </w:rPr>
            </w:pPr>
          </w:p>
        </w:tc>
        <w:tc>
          <w:tcPr>
            <w:tcW w:w="1134" w:type="dxa"/>
            <w:vAlign w:val="center"/>
          </w:tcPr>
          <w:p>
            <w:pPr>
              <w:keepNext/>
              <w:spacing w:line="440" w:lineRule="exact"/>
              <w:ind w:left="63" w:right="63"/>
              <w:rPr>
                <w:rFonts w:eastAsia="仿宋_GB2312"/>
                <w:sz w:val="30"/>
                <w:szCs w:val="30"/>
              </w:rPr>
            </w:pPr>
          </w:p>
        </w:tc>
        <w:tc>
          <w:tcPr>
            <w:tcW w:w="1134" w:type="dxa"/>
            <w:vAlign w:val="center"/>
          </w:tcPr>
          <w:p>
            <w:pPr>
              <w:keepNext/>
              <w:spacing w:line="440" w:lineRule="exact"/>
              <w:ind w:left="63" w:right="63"/>
              <w:rPr>
                <w:rFonts w:eastAsia="仿宋_GB2312"/>
                <w:sz w:val="30"/>
                <w:szCs w:val="30"/>
              </w:rPr>
            </w:pPr>
          </w:p>
        </w:tc>
        <w:tc>
          <w:tcPr>
            <w:tcW w:w="4252" w:type="dxa"/>
            <w:vAlign w:val="center"/>
          </w:tcPr>
          <w:p>
            <w:pPr>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keepNext/>
              <w:spacing w:line="440" w:lineRule="exact"/>
              <w:ind w:left="63" w:right="63"/>
              <w:rPr>
                <w:rFonts w:eastAsia="仿宋_GB2312"/>
                <w:sz w:val="28"/>
                <w:szCs w:val="28"/>
              </w:rPr>
            </w:pPr>
          </w:p>
        </w:tc>
        <w:tc>
          <w:tcPr>
            <w:tcW w:w="1418" w:type="dxa"/>
            <w:vAlign w:val="center"/>
          </w:tcPr>
          <w:p>
            <w:pPr>
              <w:keepNext/>
              <w:spacing w:line="440" w:lineRule="exact"/>
              <w:ind w:left="63" w:right="63"/>
              <w:rPr>
                <w:rFonts w:eastAsia="仿宋_GB2312"/>
                <w:sz w:val="28"/>
                <w:szCs w:val="28"/>
              </w:rPr>
            </w:pPr>
          </w:p>
        </w:tc>
        <w:tc>
          <w:tcPr>
            <w:tcW w:w="1134" w:type="dxa"/>
            <w:vAlign w:val="center"/>
          </w:tcPr>
          <w:p>
            <w:pPr>
              <w:keepNext/>
              <w:spacing w:line="440" w:lineRule="exact"/>
              <w:ind w:left="63" w:right="63"/>
              <w:rPr>
                <w:rFonts w:eastAsia="仿宋_GB2312"/>
                <w:sz w:val="30"/>
                <w:szCs w:val="30"/>
              </w:rPr>
            </w:pPr>
          </w:p>
        </w:tc>
        <w:tc>
          <w:tcPr>
            <w:tcW w:w="1134" w:type="dxa"/>
            <w:vAlign w:val="center"/>
          </w:tcPr>
          <w:p>
            <w:pPr>
              <w:keepNext/>
              <w:spacing w:line="440" w:lineRule="exact"/>
              <w:ind w:left="63" w:right="63"/>
              <w:rPr>
                <w:rFonts w:eastAsia="仿宋_GB2312"/>
                <w:sz w:val="30"/>
                <w:szCs w:val="30"/>
              </w:rPr>
            </w:pPr>
          </w:p>
        </w:tc>
        <w:tc>
          <w:tcPr>
            <w:tcW w:w="4252" w:type="dxa"/>
            <w:vAlign w:val="center"/>
          </w:tcPr>
          <w:p>
            <w:pPr>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keepNext/>
              <w:spacing w:line="440" w:lineRule="exact"/>
              <w:ind w:left="63" w:right="63"/>
              <w:rPr>
                <w:rFonts w:eastAsia="仿宋_GB2312"/>
                <w:sz w:val="28"/>
                <w:szCs w:val="28"/>
              </w:rPr>
            </w:pPr>
          </w:p>
        </w:tc>
        <w:tc>
          <w:tcPr>
            <w:tcW w:w="1418" w:type="dxa"/>
            <w:vAlign w:val="center"/>
          </w:tcPr>
          <w:p>
            <w:pPr>
              <w:keepNext/>
              <w:spacing w:line="440" w:lineRule="exact"/>
              <w:ind w:left="63" w:right="63"/>
              <w:rPr>
                <w:rFonts w:eastAsia="仿宋_GB2312"/>
                <w:sz w:val="28"/>
                <w:szCs w:val="28"/>
              </w:rPr>
            </w:pPr>
          </w:p>
        </w:tc>
        <w:tc>
          <w:tcPr>
            <w:tcW w:w="1134" w:type="dxa"/>
            <w:vAlign w:val="center"/>
          </w:tcPr>
          <w:p>
            <w:pPr>
              <w:keepNext/>
              <w:spacing w:line="440" w:lineRule="exact"/>
              <w:ind w:left="63" w:right="63"/>
              <w:rPr>
                <w:rFonts w:eastAsia="仿宋_GB2312"/>
                <w:sz w:val="30"/>
                <w:szCs w:val="30"/>
              </w:rPr>
            </w:pPr>
          </w:p>
        </w:tc>
        <w:tc>
          <w:tcPr>
            <w:tcW w:w="1134" w:type="dxa"/>
            <w:vAlign w:val="center"/>
          </w:tcPr>
          <w:p>
            <w:pPr>
              <w:keepNext/>
              <w:spacing w:line="440" w:lineRule="exact"/>
              <w:ind w:left="63" w:right="63"/>
              <w:rPr>
                <w:rFonts w:eastAsia="仿宋_GB2312"/>
                <w:sz w:val="30"/>
                <w:szCs w:val="30"/>
              </w:rPr>
            </w:pPr>
          </w:p>
        </w:tc>
        <w:tc>
          <w:tcPr>
            <w:tcW w:w="4252" w:type="dxa"/>
            <w:vAlign w:val="center"/>
          </w:tcPr>
          <w:p>
            <w:pPr>
              <w:keepNext/>
              <w:spacing w:line="440" w:lineRule="exact"/>
              <w:ind w:left="63" w:right="63"/>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keepNext/>
              <w:spacing w:line="440" w:lineRule="exact"/>
              <w:ind w:left="63" w:right="63"/>
              <w:rPr>
                <w:rFonts w:eastAsia="仿宋_GB2312"/>
                <w:sz w:val="28"/>
                <w:szCs w:val="28"/>
              </w:rPr>
            </w:pPr>
          </w:p>
        </w:tc>
        <w:tc>
          <w:tcPr>
            <w:tcW w:w="1418" w:type="dxa"/>
            <w:vAlign w:val="center"/>
          </w:tcPr>
          <w:p>
            <w:pPr>
              <w:keepNext/>
              <w:spacing w:line="440" w:lineRule="exact"/>
              <w:ind w:left="63" w:right="63"/>
              <w:rPr>
                <w:rFonts w:eastAsia="仿宋_GB2312"/>
                <w:sz w:val="28"/>
                <w:szCs w:val="28"/>
              </w:rPr>
            </w:pPr>
          </w:p>
        </w:tc>
        <w:tc>
          <w:tcPr>
            <w:tcW w:w="1134" w:type="dxa"/>
            <w:vAlign w:val="center"/>
          </w:tcPr>
          <w:p>
            <w:pPr>
              <w:keepNext/>
              <w:spacing w:line="440" w:lineRule="exact"/>
              <w:ind w:left="63" w:right="63"/>
              <w:rPr>
                <w:rFonts w:eastAsia="仿宋_GB2312"/>
                <w:sz w:val="30"/>
                <w:szCs w:val="30"/>
              </w:rPr>
            </w:pPr>
          </w:p>
        </w:tc>
        <w:tc>
          <w:tcPr>
            <w:tcW w:w="1134" w:type="dxa"/>
            <w:vAlign w:val="center"/>
          </w:tcPr>
          <w:p>
            <w:pPr>
              <w:keepNext/>
              <w:spacing w:line="440" w:lineRule="exact"/>
              <w:ind w:left="63" w:right="63"/>
              <w:rPr>
                <w:rFonts w:eastAsia="仿宋_GB2312"/>
                <w:sz w:val="30"/>
                <w:szCs w:val="30"/>
              </w:rPr>
            </w:pPr>
          </w:p>
        </w:tc>
        <w:tc>
          <w:tcPr>
            <w:tcW w:w="4252" w:type="dxa"/>
            <w:vAlign w:val="center"/>
          </w:tcPr>
          <w:p>
            <w:pPr>
              <w:keepNext/>
              <w:spacing w:line="440" w:lineRule="exact"/>
              <w:ind w:left="63" w:right="63"/>
              <w:rPr>
                <w:rFonts w:eastAsia="仿宋_GB2312"/>
                <w:sz w:val="30"/>
                <w:szCs w:val="30"/>
              </w:rPr>
            </w:pPr>
          </w:p>
        </w:tc>
      </w:tr>
    </w:tbl>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r>
        <w:rPr>
          <w:rFonts w:hint="eastAsia" w:ascii="宋体" w:hAnsi="宋体" w:cs="宋体"/>
          <w:szCs w:val="22"/>
        </w:rPr>
        <w:br w:type="page"/>
      </w:r>
      <w:r>
        <w:rPr>
          <w:rFonts w:hint="eastAsia" w:ascii="宋体" w:hAnsi="宋体" w:cs="宋体"/>
          <w:szCs w:val="22"/>
        </w:rPr>
        <w:t>附件7：</w:t>
      </w:r>
    </w:p>
    <w:p>
      <w:pPr>
        <w:spacing w:line="400" w:lineRule="exact"/>
        <w:ind w:firstLine="420" w:firstLineChars="200"/>
        <w:rPr>
          <w:rFonts w:ascii="宋体" w:hAnsi="宋体" w:cs="宋体"/>
          <w:szCs w:val="22"/>
        </w:rPr>
      </w:pPr>
      <w:r>
        <w:rPr>
          <w:rFonts w:hint="eastAsia" w:ascii="宋体" w:hAnsi="宋体" w:cs="宋体"/>
          <w:szCs w:val="22"/>
        </w:rPr>
        <w:t>广西壮族自治区</w:t>
      </w:r>
    </w:p>
    <w:p>
      <w:pPr>
        <w:spacing w:line="400" w:lineRule="exact"/>
        <w:ind w:firstLine="378" w:firstLineChars="200"/>
        <w:rPr>
          <w:rFonts w:ascii="宋体" w:hAnsi="宋体" w:cs="宋体"/>
          <w:w w:val="90"/>
          <w:szCs w:val="22"/>
        </w:rPr>
      </w:pPr>
      <w:r>
        <w:rPr>
          <w:rFonts w:hint="eastAsia" w:ascii="宋体" w:hAnsi="宋体" w:cs="宋体"/>
          <w:w w:val="90"/>
          <w:szCs w:val="22"/>
        </w:rPr>
        <w:t>建设工程安全文明施工措施项目清单内容</w:t>
      </w:r>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tcBorders>
              <w:top w:val="single" w:color="auto" w:sz="12" w:space="0"/>
              <w:left w:val="single" w:color="auto" w:sz="12" w:space="0"/>
              <w:bottom w:val="single" w:color="auto" w:sz="4" w:space="0"/>
              <w:right w:val="single" w:color="auto" w:sz="4" w:space="0"/>
            </w:tcBorders>
            <w:vAlign w:val="center"/>
          </w:tcPr>
          <w:p>
            <w:pPr>
              <w:spacing w:line="400" w:lineRule="exact"/>
              <w:ind w:firstLine="420" w:firstLineChars="200"/>
              <w:rPr>
                <w:rFonts w:ascii="宋体" w:hAnsi="宋体" w:cs="宋体"/>
                <w:szCs w:val="24"/>
              </w:rPr>
            </w:pPr>
            <w:r>
              <w:rPr>
                <w:rFonts w:hint="eastAsia" w:ascii="宋体" w:hAnsi="宋体" w:cs="宋体"/>
                <w:szCs w:val="22"/>
              </w:rPr>
              <w:t>类别</w:t>
            </w:r>
          </w:p>
        </w:tc>
        <w:tc>
          <w:tcPr>
            <w:tcW w:w="2070" w:type="dxa"/>
            <w:gridSpan w:val="2"/>
            <w:tcBorders>
              <w:top w:val="single" w:color="auto" w:sz="12"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4"/>
              </w:rPr>
            </w:pPr>
            <w:r>
              <w:rPr>
                <w:rFonts w:hint="eastAsia" w:ascii="宋体" w:hAnsi="宋体" w:cs="宋体"/>
                <w:szCs w:val="22"/>
              </w:rPr>
              <w:t>项目名称</w:t>
            </w:r>
          </w:p>
        </w:tc>
        <w:tc>
          <w:tcPr>
            <w:tcW w:w="6645" w:type="dxa"/>
            <w:tcBorders>
              <w:top w:val="single" w:color="auto" w:sz="12" w:space="0"/>
              <w:left w:val="single" w:color="auto" w:sz="4" w:space="0"/>
              <w:bottom w:val="single" w:color="auto" w:sz="4" w:space="0"/>
              <w:right w:val="single" w:color="auto" w:sz="12" w:space="0"/>
            </w:tcBorders>
            <w:vAlign w:val="center"/>
          </w:tcPr>
          <w:p>
            <w:pPr>
              <w:spacing w:line="400" w:lineRule="exact"/>
              <w:ind w:firstLine="420" w:firstLineChars="200"/>
              <w:rPr>
                <w:rFonts w:ascii="宋体" w:hAnsi="宋体" w:cs="宋体"/>
                <w:szCs w:val="24"/>
              </w:rPr>
            </w:pPr>
            <w:r>
              <w:rPr>
                <w:rFonts w:hint="eastAsia" w:ascii="宋体" w:hAnsi="宋体" w:cs="宋体"/>
                <w:szCs w:val="22"/>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12"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文明</w:t>
            </w:r>
          </w:p>
          <w:p>
            <w:pPr>
              <w:spacing w:line="400" w:lineRule="exact"/>
              <w:ind w:firstLine="420" w:firstLineChars="200"/>
              <w:rPr>
                <w:rFonts w:ascii="宋体" w:hAnsi="宋体" w:cs="宋体"/>
                <w:szCs w:val="22"/>
              </w:rPr>
            </w:pPr>
            <w:r>
              <w:rPr>
                <w:rFonts w:hint="eastAsia" w:ascii="宋体" w:hAnsi="宋体" w:cs="宋体"/>
                <w:szCs w:val="22"/>
              </w:rPr>
              <w:t>施工</w:t>
            </w:r>
          </w:p>
          <w:p>
            <w:pPr>
              <w:spacing w:line="400" w:lineRule="exact"/>
              <w:ind w:firstLine="420" w:firstLineChars="200"/>
              <w:rPr>
                <w:rFonts w:ascii="宋体" w:hAnsi="宋体" w:cs="宋体"/>
                <w:szCs w:val="22"/>
              </w:rPr>
            </w:pPr>
            <w:r>
              <w:rPr>
                <w:rFonts w:hint="eastAsia" w:ascii="宋体" w:hAnsi="宋体" w:cs="宋体"/>
                <w:szCs w:val="22"/>
              </w:rPr>
              <w:t>与</w:t>
            </w:r>
          </w:p>
          <w:p>
            <w:pPr>
              <w:spacing w:line="400" w:lineRule="exact"/>
              <w:ind w:firstLine="420" w:firstLineChars="200"/>
              <w:rPr>
                <w:rFonts w:ascii="宋体" w:hAnsi="宋体" w:cs="宋体"/>
                <w:szCs w:val="22"/>
              </w:rPr>
            </w:pPr>
            <w:r>
              <w:rPr>
                <w:rFonts w:hint="eastAsia" w:ascii="宋体" w:hAnsi="宋体" w:cs="宋体"/>
                <w:szCs w:val="22"/>
              </w:rPr>
              <w:t>环境</w:t>
            </w:r>
          </w:p>
          <w:p>
            <w:pPr>
              <w:spacing w:line="400" w:lineRule="exact"/>
              <w:ind w:firstLine="420" w:firstLineChars="200"/>
              <w:rPr>
                <w:rFonts w:ascii="宋体" w:hAnsi="宋体" w:cs="宋体"/>
                <w:szCs w:val="22"/>
              </w:rPr>
            </w:pPr>
            <w:r>
              <w:rPr>
                <w:rFonts w:hint="eastAsia" w:ascii="宋体" w:hAnsi="宋体" w:cs="宋体"/>
                <w:szCs w:val="22"/>
              </w:rPr>
              <w:t>保护</w:t>
            </w: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安全警示</w:t>
            </w:r>
          </w:p>
          <w:p>
            <w:pPr>
              <w:spacing w:line="400" w:lineRule="exact"/>
              <w:ind w:firstLine="420" w:firstLineChars="200"/>
              <w:rPr>
                <w:rFonts w:ascii="宋体" w:hAnsi="宋体" w:cs="宋体"/>
                <w:szCs w:val="22"/>
              </w:rPr>
            </w:pPr>
            <w:r>
              <w:rPr>
                <w:rFonts w:hint="eastAsia" w:ascii="宋体" w:hAnsi="宋体" w:cs="宋体"/>
                <w:szCs w:val="22"/>
              </w:rPr>
              <w:t>标志牌</w:t>
            </w:r>
          </w:p>
        </w:tc>
        <w:tc>
          <w:tcPr>
            <w:tcW w:w="6645" w:type="dxa"/>
            <w:tcBorders>
              <w:top w:val="single" w:color="auto" w:sz="4" w:space="0"/>
              <w:left w:val="single" w:color="auto" w:sz="4" w:space="0"/>
              <w:bottom w:val="single" w:color="auto" w:sz="4" w:space="0"/>
              <w:right w:val="single" w:color="auto" w:sz="12"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现场围挡</w:t>
            </w:r>
          </w:p>
        </w:tc>
        <w:tc>
          <w:tcPr>
            <w:tcW w:w="6645" w:type="dxa"/>
            <w:tcBorders>
              <w:top w:val="single" w:color="auto" w:sz="4" w:space="0"/>
              <w:left w:val="single" w:color="auto" w:sz="4" w:space="0"/>
              <w:bottom w:val="single" w:color="auto" w:sz="4" w:space="0"/>
              <w:right w:val="single" w:color="auto" w:sz="12"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1. 现场采用封闭围挡，高度不小于1.8m。</w:t>
            </w:r>
          </w:p>
          <w:p>
            <w:pPr>
              <w:spacing w:line="400" w:lineRule="exact"/>
              <w:ind w:firstLine="420" w:firstLineChars="200"/>
              <w:rPr>
                <w:rFonts w:ascii="宋体" w:hAnsi="宋体" w:cs="宋体"/>
                <w:szCs w:val="22"/>
              </w:rPr>
            </w:pPr>
            <w:r>
              <w:rPr>
                <w:rFonts w:hint="eastAsia" w:ascii="宋体" w:hAnsi="宋体" w:cs="宋体"/>
                <w:szCs w:val="22"/>
              </w:rPr>
              <w:t>2. 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七牌二图</w:t>
            </w:r>
          </w:p>
        </w:tc>
        <w:tc>
          <w:tcPr>
            <w:tcW w:w="6645" w:type="dxa"/>
            <w:tcBorders>
              <w:top w:val="single" w:color="auto" w:sz="4" w:space="0"/>
              <w:left w:val="single" w:color="auto" w:sz="4" w:space="0"/>
              <w:bottom w:val="single" w:color="auto" w:sz="4" w:space="0"/>
              <w:right w:val="single" w:color="auto" w:sz="12"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tcBorders>
              <w:top w:val="single" w:color="auto" w:sz="4" w:space="0"/>
              <w:left w:val="single" w:color="auto" w:sz="12"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企业标志</w:t>
            </w:r>
          </w:p>
        </w:tc>
        <w:tc>
          <w:tcPr>
            <w:tcW w:w="6645" w:type="dxa"/>
            <w:tcBorders>
              <w:top w:val="single" w:color="auto" w:sz="4" w:space="0"/>
              <w:left w:val="single" w:color="auto" w:sz="4" w:space="0"/>
              <w:bottom w:val="single" w:color="auto" w:sz="4" w:space="0"/>
              <w:right w:val="single" w:color="auto" w:sz="12"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场容场貌</w:t>
            </w:r>
          </w:p>
        </w:tc>
        <w:tc>
          <w:tcPr>
            <w:tcW w:w="6645" w:type="dxa"/>
            <w:tcBorders>
              <w:top w:val="single" w:color="auto" w:sz="4" w:space="0"/>
              <w:left w:val="single" w:color="auto" w:sz="4" w:space="0"/>
              <w:bottom w:val="single" w:color="auto" w:sz="4" w:space="0"/>
              <w:right w:val="single" w:color="auto" w:sz="12"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1. 道路畅通。</w:t>
            </w:r>
          </w:p>
          <w:p>
            <w:pPr>
              <w:spacing w:line="400" w:lineRule="exact"/>
              <w:ind w:firstLine="420" w:firstLineChars="200"/>
              <w:rPr>
                <w:rFonts w:ascii="宋体" w:hAnsi="宋体" w:cs="宋体"/>
                <w:szCs w:val="22"/>
              </w:rPr>
            </w:pPr>
            <w:r>
              <w:rPr>
                <w:rFonts w:hint="eastAsia" w:ascii="宋体" w:hAnsi="宋体" w:cs="宋体"/>
                <w:szCs w:val="22"/>
              </w:rPr>
              <w:t>2. 排水设施齐全畅通。</w:t>
            </w:r>
          </w:p>
          <w:p>
            <w:pPr>
              <w:spacing w:line="400" w:lineRule="exact"/>
              <w:ind w:firstLine="420" w:firstLineChars="200"/>
              <w:rPr>
                <w:rFonts w:ascii="宋体" w:hAnsi="宋体" w:cs="宋体"/>
                <w:szCs w:val="22"/>
              </w:rPr>
            </w:pPr>
            <w:r>
              <w:rPr>
                <w:rFonts w:hint="eastAsia" w:ascii="宋体" w:hAnsi="宋体" w:cs="宋体"/>
                <w:szCs w:val="22"/>
              </w:rPr>
              <w:t>3. 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材料堆放</w:t>
            </w:r>
          </w:p>
        </w:tc>
        <w:tc>
          <w:tcPr>
            <w:tcW w:w="6645" w:type="dxa"/>
            <w:tcBorders>
              <w:top w:val="single" w:color="auto" w:sz="4" w:space="0"/>
              <w:left w:val="single" w:color="auto" w:sz="4" w:space="0"/>
              <w:bottom w:val="single" w:color="auto" w:sz="4" w:space="0"/>
              <w:right w:val="single" w:color="auto" w:sz="12" w:space="0"/>
            </w:tcBorders>
            <w:vAlign w:val="center"/>
          </w:tcPr>
          <w:p>
            <w:pPr>
              <w:numPr>
                <w:ilvl w:val="0"/>
                <w:numId w:val="14"/>
              </w:numPr>
              <w:spacing w:line="400" w:lineRule="exact"/>
              <w:rPr>
                <w:rFonts w:ascii="宋体" w:hAnsi="宋体" w:cs="宋体"/>
                <w:szCs w:val="22"/>
              </w:rPr>
            </w:pPr>
            <w:r>
              <w:rPr>
                <w:rFonts w:hint="eastAsia" w:ascii="宋体" w:hAnsi="宋体" w:cs="宋体"/>
                <w:szCs w:val="22"/>
              </w:rPr>
              <w:t>材料、构件、料具等堆放时，应有名称、品种、规格等标牌。</w:t>
            </w:r>
          </w:p>
          <w:p>
            <w:pPr>
              <w:spacing w:line="400" w:lineRule="exact"/>
              <w:ind w:firstLine="420" w:firstLineChars="200"/>
              <w:rPr>
                <w:rFonts w:ascii="宋体" w:hAnsi="宋体" w:cs="宋体"/>
                <w:szCs w:val="22"/>
              </w:rPr>
            </w:pPr>
            <w:r>
              <w:rPr>
                <w:rFonts w:hint="eastAsia" w:ascii="宋体" w:hAnsi="宋体" w:cs="宋体"/>
                <w:szCs w:val="22"/>
              </w:rPr>
              <w:t>2. 水泥和其它易飞扬细颗粒建筑材料应封闭存放或采取覆盖等措施。</w:t>
            </w:r>
          </w:p>
          <w:p>
            <w:pPr>
              <w:spacing w:line="400" w:lineRule="exact"/>
              <w:ind w:firstLine="420" w:firstLineChars="200"/>
              <w:rPr>
                <w:rFonts w:ascii="宋体" w:hAnsi="宋体" w:cs="宋体"/>
                <w:szCs w:val="22"/>
              </w:rPr>
            </w:pPr>
            <w:r>
              <w:rPr>
                <w:rFonts w:hint="eastAsia" w:ascii="宋体" w:hAnsi="宋体" w:cs="宋体"/>
                <w:szCs w:val="22"/>
              </w:rPr>
              <w:t>3. 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12"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现场防火</w:t>
            </w:r>
          </w:p>
        </w:tc>
        <w:tc>
          <w:tcPr>
            <w:tcW w:w="6645" w:type="dxa"/>
            <w:tcBorders>
              <w:top w:val="single" w:color="auto" w:sz="4" w:space="0"/>
              <w:left w:val="single" w:color="auto" w:sz="4" w:space="0"/>
              <w:bottom w:val="single" w:color="auto" w:sz="4" w:space="0"/>
              <w:right w:val="single" w:color="auto" w:sz="12"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垃圾清运</w:t>
            </w:r>
          </w:p>
        </w:tc>
        <w:tc>
          <w:tcPr>
            <w:tcW w:w="6645" w:type="dxa"/>
            <w:tcBorders>
              <w:top w:val="single" w:color="auto" w:sz="4" w:space="0"/>
              <w:left w:val="single" w:color="auto" w:sz="4" w:space="0"/>
              <w:bottom w:val="single" w:color="auto" w:sz="4" w:space="0"/>
              <w:right w:val="single" w:color="auto" w:sz="12"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1. 施工现场应设置密闭式垃圾站，施工垃圾、生活垃圾应分类存放。</w:t>
            </w:r>
          </w:p>
          <w:p>
            <w:pPr>
              <w:spacing w:line="400" w:lineRule="exact"/>
              <w:ind w:firstLine="420" w:firstLineChars="200"/>
              <w:rPr>
                <w:rFonts w:ascii="宋体" w:hAnsi="宋体" w:cs="宋体"/>
                <w:szCs w:val="22"/>
              </w:rPr>
            </w:pPr>
            <w:r>
              <w:rPr>
                <w:rFonts w:hint="eastAsia" w:ascii="宋体" w:hAnsi="宋体" w:cs="宋体"/>
                <w:szCs w:val="22"/>
              </w:rPr>
              <w:t>2. 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宣传栏、环保及不扰民措施</w:t>
            </w:r>
          </w:p>
        </w:tc>
        <w:tc>
          <w:tcPr>
            <w:tcW w:w="6645" w:type="dxa"/>
            <w:tcBorders>
              <w:top w:val="single" w:color="auto" w:sz="4" w:space="0"/>
              <w:left w:val="single" w:color="auto" w:sz="4" w:space="0"/>
              <w:bottom w:val="single" w:color="auto" w:sz="4" w:space="0"/>
              <w:right w:val="single" w:color="auto" w:sz="12"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12"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临时设施</w:t>
            </w: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现场办公</w:t>
            </w:r>
          </w:p>
          <w:p>
            <w:pPr>
              <w:spacing w:line="400" w:lineRule="exact"/>
              <w:ind w:firstLine="420" w:firstLineChars="200"/>
              <w:rPr>
                <w:rFonts w:ascii="宋体" w:hAnsi="宋体" w:cs="宋体"/>
                <w:szCs w:val="22"/>
              </w:rPr>
            </w:pPr>
            <w:r>
              <w:rPr>
                <w:rFonts w:hint="eastAsia" w:ascii="宋体" w:hAnsi="宋体" w:cs="宋体"/>
                <w:szCs w:val="22"/>
              </w:rPr>
              <w:t>生活设施</w:t>
            </w:r>
          </w:p>
        </w:tc>
        <w:tc>
          <w:tcPr>
            <w:tcW w:w="6645" w:type="dxa"/>
            <w:tcBorders>
              <w:top w:val="single" w:color="auto" w:sz="4" w:space="0"/>
              <w:left w:val="single" w:color="auto" w:sz="4" w:space="0"/>
              <w:bottom w:val="single" w:color="auto" w:sz="4" w:space="0"/>
              <w:right w:val="single" w:color="auto" w:sz="12"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1. 施工现场办公、生活区与作业区分开设置，保持安全距离。</w:t>
            </w:r>
          </w:p>
          <w:p>
            <w:pPr>
              <w:spacing w:line="400" w:lineRule="exact"/>
              <w:ind w:firstLine="420" w:firstLineChars="200"/>
              <w:rPr>
                <w:rFonts w:ascii="宋体" w:hAnsi="宋体" w:cs="宋体"/>
                <w:szCs w:val="22"/>
              </w:rPr>
            </w:pPr>
            <w:r>
              <w:rPr>
                <w:rFonts w:hint="eastAsia" w:ascii="宋体" w:hAnsi="宋体" w:cs="宋体"/>
                <w:szCs w:val="22"/>
              </w:rPr>
              <w:t>2. 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p>
        </w:tc>
        <w:tc>
          <w:tcPr>
            <w:tcW w:w="52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施工现场</w:t>
            </w:r>
          </w:p>
          <w:p>
            <w:pPr>
              <w:spacing w:line="400" w:lineRule="exact"/>
              <w:ind w:firstLine="420" w:firstLineChars="200"/>
              <w:rPr>
                <w:rFonts w:ascii="宋体" w:hAnsi="宋体" w:cs="宋体"/>
                <w:szCs w:val="22"/>
              </w:rPr>
            </w:pPr>
            <w:r>
              <w:rPr>
                <w:rFonts w:hint="eastAsia" w:ascii="宋体" w:hAnsi="宋体" w:cs="宋体"/>
                <w:szCs w:val="22"/>
              </w:rPr>
              <w:t>临时用电</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配电线路</w:t>
            </w:r>
          </w:p>
        </w:tc>
        <w:tc>
          <w:tcPr>
            <w:tcW w:w="6645" w:type="dxa"/>
            <w:tcBorders>
              <w:top w:val="single" w:color="auto" w:sz="4" w:space="0"/>
              <w:left w:val="single" w:color="auto" w:sz="4" w:space="0"/>
              <w:bottom w:val="single" w:color="auto" w:sz="4" w:space="0"/>
              <w:right w:val="single" w:color="auto" w:sz="12"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1. 按照TN-S系统要求配备五芯电缆、四芯电缆和三芯电缆。</w:t>
            </w:r>
          </w:p>
          <w:p>
            <w:pPr>
              <w:spacing w:line="400" w:lineRule="exact"/>
              <w:ind w:firstLine="420" w:firstLineChars="200"/>
              <w:rPr>
                <w:rFonts w:ascii="宋体" w:hAnsi="宋体" w:cs="宋体"/>
                <w:szCs w:val="22"/>
              </w:rPr>
            </w:pPr>
            <w:r>
              <w:rPr>
                <w:rFonts w:hint="eastAsia" w:ascii="宋体" w:hAnsi="宋体" w:cs="宋体"/>
                <w:szCs w:val="22"/>
              </w:rPr>
              <w:t>2. 按要求架设临时用电线路的电杆、横担、瓷夹、瓷瓶等，或电缆埋地的地沟。</w:t>
            </w:r>
          </w:p>
          <w:p>
            <w:pPr>
              <w:spacing w:line="400" w:lineRule="exact"/>
              <w:ind w:firstLine="420" w:firstLineChars="200"/>
              <w:rPr>
                <w:rFonts w:ascii="宋体" w:hAnsi="宋体" w:cs="宋体"/>
                <w:szCs w:val="22"/>
              </w:rPr>
            </w:pPr>
            <w:r>
              <w:rPr>
                <w:rFonts w:hint="eastAsia" w:ascii="宋体" w:hAnsi="宋体" w:cs="宋体"/>
                <w:szCs w:val="22"/>
              </w:rPr>
              <w:t>3. 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配电箱</w:t>
            </w:r>
          </w:p>
          <w:p>
            <w:pPr>
              <w:spacing w:line="400" w:lineRule="exact"/>
              <w:ind w:firstLine="420" w:firstLineChars="200"/>
              <w:rPr>
                <w:rFonts w:ascii="宋体" w:hAnsi="宋体" w:cs="宋体"/>
                <w:szCs w:val="22"/>
              </w:rPr>
            </w:pPr>
            <w:r>
              <w:rPr>
                <w:rFonts w:hint="eastAsia" w:ascii="宋体" w:hAnsi="宋体" w:cs="宋体"/>
                <w:szCs w:val="22"/>
              </w:rPr>
              <w:t>开关箱</w:t>
            </w:r>
          </w:p>
        </w:tc>
        <w:tc>
          <w:tcPr>
            <w:tcW w:w="6645" w:type="dxa"/>
            <w:tcBorders>
              <w:top w:val="single" w:color="auto" w:sz="4" w:space="0"/>
              <w:left w:val="single" w:color="auto" w:sz="4" w:space="0"/>
              <w:bottom w:val="single" w:color="auto" w:sz="4" w:space="0"/>
              <w:right w:val="single" w:color="auto" w:sz="12"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1. 按三级配电要求，配备总配电箱、分配电箱、开关箱三类（铁质）标准电箱，开关箱应符合“一机、一箱、一闸、一漏”，三类电箱中的各类电器应是合格品。</w:t>
            </w:r>
          </w:p>
          <w:p>
            <w:pPr>
              <w:spacing w:line="400" w:lineRule="exact"/>
              <w:ind w:firstLine="420" w:firstLineChars="200"/>
              <w:rPr>
                <w:rFonts w:ascii="宋体" w:hAnsi="宋体" w:cs="宋体"/>
                <w:szCs w:val="22"/>
              </w:rPr>
            </w:pPr>
            <w:r>
              <w:rPr>
                <w:rFonts w:hint="eastAsia" w:ascii="宋体" w:hAnsi="宋体" w:cs="宋体"/>
                <w:szCs w:val="22"/>
              </w:rPr>
              <w:t>2. 按两级保护的要求，选取符合容量要求和质量合格的总配电箱和开关箱中的漏电保护器。</w:t>
            </w:r>
          </w:p>
          <w:p>
            <w:pPr>
              <w:spacing w:line="400" w:lineRule="exact"/>
              <w:ind w:firstLine="420" w:firstLineChars="200"/>
              <w:rPr>
                <w:rFonts w:ascii="宋体" w:hAnsi="宋体" w:cs="宋体"/>
                <w:szCs w:val="22"/>
              </w:rPr>
            </w:pPr>
            <w:r>
              <w:rPr>
                <w:rFonts w:hint="eastAsia" w:ascii="宋体" w:hAnsi="宋体" w:cs="宋体"/>
                <w:szCs w:val="22"/>
              </w:rPr>
              <w:t>3. 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tcBorders>
              <w:top w:val="single" w:color="auto" w:sz="4" w:space="0"/>
              <w:left w:val="single" w:color="auto" w:sz="12"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接地装置</w:t>
            </w:r>
          </w:p>
        </w:tc>
        <w:tc>
          <w:tcPr>
            <w:tcW w:w="6645" w:type="dxa"/>
            <w:tcBorders>
              <w:top w:val="single" w:color="auto" w:sz="4" w:space="0"/>
              <w:left w:val="single" w:color="auto" w:sz="4" w:space="0"/>
              <w:bottom w:val="single" w:color="auto" w:sz="4" w:space="0"/>
              <w:right w:val="single" w:color="auto" w:sz="12"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tcBorders>
              <w:top w:val="single" w:color="auto" w:sz="4" w:space="0"/>
              <w:left w:val="single" w:color="auto" w:sz="12"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现场变配电装置</w:t>
            </w:r>
          </w:p>
        </w:tc>
        <w:tc>
          <w:tcPr>
            <w:tcW w:w="6645" w:type="dxa"/>
            <w:tcBorders>
              <w:top w:val="single" w:color="auto" w:sz="4" w:space="0"/>
              <w:left w:val="single" w:color="auto" w:sz="4" w:space="0"/>
              <w:bottom w:val="single" w:color="auto" w:sz="4" w:space="0"/>
              <w:right w:val="single" w:color="auto" w:sz="12"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8" w:type="dxa"/>
            <w:tcBorders>
              <w:top w:val="single" w:color="auto" w:sz="4" w:space="0"/>
              <w:left w:val="single" w:color="auto" w:sz="12" w:space="0"/>
              <w:bottom w:val="single" w:color="auto" w:sz="4" w:space="0"/>
              <w:right w:val="single" w:color="auto" w:sz="4" w:space="0"/>
            </w:tcBorders>
            <w:vAlign w:val="center"/>
          </w:tcPr>
          <w:p>
            <w:pPr>
              <w:spacing w:line="400" w:lineRule="exact"/>
              <w:ind w:firstLine="420" w:firstLineChars="200"/>
              <w:rPr>
                <w:rFonts w:ascii="宋体" w:hAnsi="宋体" w:cs="宋体"/>
                <w:szCs w:val="24"/>
              </w:rPr>
            </w:pPr>
            <w:r>
              <w:rPr>
                <w:rFonts w:hint="eastAsia" w:ascii="宋体" w:hAnsi="宋体" w:cs="宋体"/>
                <w:szCs w:val="22"/>
              </w:rPr>
              <w:t>类别</w:t>
            </w: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4"/>
              </w:rPr>
            </w:pPr>
            <w:r>
              <w:rPr>
                <w:rFonts w:hint="eastAsia" w:ascii="宋体" w:hAnsi="宋体" w:cs="宋体"/>
                <w:szCs w:val="22"/>
              </w:rPr>
              <w:t>项目名称</w:t>
            </w:r>
          </w:p>
        </w:tc>
        <w:tc>
          <w:tcPr>
            <w:tcW w:w="6645" w:type="dxa"/>
            <w:tcBorders>
              <w:top w:val="single" w:color="auto" w:sz="4" w:space="0"/>
              <w:left w:val="single" w:color="auto" w:sz="4" w:space="0"/>
              <w:bottom w:val="single" w:color="auto" w:sz="4" w:space="0"/>
              <w:right w:val="single" w:color="auto" w:sz="12" w:space="0"/>
            </w:tcBorders>
            <w:vAlign w:val="center"/>
          </w:tcPr>
          <w:p>
            <w:pPr>
              <w:spacing w:line="400" w:lineRule="exact"/>
              <w:ind w:firstLine="420" w:firstLineChars="200"/>
              <w:rPr>
                <w:rFonts w:ascii="宋体" w:hAnsi="宋体" w:cs="宋体"/>
                <w:szCs w:val="24"/>
              </w:rPr>
            </w:pPr>
            <w:r>
              <w:rPr>
                <w:rFonts w:hint="eastAsia" w:ascii="宋体" w:hAnsi="宋体" w:cs="宋体"/>
                <w:szCs w:val="22"/>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12"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安全施工</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高处作业防护</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楼层、屋面、阳台等临边</w:t>
            </w:r>
          </w:p>
        </w:tc>
        <w:tc>
          <w:tcPr>
            <w:tcW w:w="6645" w:type="dxa"/>
            <w:tcBorders>
              <w:top w:val="single" w:color="auto" w:sz="4" w:space="0"/>
              <w:left w:val="single" w:color="auto" w:sz="4" w:space="0"/>
              <w:bottom w:val="single" w:color="auto" w:sz="4" w:space="0"/>
              <w:right w:val="single" w:color="auto" w:sz="12"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设两道防护栏杆和18cm高的踢脚板，用密目式安全立网全封闭。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通道口</w:t>
            </w:r>
          </w:p>
        </w:tc>
        <w:tc>
          <w:tcPr>
            <w:tcW w:w="6645" w:type="dxa"/>
            <w:tcBorders>
              <w:top w:val="single" w:color="auto" w:sz="4" w:space="0"/>
              <w:left w:val="single" w:color="auto" w:sz="4" w:space="0"/>
              <w:bottom w:val="single" w:color="auto" w:sz="4" w:space="0"/>
              <w:right w:val="single" w:color="auto" w:sz="12"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设防护棚，防护棚应为不小于5cm厚的木板或两道相距50cm的竹笆。两侧应沿栏杆架用密目式安全网封闭。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预留洞口</w:t>
            </w:r>
          </w:p>
        </w:tc>
        <w:tc>
          <w:tcPr>
            <w:tcW w:w="6645" w:type="dxa"/>
            <w:tcBorders>
              <w:top w:val="single" w:color="auto" w:sz="4" w:space="0"/>
              <w:left w:val="single" w:color="auto" w:sz="4" w:space="0"/>
              <w:bottom w:val="single" w:color="auto" w:sz="4" w:space="0"/>
              <w:right w:val="single" w:color="auto" w:sz="12"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用硬质材料全封闭，短边超过1.5m长的洞口，除封闭外四周还应设有防护栏杆。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tcBorders>
              <w:top w:val="single" w:color="auto" w:sz="4" w:space="0"/>
              <w:left w:val="single" w:color="auto" w:sz="12"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电梯井口</w:t>
            </w:r>
          </w:p>
        </w:tc>
        <w:tc>
          <w:tcPr>
            <w:tcW w:w="6645" w:type="dxa"/>
            <w:tcBorders>
              <w:top w:val="single" w:color="auto" w:sz="4" w:space="0"/>
              <w:left w:val="single" w:color="auto" w:sz="4" w:space="0"/>
              <w:bottom w:val="single" w:color="auto" w:sz="4" w:space="0"/>
              <w:right w:val="single" w:color="auto" w:sz="12"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设置定型化、工具化的防护门，在电梯井内每隔2层（不大于10m）设置一道水平防护。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楼梯边</w:t>
            </w:r>
          </w:p>
        </w:tc>
        <w:tc>
          <w:tcPr>
            <w:tcW w:w="6645" w:type="dxa"/>
            <w:tcBorders>
              <w:top w:val="single" w:color="auto" w:sz="4" w:space="0"/>
              <w:left w:val="single" w:color="auto" w:sz="4" w:space="0"/>
              <w:bottom w:val="single" w:color="auto" w:sz="4" w:space="0"/>
              <w:right w:val="single" w:color="auto" w:sz="12"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设1.2m高的定型化、工具化的防护栏，18cm高的踢脚板。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垂直方向交叉作业</w:t>
            </w:r>
          </w:p>
        </w:tc>
        <w:tc>
          <w:tcPr>
            <w:tcW w:w="6645" w:type="dxa"/>
            <w:tcBorders>
              <w:top w:val="single" w:color="auto" w:sz="4" w:space="0"/>
              <w:left w:val="single" w:color="auto" w:sz="4" w:space="0"/>
              <w:bottom w:val="single" w:color="auto" w:sz="4" w:space="0"/>
              <w:right w:val="single" w:color="auto" w:sz="12"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高处作业</w:t>
            </w:r>
          </w:p>
        </w:tc>
        <w:tc>
          <w:tcPr>
            <w:tcW w:w="6645" w:type="dxa"/>
            <w:tcBorders>
              <w:top w:val="single" w:color="auto" w:sz="4" w:space="0"/>
              <w:left w:val="single" w:color="auto" w:sz="4" w:space="0"/>
              <w:bottom w:val="single" w:color="auto" w:sz="4" w:space="0"/>
              <w:right w:val="single" w:color="auto" w:sz="12"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基坑、物料平台</w:t>
            </w:r>
          </w:p>
        </w:tc>
        <w:tc>
          <w:tcPr>
            <w:tcW w:w="6645" w:type="dxa"/>
            <w:tcBorders>
              <w:top w:val="single" w:color="auto" w:sz="4" w:space="0"/>
              <w:left w:val="single" w:color="auto" w:sz="4" w:space="0"/>
              <w:bottom w:val="single" w:color="auto" w:sz="4" w:space="0"/>
              <w:right w:val="single" w:color="auto" w:sz="12"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设1.2m高标准化的防护栏，用密目式安全立网封闭，悬挂标识。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安全防护用品</w:t>
            </w:r>
          </w:p>
        </w:tc>
        <w:tc>
          <w:tcPr>
            <w:tcW w:w="6645" w:type="dxa"/>
            <w:tcBorders>
              <w:top w:val="single" w:color="auto" w:sz="4" w:space="0"/>
              <w:left w:val="single" w:color="auto" w:sz="4" w:space="0"/>
              <w:bottom w:val="single" w:color="auto" w:sz="4" w:space="0"/>
              <w:right w:val="single" w:color="auto" w:sz="12"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tcBorders>
              <w:top w:val="single" w:color="auto" w:sz="4" w:space="0"/>
              <w:left w:val="single" w:color="auto" w:sz="12" w:space="0"/>
              <w:bottom w:val="single" w:color="auto" w:sz="12" w:space="0"/>
              <w:right w:val="single" w:color="auto" w:sz="4"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其它</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机械设备防护</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中小型机械</w:t>
            </w:r>
          </w:p>
        </w:tc>
        <w:tc>
          <w:tcPr>
            <w:tcW w:w="6645" w:type="dxa"/>
            <w:tcBorders>
              <w:top w:val="single" w:color="auto" w:sz="4" w:space="0"/>
              <w:left w:val="single" w:color="auto" w:sz="4" w:space="0"/>
              <w:bottom w:val="single" w:color="auto" w:sz="4" w:space="0"/>
              <w:right w:val="single" w:color="auto" w:sz="12"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12" w:space="0"/>
              <w:right w:val="single" w:color="auto" w:sz="4" w:space="0"/>
            </w:tcBorders>
            <w:vAlign w:val="center"/>
          </w:tcPr>
          <w:p>
            <w:pPr>
              <w:spacing w:line="400" w:lineRule="exact"/>
              <w:ind w:firstLine="420" w:firstLineChars="200"/>
              <w:rPr>
                <w:rFonts w:ascii="宋体" w:hAnsi="宋体" w:cs="宋体"/>
                <w:szCs w:val="22"/>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垂直运输设备</w:t>
            </w:r>
          </w:p>
        </w:tc>
        <w:tc>
          <w:tcPr>
            <w:tcW w:w="6645" w:type="dxa"/>
            <w:tcBorders>
              <w:top w:val="single" w:color="auto" w:sz="4" w:space="0"/>
              <w:left w:val="single" w:color="auto" w:sz="4" w:space="0"/>
              <w:bottom w:val="single" w:color="auto" w:sz="4" w:space="0"/>
              <w:right w:val="single" w:color="auto" w:sz="12"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1. 垂直运输设备检测、检验、日常维护、保养等。</w:t>
            </w:r>
          </w:p>
          <w:p>
            <w:pPr>
              <w:spacing w:line="400" w:lineRule="exact"/>
              <w:ind w:firstLine="420" w:firstLineChars="200"/>
              <w:rPr>
                <w:rFonts w:ascii="宋体" w:hAnsi="宋体" w:cs="宋体"/>
                <w:szCs w:val="22"/>
              </w:rPr>
            </w:pPr>
            <w:r>
              <w:rPr>
                <w:rFonts w:hint="eastAsia" w:ascii="宋体" w:hAnsi="宋体" w:cs="宋体"/>
                <w:szCs w:val="22"/>
              </w:rPr>
              <w:t>2. 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12" w:space="0"/>
              <w:bottom w:val="single" w:color="auto" w:sz="12" w:space="0"/>
              <w:right w:val="single" w:color="auto" w:sz="4" w:space="0"/>
            </w:tcBorders>
            <w:vAlign w:val="center"/>
          </w:tcPr>
          <w:p>
            <w:pPr>
              <w:spacing w:line="400" w:lineRule="exact"/>
              <w:ind w:firstLine="420" w:firstLineChars="200"/>
              <w:rPr>
                <w:rFonts w:ascii="宋体" w:hAnsi="宋体" w:cs="宋体"/>
                <w:szCs w:val="22"/>
              </w:rPr>
            </w:pP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专家论证审查</w:t>
            </w:r>
          </w:p>
        </w:tc>
        <w:tc>
          <w:tcPr>
            <w:tcW w:w="6645" w:type="dxa"/>
            <w:tcBorders>
              <w:top w:val="single" w:color="auto" w:sz="4" w:space="0"/>
              <w:left w:val="single" w:color="auto" w:sz="4" w:space="0"/>
              <w:bottom w:val="single" w:color="auto" w:sz="4" w:space="0"/>
              <w:right w:val="single" w:color="auto" w:sz="12"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12" w:space="0"/>
              <w:bottom w:val="single" w:color="auto" w:sz="12" w:space="0"/>
              <w:right w:val="single" w:color="auto" w:sz="4" w:space="0"/>
            </w:tcBorders>
            <w:vAlign w:val="center"/>
          </w:tcPr>
          <w:p>
            <w:pPr>
              <w:spacing w:line="400" w:lineRule="exact"/>
              <w:ind w:firstLine="420" w:firstLineChars="200"/>
              <w:rPr>
                <w:rFonts w:ascii="宋体" w:hAnsi="宋体" w:cs="宋体"/>
                <w:szCs w:val="22"/>
              </w:rPr>
            </w:pP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应急救援预案</w:t>
            </w:r>
          </w:p>
        </w:tc>
        <w:tc>
          <w:tcPr>
            <w:tcW w:w="6645" w:type="dxa"/>
            <w:tcBorders>
              <w:top w:val="single" w:color="auto" w:sz="4" w:space="0"/>
              <w:left w:val="single" w:color="auto" w:sz="4" w:space="0"/>
              <w:bottom w:val="single" w:color="auto" w:sz="4" w:space="0"/>
              <w:right w:val="single" w:color="auto" w:sz="12"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12" w:space="0"/>
              <w:bottom w:val="single" w:color="auto" w:sz="12" w:space="0"/>
              <w:right w:val="single" w:color="auto" w:sz="4" w:space="0"/>
            </w:tcBorders>
            <w:vAlign w:val="center"/>
          </w:tcPr>
          <w:p>
            <w:pPr>
              <w:spacing w:line="400" w:lineRule="exact"/>
              <w:ind w:firstLine="420" w:firstLineChars="200"/>
              <w:rPr>
                <w:rFonts w:ascii="宋体" w:hAnsi="宋体" w:cs="宋体"/>
                <w:szCs w:val="22"/>
              </w:rPr>
            </w:pPr>
          </w:p>
        </w:tc>
        <w:tc>
          <w:tcPr>
            <w:tcW w:w="2070" w:type="dxa"/>
            <w:gridSpan w:val="2"/>
            <w:tcBorders>
              <w:top w:val="single" w:color="auto" w:sz="4" w:space="0"/>
              <w:left w:val="single" w:color="auto" w:sz="4" w:space="0"/>
              <w:bottom w:val="single" w:color="auto" w:sz="12" w:space="0"/>
              <w:right w:val="single" w:color="auto" w:sz="4"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非正常情况施工</w:t>
            </w:r>
          </w:p>
        </w:tc>
        <w:tc>
          <w:tcPr>
            <w:tcW w:w="6645" w:type="dxa"/>
            <w:tcBorders>
              <w:top w:val="single" w:color="auto" w:sz="4" w:space="0"/>
              <w:left w:val="single" w:color="auto" w:sz="4" w:space="0"/>
              <w:bottom w:val="single" w:color="auto" w:sz="12" w:space="0"/>
              <w:right w:val="single" w:color="auto" w:sz="12" w:space="0"/>
            </w:tcBorders>
            <w:vAlign w:val="center"/>
          </w:tcPr>
          <w:p>
            <w:pPr>
              <w:spacing w:line="400" w:lineRule="exact"/>
              <w:ind w:firstLine="420" w:firstLineChars="200"/>
              <w:rPr>
                <w:rFonts w:ascii="宋体" w:hAnsi="宋体" w:cs="宋体"/>
                <w:szCs w:val="22"/>
              </w:rPr>
            </w:pPr>
            <w:r>
              <w:rPr>
                <w:rFonts w:hint="eastAsia" w:ascii="宋体" w:hAnsi="宋体" w:cs="宋体"/>
                <w:szCs w:val="22"/>
              </w:rPr>
              <w:t>其它特殊情况下的防护费用，如：城市主干道、人流密集、河边等处施工及文物、古建筑、古树保护等。</w:t>
            </w:r>
          </w:p>
        </w:tc>
      </w:tr>
    </w:tbl>
    <w:p>
      <w:pPr>
        <w:spacing w:line="400" w:lineRule="exact"/>
        <w:ind w:firstLine="420" w:firstLineChars="200"/>
        <w:rPr>
          <w:rFonts w:ascii="宋体" w:hAnsi="宋体" w:cs="宋体"/>
          <w:szCs w:val="22"/>
        </w:rPr>
      </w:pPr>
      <w:r>
        <w:rPr>
          <w:rFonts w:hint="eastAsia" w:ascii="宋体" w:hAnsi="宋体" w:cs="宋体"/>
          <w:szCs w:val="22"/>
        </w:rPr>
        <w:t>注：本表所列建设工程安全文明施工费，是依据《广西壮族自治区建设工程安全文明施工费使用管理细则》（桂建质[2015]16号）确定的。如法律法规和标准、规范修订，本表所列项目应按照修订后的法律法规和标准规范进行调整。</w:t>
      </w:r>
    </w:p>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bookmarkStart w:id="330" w:name="_Toc267261701"/>
    </w:p>
    <w:p>
      <w:pPr>
        <w:sectPr>
          <w:pgSz w:w="11906" w:h="16838"/>
          <w:pgMar w:top="935" w:right="1106" w:bottom="1440" w:left="1260" w:header="851" w:footer="992" w:gutter="0"/>
          <w:cols w:space="720" w:num="1"/>
          <w:docGrid w:type="lines" w:linePitch="312" w:charSpace="0"/>
        </w:sectPr>
      </w:pPr>
    </w:p>
    <w:p>
      <w:pPr>
        <w:spacing w:line="400" w:lineRule="exact"/>
        <w:ind w:firstLine="420" w:firstLineChars="200"/>
        <w:rPr>
          <w:rFonts w:ascii="宋体" w:hAnsi="宋体" w:cs="宋体"/>
          <w:szCs w:val="22"/>
        </w:rPr>
      </w:pPr>
      <w:r>
        <w:rPr>
          <w:rFonts w:hint="eastAsia" w:ascii="宋体" w:hAnsi="宋体" w:cs="宋体"/>
          <w:szCs w:val="22"/>
        </w:rPr>
        <w:t>附</w:t>
      </w:r>
      <w:bookmarkStart w:id="331" w:name="_Toc296347230"/>
      <w:bookmarkStart w:id="332" w:name="_Toc296503231"/>
      <w:bookmarkStart w:id="333" w:name="_Toc296891271"/>
      <w:bookmarkStart w:id="334" w:name="_Toc296944570"/>
      <w:bookmarkStart w:id="335" w:name="_Toc296891059"/>
      <w:bookmarkStart w:id="336" w:name="_Toc296346732"/>
      <w:r>
        <w:rPr>
          <w:rFonts w:hint="eastAsia" w:ascii="宋体" w:hAnsi="宋体" w:cs="宋体"/>
          <w:szCs w:val="22"/>
        </w:rPr>
        <w:t>件</w:t>
      </w:r>
      <w:r>
        <w:rPr>
          <w:rFonts w:ascii="宋体" w:hAnsi="宋体" w:cs="宋体"/>
          <w:szCs w:val="22"/>
        </w:rPr>
        <w:t>8</w:t>
      </w:r>
      <w:r>
        <w:rPr>
          <w:rFonts w:hint="eastAsia" w:ascii="宋体" w:hAnsi="宋体" w:cs="宋体"/>
          <w:szCs w:val="22"/>
        </w:rPr>
        <w:t>：</w:t>
      </w:r>
      <w:bookmarkEnd w:id="330"/>
      <w:bookmarkEnd w:id="331"/>
      <w:bookmarkEnd w:id="332"/>
      <w:bookmarkEnd w:id="333"/>
      <w:bookmarkEnd w:id="334"/>
      <w:bookmarkEnd w:id="335"/>
      <w:bookmarkEnd w:id="336"/>
      <w:r>
        <w:rPr>
          <w:rFonts w:hint="eastAsia" w:ascii="宋体" w:hAnsi="宋体" w:cs="宋体"/>
          <w:szCs w:val="22"/>
        </w:rPr>
        <w:t>暂估价一览表</w:t>
      </w:r>
    </w:p>
    <w:p>
      <w:pPr>
        <w:spacing w:line="400" w:lineRule="exact"/>
        <w:ind w:firstLine="420" w:firstLineChars="200"/>
        <w:rPr>
          <w:rFonts w:ascii="宋体" w:hAnsi="宋体" w:cs="宋体"/>
          <w:szCs w:val="22"/>
        </w:rPr>
      </w:pPr>
      <w:r>
        <w:rPr>
          <w:rFonts w:hint="eastAsia" w:ascii="宋体" w:hAnsi="宋体" w:cs="宋体"/>
          <w:szCs w:val="22"/>
        </w:rPr>
        <w:t>8</w:t>
      </w:r>
      <w:r>
        <w:rPr>
          <w:rFonts w:ascii="宋体" w:hAnsi="宋体" w:cs="宋体"/>
          <w:szCs w:val="22"/>
        </w:rPr>
        <w:t>-1</w:t>
      </w:r>
      <w:r>
        <w:rPr>
          <w:rFonts w:hint="eastAsia" w:ascii="宋体" w:hAnsi="宋体" w:cs="宋体"/>
          <w:szCs w:val="22"/>
        </w:rPr>
        <w:t>：材料暂估价表</w:t>
      </w:r>
    </w:p>
    <w:tbl>
      <w:tblPr>
        <w:tblStyle w:val="45"/>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left w:val="single" w:color="auto" w:sz="12" w:space="0"/>
              <w:bottom w:val="double" w:color="auto" w:sz="6" w:space="0"/>
              <w:right w:val="single" w:color="auto" w:sz="6" w:space="0"/>
            </w:tcBorders>
          </w:tcPr>
          <w:p>
            <w:pPr>
              <w:spacing w:line="400" w:lineRule="exact"/>
              <w:ind w:firstLine="420" w:firstLineChars="200"/>
              <w:rPr>
                <w:rFonts w:ascii="宋体" w:hAnsi="宋体" w:cs="宋体"/>
                <w:szCs w:val="22"/>
              </w:rPr>
            </w:pPr>
            <w:r>
              <w:rPr>
                <w:rFonts w:hint="eastAsia" w:ascii="宋体" w:hAnsi="宋体" w:cs="宋体"/>
                <w:szCs w:val="22"/>
              </w:rPr>
              <w:t>序号</w:t>
            </w:r>
          </w:p>
        </w:tc>
        <w:tc>
          <w:tcPr>
            <w:tcW w:w="1984" w:type="dxa"/>
            <w:tcBorders>
              <w:top w:val="single" w:color="auto" w:sz="12" w:space="0"/>
              <w:left w:val="single" w:color="auto" w:sz="6" w:space="0"/>
              <w:bottom w:val="double" w:color="auto" w:sz="6" w:space="0"/>
              <w:right w:val="single" w:color="auto" w:sz="6" w:space="0"/>
            </w:tcBorders>
          </w:tcPr>
          <w:p>
            <w:pPr>
              <w:spacing w:line="400" w:lineRule="exact"/>
              <w:ind w:firstLine="420" w:firstLineChars="200"/>
              <w:rPr>
                <w:rFonts w:ascii="宋体" w:hAnsi="宋体" w:cs="宋体"/>
                <w:szCs w:val="22"/>
              </w:rPr>
            </w:pPr>
            <w:r>
              <w:rPr>
                <w:rFonts w:hint="eastAsia" w:ascii="宋体" w:hAnsi="宋体" w:cs="宋体"/>
                <w:szCs w:val="22"/>
              </w:rPr>
              <w:t>名称</w:t>
            </w:r>
          </w:p>
        </w:tc>
        <w:tc>
          <w:tcPr>
            <w:tcW w:w="851" w:type="dxa"/>
            <w:tcBorders>
              <w:top w:val="single" w:color="auto" w:sz="12" w:space="0"/>
              <w:left w:val="single" w:color="auto" w:sz="6" w:space="0"/>
              <w:bottom w:val="double" w:color="auto" w:sz="6" w:space="0"/>
              <w:right w:val="single" w:color="auto" w:sz="6" w:space="0"/>
            </w:tcBorders>
          </w:tcPr>
          <w:p>
            <w:pPr>
              <w:spacing w:line="400" w:lineRule="exact"/>
              <w:ind w:firstLine="420" w:firstLineChars="200"/>
              <w:rPr>
                <w:rFonts w:ascii="宋体" w:hAnsi="宋体" w:cs="宋体"/>
                <w:szCs w:val="22"/>
              </w:rPr>
            </w:pPr>
            <w:r>
              <w:rPr>
                <w:rFonts w:hint="eastAsia" w:ascii="宋体" w:hAnsi="宋体" w:cs="宋体"/>
                <w:szCs w:val="22"/>
              </w:rPr>
              <w:t>单位</w:t>
            </w:r>
          </w:p>
        </w:tc>
        <w:tc>
          <w:tcPr>
            <w:tcW w:w="774" w:type="dxa"/>
            <w:tcBorders>
              <w:top w:val="single" w:color="auto" w:sz="12" w:space="0"/>
              <w:left w:val="single" w:color="auto" w:sz="6" w:space="0"/>
              <w:bottom w:val="double" w:color="auto" w:sz="6" w:space="0"/>
              <w:right w:val="single" w:color="auto" w:sz="6" w:space="0"/>
            </w:tcBorders>
          </w:tcPr>
          <w:p>
            <w:pPr>
              <w:spacing w:line="400" w:lineRule="exact"/>
              <w:ind w:firstLine="420" w:firstLineChars="200"/>
              <w:rPr>
                <w:rFonts w:ascii="宋体" w:hAnsi="宋体" w:cs="宋体"/>
                <w:szCs w:val="22"/>
              </w:rPr>
            </w:pPr>
            <w:r>
              <w:rPr>
                <w:rFonts w:hint="eastAsia" w:ascii="宋体" w:hAnsi="宋体" w:cs="宋体"/>
                <w:szCs w:val="22"/>
              </w:rPr>
              <w:t>数量</w:t>
            </w:r>
          </w:p>
        </w:tc>
        <w:tc>
          <w:tcPr>
            <w:tcW w:w="1352" w:type="dxa"/>
            <w:tcBorders>
              <w:top w:val="single" w:color="auto" w:sz="12" w:space="0"/>
              <w:left w:val="single" w:color="auto" w:sz="6" w:space="0"/>
              <w:bottom w:val="double" w:color="auto" w:sz="6" w:space="0"/>
              <w:right w:val="single" w:color="auto" w:sz="6" w:space="0"/>
            </w:tcBorders>
          </w:tcPr>
          <w:p>
            <w:pPr>
              <w:spacing w:line="400" w:lineRule="exact"/>
              <w:ind w:firstLine="420" w:firstLineChars="200"/>
              <w:rPr>
                <w:rFonts w:ascii="宋体" w:hAnsi="宋体" w:cs="宋体"/>
                <w:szCs w:val="22"/>
              </w:rPr>
            </w:pPr>
            <w:r>
              <w:rPr>
                <w:rFonts w:hint="eastAsia" w:ascii="宋体" w:hAnsi="宋体" w:cs="宋体"/>
                <w:szCs w:val="22"/>
              </w:rPr>
              <w:t>单价（元）</w:t>
            </w:r>
          </w:p>
        </w:tc>
        <w:tc>
          <w:tcPr>
            <w:tcW w:w="1418" w:type="dxa"/>
            <w:tcBorders>
              <w:top w:val="single" w:color="auto" w:sz="12" w:space="0"/>
              <w:left w:val="single" w:color="auto" w:sz="6" w:space="0"/>
              <w:bottom w:val="double" w:color="auto" w:sz="6" w:space="0"/>
              <w:right w:val="single" w:color="auto" w:sz="6" w:space="0"/>
            </w:tcBorders>
          </w:tcPr>
          <w:p>
            <w:pPr>
              <w:spacing w:line="400" w:lineRule="exact"/>
              <w:ind w:firstLine="420" w:firstLineChars="200"/>
              <w:rPr>
                <w:rFonts w:ascii="宋体" w:hAnsi="宋体" w:cs="宋体"/>
                <w:szCs w:val="22"/>
              </w:rPr>
            </w:pPr>
            <w:r>
              <w:rPr>
                <w:rFonts w:hint="eastAsia" w:ascii="宋体" w:hAnsi="宋体" w:cs="宋体"/>
                <w:szCs w:val="22"/>
              </w:rPr>
              <w:t>合价（元）</w:t>
            </w:r>
          </w:p>
        </w:tc>
        <w:tc>
          <w:tcPr>
            <w:tcW w:w="1701" w:type="dxa"/>
            <w:tcBorders>
              <w:top w:val="single" w:color="auto" w:sz="12" w:space="0"/>
              <w:left w:val="single" w:color="auto" w:sz="6" w:space="0"/>
              <w:bottom w:val="double" w:color="auto" w:sz="6" w:space="0"/>
              <w:right w:val="single" w:color="auto" w:sz="12" w:space="0"/>
            </w:tcBorders>
          </w:tcPr>
          <w:p>
            <w:pPr>
              <w:spacing w:line="400" w:lineRule="exact"/>
              <w:ind w:firstLine="420" w:firstLineChars="200"/>
              <w:rPr>
                <w:rFonts w:ascii="宋体" w:hAnsi="宋体" w:cs="宋体"/>
                <w:szCs w:val="22"/>
              </w:rPr>
            </w:pPr>
            <w:r>
              <w:rPr>
                <w:rFonts w:hint="eastAsia" w:ascii="宋体" w:hAnsi="宋体" w:cs="宋体"/>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r>
              <w:rPr>
                <w:rFonts w:hint="eastAsia" w:ascii="宋体" w:hAnsi="宋体" w:cs="宋体"/>
                <w:szCs w:val="22"/>
              </w:rPr>
              <w:t>无</w:t>
            </w:r>
          </w:p>
        </w:tc>
        <w:tc>
          <w:tcPr>
            <w:tcW w:w="1984" w:type="dxa"/>
            <w:tcBorders>
              <w:top w:val="doub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r>
              <w:rPr>
                <w:rFonts w:hint="eastAsia" w:ascii="宋体" w:hAnsi="宋体" w:cs="宋体"/>
                <w:szCs w:val="22"/>
              </w:rPr>
              <w:t>无</w:t>
            </w:r>
          </w:p>
        </w:tc>
        <w:tc>
          <w:tcPr>
            <w:tcW w:w="851" w:type="dxa"/>
            <w:tcBorders>
              <w:top w:val="doub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r>
              <w:rPr>
                <w:rFonts w:hint="eastAsia" w:ascii="宋体" w:hAnsi="宋体" w:cs="宋体"/>
                <w:szCs w:val="22"/>
              </w:rPr>
              <w:t>无</w:t>
            </w:r>
          </w:p>
        </w:tc>
        <w:tc>
          <w:tcPr>
            <w:tcW w:w="774" w:type="dxa"/>
            <w:tcBorders>
              <w:top w:val="doub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r>
              <w:rPr>
                <w:rFonts w:hint="eastAsia" w:ascii="宋体" w:hAnsi="宋体" w:cs="宋体"/>
                <w:szCs w:val="22"/>
              </w:rPr>
              <w:t>无</w:t>
            </w:r>
          </w:p>
        </w:tc>
        <w:tc>
          <w:tcPr>
            <w:tcW w:w="1352" w:type="dxa"/>
            <w:tcBorders>
              <w:top w:val="doub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r>
              <w:rPr>
                <w:rFonts w:hint="eastAsia" w:ascii="宋体" w:hAnsi="宋体" w:cs="宋体"/>
                <w:szCs w:val="22"/>
              </w:rPr>
              <w:t>无</w:t>
            </w:r>
          </w:p>
        </w:tc>
        <w:tc>
          <w:tcPr>
            <w:tcW w:w="1418" w:type="dxa"/>
            <w:tcBorders>
              <w:top w:val="doub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r>
              <w:rPr>
                <w:rFonts w:hint="eastAsia" w:ascii="宋体" w:hAnsi="宋体" w:cs="宋体"/>
                <w:szCs w:val="22"/>
              </w:rPr>
              <w:t>无</w:t>
            </w:r>
          </w:p>
        </w:tc>
        <w:tc>
          <w:tcPr>
            <w:tcW w:w="1701" w:type="dxa"/>
            <w:tcBorders>
              <w:top w:val="doub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r>
              <w:rPr>
                <w:rFonts w:hint="eastAsia" w:ascii="宋体" w:hAnsi="宋体" w:cs="宋体"/>
                <w:szCs w:val="22"/>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nil"/>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851" w:type="dxa"/>
            <w:tcBorders>
              <w:top w:val="nil"/>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774" w:type="dxa"/>
            <w:tcBorders>
              <w:top w:val="nil"/>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352" w:type="dxa"/>
            <w:tcBorders>
              <w:top w:val="nil"/>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418" w:type="dxa"/>
            <w:tcBorders>
              <w:top w:val="nil"/>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701" w:type="dxa"/>
            <w:tcBorders>
              <w:top w:val="nil"/>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851"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77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352"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41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701"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851"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77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352"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41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701"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851"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77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352"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41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701"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851"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77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352"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41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701"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851"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77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352"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41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701"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851"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77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352"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41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701"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851"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77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352"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41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701"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851"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77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352"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41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701"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851"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77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352"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41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701"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851"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77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352"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41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701"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851"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77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352"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41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701"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851"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77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352"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41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701"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851"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77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352"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41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701"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851"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77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352"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41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701"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851"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77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352"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41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701"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851"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77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352"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41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701"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851"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77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352"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41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701"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851"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77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352"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41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701"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bl>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p>
    <w:p>
      <w:pPr>
        <w:sectPr>
          <w:pgSz w:w="11906" w:h="16838"/>
          <w:pgMar w:top="935" w:right="1106" w:bottom="1440" w:left="1260" w:header="851" w:footer="992" w:gutter="0"/>
          <w:cols w:space="720" w:num="1"/>
          <w:docGrid w:type="lines" w:linePitch="312" w:charSpace="0"/>
        </w:sectPr>
      </w:pPr>
    </w:p>
    <w:p>
      <w:pPr>
        <w:spacing w:line="400" w:lineRule="exact"/>
        <w:ind w:firstLine="420" w:firstLineChars="200"/>
        <w:rPr>
          <w:rFonts w:ascii="宋体" w:hAnsi="宋体" w:cs="宋体"/>
          <w:szCs w:val="22"/>
        </w:rPr>
      </w:pPr>
      <w:r>
        <w:rPr>
          <w:rFonts w:hint="eastAsia" w:ascii="宋体" w:hAnsi="宋体" w:cs="宋体"/>
          <w:szCs w:val="22"/>
        </w:rPr>
        <w:t>8</w:t>
      </w:r>
      <w:r>
        <w:rPr>
          <w:rFonts w:ascii="宋体" w:hAnsi="宋体" w:cs="宋体"/>
          <w:szCs w:val="22"/>
        </w:rPr>
        <w:t>-2</w:t>
      </w:r>
      <w:r>
        <w:rPr>
          <w:rFonts w:hint="eastAsia" w:ascii="宋体" w:hAnsi="宋体" w:cs="宋体"/>
          <w:szCs w:val="22"/>
        </w:rPr>
        <w:t>：工程设备暂估价表</w:t>
      </w:r>
    </w:p>
    <w:tbl>
      <w:tblPr>
        <w:tblStyle w:val="45"/>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left w:val="single" w:color="auto" w:sz="12" w:space="0"/>
              <w:bottom w:val="double" w:color="auto" w:sz="6" w:space="0"/>
              <w:right w:val="single" w:color="auto" w:sz="6" w:space="0"/>
            </w:tcBorders>
          </w:tcPr>
          <w:p>
            <w:pPr>
              <w:spacing w:line="400" w:lineRule="exact"/>
              <w:ind w:firstLine="420" w:firstLineChars="200"/>
              <w:rPr>
                <w:rFonts w:ascii="宋体" w:hAnsi="宋体" w:cs="宋体"/>
                <w:szCs w:val="22"/>
              </w:rPr>
            </w:pPr>
            <w:r>
              <w:rPr>
                <w:rFonts w:hint="eastAsia" w:ascii="宋体" w:hAnsi="宋体" w:cs="宋体"/>
                <w:szCs w:val="22"/>
              </w:rPr>
              <w:t>序号</w:t>
            </w:r>
          </w:p>
        </w:tc>
        <w:tc>
          <w:tcPr>
            <w:tcW w:w="1984" w:type="dxa"/>
            <w:tcBorders>
              <w:top w:val="single" w:color="auto" w:sz="12" w:space="0"/>
              <w:left w:val="single" w:color="auto" w:sz="6" w:space="0"/>
              <w:bottom w:val="double" w:color="auto" w:sz="6" w:space="0"/>
              <w:right w:val="single" w:color="auto" w:sz="6" w:space="0"/>
            </w:tcBorders>
          </w:tcPr>
          <w:p>
            <w:pPr>
              <w:spacing w:line="400" w:lineRule="exact"/>
              <w:ind w:firstLine="420" w:firstLineChars="200"/>
              <w:rPr>
                <w:rFonts w:ascii="宋体" w:hAnsi="宋体" w:cs="宋体"/>
                <w:szCs w:val="22"/>
              </w:rPr>
            </w:pPr>
            <w:r>
              <w:rPr>
                <w:rFonts w:hint="eastAsia" w:ascii="宋体" w:hAnsi="宋体" w:cs="宋体"/>
                <w:szCs w:val="22"/>
              </w:rPr>
              <w:t>名称</w:t>
            </w:r>
          </w:p>
        </w:tc>
        <w:tc>
          <w:tcPr>
            <w:tcW w:w="851" w:type="dxa"/>
            <w:tcBorders>
              <w:top w:val="single" w:color="auto" w:sz="12" w:space="0"/>
              <w:left w:val="single" w:color="auto" w:sz="6" w:space="0"/>
              <w:bottom w:val="double" w:color="auto" w:sz="6" w:space="0"/>
              <w:right w:val="single" w:color="auto" w:sz="6" w:space="0"/>
            </w:tcBorders>
          </w:tcPr>
          <w:p>
            <w:pPr>
              <w:spacing w:line="400" w:lineRule="exact"/>
              <w:ind w:firstLine="420" w:firstLineChars="200"/>
              <w:rPr>
                <w:rFonts w:ascii="宋体" w:hAnsi="宋体" w:cs="宋体"/>
                <w:szCs w:val="22"/>
              </w:rPr>
            </w:pPr>
            <w:r>
              <w:rPr>
                <w:rFonts w:hint="eastAsia" w:ascii="宋体" w:hAnsi="宋体" w:cs="宋体"/>
                <w:szCs w:val="22"/>
              </w:rPr>
              <w:t>单位</w:t>
            </w:r>
          </w:p>
        </w:tc>
        <w:tc>
          <w:tcPr>
            <w:tcW w:w="774" w:type="dxa"/>
            <w:tcBorders>
              <w:top w:val="single" w:color="auto" w:sz="12" w:space="0"/>
              <w:left w:val="single" w:color="auto" w:sz="6" w:space="0"/>
              <w:bottom w:val="double" w:color="auto" w:sz="6" w:space="0"/>
              <w:right w:val="single" w:color="auto" w:sz="6" w:space="0"/>
            </w:tcBorders>
          </w:tcPr>
          <w:p>
            <w:pPr>
              <w:spacing w:line="400" w:lineRule="exact"/>
              <w:ind w:firstLine="420" w:firstLineChars="200"/>
              <w:rPr>
                <w:rFonts w:ascii="宋体" w:hAnsi="宋体" w:cs="宋体"/>
                <w:szCs w:val="22"/>
              </w:rPr>
            </w:pPr>
            <w:r>
              <w:rPr>
                <w:rFonts w:hint="eastAsia" w:ascii="宋体" w:hAnsi="宋体" w:cs="宋体"/>
                <w:szCs w:val="22"/>
              </w:rPr>
              <w:t>数量</w:t>
            </w:r>
          </w:p>
        </w:tc>
        <w:tc>
          <w:tcPr>
            <w:tcW w:w="1352" w:type="dxa"/>
            <w:tcBorders>
              <w:top w:val="single" w:color="auto" w:sz="12" w:space="0"/>
              <w:left w:val="single" w:color="auto" w:sz="6" w:space="0"/>
              <w:bottom w:val="double" w:color="auto" w:sz="6" w:space="0"/>
              <w:right w:val="single" w:color="auto" w:sz="6" w:space="0"/>
            </w:tcBorders>
          </w:tcPr>
          <w:p>
            <w:pPr>
              <w:spacing w:line="400" w:lineRule="exact"/>
              <w:ind w:firstLine="420" w:firstLineChars="200"/>
              <w:rPr>
                <w:rFonts w:ascii="宋体" w:hAnsi="宋体" w:cs="宋体"/>
                <w:szCs w:val="22"/>
              </w:rPr>
            </w:pPr>
            <w:r>
              <w:rPr>
                <w:rFonts w:hint="eastAsia" w:ascii="宋体" w:hAnsi="宋体" w:cs="宋体"/>
                <w:szCs w:val="22"/>
              </w:rPr>
              <w:t>单价（元）</w:t>
            </w:r>
          </w:p>
        </w:tc>
        <w:tc>
          <w:tcPr>
            <w:tcW w:w="1418" w:type="dxa"/>
            <w:tcBorders>
              <w:top w:val="single" w:color="auto" w:sz="12" w:space="0"/>
              <w:left w:val="single" w:color="auto" w:sz="6" w:space="0"/>
              <w:bottom w:val="double" w:color="auto" w:sz="6" w:space="0"/>
              <w:right w:val="single" w:color="auto" w:sz="6" w:space="0"/>
            </w:tcBorders>
          </w:tcPr>
          <w:p>
            <w:pPr>
              <w:spacing w:line="400" w:lineRule="exact"/>
              <w:ind w:firstLine="420" w:firstLineChars="200"/>
              <w:rPr>
                <w:rFonts w:ascii="宋体" w:hAnsi="宋体" w:cs="宋体"/>
                <w:szCs w:val="22"/>
              </w:rPr>
            </w:pPr>
            <w:r>
              <w:rPr>
                <w:rFonts w:hint="eastAsia" w:ascii="宋体" w:hAnsi="宋体" w:cs="宋体"/>
                <w:szCs w:val="22"/>
              </w:rPr>
              <w:t>合价（元）</w:t>
            </w:r>
          </w:p>
        </w:tc>
        <w:tc>
          <w:tcPr>
            <w:tcW w:w="1701" w:type="dxa"/>
            <w:tcBorders>
              <w:top w:val="single" w:color="auto" w:sz="12" w:space="0"/>
              <w:left w:val="single" w:color="auto" w:sz="6" w:space="0"/>
              <w:bottom w:val="double" w:color="auto" w:sz="6" w:space="0"/>
              <w:right w:val="single" w:color="auto" w:sz="12" w:space="0"/>
            </w:tcBorders>
          </w:tcPr>
          <w:p>
            <w:pPr>
              <w:spacing w:line="400" w:lineRule="exact"/>
              <w:ind w:firstLine="420" w:firstLineChars="200"/>
              <w:rPr>
                <w:rFonts w:ascii="宋体" w:hAnsi="宋体" w:cs="宋体"/>
                <w:szCs w:val="22"/>
              </w:rPr>
            </w:pPr>
            <w:r>
              <w:rPr>
                <w:rFonts w:hint="eastAsia" w:ascii="宋体" w:hAnsi="宋体" w:cs="宋体"/>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r>
              <w:rPr>
                <w:rFonts w:hint="eastAsia" w:ascii="宋体" w:hAnsi="宋体" w:cs="宋体"/>
                <w:szCs w:val="22"/>
              </w:rPr>
              <w:t>无</w:t>
            </w:r>
          </w:p>
        </w:tc>
        <w:tc>
          <w:tcPr>
            <w:tcW w:w="1984" w:type="dxa"/>
            <w:tcBorders>
              <w:top w:val="doub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r>
              <w:rPr>
                <w:rFonts w:hint="eastAsia" w:ascii="宋体" w:hAnsi="宋体" w:cs="宋体"/>
                <w:szCs w:val="22"/>
              </w:rPr>
              <w:t>无</w:t>
            </w:r>
          </w:p>
        </w:tc>
        <w:tc>
          <w:tcPr>
            <w:tcW w:w="851" w:type="dxa"/>
            <w:tcBorders>
              <w:top w:val="doub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r>
              <w:rPr>
                <w:rFonts w:hint="eastAsia" w:ascii="宋体" w:hAnsi="宋体" w:cs="宋体"/>
                <w:szCs w:val="22"/>
              </w:rPr>
              <w:t>无</w:t>
            </w:r>
          </w:p>
        </w:tc>
        <w:tc>
          <w:tcPr>
            <w:tcW w:w="774" w:type="dxa"/>
            <w:tcBorders>
              <w:top w:val="doub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r>
              <w:rPr>
                <w:rFonts w:hint="eastAsia" w:ascii="宋体" w:hAnsi="宋体" w:cs="宋体"/>
                <w:szCs w:val="22"/>
              </w:rPr>
              <w:t>无</w:t>
            </w:r>
          </w:p>
        </w:tc>
        <w:tc>
          <w:tcPr>
            <w:tcW w:w="1352" w:type="dxa"/>
            <w:tcBorders>
              <w:top w:val="doub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r>
              <w:rPr>
                <w:rFonts w:hint="eastAsia" w:ascii="宋体" w:hAnsi="宋体" w:cs="宋体"/>
                <w:szCs w:val="22"/>
              </w:rPr>
              <w:t>无</w:t>
            </w:r>
          </w:p>
        </w:tc>
        <w:tc>
          <w:tcPr>
            <w:tcW w:w="1418" w:type="dxa"/>
            <w:tcBorders>
              <w:top w:val="doub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r>
              <w:rPr>
                <w:rFonts w:hint="eastAsia" w:ascii="宋体" w:hAnsi="宋体" w:cs="宋体"/>
                <w:szCs w:val="22"/>
              </w:rPr>
              <w:t>无</w:t>
            </w:r>
          </w:p>
        </w:tc>
        <w:tc>
          <w:tcPr>
            <w:tcW w:w="1701" w:type="dxa"/>
            <w:tcBorders>
              <w:top w:val="doub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r>
              <w:rPr>
                <w:rFonts w:hint="eastAsia" w:ascii="宋体" w:hAnsi="宋体" w:cs="宋体"/>
                <w:szCs w:val="22"/>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nil"/>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851" w:type="dxa"/>
            <w:tcBorders>
              <w:top w:val="nil"/>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774" w:type="dxa"/>
            <w:tcBorders>
              <w:top w:val="nil"/>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352" w:type="dxa"/>
            <w:tcBorders>
              <w:top w:val="nil"/>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418" w:type="dxa"/>
            <w:tcBorders>
              <w:top w:val="nil"/>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701" w:type="dxa"/>
            <w:tcBorders>
              <w:top w:val="nil"/>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851"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77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352"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41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701"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851"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77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352"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41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701"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851"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77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352"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41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701"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851"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77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352"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41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701"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851"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77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352"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41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701"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851"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77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352"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41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701"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851"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77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352"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41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701"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851"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77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352"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41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701"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851"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77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352"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41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701"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851"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77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352"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41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701"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851"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77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352"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41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701"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851"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77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352"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41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701"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851"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77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352"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41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701"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851"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77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352"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41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701"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851"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77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352"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41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701"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851"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77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352"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41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701"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851"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77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352"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41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701"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851"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77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352"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41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701"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851"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77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352"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41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701"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851"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77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352"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41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701"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851"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77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352"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41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701"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12" w:space="0"/>
              <w:right w:val="single" w:color="auto" w:sz="6" w:space="0"/>
            </w:tcBorders>
          </w:tcPr>
          <w:p>
            <w:pPr>
              <w:spacing w:line="400" w:lineRule="exact"/>
              <w:ind w:firstLine="420" w:firstLineChars="200"/>
              <w:rPr>
                <w:rFonts w:ascii="宋体" w:hAnsi="宋体" w:cs="宋体"/>
                <w:szCs w:val="22"/>
              </w:rPr>
            </w:pPr>
          </w:p>
        </w:tc>
        <w:tc>
          <w:tcPr>
            <w:tcW w:w="851" w:type="dxa"/>
            <w:tcBorders>
              <w:top w:val="single" w:color="auto" w:sz="6" w:space="0"/>
              <w:left w:val="single" w:color="auto" w:sz="6" w:space="0"/>
              <w:bottom w:val="single" w:color="auto" w:sz="12" w:space="0"/>
              <w:right w:val="single" w:color="auto" w:sz="6" w:space="0"/>
            </w:tcBorders>
          </w:tcPr>
          <w:p>
            <w:pPr>
              <w:spacing w:line="400" w:lineRule="exact"/>
              <w:ind w:firstLine="420" w:firstLineChars="200"/>
              <w:rPr>
                <w:rFonts w:ascii="宋体" w:hAnsi="宋体" w:cs="宋体"/>
                <w:szCs w:val="22"/>
              </w:rPr>
            </w:pPr>
          </w:p>
        </w:tc>
        <w:tc>
          <w:tcPr>
            <w:tcW w:w="774" w:type="dxa"/>
            <w:tcBorders>
              <w:top w:val="single" w:color="auto" w:sz="6" w:space="0"/>
              <w:left w:val="single" w:color="auto" w:sz="6" w:space="0"/>
              <w:bottom w:val="single" w:color="auto" w:sz="12" w:space="0"/>
              <w:right w:val="single" w:color="auto" w:sz="6" w:space="0"/>
            </w:tcBorders>
          </w:tcPr>
          <w:p>
            <w:pPr>
              <w:spacing w:line="400" w:lineRule="exact"/>
              <w:ind w:firstLine="420" w:firstLineChars="200"/>
              <w:rPr>
                <w:rFonts w:ascii="宋体" w:hAnsi="宋体" w:cs="宋体"/>
                <w:szCs w:val="22"/>
              </w:rPr>
            </w:pPr>
          </w:p>
        </w:tc>
        <w:tc>
          <w:tcPr>
            <w:tcW w:w="1352" w:type="dxa"/>
            <w:tcBorders>
              <w:top w:val="single" w:color="auto" w:sz="6" w:space="0"/>
              <w:left w:val="single" w:color="auto" w:sz="6" w:space="0"/>
              <w:bottom w:val="single" w:color="auto" w:sz="12" w:space="0"/>
              <w:right w:val="single" w:color="auto" w:sz="6" w:space="0"/>
            </w:tcBorders>
          </w:tcPr>
          <w:p>
            <w:pPr>
              <w:spacing w:line="400" w:lineRule="exact"/>
              <w:ind w:firstLine="420" w:firstLineChars="200"/>
              <w:rPr>
                <w:rFonts w:ascii="宋体" w:hAnsi="宋体" w:cs="宋体"/>
                <w:szCs w:val="22"/>
              </w:rPr>
            </w:pPr>
          </w:p>
        </w:tc>
        <w:tc>
          <w:tcPr>
            <w:tcW w:w="1418" w:type="dxa"/>
            <w:tcBorders>
              <w:top w:val="single" w:color="auto" w:sz="6" w:space="0"/>
              <w:left w:val="single" w:color="auto" w:sz="6" w:space="0"/>
              <w:bottom w:val="single" w:color="auto" w:sz="12" w:space="0"/>
              <w:right w:val="single" w:color="auto" w:sz="6" w:space="0"/>
            </w:tcBorders>
          </w:tcPr>
          <w:p>
            <w:pPr>
              <w:spacing w:line="400" w:lineRule="exact"/>
              <w:ind w:firstLine="420" w:firstLineChars="200"/>
              <w:rPr>
                <w:rFonts w:ascii="宋体" w:hAnsi="宋体" w:cs="宋体"/>
                <w:szCs w:val="22"/>
              </w:rPr>
            </w:pPr>
          </w:p>
        </w:tc>
        <w:tc>
          <w:tcPr>
            <w:tcW w:w="1701" w:type="dxa"/>
            <w:tcBorders>
              <w:top w:val="single" w:color="auto" w:sz="6" w:space="0"/>
              <w:left w:val="single" w:color="auto" w:sz="6" w:space="0"/>
              <w:bottom w:val="single" w:color="auto" w:sz="12" w:space="0"/>
              <w:right w:val="single" w:color="auto" w:sz="12" w:space="0"/>
            </w:tcBorders>
          </w:tcPr>
          <w:p>
            <w:pPr>
              <w:spacing w:line="400" w:lineRule="exact"/>
              <w:ind w:firstLine="420" w:firstLineChars="200"/>
              <w:rPr>
                <w:rFonts w:ascii="宋体" w:hAnsi="宋体" w:cs="宋体"/>
                <w:szCs w:val="22"/>
              </w:rPr>
            </w:pPr>
          </w:p>
        </w:tc>
      </w:tr>
    </w:tbl>
    <w:p>
      <w:pPr>
        <w:spacing w:line="400" w:lineRule="exact"/>
        <w:ind w:firstLine="420" w:firstLineChars="200"/>
        <w:rPr>
          <w:rFonts w:ascii="宋体" w:hAnsi="宋体" w:cs="宋体"/>
          <w:szCs w:val="22"/>
        </w:rPr>
      </w:pPr>
    </w:p>
    <w:p>
      <w:pPr>
        <w:rPr>
          <w:rFonts w:ascii="宋体" w:hAnsi="宋体" w:cs="宋体"/>
          <w:szCs w:val="22"/>
        </w:rPr>
      </w:pPr>
      <w:r>
        <w:rPr>
          <w:rFonts w:hint="eastAsia" w:ascii="宋体" w:hAnsi="宋体" w:cs="宋体"/>
          <w:szCs w:val="22"/>
        </w:rPr>
        <w:br w:type="page"/>
      </w:r>
    </w:p>
    <w:p>
      <w:pPr>
        <w:spacing w:line="400" w:lineRule="exact"/>
        <w:ind w:firstLine="420" w:firstLineChars="200"/>
        <w:rPr>
          <w:rFonts w:ascii="宋体" w:hAnsi="宋体" w:cs="宋体"/>
          <w:szCs w:val="22"/>
        </w:rPr>
      </w:pPr>
      <w:r>
        <w:rPr>
          <w:rFonts w:hint="eastAsia" w:ascii="宋体" w:hAnsi="宋体" w:cs="宋体"/>
          <w:szCs w:val="22"/>
        </w:rPr>
        <w:t>8</w:t>
      </w:r>
      <w:r>
        <w:rPr>
          <w:rFonts w:ascii="宋体" w:hAnsi="宋体" w:cs="宋体"/>
          <w:szCs w:val="22"/>
        </w:rPr>
        <w:t>-3</w:t>
      </w:r>
      <w:r>
        <w:rPr>
          <w:rFonts w:hint="eastAsia" w:ascii="宋体" w:hAnsi="宋体" w:cs="宋体"/>
          <w:szCs w:val="22"/>
        </w:rPr>
        <w:t>：专业工程暂估价表</w:t>
      </w:r>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left w:val="single" w:color="auto" w:sz="12" w:space="0"/>
              <w:bottom w:val="double" w:color="auto" w:sz="6" w:space="0"/>
              <w:right w:val="single" w:color="auto" w:sz="6" w:space="0"/>
            </w:tcBorders>
          </w:tcPr>
          <w:p>
            <w:pPr>
              <w:spacing w:line="400" w:lineRule="exact"/>
              <w:ind w:firstLine="420" w:firstLineChars="200"/>
              <w:rPr>
                <w:rFonts w:ascii="宋体" w:hAnsi="宋体" w:cs="宋体"/>
                <w:szCs w:val="22"/>
              </w:rPr>
            </w:pPr>
            <w:r>
              <w:rPr>
                <w:rFonts w:hint="eastAsia" w:ascii="宋体" w:hAnsi="宋体" w:cs="宋体"/>
                <w:szCs w:val="22"/>
              </w:rPr>
              <w:t>序号</w:t>
            </w:r>
          </w:p>
        </w:tc>
        <w:tc>
          <w:tcPr>
            <w:tcW w:w="1984" w:type="dxa"/>
            <w:tcBorders>
              <w:top w:val="single" w:color="auto" w:sz="12" w:space="0"/>
              <w:left w:val="single" w:color="auto" w:sz="6" w:space="0"/>
              <w:bottom w:val="double" w:color="auto" w:sz="6" w:space="0"/>
              <w:right w:val="single" w:color="auto" w:sz="6" w:space="0"/>
            </w:tcBorders>
          </w:tcPr>
          <w:p>
            <w:pPr>
              <w:spacing w:line="400" w:lineRule="exact"/>
              <w:ind w:firstLine="420" w:firstLineChars="200"/>
              <w:rPr>
                <w:rFonts w:ascii="宋体" w:hAnsi="宋体" w:cs="宋体"/>
                <w:szCs w:val="22"/>
              </w:rPr>
            </w:pPr>
            <w:r>
              <w:rPr>
                <w:rFonts w:hint="eastAsia" w:ascii="宋体" w:hAnsi="宋体" w:cs="宋体"/>
                <w:szCs w:val="22"/>
              </w:rPr>
              <w:t>专业工程名称</w:t>
            </w:r>
          </w:p>
        </w:tc>
        <w:tc>
          <w:tcPr>
            <w:tcW w:w="4678" w:type="dxa"/>
            <w:tcBorders>
              <w:top w:val="single" w:color="auto" w:sz="12" w:space="0"/>
              <w:left w:val="single" w:color="auto" w:sz="6" w:space="0"/>
              <w:bottom w:val="double" w:color="auto" w:sz="6" w:space="0"/>
              <w:right w:val="single" w:color="auto" w:sz="6" w:space="0"/>
            </w:tcBorders>
          </w:tcPr>
          <w:p>
            <w:pPr>
              <w:spacing w:line="400" w:lineRule="exact"/>
              <w:ind w:firstLine="420" w:firstLineChars="200"/>
              <w:rPr>
                <w:rFonts w:ascii="宋体" w:hAnsi="宋体" w:cs="宋体"/>
                <w:szCs w:val="22"/>
              </w:rPr>
            </w:pPr>
            <w:r>
              <w:rPr>
                <w:rFonts w:hint="eastAsia" w:ascii="宋体" w:hAnsi="宋体" w:cs="宋体"/>
                <w:szCs w:val="22"/>
              </w:rPr>
              <w:t>工程内容</w:t>
            </w:r>
          </w:p>
        </w:tc>
        <w:tc>
          <w:tcPr>
            <w:tcW w:w="1276" w:type="dxa"/>
            <w:tcBorders>
              <w:top w:val="single" w:color="auto" w:sz="12" w:space="0"/>
              <w:left w:val="single" w:color="auto" w:sz="6" w:space="0"/>
              <w:bottom w:val="double" w:color="auto" w:sz="6" w:space="0"/>
              <w:right w:val="single" w:color="auto" w:sz="12" w:space="0"/>
            </w:tcBorders>
          </w:tcPr>
          <w:p>
            <w:pPr>
              <w:spacing w:line="400" w:lineRule="exact"/>
              <w:ind w:firstLine="420" w:firstLineChars="200"/>
              <w:rPr>
                <w:rFonts w:ascii="宋体" w:hAnsi="宋体" w:cs="宋体"/>
                <w:szCs w:val="22"/>
              </w:rPr>
            </w:pPr>
            <w:r>
              <w:rPr>
                <w:rFonts w:hint="eastAsia" w:ascii="宋体" w:hAnsi="宋体" w:cs="宋体"/>
                <w:szCs w:val="22"/>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r>
              <w:rPr>
                <w:rFonts w:hint="eastAsia" w:ascii="宋体" w:hAnsi="宋体" w:cs="宋体"/>
                <w:szCs w:val="22"/>
              </w:rPr>
              <w:t>无</w:t>
            </w:r>
          </w:p>
        </w:tc>
        <w:tc>
          <w:tcPr>
            <w:tcW w:w="1984" w:type="dxa"/>
            <w:tcBorders>
              <w:top w:val="doub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r>
              <w:rPr>
                <w:rFonts w:hint="eastAsia" w:ascii="宋体" w:hAnsi="宋体" w:cs="宋体"/>
                <w:szCs w:val="22"/>
              </w:rPr>
              <w:t>无</w:t>
            </w:r>
          </w:p>
        </w:tc>
        <w:tc>
          <w:tcPr>
            <w:tcW w:w="4678" w:type="dxa"/>
            <w:tcBorders>
              <w:top w:val="doub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r>
              <w:rPr>
                <w:rFonts w:hint="eastAsia" w:ascii="宋体" w:hAnsi="宋体" w:cs="宋体"/>
                <w:szCs w:val="22"/>
              </w:rPr>
              <w:t>无</w:t>
            </w:r>
          </w:p>
        </w:tc>
        <w:tc>
          <w:tcPr>
            <w:tcW w:w="1276" w:type="dxa"/>
            <w:tcBorders>
              <w:top w:val="doub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r>
              <w:rPr>
                <w:rFonts w:hint="eastAsia" w:ascii="宋体" w:hAnsi="宋体" w:cs="宋体"/>
                <w:szCs w:val="22"/>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nil"/>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4678" w:type="dxa"/>
            <w:tcBorders>
              <w:top w:val="nil"/>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276" w:type="dxa"/>
            <w:tcBorders>
              <w:top w:val="nil"/>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nil"/>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4678" w:type="dxa"/>
            <w:tcBorders>
              <w:top w:val="nil"/>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276" w:type="dxa"/>
            <w:tcBorders>
              <w:top w:val="nil"/>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467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276"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467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276"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467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276"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467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276"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467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276"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467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276"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467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276"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467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276"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467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276"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467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276"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467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276"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467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276"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467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276"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467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276"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467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276"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467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276"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467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276"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467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276"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467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276"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984"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4678" w:type="dxa"/>
            <w:tcBorders>
              <w:top w:val="single" w:color="auto" w:sz="6" w:space="0"/>
              <w:left w:val="single" w:color="auto" w:sz="6" w:space="0"/>
              <w:bottom w:val="single" w:color="auto" w:sz="6" w:space="0"/>
              <w:right w:val="single" w:color="auto" w:sz="6" w:space="0"/>
            </w:tcBorders>
          </w:tcPr>
          <w:p>
            <w:pPr>
              <w:spacing w:line="400" w:lineRule="exact"/>
              <w:ind w:firstLine="420" w:firstLineChars="200"/>
              <w:rPr>
                <w:rFonts w:ascii="宋体" w:hAnsi="宋体" w:cs="宋体"/>
                <w:szCs w:val="22"/>
              </w:rPr>
            </w:pPr>
          </w:p>
        </w:tc>
        <w:tc>
          <w:tcPr>
            <w:tcW w:w="1276" w:type="dxa"/>
            <w:tcBorders>
              <w:top w:val="single" w:color="auto" w:sz="6" w:space="0"/>
              <w:left w:val="single" w:color="auto" w:sz="6" w:space="0"/>
              <w:bottom w:val="single" w:color="auto" w:sz="6" w:space="0"/>
              <w:right w:val="single" w:color="auto" w:sz="12" w:space="0"/>
            </w:tcBorders>
          </w:tcPr>
          <w:p>
            <w:pPr>
              <w:spacing w:line="400" w:lineRule="exact"/>
              <w:ind w:firstLine="420" w:firstLineChars="200"/>
              <w:rPr>
                <w:rFonts w:ascii="宋体" w:hAnsi="宋体" w:cs="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tcBorders>
              <w:top w:val="single" w:color="auto" w:sz="6" w:space="0"/>
              <w:left w:val="single" w:color="auto" w:sz="12" w:space="0"/>
              <w:bottom w:val="single" w:color="auto" w:sz="12" w:space="0"/>
              <w:right w:val="single" w:color="auto" w:sz="12" w:space="0"/>
            </w:tcBorders>
          </w:tcPr>
          <w:p>
            <w:pPr>
              <w:spacing w:line="400" w:lineRule="exact"/>
              <w:ind w:firstLine="420" w:firstLineChars="200"/>
              <w:rPr>
                <w:rFonts w:ascii="宋体" w:hAnsi="宋体" w:cs="宋体"/>
                <w:szCs w:val="22"/>
              </w:rPr>
            </w:pPr>
            <w:r>
              <w:rPr>
                <w:rFonts w:hint="eastAsia" w:ascii="宋体" w:hAnsi="宋体" w:cs="宋体"/>
                <w:szCs w:val="22"/>
              </w:rPr>
              <w:t>小计：</w:t>
            </w:r>
          </w:p>
        </w:tc>
      </w:tr>
    </w:tbl>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p>
    <w:p>
      <w:pPr>
        <w:rPr>
          <w:rFonts w:ascii="宋体" w:hAnsi="宋体" w:cs="宋体"/>
          <w:szCs w:val="22"/>
        </w:rPr>
      </w:pPr>
      <w:r>
        <w:rPr>
          <w:rFonts w:ascii="宋体" w:hAnsi="宋体" w:cs="宋体"/>
          <w:szCs w:val="22"/>
        </w:rPr>
        <w:br w:type="page"/>
      </w:r>
    </w:p>
    <w:p>
      <w:pPr>
        <w:spacing w:line="400" w:lineRule="exact"/>
        <w:ind w:firstLine="420" w:firstLineChars="200"/>
        <w:rPr>
          <w:rFonts w:ascii="宋体" w:hAnsi="宋体" w:cs="宋体"/>
          <w:szCs w:val="22"/>
        </w:rPr>
      </w:pPr>
      <w:r>
        <w:rPr>
          <w:rFonts w:ascii="宋体" w:hAnsi="宋体" w:cs="宋体"/>
          <w:szCs w:val="22"/>
        </w:rPr>
        <w:t>附件</w:t>
      </w:r>
      <w:r>
        <w:rPr>
          <w:rFonts w:hint="eastAsia" w:ascii="宋体" w:hAnsi="宋体" w:cs="宋体"/>
          <w:szCs w:val="22"/>
        </w:rPr>
        <w:t>9</w:t>
      </w:r>
      <w:r>
        <w:rPr>
          <w:rFonts w:ascii="宋体" w:hAnsi="宋体" w:cs="宋体"/>
          <w:szCs w:val="22"/>
        </w:rPr>
        <w:t>：</w:t>
      </w:r>
    </w:p>
    <w:p>
      <w:pPr>
        <w:spacing w:line="400" w:lineRule="exact"/>
        <w:ind w:firstLine="420" w:firstLineChars="200"/>
        <w:rPr>
          <w:rFonts w:ascii="宋体" w:hAnsi="宋体" w:cs="宋体"/>
          <w:szCs w:val="22"/>
        </w:rPr>
      </w:pPr>
      <w:r>
        <w:rPr>
          <w:rFonts w:ascii="宋体" w:hAnsi="宋体" w:cs="宋体"/>
          <w:szCs w:val="22"/>
        </w:rPr>
        <w:t>履约担保</w:t>
      </w:r>
    </w:p>
    <w:p>
      <w:pPr>
        <w:spacing w:line="400" w:lineRule="exact"/>
        <w:ind w:firstLine="420" w:firstLineChars="200"/>
        <w:rPr>
          <w:rFonts w:ascii="宋体" w:hAnsi="宋体" w:cs="宋体"/>
          <w:szCs w:val="22"/>
        </w:rPr>
      </w:pPr>
      <w:r>
        <w:rPr>
          <w:rFonts w:ascii="宋体" w:hAnsi="宋体" w:cs="宋体"/>
          <w:szCs w:val="22"/>
        </w:rPr>
        <w:t xml:space="preserve">             </w:t>
      </w:r>
      <w:r>
        <w:rPr>
          <w:rFonts w:ascii="宋体" w:hAnsi="宋体" w:cs="宋体"/>
          <w:szCs w:val="22"/>
        </w:rPr>
        <w:tab/>
      </w:r>
      <w:r>
        <w:rPr>
          <w:rFonts w:ascii="宋体" w:hAnsi="宋体" w:cs="宋体"/>
          <w:szCs w:val="22"/>
        </w:rPr>
        <w:t>（发包人名称）：</w:t>
      </w:r>
    </w:p>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r>
        <w:rPr>
          <w:rFonts w:ascii="宋体" w:hAnsi="宋体" w:cs="宋体"/>
          <w:szCs w:val="22"/>
        </w:rPr>
        <w:t>鉴于</w:t>
      </w:r>
      <w:r>
        <w:rPr>
          <w:rFonts w:ascii="宋体" w:hAnsi="宋体" w:cs="宋体"/>
          <w:szCs w:val="22"/>
          <w:u w:val="single"/>
        </w:rPr>
        <w:t xml:space="preserve">                </w:t>
      </w:r>
      <w:r>
        <w:rPr>
          <w:rFonts w:ascii="宋体" w:hAnsi="宋体" w:cs="宋体"/>
          <w:szCs w:val="22"/>
        </w:rPr>
        <w:t>（发包人名称，以下简称“发包人”）与</w:t>
      </w:r>
    </w:p>
    <w:p>
      <w:pPr>
        <w:spacing w:line="400" w:lineRule="exact"/>
        <w:ind w:firstLine="420" w:firstLineChars="200"/>
        <w:rPr>
          <w:rFonts w:ascii="宋体" w:hAnsi="宋体" w:cs="宋体"/>
          <w:szCs w:val="22"/>
        </w:rPr>
      </w:pPr>
      <w:r>
        <w:rPr>
          <w:rFonts w:ascii="宋体" w:hAnsi="宋体" w:cs="宋体"/>
          <w:szCs w:val="22"/>
        </w:rPr>
        <w:t xml:space="preserve"> </w:t>
      </w:r>
      <w:r>
        <w:rPr>
          <w:rFonts w:ascii="宋体" w:hAnsi="宋体" w:cs="宋体"/>
          <w:szCs w:val="22"/>
          <w:u w:val="single"/>
        </w:rPr>
        <w:t xml:space="preserve">                           </w:t>
      </w:r>
      <w:r>
        <w:rPr>
          <w:rFonts w:ascii="宋体" w:hAnsi="宋体" w:cs="宋体"/>
          <w:szCs w:val="22"/>
        </w:rPr>
        <w:t>（承包人名称）（以下称“承包人”）于</w:t>
      </w:r>
      <w:r>
        <w:rPr>
          <w:rFonts w:ascii="宋体" w:hAnsi="宋体" w:cs="宋体"/>
          <w:szCs w:val="22"/>
          <w:u w:val="single"/>
        </w:rPr>
        <w:t xml:space="preserve">    </w:t>
      </w:r>
      <w:r>
        <w:rPr>
          <w:rFonts w:ascii="宋体" w:hAnsi="宋体" w:cs="宋体"/>
          <w:szCs w:val="22"/>
        </w:rPr>
        <w:t>年</w:t>
      </w:r>
      <w:r>
        <w:rPr>
          <w:rFonts w:ascii="宋体" w:hAnsi="宋体" w:cs="宋体"/>
          <w:szCs w:val="22"/>
          <w:u w:val="single"/>
        </w:rPr>
        <w:t xml:space="preserve">   </w:t>
      </w:r>
      <w:r>
        <w:rPr>
          <w:rFonts w:ascii="宋体" w:hAnsi="宋体" w:cs="宋体"/>
          <w:szCs w:val="22"/>
        </w:rPr>
        <w:t>月</w:t>
      </w:r>
      <w:r>
        <w:rPr>
          <w:rFonts w:ascii="宋体" w:hAnsi="宋体" w:cs="宋体"/>
          <w:szCs w:val="22"/>
          <w:u w:val="single"/>
        </w:rPr>
        <w:t xml:space="preserve">   </w:t>
      </w:r>
      <w:r>
        <w:rPr>
          <w:rFonts w:ascii="宋体" w:hAnsi="宋体" w:cs="宋体"/>
          <w:szCs w:val="22"/>
        </w:rPr>
        <w:t>日就</w:t>
      </w:r>
      <w:r>
        <w:rPr>
          <w:rFonts w:ascii="宋体" w:hAnsi="宋体" w:cs="宋体"/>
          <w:szCs w:val="22"/>
          <w:u w:val="single"/>
        </w:rPr>
        <w:t xml:space="preserve">                         </w:t>
      </w:r>
      <w:r>
        <w:rPr>
          <w:rFonts w:ascii="宋体" w:hAnsi="宋体" w:cs="宋体"/>
          <w:szCs w:val="22"/>
        </w:rPr>
        <w:t xml:space="preserve">（工程名称）施工及有关事项协商一致共同签订《建设工程施工合同》。我方愿意无条件地、不可撤销地就承包人履行与你方签订的合同，向你方提供连带责任担保。 </w:t>
      </w:r>
    </w:p>
    <w:p>
      <w:pPr>
        <w:spacing w:line="400" w:lineRule="exact"/>
        <w:ind w:firstLine="420" w:firstLineChars="200"/>
        <w:rPr>
          <w:rFonts w:ascii="宋体" w:hAnsi="宋体" w:cs="宋体"/>
          <w:szCs w:val="22"/>
        </w:rPr>
      </w:pPr>
      <w:r>
        <w:rPr>
          <w:rFonts w:ascii="宋体" w:hAnsi="宋体" w:cs="宋体"/>
          <w:szCs w:val="22"/>
        </w:rPr>
        <w:t>1. 担保金额人民币（大写）                 元（¥             ）。</w:t>
      </w:r>
    </w:p>
    <w:p>
      <w:pPr>
        <w:spacing w:line="400" w:lineRule="exact"/>
        <w:ind w:firstLine="420" w:firstLineChars="200"/>
        <w:rPr>
          <w:rFonts w:ascii="宋体" w:hAnsi="宋体" w:cs="宋体"/>
          <w:szCs w:val="22"/>
        </w:rPr>
      </w:pPr>
      <w:r>
        <w:rPr>
          <w:rFonts w:ascii="宋体" w:hAnsi="宋体" w:cs="宋体"/>
          <w:szCs w:val="22"/>
        </w:rPr>
        <w:t>2. 担保有效期自你方与承包人签订的合同生效之日起至你方签发或应签发工程接收证书之日止</w:t>
      </w:r>
      <w:r>
        <w:rPr>
          <w:rFonts w:hint="eastAsia" w:ascii="宋体" w:hAnsi="宋体" w:cs="宋体"/>
          <w:szCs w:val="22"/>
        </w:rPr>
        <w:t>，最迟不超过</w:t>
      </w:r>
      <w:r>
        <w:rPr>
          <w:rFonts w:hint="eastAsia" w:ascii="宋体" w:hAnsi="宋体" w:cs="宋体"/>
          <w:szCs w:val="22"/>
          <w:u w:val="single"/>
        </w:rPr>
        <w:t xml:space="preserve">      </w:t>
      </w:r>
      <w:r>
        <w:rPr>
          <w:rFonts w:hint="eastAsia" w:ascii="宋体" w:hAnsi="宋体" w:cs="宋体"/>
          <w:szCs w:val="22"/>
        </w:rPr>
        <w:t>年</w:t>
      </w:r>
      <w:r>
        <w:rPr>
          <w:rFonts w:hint="eastAsia" w:ascii="宋体" w:hAnsi="宋体" w:cs="宋体"/>
          <w:szCs w:val="22"/>
          <w:u w:val="single"/>
        </w:rPr>
        <w:t xml:space="preserve">    </w:t>
      </w:r>
      <w:r>
        <w:rPr>
          <w:rFonts w:hint="eastAsia" w:ascii="宋体" w:hAnsi="宋体" w:cs="宋体"/>
          <w:szCs w:val="22"/>
        </w:rPr>
        <w:t>月</w:t>
      </w:r>
      <w:r>
        <w:rPr>
          <w:rFonts w:hint="eastAsia" w:ascii="宋体" w:hAnsi="宋体" w:cs="宋体"/>
          <w:szCs w:val="22"/>
          <w:u w:val="single"/>
        </w:rPr>
        <w:t xml:space="preserve">    </w:t>
      </w:r>
      <w:r>
        <w:rPr>
          <w:rFonts w:hint="eastAsia" w:ascii="宋体" w:hAnsi="宋体" w:cs="宋体"/>
          <w:szCs w:val="22"/>
        </w:rPr>
        <w:t>日。</w:t>
      </w:r>
    </w:p>
    <w:p>
      <w:pPr>
        <w:spacing w:line="400" w:lineRule="exact"/>
        <w:ind w:firstLine="420" w:firstLineChars="200"/>
        <w:rPr>
          <w:rFonts w:ascii="宋体" w:hAnsi="宋体" w:cs="宋体"/>
          <w:szCs w:val="22"/>
        </w:rPr>
      </w:pPr>
      <w:r>
        <w:rPr>
          <w:rFonts w:ascii="宋体" w:hAnsi="宋体" w:cs="宋体"/>
          <w:szCs w:val="22"/>
        </w:rPr>
        <w:t>3. 在本担保有效期内，因承包人违反合同约定的义务给你方造成经济损失时，我方在收到你方以书面形式提出的在担保金额内的赔偿要求后，在7天内无条件支付。</w:t>
      </w:r>
    </w:p>
    <w:p>
      <w:pPr>
        <w:spacing w:line="400" w:lineRule="exact"/>
        <w:ind w:firstLine="420" w:firstLineChars="200"/>
        <w:rPr>
          <w:rFonts w:ascii="宋体" w:hAnsi="宋体" w:cs="宋体"/>
          <w:szCs w:val="22"/>
        </w:rPr>
      </w:pPr>
      <w:r>
        <w:rPr>
          <w:rFonts w:ascii="宋体" w:hAnsi="宋体" w:cs="宋体"/>
          <w:szCs w:val="22"/>
        </w:rPr>
        <w:t>4. 你方和承包人按合同约定变更合同时，我方承担本担保规定的义务不变。</w:t>
      </w:r>
    </w:p>
    <w:p>
      <w:pPr>
        <w:spacing w:line="400" w:lineRule="exact"/>
        <w:ind w:firstLine="420" w:firstLineChars="200"/>
        <w:rPr>
          <w:rFonts w:ascii="宋体" w:hAnsi="宋体" w:cs="宋体"/>
          <w:szCs w:val="22"/>
        </w:rPr>
      </w:pPr>
      <w:r>
        <w:rPr>
          <w:rFonts w:ascii="宋体" w:hAnsi="宋体" w:cs="宋体"/>
          <w:szCs w:val="22"/>
        </w:rPr>
        <w:t>5. 因本保函发生的纠纷，可由双方协商解决，协商不成的，任何一方均可提请</w:t>
      </w:r>
      <w:r>
        <w:rPr>
          <w:rFonts w:ascii="宋体" w:hAnsi="宋体" w:cs="宋体"/>
          <w:szCs w:val="22"/>
          <w:u w:val="single"/>
        </w:rPr>
        <w:t xml:space="preserve">        </w:t>
      </w:r>
      <w:r>
        <w:rPr>
          <w:rFonts w:ascii="宋体" w:hAnsi="宋体" w:cs="宋体"/>
          <w:szCs w:val="22"/>
        </w:rPr>
        <w:t>仲裁委员会仲裁。</w:t>
      </w:r>
    </w:p>
    <w:p>
      <w:pPr>
        <w:spacing w:line="400" w:lineRule="exact"/>
        <w:ind w:firstLine="420" w:firstLineChars="200"/>
        <w:rPr>
          <w:rFonts w:ascii="宋体" w:hAnsi="宋体" w:cs="宋体"/>
          <w:szCs w:val="22"/>
        </w:rPr>
      </w:pPr>
      <w:r>
        <w:rPr>
          <w:rFonts w:ascii="宋体" w:hAnsi="宋体" w:cs="宋体"/>
          <w:szCs w:val="22"/>
        </w:rPr>
        <w:t>6. 本保函自我方法定代表人（或其授权代理人）签字并加盖公章之日起生效。</w:t>
      </w:r>
    </w:p>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r>
        <w:rPr>
          <w:rFonts w:ascii="宋体" w:hAnsi="宋体" w:cs="宋体"/>
          <w:szCs w:val="22"/>
        </w:rPr>
        <w:t xml:space="preserve">担 保 人：             </w:t>
      </w:r>
      <w:r>
        <w:rPr>
          <w:rFonts w:hint="eastAsia" w:ascii="宋体" w:hAnsi="宋体" w:cs="宋体"/>
          <w:szCs w:val="22"/>
        </w:rPr>
        <w:t xml:space="preserve"> </w:t>
      </w:r>
      <w:r>
        <w:rPr>
          <w:rFonts w:ascii="宋体" w:hAnsi="宋体" w:cs="宋体"/>
          <w:szCs w:val="22"/>
        </w:rPr>
        <w:t xml:space="preserve">   </w:t>
      </w:r>
      <w:r>
        <w:rPr>
          <w:rFonts w:hint="eastAsia" w:ascii="宋体" w:hAnsi="宋体" w:cs="宋体"/>
          <w:szCs w:val="22"/>
        </w:rPr>
        <w:t xml:space="preserve">  </w:t>
      </w:r>
      <w:r>
        <w:rPr>
          <w:rFonts w:ascii="宋体" w:hAnsi="宋体" w:cs="宋体"/>
          <w:szCs w:val="22"/>
        </w:rPr>
        <w:t xml:space="preserve">        （盖单位章）</w:t>
      </w:r>
    </w:p>
    <w:p>
      <w:pPr>
        <w:spacing w:line="400" w:lineRule="exact"/>
        <w:ind w:firstLine="420" w:firstLineChars="200"/>
        <w:rPr>
          <w:rFonts w:ascii="宋体" w:hAnsi="宋体" w:cs="宋体"/>
          <w:szCs w:val="22"/>
        </w:rPr>
      </w:pPr>
      <w:r>
        <w:rPr>
          <w:rFonts w:ascii="宋体" w:hAnsi="宋体" w:cs="宋体"/>
          <w:szCs w:val="22"/>
        </w:rPr>
        <w:t>法定代表人或其委托代理人：</w:t>
      </w:r>
      <w:r>
        <w:rPr>
          <w:rFonts w:ascii="宋体" w:hAnsi="宋体" w:cs="宋体"/>
          <w:szCs w:val="22"/>
          <w:u w:val="single"/>
        </w:rPr>
        <w:t xml:space="preserve">    </w:t>
      </w:r>
      <w:r>
        <w:rPr>
          <w:rFonts w:hint="eastAsia" w:ascii="宋体" w:hAnsi="宋体" w:cs="宋体"/>
          <w:szCs w:val="22"/>
          <w:u w:val="single"/>
        </w:rPr>
        <w:t xml:space="preserve">  </w:t>
      </w:r>
      <w:r>
        <w:rPr>
          <w:rFonts w:ascii="宋体" w:hAnsi="宋体" w:cs="宋体"/>
          <w:szCs w:val="22"/>
          <w:u w:val="single"/>
        </w:rPr>
        <w:t xml:space="preserve">  </w:t>
      </w:r>
      <w:r>
        <w:rPr>
          <w:rFonts w:hint="eastAsia" w:ascii="宋体" w:hAnsi="宋体" w:cs="宋体"/>
          <w:szCs w:val="22"/>
          <w:u w:val="single"/>
        </w:rPr>
        <w:t xml:space="preserve"> </w:t>
      </w:r>
      <w:r>
        <w:rPr>
          <w:rFonts w:ascii="宋体" w:hAnsi="宋体" w:cs="宋体"/>
          <w:szCs w:val="22"/>
          <w:u w:val="single"/>
        </w:rPr>
        <w:t xml:space="preserve">      </w:t>
      </w:r>
      <w:r>
        <w:rPr>
          <w:rFonts w:ascii="宋体" w:hAnsi="宋体" w:cs="宋体"/>
          <w:szCs w:val="22"/>
        </w:rPr>
        <w:t>（签字）</w:t>
      </w:r>
    </w:p>
    <w:p>
      <w:pPr>
        <w:spacing w:line="400" w:lineRule="exact"/>
        <w:ind w:firstLine="420" w:firstLineChars="200"/>
        <w:rPr>
          <w:rFonts w:ascii="宋体" w:hAnsi="宋体" w:cs="宋体"/>
          <w:szCs w:val="22"/>
        </w:rPr>
      </w:pPr>
      <w:r>
        <w:rPr>
          <w:rFonts w:ascii="宋体" w:hAnsi="宋体" w:cs="宋体"/>
          <w:szCs w:val="22"/>
        </w:rPr>
        <w:t xml:space="preserve">地    址：            </w:t>
      </w:r>
      <w:r>
        <w:rPr>
          <w:rFonts w:hint="eastAsia" w:ascii="宋体" w:hAnsi="宋体" w:cs="宋体"/>
          <w:szCs w:val="22"/>
        </w:rPr>
        <w:t xml:space="preserve"> </w:t>
      </w:r>
      <w:r>
        <w:rPr>
          <w:rFonts w:ascii="宋体" w:hAnsi="宋体" w:cs="宋体"/>
          <w:szCs w:val="22"/>
        </w:rPr>
        <w:t xml:space="preserve">      </w:t>
      </w:r>
      <w:r>
        <w:rPr>
          <w:rFonts w:hint="eastAsia" w:ascii="宋体" w:hAnsi="宋体" w:cs="宋体"/>
          <w:szCs w:val="22"/>
        </w:rPr>
        <w:t xml:space="preserve">  </w:t>
      </w:r>
      <w:r>
        <w:rPr>
          <w:rFonts w:ascii="宋体" w:hAnsi="宋体" w:cs="宋体"/>
          <w:szCs w:val="22"/>
        </w:rPr>
        <w:t xml:space="preserve">             </w:t>
      </w:r>
      <w:r>
        <w:rPr>
          <w:rFonts w:hint="eastAsia" w:ascii="宋体" w:hAnsi="宋体" w:cs="宋体"/>
          <w:szCs w:val="22"/>
        </w:rPr>
        <w:t xml:space="preserve"> </w:t>
      </w:r>
      <w:r>
        <w:rPr>
          <w:rFonts w:ascii="宋体" w:hAnsi="宋体" w:cs="宋体"/>
          <w:szCs w:val="22"/>
        </w:rPr>
        <w:t xml:space="preserve">   </w:t>
      </w:r>
    </w:p>
    <w:p>
      <w:pPr>
        <w:spacing w:line="400" w:lineRule="exact"/>
        <w:ind w:firstLine="420" w:firstLineChars="200"/>
        <w:rPr>
          <w:rFonts w:ascii="宋体" w:hAnsi="宋体" w:cs="宋体"/>
          <w:szCs w:val="22"/>
        </w:rPr>
      </w:pPr>
      <w:r>
        <w:rPr>
          <w:rFonts w:ascii="宋体" w:hAnsi="宋体" w:cs="宋体"/>
          <w:szCs w:val="22"/>
        </w:rPr>
        <w:t xml:space="preserve">邮政编码：            </w:t>
      </w:r>
      <w:r>
        <w:rPr>
          <w:rFonts w:hint="eastAsia" w:ascii="宋体" w:hAnsi="宋体" w:cs="宋体"/>
          <w:szCs w:val="22"/>
        </w:rPr>
        <w:t xml:space="preserve"> </w:t>
      </w:r>
      <w:r>
        <w:rPr>
          <w:rFonts w:ascii="宋体" w:hAnsi="宋体" w:cs="宋体"/>
          <w:szCs w:val="22"/>
        </w:rPr>
        <w:t xml:space="preserve">      </w:t>
      </w:r>
      <w:r>
        <w:rPr>
          <w:rFonts w:hint="eastAsia" w:ascii="宋体" w:hAnsi="宋体" w:cs="宋体"/>
          <w:szCs w:val="22"/>
        </w:rPr>
        <w:t xml:space="preserve">  </w:t>
      </w:r>
      <w:r>
        <w:rPr>
          <w:rFonts w:ascii="宋体" w:hAnsi="宋体" w:cs="宋体"/>
          <w:szCs w:val="22"/>
        </w:rPr>
        <w:t xml:space="preserve">             </w:t>
      </w:r>
      <w:r>
        <w:rPr>
          <w:rFonts w:hint="eastAsia" w:ascii="宋体" w:hAnsi="宋体" w:cs="宋体"/>
          <w:szCs w:val="22"/>
        </w:rPr>
        <w:t xml:space="preserve"> </w:t>
      </w:r>
      <w:r>
        <w:rPr>
          <w:rFonts w:ascii="宋体" w:hAnsi="宋体" w:cs="宋体"/>
          <w:szCs w:val="22"/>
        </w:rPr>
        <w:t xml:space="preserve">   </w:t>
      </w:r>
    </w:p>
    <w:p>
      <w:pPr>
        <w:spacing w:line="400" w:lineRule="exact"/>
        <w:ind w:firstLine="420" w:firstLineChars="200"/>
        <w:rPr>
          <w:rFonts w:ascii="宋体" w:hAnsi="宋体" w:cs="宋体"/>
          <w:szCs w:val="22"/>
        </w:rPr>
      </w:pPr>
      <w:r>
        <w:rPr>
          <w:rFonts w:ascii="宋体" w:hAnsi="宋体" w:cs="宋体"/>
          <w:szCs w:val="22"/>
        </w:rPr>
        <w:t xml:space="preserve">电    话：            </w:t>
      </w:r>
      <w:r>
        <w:rPr>
          <w:rFonts w:hint="eastAsia" w:ascii="宋体" w:hAnsi="宋体" w:cs="宋体"/>
          <w:szCs w:val="22"/>
        </w:rPr>
        <w:t xml:space="preserve"> </w:t>
      </w:r>
      <w:r>
        <w:rPr>
          <w:rFonts w:ascii="宋体" w:hAnsi="宋体" w:cs="宋体"/>
          <w:szCs w:val="22"/>
        </w:rPr>
        <w:t xml:space="preserve">      </w:t>
      </w:r>
      <w:r>
        <w:rPr>
          <w:rFonts w:hint="eastAsia" w:ascii="宋体" w:hAnsi="宋体" w:cs="宋体"/>
          <w:szCs w:val="22"/>
        </w:rPr>
        <w:t xml:space="preserve">  </w:t>
      </w:r>
      <w:r>
        <w:rPr>
          <w:rFonts w:ascii="宋体" w:hAnsi="宋体" w:cs="宋体"/>
          <w:szCs w:val="22"/>
        </w:rPr>
        <w:t xml:space="preserve">             </w:t>
      </w:r>
      <w:r>
        <w:rPr>
          <w:rFonts w:hint="eastAsia" w:ascii="宋体" w:hAnsi="宋体" w:cs="宋体"/>
          <w:szCs w:val="22"/>
        </w:rPr>
        <w:t xml:space="preserve"> </w:t>
      </w:r>
      <w:r>
        <w:rPr>
          <w:rFonts w:ascii="宋体" w:hAnsi="宋体" w:cs="宋体"/>
          <w:szCs w:val="22"/>
        </w:rPr>
        <w:t xml:space="preserve">   </w:t>
      </w:r>
    </w:p>
    <w:p>
      <w:pPr>
        <w:spacing w:line="400" w:lineRule="exact"/>
        <w:ind w:firstLine="420" w:firstLineChars="200"/>
        <w:rPr>
          <w:rFonts w:ascii="宋体" w:hAnsi="宋体" w:cs="宋体"/>
          <w:szCs w:val="22"/>
        </w:rPr>
      </w:pPr>
      <w:r>
        <w:rPr>
          <w:rFonts w:ascii="宋体" w:hAnsi="宋体" w:cs="宋体"/>
          <w:szCs w:val="22"/>
        </w:rPr>
        <w:t xml:space="preserve">传    真：            </w:t>
      </w:r>
      <w:r>
        <w:rPr>
          <w:rFonts w:hint="eastAsia" w:ascii="宋体" w:hAnsi="宋体" w:cs="宋体"/>
          <w:szCs w:val="22"/>
        </w:rPr>
        <w:t xml:space="preserve"> </w:t>
      </w:r>
      <w:r>
        <w:rPr>
          <w:rFonts w:ascii="宋体" w:hAnsi="宋体" w:cs="宋体"/>
          <w:szCs w:val="22"/>
        </w:rPr>
        <w:t xml:space="preserve">      </w:t>
      </w:r>
      <w:r>
        <w:rPr>
          <w:rFonts w:hint="eastAsia" w:ascii="宋体" w:hAnsi="宋体" w:cs="宋体"/>
          <w:szCs w:val="22"/>
        </w:rPr>
        <w:t xml:space="preserve">  </w:t>
      </w:r>
      <w:r>
        <w:rPr>
          <w:rFonts w:ascii="宋体" w:hAnsi="宋体" w:cs="宋体"/>
          <w:szCs w:val="22"/>
        </w:rPr>
        <w:t xml:space="preserve">             </w:t>
      </w:r>
      <w:r>
        <w:rPr>
          <w:rFonts w:hint="eastAsia" w:ascii="宋体" w:hAnsi="宋体" w:cs="宋体"/>
          <w:szCs w:val="22"/>
        </w:rPr>
        <w:t xml:space="preserve"> </w:t>
      </w:r>
      <w:r>
        <w:rPr>
          <w:rFonts w:ascii="宋体" w:hAnsi="宋体" w:cs="宋体"/>
          <w:szCs w:val="22"/>
        </w:rPr>
        <w:t xml:space="preserve">   </w:t>
      </w:r>
    </w:p>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r>
        <w:rPr>
          <w:rFonts w:ascii="宋体" w:hAnsi="宋体" w:cs="宋体"/>
          <w:szCs w:val="22"/>
        </w:rPr>
        <w:t xml:space="preserve">             </w:t>
      </w:r>
      <w:r>
        <w:rPr>
          <w:rFonts w:hint="eastAsia" w:ascii="宋体" w:hAnsi="宋体" w:cs="宋体"/>
          <w:szCs w:val="22"/>
        </w:rPr>
        <w:t xml:space="preserve">  </w:t>
      </w:r>
      <w:r>
        <w:rPr>
          <w:rFonts w:ascii="宋体" w:hAnsi="宋体" w:cs="宋体"/>
          <w:szCs w:val="22"/>
        </w:rPr>
        <w:t xml:space="preserve">           年        月        日</w:t>
      </w:r>
    </w:p>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p>
    <w:p>
      <w:pPr>
        <w:rPr>
          <w:rFonts w:ascii="宋体" w:hAnsi="宋体" w:cs="宋体"/>
          <w:szCs w:val="22"/>
        </w:rPr>
      </w:pPr>
      <w:r>
        <w:rPr>
          <w:rFonts w:ascii="宋体" w:hAnsi="宋体" w:cs="宋体"/>
          <w:szCs w:val="22"/>
        </w:rPr>
        <w:br w:type="page"/>
      </w:r>
    </w:p>
    <w:p>
      <w:pPr>
        <w:spacing w:line="400" w:lineRule="exact"/>
        <w:ind w:firstLine="420" w:firstLineChars="200"/>
        <w:rPr>
          <w:rFonts w:ascii="宋体" w:hAnsi="宋体" w:cs="宋体"/>
          <w:szCs w:val="22"/>
        </w:rPr>
      </w:pPr>
      <w:r>
        <w:rPr>
          <w:rFonts w:ascii="宋体" w:hAnsi="宋体" w:cs="宋体"/>
          <w:szCs w:val="22"/>
        </w:rPr>
        <w:t>附件</w:t>
      </w:r>
      <w:r>
        <w:rPr>
          <w:rFonts w:hint="eastAsia" w:ascii="宋体" w:hAnsi="宋体" w:cs="宋体"/>
          <w:szCs w:val="22"/>
        </w:rPr>
        <w:t>10</w:t>
      </w:r>
      <w:r>
        <w:rPr>
          <w:rFonts w:ascii="宋体" w:hAnsi="宋体" w:cs="宋体"/>
          <w:szCs w:val="22"/>
        </w:rPr>
        <w:t>：</w:t>
      </w:r>
    </w:p>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r>
        <w:rPr>
          <w:rFonts w:hint="eastAsia" w:ascii="宋体" w:hAnsi="宋体" w:cs="宋体"/>
          <w:szCs w:val="22"/>
        </w:rPr>
        <w:t>履约保函</w:t>
      </w:r>
    </w:p>
    <w:p>
      <w:pPr>
        <w:spacing w:line="400" w:lineRule="exact"/>
        <w:ind w:firstLine="420" w:firstLineChars="200"/>
        <w:rPr>
          <w:rFonts w:ascii="宋体" w:hAnsi="宋体" w:cs="宋体"/>
          <w:szCs w:val="22"/>
        </w:rPr>
      </w:pPr>
      <w:r>
        <w:rPr>
          <w:rFonts w:hint="eastAsia" w:ascii="宋体" w:hAnsi="宋体" w:cs="宋体"/>
          <w:szCs w:val="22"/>
        </w:rPr>
        <w:t>（独立保函）</w:t>
      </w:r>
    </w:p>
    <w:p>
      <w:pPr>
        <w:spacing w:line="400" w:lineRule="exact"/>
        <w:ind w:firstLine="420" w:firstLineChars="200"/>
        <w:rPr>
          <w:rFonts w:ascii="宋体" w:hAnsi="宋体" w:cs="宋体"/>
          <w:szCs w:val="22"/>
        </w:rPr>
      </w:pPr>
      <w:r>
        <w:rPr>
          <w:rFonts w:hint="eastAsia" w:ascii="宋体" w:hAnsi="宋体" w:cs="宋体"/>
          <w:szCs w:val="22"/>
        </w:rPr>
        <w:t xml:space="preserve">编号：           </w:t>
      </w:r>
    </w:p>
    <w:p>
      <w:pPr>
        <w:spacing w:line="400" w:lineRule="exact"/>
        <w:ind w:firstLine="420" w:firstLineChars="200"/>
        <w:rPr>
          <w:rFonts w:ascii="宋体" w:hAnsi="宋体" w:cs="宋体"/>
          <w:szCs w:val="22"/>
        </w:rPr>
      </w:pPr>
      <w:r>
        <w:rPr>
          <w:rFonts w:hint="eastAsia" w:ascii="宋体" w:hAnsi="宋体" w:cs="宋体"/>
          <w:szCs w:val="22"/>
        </w:rPr>
        <w:t>申请人：</w:t>
      </w:r>
    </w:p>
    <w:p>
      <w:pPr>
        <w:spacing w:line="400" w:lineRule="exact"/>
        <w:ind w:firstLine="420" w:firstLineChars="200"/>
        <w:rPr>
          <w:rFonts w:ascii="宋体" w:hAnsi="宋体" w:cs="宋体"/>
          <w:szCs w:val="22"/>
        </w:rPr>
      </w:pPr>
      <w:r>
        <w:rPr>
          <w:rFonts w:hint="eastAsia" w:ascii="宋体" w:hAnsi="宋体" w:cs="宋体"/>
          <w:szCs w:val="22"/>
        </w:rPr>
        <w:t xml:space="preserve">  地址：</w:t>
      </w:r>
    </w:p>
    <w:p>
      <w:pPr>
        <w:spacing w:line="400" w:lineRule="exact"/>
        <w:ind w:firstLine="420" w:firstLineChars="200"/>
        <w:rPr>
          <w:rFonts w:ascii="宋体" w:hAnsi="宋体" w:cs="宋体"/>
          <w:szCs w:val="22"/>
        </w:rPr>
      </w:pPr>
      <w:r>
        <w:rPr>
          <w:rFonts w:hint="eastAsia" w:ascii="宋体" w:hAnsi="宋体" w:cs="宋体"/>
          <w:szCs w:val="22"/>
        </w:rPr>
        <w:t>受益人：</w:t>
      </w:r>
    </w:p>
    <w:p>
      <w:pPr>
        <w:spacing w:line="400" w:lineRule="exact"/>
        <w:ind w:firstLine="420" w:firstLineChars="200"/>
        <w:rPr>
          <w:rFonts w:ascii="宋体" w:hAnsi="宋体" w:cs="宋体"/>
          <w:szCs w:val="22"/>
        </w:rPr>
      </w:pPr>
      <w:r>
        <w:rPr>
          <w:rFonts w:hint="eastAsia" w:ascii="宋体" w:hAnsi="宋体" w:cs="宋体"/>
          <w:szCs w:val="22"/>
        </w:rPr>
        <w:t xml:space="preserve">  地址：</w:t>
      </w:r>
    </w:p>
    <w:p>
      <w:pPr>
        <w:spacing w:line="400" w:lineRule="exact"/>
        <w:ind w:firstLine="420" w:firstLineChars="200"/>
        <w:rPr>
          <w:rFonts w:ascii="宋体" w:hAnsi="宋体" w:cs="宋体"/>
          <w:szCs w:val="22"/>
        </w:rPr>
      </w:pPr>
      <w:r>
        <w:rPr>
          <w:rFonts w:hint="eastAsia" w:ascii="宋体" w:hAnsi="宋体" w:cs="宋体"/>
          <w:szCs w:val="22"/>
        </w:rPr>
        <w:t>开立人：</w:t>
      </w:r>
    </w:p>
    <w:p>
      <w:pPr>
        <w:spacing w:line="400" w:lineRule="exact"/>
        <w:ind w:firstLine="420" w:firstLineChars="200"/>
        <w:rPr>
          <w:rFonts w:ascii="宋体" w:hAnsi="宋体" w:cs="宋体"/>
          <w:szCs w:val="22"/>
        </w:rPr>
      </w:pPr>
      <w:r>
        <w:rPr>
          <w:rFonts w:hint="eastAsia" w:ascii="宋体" w:hAnsi="宋体" w:cs="宋体"/>
          <w:szCs w:val="22"/>
        </w:rPr>
        <w:t xml:space="preserve">  地址：</w:t>
      </w:r>
    </w:p>
    <w:p>
      <w:pPr>
        <w:spacing w:line="400" w:lineRule="exact"/>
        <w:ind w:firstLine="420" w:firstLineChars="200"/>
        <w:rPr>
          <w:rFonts w:ascii="宋体" w:hAnsi="宋体" w:cs="宋体"/>
          <w:szCs w:val="22"/>
        </w:rPr>
      </w:pPr>
      <w:r>
        <w:rPr>
          <w:rFonts w:hint="eastAsia" w:ascii="宋体" w:hAnsi="宋体" w:cs="宋体"/>
          <w:szCs w:val="22"/>
        </w:rPr>
        <w:t xml:space="preserve"> </w:t>
      </w:r>
    </w:p>
    <w:p>
      <w:pPr>
        <w:spacing w:line="400" w:lineRule="exact"/>
        <w:ind w:firstLine="420" w:firstLineChars="200"/>
        <w:rPr>
          <w:rFonts w:ascii="宋体" w:hAnsi="宋体" w:cs="宋体"/>
          <w:szCs w:val="22"/>
        </w:rPr>
      </w:pPr>
      <w:r>
        <w:rPr>
          <w:rFonts w:hint="eastAsia" w:ascii="宋体" w:hAnsi="宋体" w:cs="宋体"/>
          <w:szCs w:val="22"/>
        </w:rPr>
        <w:t xml:space="preserve">              （受益人名称）： </w:t>
      </w:r>
    </w:p>
    <w:p>
      <w:pPr>
        <w:spacing w:line="400" w:lineRule="exact"/>
        <w:ind w:firstLine="420" w:firstLineChars="200"/>
        <w:rPr>
          <w:rFonts w:ascii="宋体" w:hAnsi="宋体" w:cs="宋体"/>
          <w:szCs w:val="22"/>
        </w:rPr>
      </w:pPr>
      <w:r>
        <w:rPr>
          <w:rFonts w:hint="eastAsia" w:ascii="宋体" w:hAnsi="宋体" w:cs="宋体"/>
          <w:szCs w:val="22"/>
        </w:rPr>
        <w:t>鉴于</w:t>
      </w:r>
      <w:r>
        <w:rPr>
          <w:rFonts w:hint="eastAsia" w:ascii="宋体" w:hAnsi="宋体" w:cs="宋体"/>
          <w:szCs w:val="22"/>
          <w:u w:val="single"/>
        </w:rPr>
        <w:t xml:space="preserve">        </w:t>
      </w:r>
      <w:r>
        <w:rPr>
          <w:rFonts w:hint="eastAsia" w:ascii="宋体" w:hAnsi="宋体" w:cs="宋体"/>
          <w:szCs w:val="22"/>
        </w:rPr>
        <w:t>（以下简称“受益人”）与</w:t>
      </w:r>
      <w:r>
        <w:rPr>
          <w:rFonts w:hint="eastAsia" w:ascii="宋体" w:hAnsi="宋体" w:cs="宋体"/>
          <w:szCs w:val="22"/>
          <w:u w:val="single"/>
        </w:rPr>
        <w:t xml:space="preserve">         </w:t>
      </w:r>
      <w:r>
        <w:rPr>
          <w:rFonts w:hint="eastAsia" w:ascii="宋体" w:hAnsi="宋体" w:cs="宋体"/>
          <w:szCs w:val="22"/>
        </w:rPr>
        <w:t>（以下简称“申请人”）于</w:t>
      </w:r>
      <w:r>
        <w:rPr>
          <w:rFonts w:hint="eastAsia" w:ascii="宋体" w:hAnsi="宋体" w:cs="宋体"/>
          <w:szCs w:val="22"/>
          <w:u w:val="single"/>
        </w:rPr>
        <w:t xml:space="preserve">   </w:t>
      </w:r>
      <w:r>
        <w:rPr>
          <w:rFonts w:hint="eastAsia" w:ascii="宋体" w:hAnsi="宋体" w:cs="宋体"/>
          <w:szCs w:val="22"/>
        </w:rPr>
        <w:t>年</w:t>
      </w:r>
      <w:r>
        <w:rPr>
          <w:rFonts w:hint="eastAsia" w:ascii="宋体" w:hAnsi="宋体" w:cs="宋体"/>
          <w:szCs w:val="22"/>
          <w:u w:val="single"/>
        </w:rPr>
        <w:t xml:space="preserve">   </w:t>
      </w:r>
      <w:r>
        <w:rPr>
          <w:rFonts w:hint="eastAsia" w:ascii="宋体" w:hAnsi="宋体" w:cs="宋体"/>
          <w:szCs w:val="22"/>
        </w:rPr>
        <w:t>月</w:t>
      </w:r>
      <w:r>
        <w:rPr>
          <w:rFonts w:hint="eastAsia" w:ascii="宋体" w:hAnsi="宋体" w:cs="宋体"/>
          <w:szCs w:val="22"/>
          <w:u w:val="single"/>
        </w:rPr>
        <w:t xml:space="preserve">   </w:t>
      </w:r>
      <w:r>
        <w:rPr>
          <w:rFonts w:hint="eastAsia" w:ascii="宋体" w:hAnsi="宋体" w:cs="宋体"/>
          <w:szCs w:val="22"/>
        </w:rPr>
        <w:t>日就</w:t>
      </w:r>
      <w:r>
        <w:rPr>
          <w:rFonts w:hint="eastAsia" w:ascii="宋体" w:hAnsi="宋体" w:cs="宋体"/>
          <w:szCs w:val="22"/>
          <w:u w:val="single"/>
        </w:rPr>
        <w:t xml:space="preserve">           </w:t>
      </w:r>
      <w:r>
        <w:rPr>
          <w:rFonts w:hint="eastAsia" w:ascii="宋体" w:hAnsi="宋体" w:cs="宋体"/>
          <w:szCs w:val="22"/>
        </w:rPr>
        <w:t>工程（以下简称“本工程”）施工和有关事项协商一致共同签订</w:t>
      </w:r>
      <w:r>
        <w:rPr>
          <w:rFonts w:hint="eastAsia" w:ascii="宋体" w:hAnsi="宋体" w:cs="宋体"/>
          <w:szCs w:val="22"/>
          <w:u w:val="single"/>
        </w:rPr>
        <w:t>《        》</w:t>
      </w:r>
      <w:r>
        <w:rPr>
          <w:rFonts w:hint="eastAsia" w:ascii="宋体" w:hAnsi="宋体" w:cs="宋体"/>
          <w:szCs w:val="22"/>
        </w:rPr>
        <w:t xml:space="preserve">（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 </w:t>
      </w:r>
    </w:p>
    <w:p>
      <w:pPr>
        <w:spacing w:line="400" w:lineRule="exact"/>
        <w:ind w:firstLine="420" w:firstLineChars="200"/>
        <w:rPr>
          <w:rFonts w:ascii="宋体" w:hAnsi="宋体" w:cs="宋体"/>
          <w:szCs w:val="22"/>
        </w:rPr>
      </w:pPr>
      <w:r>
        <w:rPr>
          <w:rFonts w:hint="eastAsia" w:ascii="宋体" w:hAnsi="宋体" w:cs="宋体"/>
          <w:szCs w:val="22"/>
        </w:rPr>
        <w:t>一、本保函担保范围：承包人未按照基础合同的约定履行义务，应当向贵方承担的违约责任和赔偿因此造成的损失、利息、律师费、诉讼费用等实现债权的费用。</w:t>
      </w:r>
    </w:p>
    <w:p>
      <w:pPr>
        <w:spacing w:line="400" w:lineRule="exact"/>
        <w:ind w:firstLine="420" w:firstLineChars="200"/>
        <w:rPr>
          <w:rFonts w:ascii="宋体" w:hAnsi="宋体" w:cs="宋体"/>
          <w:szCs w:val="22"/>
        </w:rPr>
      </w:pPr>
      <w:r>
        <w:rPr>
          <w:rFonts w:hint="eastAsia" w:ascii="宋体" w:hAnsi="宋体" w:cs="宋体"/>
          <w:szCs w:val="22"/>
        </w:rPr>
        <w:t>二、本保函担保金额最高不超过人民币（大写）</w:t>
      </w:r>
      <w:r>
        <w:rPr>
          <w:rFonts w:hint="eastAsia" w:ascii="宋体" w:hAnsi="宋体" w:cs="宋体"/>
          <w:szCs w:val="22"/>
          <w:u w:val="single"/>
        </w:rPr>
        <w:t xml:space="preserve">          </w:t>
      </w:r>
      <w:r>
        <w:rPr>
          <w:rFonts w:hint="eastAsia" w:ascii="宋体" w:hAnsi="宋体" w:cs="宋体"/>
          <w:szCs w:val="22"/>
        </w:rPr>
        <w:t>元（¥</w:t>
      </w:r>
      <w:r>
        <w:rPr>
          <w:rFonts w:hint="eastAsia" w:ascii="宋体" w:hAnsi="宋体" w:cs="宋体"/>
          <w:szCs w:val="22"/>
          <w:u w:val="single"/>
        </w:rPr>
        <w:t xml:space="preserve">       </w:t>
      </w:r>
      <w:r>
        <w:rPr>
          <w:rFonts w:hint="eastAsia" w:ascii="宋体" w:hAnsi="宋体" w:cs="宋体"/>
          <w:szCs w:val="22"/>
        </w:rPr>
        <w:t xml:space="preserve">）。 </w:t>
      </w:r>
    </w:p>
    <w:p>
      <w:pPr>
        <w:spacing w:line="400" w:lineRule="exact"/>
        <w:ind w:firstLine="420" w:firstLineChars="200"/>
        <w:rPr>
          <w:rFonts w:ascii="宋体" w:hAnsi="宋体" w:cs="宋体"/>
          <w:szCs w:val="22"/>
        </w:rPr>
      </w:pPr>
      <w:r>
        <w:rPr>
          <w:rFonts w:hint="eastAsia" w:ascii="宋体" w:hAnsi="宋体" w:cs="宋体"/>
          <w:szCs w:val="22"/>
        </w:rPr>
        <w:t>三、本保函有效期自开立之日起至基础合同约定的缺陷责任期后</w:t>
      </w:r>
      <w:r>
        <w:rPr>
          <w:rFonts w:hint="eastAsia" w:ascii="宋体" w:hAnsi="宋体" w:cs="宋体"/>
          <w:szCs w:val="22"/>
          <w:u w:val="single"/>
        </w:rPr>
        <w:t xml:space="preserve">   </w:t>
      </w:r>
      <w:r>
        <w:rPr>
          <w:rFonts w:hint="eastAsia" w:ascii="宋体" w:hAnsi="宋体" w:cs="宋体"/>
          <w:szCs w:val="22"/>
        </w:rPr>
        <w:t>日止，最迟不超过</w:t>
      </w:r>
      <w:r>
        <w:rPr>
          <w:rFonts w:hint="eastAsia" w:ascii="宋体" w:hAnsi="宋体" w:cs="宋体"/>
          <w:szCs w:val="22"/>
          <w:u w:val="single"/>
        </w:rPr>
        <w:t xml:space="preserve">    </w:t>
      </w:r>
      <w:r>
        <w:rPr>
          <w:rFonts w:hint="eastAsia" w:ascii="宋体" w:hAnsi="宋体" w:cs="宋体"/>
          <w:szCs w:val="22"/>
        </w:rPr>
        <w:t>年</w:t>
      </w:r>
      <w:r>
        <w:rPr>
          <w:rFonts w:hint="eastAsia" w:ascii="宋体" w:hAnsi="宋体" w:cs="宋体"/>
          <w:szCs w:val="22"/>
          <w:u w:val="single"/>
        </w:rPr>
        <w:t xml:space="preserve">    </w:t>
      </w:r>
      <w:r>
        <w:rPr>
          <w:rFonts w:hint="eastAsia" w:ascii="宋体" w:hAnsi="宋体" w:cs="宋体"/>
          <w:szCs w:val="22"/>
        </w:rPr>
        <w:t>月</w:t>
      </w:r>
      <w:r>
        <w:rPr>
          <w:rFonts w:hint="eastAsia" w:ascii="宋体" w:hAnsi="宋体" w:cs="宋体"/>
          <w:szCs w:val="22"/>
          <w:u w:val="single"/>
        </w:rPr>
        <w:t xml:space="preserve">    </w:t>
      </w:r>
      <w:r>
        <w:rPr>
          <w:rFonts w:hint="eastAsia" w:ascii="宋体" w:hAnsi="宋体" w:cs="宋体"/>
          <w:szCs w:val="22"/>
        </w:rPr>
        <w:t xml:space="preserve">日。 </w:t>
      </w:r>
    </w:p>
    <w:p>
      <w:pPr>
        <w:spacing w:line="400" w:lineRule="exact"/>
        <w:ind w:firstLine="420" w:firstLineChars="200"/>
        <w:rPr>
          <w:rFonts w:ascii="宋体" w:hAnsi="宋体" w:cs="宋体"/>
          <w:szCs w:val="22"/>
        </w:rPr>
      </w:pPr>
      <w:r>
        <w:rPr>
          <w:rFonts w:hint="eastAsia" w:ascii="宋体" w:hAnsi="宋体" w:cs="宋体"/>
          <w:szCs w:val="22"/>
        </w:rPr>
        <w:t>四、我方承诺，在收到受益人发来的书面付款通知后的</w:t>
      </w:r>
      <w:r>
        <w:rPr>
          <w:rFonts w:hint="eastAsia" w:ascii="宋体" w:hAnsi="宋体" w:cs="宋体"/>
          <w:szCs w:val="22"/>
          <w:u w:val="single"/>
        </w:rPr>
        <w:t xml:space="preserve">    </w:t>
      </w:r>
      <w:r>
        <w:rPr>
          <w:rFonts w:hint="eastAsia" w:ascii="宋体" w:hAnsi="宋体" w:cs="宋体"/>
          <w:szCs w:val="22"/>
        </w:rPr>
        <w:t>日内无条件支付，前述书面付款通知即为付款要求之单据，且应满足以下要求：</w:t>
      </w:r>
    </w:p>
    <w:p>
      <w:pPr>
        <w:spacing w:line="400" w:lineRule="exact"/>
        <w:ind w:firstLine="420" w:firstLineChars="200"/>
        <w:rPr>
          <w:rFonts w:ascii="宋体" w:hAnsi="宋体" w:cs="宋体"/>
          <w:szCs w:val="22"/>
        </w:rPr>
      </w:pPr>
      <w:r>
        <w:rPr>
          <w:rFonts w:hint="eastAsia" w:ascii="宋体" w:hAnsi="宋体" w:cs="宋体"/>
          <w:szCs w:val="22"/>
        </w:rPr>
        <w:t>（1）付款通知到达的日期在本保函的有效期内；</w:t>
      </w:r>
    </w:p>
    <w:p>
      <w:pPr>
        <w:spacing w:line="400" w:lineRule="exact"/>
        <w:ind w:firstLine="420" w:firstLineChars="200"/>
        <w:rPr>
          <w:rFonts w:ascii="宋体" w:hAnsi="宋体" w:cs="宋体"/>
          <w:szCs w:val="22"/>
        </w:rPr>
      </w:pPr>
      <w:r>
        <w:rPr>
          <w:rFonts w:hint="eastAsia" w:ascii="宋体" w:hAnsi="宋体" w:cs="宋体"/>
          <w:szCs w:val="22"/>
        </w:rPr>
        <w:t>（2）载明要求支付的金额；</w:t>
      </w:r>
    </w:p>
    <w:p>
      <w:pPr>
        <w:spacing w:line="400" w:lineRule="exact"/>
        <w:ind w:firstLine="420" w:firstLineChars="200"/>
        <w:rPr>
          <w:rFonts w:ascii="宋体" w:hAnsi="宋体" w:cs="宋体"/>
          <w:szCs w:val="22"/>
        </w:rPr>
      </w:pPr>
      <w:r>
        <w:rPr>
          <w:rFonts w:hint="eastAsia" w:ascii="宋体" w:hAnsi="宋体" w:cs="宋体"/>
          <w:szCs w:val="22"/>
        </w:rPr>
        <w:t>（3）载明申请人违反合同义务的条款和内容；</w:t>
      </w:r>
    </w:p>
    <w:p>
      <w:pPr>
        <w:spacing w:line="400" w:lineRule="exact"/>
        <w:ind w:firstLine="420" w:firstLineChars="200"/>
        <w:rPr>
          <w:rFonts w:ascii="宋体" w:hAnsi="宋体" w:cs="宋体"/>
          <w:szCs w:val="22"/>
        </w:rPr>
      </w:pPr>
      <w:r>
        <w:rPr>
          <w:rFonts w:hint="eastAsia" w:ascii="宋体" w:hAnsi="宋体" w:cs="宋体"/>
          <w:szCs w:val="22"/>
        </w:rPr>
        <w:t>（4）声明不存在合同文件约定或我国法律规定免除申请人或开立人支付责任的情形；</w:t>
      </w:r>
    </w:p>
    <w:p>
      <w:pPr>
        <w:spacing w:line="400" w:lineRule="exact"/>
        <w:ind w:firstLine="420" w:firstLineChars="200"/>
        <w:rPr>
          <w:rFonts w:ascii="宋体" w:hAnsi="宋体" w:cs="宋体"/>
          <w:szCs w:val="22"/>
        </w:rPr>
      </w:pPr>
      <w:r>
        <w:rPr>
          <w:rFonts w:hint="eastAsia" w:ascii="宋体" w:hAnsi="宋体" w:cs="宋体"/>
          <w:szCs w:val="22"/>
        </w:rPr>
        <w:t>（5）付款通知应在本保函有效期内到达的地址是：</w:t>
      </w:r>
      <w:r>
        <w:rPr>
          <w:rFonts w:hint="eastAsia" w:ascii="宋体" w:hAnsi="宋体" w:cs="宋体"/>
          <w:szCs w:val="22"/>
          <w:u w:val="single"/>
        </w:rPr>
        <w:t xml:space="preserve">             </w:t>
      </w:r>
      <w:r>
        <w:rPr>
          <w:rFonts w:hint="eastAsia" w:ascii="宋体" w:hAnsi="宋体" w:cs="宋体"/>
          <w:szCs w:val="22"/>
        </w:rPr>
        <w:t>。</w:t>
      </w:r>
    </w:p>
    <w:p>
      <w:pPr>
        <w:spacing w:line="400" w:lineRule="exact"/>
        <w:ind w:firstLine="420" w:firstLineChars="200"/>
        <w:rPr>
          <w:rFonts w:ascii="宋体" w:hAnsi="宋体" w:cs="宋体"/>
          <w:szCs w:val="22"/>
        </w:rPr>
      </w:pPr>
      <w:r>
        <w:rPr>
          <w:rFonts w:hint="eastAsia" w:ascii="宋体" w:hAnsi="宋体" w:cs="宋体"/>
          <w:szCs w:val="22"/>
        </w:rPr>
        <w:t>受益人发出的书面付款通知应由其为鉴明受益人法定代表人（负责人）或授权代理人签字并加盖公章。</w:t>
      </w:r>
    </w:p>
    <w:p>
      <w:pPr>
        <w:spacing w:line="400" w:lineRule="exact"/>
        <w:ind w:firstLine="420" w:firstLineChars="200"/>
        <w:rPr>
          <w:rFonts w:ascii="宋体" w:hAnsi="宋体" w:cs="宋体"/>
          <w:szCs w:val="22"/>
        </w:rPr>
      </w:pPr>
      <w:r>
        <w:rPr>
          <w:rFonts w:hint="eastAsia" w:ascii="宋体" w:hAnsi="宋体" w:cs="宋体"/>
          <w:szCs w:val="22"/>
        </w:rPr>
        <w:t xml:space="preserve">五、本保函项下的权利不得转让，不得设定担保。贵方未经我方书面同意转 让本保函或其项下任何权利，对我方不发生法律效力。 </w:t>
      </w:r>
    </w:p>
    <w:p>
      <w:pPr>
        <w:spacing w:line="400" w:lineRule="exact"/>
        <w:ind w:firstLine="420" w:firstLineChars="200"/>
        <w:rPr>
          <w:rFonts w:ascii="宋体" w:hAnsi="宋体" w:cs="宋体"/>
          <w:szCs w:val="22"/>
        </w:rPr>
      </w:pPr>
      <w:r>
        <w:rPr>
          <w:rFonts w:hint="eastAsia" w:ascii="宋体" w:hAnsi="宋体" w:cs="宋体"/>
          <w:szCs w:val="22"/>
        </w:rPr>
        <w:t xml:space="preserve">六、与本保函有关的基础合同不成立、不生效、无效、被撤销、被解除，不影响本保函的独立有效。 </w:t>
      </w:r>
    </w:p>
    <w:p>
      <w:pPr>
        <w:spacing w:line="400" w:lineRule="exact"/>
        <w:ind w:firstLine="420" w:firstLineChars="200"/>
        <w:rPr>
          <w:rFonts w:ascii="宋体" w:hAnsi="宋体" w:cs="宋体"/>
          <w:szCs w:val="22"/>
        </w:rPr>
      </w:pPr>
      <w:r>
        <w:rPr>
          <w:rFonts w:hint="eastAsia" w:ascii="宋体" w:hAnsi="宋体" w:cs="宋体"/>
          <w:szCs w:val="22"/>
        </w:rPr>
        <w:t xml:space="preserve">七、贵方应在本保函到期后的七日内将本保函正本退回我方注销，但是不论贵方是否按此要求将本保函正本退回我方，我方在本保函项下的义务和责任均在保函有效期到期后自动消灭。 </w:t>
      </w:r>
    </w:p>
    <w:p>
      <w:pPr>
        <w:spacing w:line="400" w:lineRule="exact"/>
        <w:ind w:firstLine="420" w:firstLineChars="200"/>
        <w:rPr>
          <w:rFonts w:ascii="宋体" w:hAnsi="宋体" w:cs="宋体"/>
          <w:szCs w:val="22"/>
        </w:rPr>
      </w:pPr>
      <w:r>
        <w:rPr>
          <w:rFonts w:hint="eastAsia" w:ascii="宋体" w:hAnsi="宋体" w:cs="宋体"/>
          <w:szCs w:val="22"/>
        </w:rPr>
        <w:t>八、本保函适用的法律为中华人民共和国法律，争议裁判管辖地为中华人民共和国</w:t>
      </w:r>
      <w:r>
        <w:rPr>
          <w:rFonts w:hint="eastAsia" w:ascii="宋体" w:hAnsi="宋体" w:cs="宋体"/>
          <w:szCs w:val="22"/>
          <w:u w:val="single"/>
        </w:rPr>
        <w:t xml:space="preserve">     </w:t>
      </w:r>
      <w:r>
        <w:rPr>
          <w:rFonts w:hint="eastAsia" w:ascii="宋体" w:hAnsi="宋体" w:cs="宋体"/>
          <w:szCs w:val="22"/>
        </w:rPr>
        <w:t xml:space="preserve">。 </w:t>
      </w:r>
    </w:p>
    <w:p>
      <w:pPr>
        <w:spacing w:line="400" w:lineRule="exact"/>
        <w:ind w:firstLine="420" w:firstLineChars="200"/>
        <w:rPr>
          <w:rFonts w:ascii="宋体" w:hAnsi="宋体" w:cs="宋体"/>
          <w:szCs w:val="22"/>
        </w:rPr>
      </w:pPr>
      <w:r>
        <w:rPr>
          <w:rFonts w:hint="eastAsia" w:ascii="宋体" w:hAnsi="宋体" w:cs="宋体"/>
          <w:szCs w:val="22"/>
        </w:rPr>
        <w:t xml:space="preserve">九、本保函自我方法定代表人或授权代表签字并加盖公章之日起生效。 </w:t>
      </w:r>
    </w:p>
    <w:p>
      <w:pPr>
        <w:spacing w:line="400" w:lineRule="exact"/>
        <w:ind w:firstLine="420" w:firstLineChars="200"/>
        <w:rPr>
          <w:rFonts w:ascii="宋体" w:hAnsi="宋体" w:cs="宋体"/>
          <w:szCs w:val="22"/>
        </w:rPr>
      </w:pPr>
      <w:r>
        <w:rPr>
          <w:rFonts w:hint="eastAsia" w:ascii="宋体" w:hAnsi="宋体" w:cs="宋体"/>
          <w:szCs w:val="22"/>
        </w:rPr>
        <w:t xml:space="preserve">开 立 人：                              （公章） </w:t>
      </w:r>
    </w:p>
    <w:p>
      <w:pPr>
        <w:spacing w:line="400" w:lineRule="exact"/>
        <w:ind w:firstLine="420" w:firstLineChars="200"/>
        <w:rPr>
          <w:rFonts w:ascii="宋体" w:hAnsi="宋体" w:cs="宋体"/>
          <w:szCs w:val="22"/>
        </w:rPr>
      </w:pPr>
      <w:r>
        <w:rPr>
          <w:rFonts w:hint="eastAsia" w:ascii="宋体" w:hAnsi="宋体" w:cs="宋体"/>
          <w:szCs w:val="22"/>
        </w:rPr>
        <w:t xml:space="preserve">法定代表人（或授权代表）：               （签字） </w:t>
      </w:r>
    </w:p>
    <w:p>
      <w:pPr>
        <w:spacing w:line="400" w:lineRule="exact"/>
        <w:ind w:firstLine="420" w:firstLineChars="200"/>
        <w:rPr>
          <w:rFonts w:ascii="宋体" w:hAnsi="宋体" w:cs="宋体"/>
          <w:szCs w:val="22"/>
        </w:rPr>
      </w:pPr>
      <w:r>
        <w:rPr>
          <w:rFonts w:hint="eastAsia" w:ascii="宋体" w:hAnsi="宋体" w:cs="宋体"/>
          <w:szCs w:val="22"/>
        </w:rPr>
        <w:t xml:space="preserve">地    址：                                       </w:t>
      </w:r>
    </w:p>
    <w:p>
      <w:pPr>
        <w:spacing w:line="400" w:lineRule="exact"/>
        <w:ind w:firstLine="420" w:firstLineChars="200"/>
        <w:rPr>
          <w:rFonts w:ascii="宋体" w:hAnsi="宋体" w:cs="宋体"/>
          <w:szCs w:val="22"/>
        </w:rPr>
      </w:pPr>
      <w:r>
        <w:rPr>
          <w:rFonts w:hint="eastAsia" w:ascii="宋体" w:hAnsi="宋体" w:cs="宋体"/>
          <w:szCs w:val="22"/>
        </w:rPr>
        <w:t xml:space="preserve">邮政编码：                 </w:t>
      </w:r>
    </w:p>
    <w:p>
      <w:pPr>
        <w:spacing w:line="400" w:lineRule="exact"/>
        <w:ind w:firstLine="420" w:firstLineChars="200"/>
        <w:rPr>
          <w:rFonts w:ascii="宋体" w:hAnsi="宋体" w:cs="宋体"/>
          <w:szCs w:val="22"/>
        </w:rPr>
      </w:pPr>
      <w:r>
        <w:rPr>
          <w:rFonts w:hint="eastAsia" w:ascii="宋体" w:hAnsi="宋体" w:cs="宋体"/>
          <w:szCs w:val="22"/>
        </w:rPr>
        <w:t xml:space="preserve">电    话：                 </w:t>
      </w:r>
    </w:p>
    <w:p>
      <w:pPr>
        <w:spacing w:line="400" w:lineRule="exact"/>
        <w:ind w:firstLine="420" w:firstLineChars="200"/>
        <w:rPr>
          <w:rFonts w:ascii="宋体" w:hAnsi="宋体" w:cs="宋体"/>
          <w:szCs w:val="22"/>
        </w:rPr>
      </w:pPr>
      <w:r>
        <w:rPr>
          <w:rFonts w:hint="eastAsia" w:ascii="宋体" w:hAnsi="宋体" w:cs="宋体"/>
          <w:szCs w:val="22"/>
        </w:rPr>
        <w:t xml:space="preserve">传    真：                 </w:t>
      </w:r>
    </w:p>
    <w:p>
      <w:pPr>
        <w:spacing w:line="400" w:lineRule="exact"/>
        <w:ind w:firstLine="420" w:firstLineChars="200"/>
        <w:rPr>
          <w:rFonts w:ascii="宋体" w:hAnsi="宋体" w:cs="宋体"/>
          <w:szCs w:val="22"/>
        </w:rPr>
      </w:pPr>
      <w:r>
        <w:rPr>
          <w:rFonts w:hint="eastAsia" w:ascii="宋体" w:hAnsi="宋体" w:cs="宋体"/>
          <w:szCs w:val="22"/>
        </w:rPr>
        <w:t xml:space="preserve">开立时间：      年      月    </w:t>
      </w:r>
    </w:p>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p>
    <w:p>
      <w:pPr>
        <w:rPr>
          <w:rFonts w:ascii="宋体" w:hAnsi="宋体" w:cs="宋体"/>
          <w:szCs w:val="22"/>
        </w:rPr>
      </w:pPr>
      <w:r>
        <w:rPr>
          <w:rFonts w:ascii="宋体" w:hAnsi="宋体" w:cs="宋体"/>
          <w:szCs w:val="22"/>
        </w:rPr>
        <w:br w:type="page"/>
      </w:r>
    </w:p>
    <w:p>
      <w:pPr>
        <w:spacing w:line="400" w:lineRule="exact"/>
        <w:ind w:firstLine="420" w:firstLineChars="200"/>
        <w:rPr>
          <w:rFonts w:ascii="宋体" w:hAnsi="宋体" w:cs="宋体"/>
          <w:szCs w:val="22"/>
        </w:rPr>
      </w:pPr>
      <w:r>
        <w:rPr>
          <w:rFonts w:ascii="宋体" w:hAnsi="宋体" w:cs="宋体"/>
          <w:szCs w:val="22"/>
        </w:rPr>
        <w:t>附</w:t>
      </w:r>
      <w:bookmarkStart w:id="337" w:name="_Toc296347231"/>
      <w:bookmarkStart w:id="338" w:name="_Toc296891060"/>
      <w:bookmarkStart w:id="339" w:name="_Toc296944571"/>
      <w:bookmarkStart w:id="340" w:name="_Toc296503232"/>
      <w:bookmarkStart w:id="341" w:name="_Toc267261702"/>
      <w:bookmarkStart w:id="342" w:name="_Toc296346733"/>
      <w:bookmarkStart w:id="343" w:name="_Toc296891272"/>
      <w:r>
        <w:rPr>
          <w:rFonts w:ascii="宋体" w:hAnsi="宋体" w:cs="宋体"/>
          <w:szCs w:val="22"/>
        </w:rPr>
        <w:t>件</w:t>
      </w:r>
      <w:r>
        <w:rPr>
          <w:rFonts w:hint="eastAsia" w:ascii="宋体" w:hAnsi="宋体" w:cs="宋体"/>
          <w:szCs w:val="22"/>
        </w:rPr>
        <w:t>11</w:t>
      </w:r>
      <w:r>
        <w:rPr>
          <w:rFonts w:ascii="宋体" w:hAnsi="宋体" w:cs="宋体"/>
          <w:szCs w:val="22"/>
        </w:rPr>
        <w:t xml:space="preserve"> ：</w:t>
      </w:r>
    </w:p>
    <w:bookmarkEnd w:id="337"/>
    <w:bookmarkEnd w:id="338"/>
    <w:bookmarkEnd w:id="339"/>
    <w:bookmarkEnd w:id="340"/>
    <w:bookmarkEnd w:id="341"/>
    <w:bookmarkEnd w:id="342"/>
    <w:bookmarkEnd w:id="343"/>
    <w:p>
      <w:pPr>
        <w:spacing w:line="400" w:lineRule="exact"/>
        <w:ind w:firstLine="420" w:firstLineChars="200"/>
        <w:rPr>
          <w:rFonts w:ascii="宋体" w:hAnsi="宋体" w:cs="宋体"/>
          <w:szCs w:val="22"/>
        </w:rPr>
      </w:pPr>
      <w:r>
        <w:rPr>
          <w:rFonts w:ascii="宋体" w:hAnsi="宋体" w:cs="宋体"/>
          <w:szCs w:val="22"/>
        </w:rPr>
        <w:t>预付款担保</w:t>
      </w:r>
    </w:p>
    <w:p>
      <w:pPr>
        <w:spacing w:line="400" w:lineRule="exact"/>
        <w:ind w:firstLine="420" w:firstLineChars="200"/>
        <w:rPr>
          <w:rFonts w:ascii="宋体" w:hAnsi="宋体" w:cs="宋体"/>
          <w:szCs w:val="22"/>
        </w:rPr>
      </w:pPr>
      <w:r>
        <w:rPr>
          <w:rFonts w:ascii="宋体" w:hAnsi="宋体" w:cs="宋体"/>
          <w:szCs w:val="22"/>
        </w:rPr>
        <w:t xml:space="preserve">            </w:t>
      </w:r>
      <w:r>
        <w:rPr>
          <w:rFonts w:ascii="宋体" w:hAnsi="宋体" w:cs="宋体"/>
          <w:szCs w:val="22"/>
        </w:rPr>
        <w:tab/>
      </w:r>
      <w:r>
        <w:rPr>
          <w:rFonts w:ascii="宋体" w:hAnsi="宋体" w:cs="宋体"/>
          <w:szCs w:val="22"/>
        </w:rPr>
        <w:tab/>
      </w:r>
      <w:r>
        <w:rPr>
          <w:rFonts w:ascii="宋体" w:hAnsi="宋体" w:cs="宋体"/>
          <w:szCs w:val="22"/>
        </w:rPr>
        <w:t xml:space="preserve">  （发包人名称）：</w:t>
      </w:r>
    </w:p>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r>
        <w:rPr>
          <w:rFonts w:ascii="宋体" w:hAnsi="宋体" w:cs="宋体"/>
          <w:szCs w:val="22"/>
        </w:rPr>
        <w:t>根据                 （承包人名称）（以下称</w:t>
      </w:r>
      <w:r>
        <w:rPr>
          <w:rFonts w:hint="eastAsia" w:ascii="宋体" w:hAnsi="宋体" w:cs="宋体"/>
          <w:szCs w:val="22"/>
        </w:rPr>
        <w:t>“</w:t>
      </w:r>
      <w:r>
        <w:rPr>
          <w:rFonts w:ascii="宋体" w:hAnsi="宋体" w:cs="宋体"/>
          <w:szCs w:val="22"/>
        </w:rPr>
        <w:t>承包人</w:t>
      </w:r>
      <w:r>
        <w:rPr>
          <w:rFonts w:hint="eastAsia" w:ascii="宋体" w:hAnsi="宋体" w:cs="宋体"/>
          <w:szCs w:val="22"/>
        </w:rPr>
        <w:t>”</w:t>
      </w:r>
      <w:r>
        <w:rPr>
          <w:rFonts w:ascii="宋体" w:hAnsi="宋体" w:cs="宋体"/>
          <w:szCs w:val="22"/>
        </w:rPr>
        <w:t>）与                        （发包人名称）（以下简称</w:t>
      </w:r>
      <w:r>
        <w:rPr>
          <w:rFonts w:hint="eastAsia" w:ascii="宋体" w:hAnsi="宋体" w:cs="宋体"/>
          <w:szCs w:val="22"/>
        </w:rPr>
        <w:t>“</w:t>
      </w:r>
      <w:r>
        <w:rPr>
          <w:rFonts w:ascii="宋体" w:hAnsi="宋体" w:cs="宋体"/>
          <w:szCs w:val="22"/>
        </w:rPr>
        <w:t>发包人</w:t>
      </w:r>
      <w:r>
        <w:rPr>
          <w:rFonts w:hint="eastAsia" w:ascii="宋体" w:hAnsi="宋体" w:cs="宋体"/>
          <w:szCs w:val="22"/>
        </w:rPr>
        <w:t>”</w:t>
      </w:r>
      <w:r>
        <w:rPr>
          <w:rFonts w:ascii="宋体" w:hAnsi="宋体" w:cs="宋体"/>
          <w:szCs w:val="22"/>
        </w:rPr>
        <w:t>）</w:t>
      </w:r>
    </w:p>
    <w:p>
      <w:pPr>
        <w:spacing w:line="400" w:lineRule="exact"/>
        <w:ind w:firstLine="420" w:firstLineChars="200"/>
        <w:rPr>
          <w:rFonts w:ascii="宋体" w:hAnsi="宋体" w:cs="宋体"/>
          <w:szCs w:val="22"/>
        </w:rPr>
      </w:pPr>
      <w:r>
        <w:rPr>
          <w:rFonts w:ascii="宋体" w:hAnsi="宋体" w:cs="宋体"/>
          <w:szCs w:val="22"/>
        </w:rPr>
        <w:t>于</w:t>
      </w:r>
      <w:r>
        <w:rPr>
          <w:rFonts w:ascii="宋体" w:hAnsi="宋体" w:cs="宋体"/>
          <w:szCs w:val="22"/>
          <w:u w:val="single"/>
        </w:rPr>
        <w:t xml:space="preserve">     </w:t>
      </w:r>
      <w:r>
        <w:rPr>
          <w:rFonts w:ascii="宋体" w:hAnsi="宋体" w:cs="宋体"/>
          <w:szCs w:val="22"/>
        </w:rPr>
        <w:t>年</w:t>
      </w:r>
      <w:r>
        <w:rPr>
          <w:rFonts w:ascii="宋体" w:hAnsi="宋体" w:cs="宋体"/>
          <w:szCs w:val="22"/>
          <w:u w:val="single"/>
        </w:rPr>
        <w:t xml:space="preserve">    </w:t>
      </w:r>
      <w:r>
        <w:rPr>
          <w:rFonts w:ascii="宋体" w:hAnsi="宋体" w:cs="宋体"/>
          <w:szCs w:val="22"/>
        </w:rPr>
        <w:t>月</w:t>
      </w:r>
      <w:r>
        <w:rPr>
          <w:rFonts w:ascii="宋体" w:hAnsi="宋体" w:cs="宋体"/>
          <w:szCs w:val="22"/>
          <w:u w:val="single"/>
        </w:rPr>
        <w:t xml:space="preserve">    </w:t>
      </w:r>
      <w:r>
        <w:rPr>
          <w:rFonts w:ascii="宋体" w:hAnsi="宋体" w:cs="宋体"/>
          <w:szCs w:val="22"/>
        </w:rPr>
        <w:t>日签订的</w:t>
      </w:r>
      <w:r>
        <w:rPr>
          <w:rFonts w:ascii="宋体" w:hAnsi="宋体" w:cs="宋体"/>
          <w:szCs w:val="22"/>
          <w:u w:val="single"/>
        </w:rPr>
        <w:t xml:space="preserve">                   </w:t>
      </w:r>
      <w:r>
        <w:rPr>
          <w:rFonts w:ascii="宋体" w:hAnsi="宋体" w:cs="宋体"/>
          <w:szCs w:val="22"/>
        </w:rPr>
        <w:t>（工程名称）《建设工程施工合同》，承包人按约定的金额向</w:t>
      </w:r>
      <w:r>
        <w:rPr>
          <w:rFonts w:hint="eastAsia" w:ascii="宋体" w:hAnsi="宋体" w:cs="宋体"/>
          <w:szCs w:val="22"/>
        </w:rPr>
        <w:t>你方</w:t>
      </w:r>
      <w:r>
        <w:rPr>
          <w:rFonts w:ascii="宋体" w:hAnsi="宋体" w:cs="宋体"/>
          <w:szCs w:val="22"/>
        </w:rPr>
        <w:t>提交一份预付款担保，即有权得到</w:t>
      </w:r>
      <w:r>
        <w:rPr>
          <w:rFonts w:hint="eastAsia" w:ascii="宋体" w:hAnsi="宋体" w:cs="宋体"/>
          <w:szCs w:val="22"/>
        </w:rPr>
        <w:t>你方</w:t>
      </w:r>
      <w:r>
        <w:rPr>
          <w:rFonts w:ascii="宋体" w:hAnsi="宋体" w:cs="宋体"/>
          <w:szCs w:val="22"/>
        </w:rPr>
        <w:t>支付相等金额的预付款。我方愿意就你方提供给承包人的预付款</w:t>
      </w:r>
      <w:r>
        <w:rPr>
          <w:rFonts w:hint="eastAsia" w:ascii="宋体" w:hAnsi="宋体" w:cs="宋体"/>
          <w:szCs w:val="22"/>
        </w:rPr>
        <w:t>为承包人</w:t>
      </w:r>
      <w:r>
        <w:rPr>
          <w:rFonts w:ascii="宋体" w:hAnsi="宋体" w:cs="宋体"/>
          <w:szCs w:val="22"/>
        </w:rPr>
        <w:t>提供连带责任担保。</w:t>
      </w:r>
    </w:p>
    <w:p>
      <w:pPr>
        <w:spacing w:line="400" w:lineRule="exact"/>
        <w:ind w:firstLine="420" w:firstLineChars="200"/>
        <w:rPr>
          <w:rFonts w:ascii="宋体" w:hAnsi="宋体" w:cs="宋体"/>
          <w:szCs w:val="22"/>
        </w:rPr>
      </w:pPr>
      <w:r>
        <w:rPr>
          <w:rFonts w:hint="eastAsia" w:ascii="宋体" w:hAnsi="宋体" w:cs="宋体"/>
          <w:szCs w:val="22"/>
        </w:rPr>
        <w:t xml:space="preserve">1. </w:t>
      </w:r>
      <w:r>
        <w:rPr>
          <w:rFonts w:ascii="宋体" w:hAnsi="宋体" w:cs="宋体"/>
          <w:szCs w:val="22"/>
        </w:rPr>
        <w:t xml:space="preserve">担保金额人民币（大写）                </w:t>
      </w:r>
      <w:r>
        <w:rPr>
          <w:rFonts w:hint="eastAsia" w:ascii="宋体" w:hAnsi="宋体" w:cs="宋体"/>
          <w:szCs w:val="22"/>
        </w:rPr>
        <w:t>元</w:t>
      </w:r>
      <w:r>
        <w:rPr>
          <w:rFonts w:ascii="宋体" w:hAnsi="宋体" w:cs="宋体"/>
          <w:szCs w:val="22"/>
        </w:rPr>
        <w:t>（¥             ）。</w:t>
      </w:r>
    </w:p>
    <w:p>
      <w:pPr>
        <w:spacing w:line="400" w:lineRule="exact"/>
        <w:ind w:firstLine="420" w:firstLineChars="200"/>
        <w:rPr>
          <w:rFonts w:ascii="宋体" w:hAnsi="宋体" w:cs="宋体"/>
          <w:szCs w:val="22"/>
        </w:rPr>
      </w:pPr>
      <w:r>
        <w:rPr>
          <w:rFonts w:hint="eastAsia" w:ascii="宋体" w:hAnsi="宋体" w:cs="宋体"/>
          <w:szCs w:val="22"/>
        </w:rPr>
        <w:t xml:space="preserve">2. </w:t>
      </w:r>
      <w:r>
        <w:rPr>
          <w:rFonts w:ascii="宋体" w:hAnsi="宋体" w:cs="宋体"/>
          <w:szCs w:val="22"/>
        </w:rPr>
        <w:t>担保有效期自预付款支付给承包人起生效，至</w:t>
      </w:r>
      <w:r>
        <w:rPr>
          <w:rFonts w:hint="eastAsia" w:ascii="宋体" w:hAnsi="宋体" w:cs="宋体"/>
          <w:szCs w:val="22"/>
        </w:rPr>
        <w:t>你方</w:t>
      </w:r>
      <w:r>
        <w:rPr>
          <w:rFonts w:ascii="宋体" w:hAnsi="宋体" w:cs="宋体"/>
          <w:szCs w:val="22"/>
        </w:rPr>
        <w:t>签发的</w:t>
      </w:r>
      <w:r>
        <w:rPr>
          <w:rFonts w:hint="eastAsia" w:ascii="宋体" w:hAnsi="宋体" w:cs="宋体"/>
          <w:szCs w:val="22"/>
        </w:rPr>
        <w:t>进</w:t>
      </w:r>
      <w:r>
        <w:rPr>
          <w:rFonts w:ascii="宋体" w:hAnsi="宋体" w:cs="宋体"/>
          <w:szCs w:val="22"/>
        </w:rPr>
        <w:t>度款支付证书说明已完全扣清止</w:t>
      </w:r>
      <w:r>
        <w:rPr>
          <w:rFonts w:hint="eastAsia" w:ascii="宋体" w:hAnsi="宋体" w:cs="宋体"/>
          <w:szCs w:val="22"/>
        </w:rPr>
        <w:t>，最迟不超过</w:t>
      </w:r>
      <w:r>
        <w:rPr>
          <w:rFonts w:hint="eastAsia" w:ascii="宋体" w:hAnsi="宋体" w:cs="宋体"/>
          <w:szCs w:val="22"/>
          <w:u w:val="single"/>
        </w:rPr>
        <w:t xml:space="preserve">      </w:t>
      </w:r>
      <w:r>
        <w:rPr>
          <w:rFonts w:hint="eastAsia" w:ascii="宋体" w:hAnsi="宋体" w:cs="宋体"/>
          <w:szCs w:val="22"/>
        </w:rPr>
        <w:t>年</w:t>
      </w:r>
      <w:r>
        <w:rPr>
          <w:rFonts w:hint="eastAsia" w:ascii="宋体" w:hAnsi="宋体" w:cs="宋体"/>
          <w:szCs w:val="22"/>
          <w:u w:val="single"/>
        </w:rPr>
        <w:t xml:space="preserve">    </w:t>
      </w:r>
      <w:r>
        <w:rPr>
          <w:rFonts w:hint="eastAsia" w:ascii="宋体" w:hAnsi="宋体" w:cs="宋体"/>
          <w:szCs w:val="22"/>
        </w:rPr>
        <w:t>月</w:t>
      </w:r>
      <w:r>
        <w:rPr>
          <w:rFonts w:hint="eastAsia" w:ascii="宋体" w:hAnsi="宋体" w:cs="宋体"/>
          <w:szCs w:val="22"/>
          <w:u w:val="single"/>
        </w:rPr>
        <w:t xml:space="preserve">    </w:t>
      </w:r>
      <w:r>
        <w:rPr>
          <w:rFonts w:hint="eastAsia" w:ascii="宋体" w:hAnsi="宋体" w:cs="宋体"/>
          <w:szCs w:val="22"/>
        </w:rPr>
        <w:t>日</w:t>
      </w:r>
      <w:r>
        <w:rPr>
          <w:rFonts w:ascii="宋体" w:hAnsi="宋体" w:cs="宋体"/>
          <w:szCs w:val="22"/>
        </w:rPr>
        <w:t>。</w:t>
      </w:r>
    </w:p>
    <w:p>
      <w:pPr>
        <w:spacing w:line="400" w:lineRule="exact"/>
        <w:ind w:firstLine="420" w:firstLineChars="200"/>
        <w:rPr>
          <w:rFonts w:ascii="宋体" w:hAnsi="宋体" w:cs="宋体"/>
          <w:szCs w:val="22"/>
        </w:rPr>
      </w:pPr>
      <w:r>
        <w:rPr>
          <w:rFonts w:hint="eastAsia" w:ascii="宋体" w:hAnsi="宋体" w:cs="宋体"/>
          <w:szCs w:val="22"/>
        </w:rPr>
        <w:t xml:space="preserve">3. </w:t>
      </w:r>
      <w:r>
        <w:rPr>
          <w:rFonts w:ascii="宋体" w:hAnsi="宋体" w:cs="宋体"/>
          <w:szCs w:val="22"/>
        </w:rPr>
        <w:t>在本保函有效期内，因承包人违反合同约定的义务而要求</w:t>
      </w:r>
      <w:r>
        <w:rPr>
          <w:rFonts w:hint="eastAsia" w:ascii="宋体" w:hAnsi="宋体" w:cs="宋体"/>
          <w:szCs w:val="22"/>
        </w:rPr>
        <w:t>收</w:t>
      </w:r>
      <w:r>
        <w:rPr>
          <w:rFonts w:ascii="宋体" w:hAnsi="宋体" w:cs="宋体"/>
          <w:szCs w:val="22"/>
        </w:rPr>
        <w:t>回预付款时，我方在收到你方的书面通知后，在７天内无条件支付。但本保函的担保金额，在任何时候不应超过预付款金额减去</w:t>
      </w:r>
      <w:r>
        <w:rPr>
          <w:rFonts w:hint="eastAsia" w:ascii="宋体" w:hAnsi="宋体" w:cs="宋体"/>
          <w:szCs w:val="22"/>
        </w:rPr>
        <w:t>你方</w:t>
      </w:r>
      <w:r>
        <w:rPr>
          <w:rFonts w:ascii="宋体" w:hAnsi="宋体" w:cs="宋体"/>
          <w:szCs w:val="22"/>
        </w:rPr>
        <w:t>按合同约定在向承包人签发的进度款支付证书中扣除的金额。</w:t>
      </w:r>
    </w:p>
    <w:p>
      <w:pPr>
        <w:spacing w:line="400" w:lineRule="exact"/>
        <w:ind w:firstLine="420" w:firstLineChars="200"/>
        <w:rPr>
          <w:rFonts w:ascii="宋体" w:hAnsi="宋体" w:cs="宋体"/>
          <w:szCs w:val="22"/>
        </w:rPr>
      </w:pPr>
      <w:r>
        <w:rPr>
          <w:rFonts w:hint="eastAsia" w:ascii="宋体" w:hAnsi="宋体" w:cs="宋体"/>
          <w:szCs w:val="22"/>
        </w:rPr>
        <w:t>4. 你方</w:t>
      </w:r>
      <w:r>
        <w:rPr>
          <w:rFonts w:ascii="宋体" w:hAnsi="宋体" w:cs="宋体"/>
          <w:szCs w:val="22"/>
        </w:rPr>
        <w:t>和承包人按合同约定变更合同时，我方承担本保函规定的义务不变。</w:t>
      </w:r>
    </w:p>
    <w:p>
      <w:pPr>
        <w:spacing w:line="400" w:lineRule="exact"/>
        <w:ind w:firstLine="420" w:firstLineChars="200"/>
        <w:rPr>
          <w:rFonts w:ascii="宋体" w:hAnsi="宋体" w:cs="宋体"/>
          <w:szCs w:val="22"/>
        </w:rPr>
      </w:pPr>
      <w:r>
        <w:rPr>
          <w:rFonts w:hint="eastAsia" w:ascii="宋体" w:hAnsi="宋体" w:cs="宋体"/>
          <w:szCs w:val="22"/>
        </w:rPr>
        <w:t xml:space="preserve">5. </w:t>
      </w:r>
      <w:r>
        <w:rPr>
          <w:rFonts w:ascii="宋体" w:hAnsi="宋体" w:cs="宋体"/>
          <w:szCs w:val="22"/>
        </w:rPr>
        <w:t>因本保函发生的纠纷，可由双方协商解决，协商不成的，任何一方均可提请</w:t>
      </w:r>
      <w:r>
        <w:rPr>
          <w:rFonts w:ascii="宋体" w:hAnsi="宋体" w:cs="宋体"/>
          <w:szCs w:val="22"/>
          <w:u w:val="single"/>
        </w:rPr>
        <w:t xml:space="preserve">        </w:t>
      </w:r>
      <w:r>
        <w:rPr>
          <w:rFonts w:ascii="宋体" w:hAnsi="宋体" w:cs="宋体"/>
          <w:szCs w:val="22"/>
        </w:rPr>
        <w:t>仲裁委员会仲裁。</w:t>
      </w:r>
    </w:p>
    <w:p>
      <w:pPr>
        <w:spacing w:line="400" w:lineRule="exact"/>
        <w:ind w:firstLine="420" w:firstLineChars="200"/>
        <w:rPr>
          <w:rFonts w:ascii="宋体" w:hAnsi="宋体" w:cs="宋体"/>
          <w:szCs w:val="22"/>
        </w:rPr>
      </w:pPr>
      <w:r>
        <w:rPr>
          <w:rFonts w:hint="eastAsia" w:ascii="宋体" w:hAnsi="宋体" w:cs="宋体"/>
          <w:szCs w:val="22"/>
        </w:rPr>
        <w:t xml:space="preserve">6. </w:t>
      </w:r>
      <w:r>
        <w:rPr>
          <w:rFonts w:ascii="宋体" w:hAnsi="宋体" w:cs="宋体"/>
          <w:szCs w:val="22"/>
        </w:rPr>
        <w:t>本保函自我方法定代表人（或其授权代理人）签字并加盖公章之日起生效。</w:t>
      </w:r>
    </w:p>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r>
        <w:rPr>
          <w:rFonts w:ascii="宋体" w:hAnsi="宋体" w:cs="宋体"/>
          <w:szCs w:val="22"/>
        </w:rPr>
        <w:t xml:space="preserve">担保人：      </w:t>
      </w:r>
      <w:r>
        <w:rPr>
          <w:rFonts w:hint="eastAsia" w:ascii="宋体" w:hAnsi="宋体" w:cs="宋体"/>
          <w:szCs w:val="22"/>
        </w:rPr>
        <w:t xml:space="preserve">          </w:t>
      </w:r>
      <w:r>
        <w:rPr>
          <w:rFonts w:ascii="宋体" w:hAnsi="宋体" w:cs="宋体"/>
          <w:szCs w:val="22"/>
        </w:rPr>
        <w:t xml:space="preserve">          （盖单位章）</w:t>
      </w:r>
    </w:p>
    <w:p>
      <w:pPr>
        <w:spacing w:line="400" w:lineRule="exact"/>
        <w:ind w:firstLine="420" w:firstLineChars="200"/>
        <w:rPr>
          <w:rFonts w:ascii="宋体" w:hAnsi="宋体" w:cs="宋体"/>
          <w:szCs w:val="22"/>
        </w:rPr>
      </w:pPr>
      <w:r>
        <w:rPr>
          <w:rFonts w:ascii="宋体" w:hAnsi="宋体" w:cs="宋体"/>
          <w:szCs w:val="22"/>
        </w:rPr>
        <w:t>法定代表人或其委托代理人：</w:t>
      </w:r>
      <w:r>
        <w:rPr>
          <w:rFonts w:ascii="宋体" w:hAnsi="宋体" w:cs="宋体"/>
          <w:szCs w:val="22"/>
          <w:u w:val="single"/>
        </w:rPr>
        <w:t xml:space="preserve">    </w:t>
      </w:r>
      <w:r>
        <w:rPr>
          <w:rFonts w:hint="eastAsia" w:ascii="宋体" w:hAnsi="宋体" w:cs="宋体"/>
          <w:szCs w:val="22"/>
          <w:u w:val="single"/>
        </w:rPr>
        <w:t xml:space="preserve">       </w:t>
      </w:r>
      <w:r>
        <w:rPr>
          <w:rFonts w:ascii="宋体" w:hAnsi="宋体" w:cs="宋体"/>
          <w:szCs w:val="22"/>
          <w:u w:val="single"/>
        </w:rPr>
        <w:t xml:space="preserve"> </w:t>
      </w:r>
      <w:r>
        <w:rPr>
          <w:rFonts w:ascii="宋体" w:hAnsi="宋体" w:cs="宋体"/>
          <w:szCs w:val="22"/>
        </w:rPr>
        <w:t>（签字）</w:t>
      </w:r>
    </w:p>
    <w:p>
      <w:pPr>
        <w:spacing w:line="400" w:lineRule="exact"/>
        <w:ind w:firstLine="420" w:firstLineChars="200"/>
        <w:rPr>
          <w:rFonts w:ascii="宋体" w:hAnsi="宋体" w:cs="宋体"/>
          <w:szCs w:val="22"/>
        </w:rPr>
      </w:pPr>
      <w:r>
        <w:rPr>
          <w:rFonts w:ascii="宋体" w:hAnsi="宋体" w:cs="宋体"/>
          <w:szCs w:val="22"/>
        </w:rPr>
        <w:t>地    址：</w:t>
      </w:r>
      <w:r>
        <w:rPr>
          <w:rFonts w:ascii="宋体" w:hAnsi="宋体" w:cs="宋体"/>
          <w:szCs w:val="22"/>
        </w:rPr>
        <w:tab/>
      </w:r>
      <w:r>
        <w:rPr>
          <w:rFonts w:ascii="宋体" w:hAnsi="宋体" w:cs="宋体"/>
          <w:szCs w:val="22"/>
        </w:rPr>
        <w:tab/>
      </w:r>
      <w:r>
        <w:rPr>
          <w:rFonts w:hint="eastAsia" w:ascii="宋体" w:hAnsi="宋体" w:cs="宋体"/>
          <w:szCs w:val="22"/>
        </w:rPr>
        <w:t xml:space="preserve">  </w:t>
      </w:r>
      <w:r>
        <w:rPr>
          <w:rFonts w:ascii="宋体" w:hAnsi="宋体" w:cs="宋体"/>
          <w:szCs w:val="22"/>
        </w:rPr>
        <w:tab/>
      </w:r>
      <w:r>
        <w:rPr>
          <w:rFonts w:ascii="宋体" w:hAnsi="宋体" w:cs="宋体"/>
          <w:szCs w:val="22"/>
        </w:rPr>
        <w:tab/>
      </w:r>
      <w:r>
        <w:rPr>
          <w:rFonts w:hint="eastAsia" w:ascii="宋体" w:hAnsi="宋体" w:cs="宋体"/>
          <w:szCs w:val="22"/>
        </w:rPr>
        <w:t xml:space="preserve">                   </w:t>
      </w:r>
      <w:r>
        <w:rPr>
          <w:rFonts w:ascii="宋体" w:hAnsi="宋体" w:cs="宋体"/>
          <w:szCs w:val="22"/>
        </w:rPr>
        <w:tab/>
      </w:r>
      <w:r>
        <w:rPr>
          <w:rFonts w:ascii="宋体" w:hAnsi="宋体" w:cs="宋体"/>
          <w:szCs w:val="22"/>
        </w:rPr>
        <w:tab/>
      </w:r>
      <w:r>
        <w:rPr>
          <w:rFonts w:ascii="宋体" w:hAnsi="宋体" w:cs="宋体"/>
          <w:szCs w:val="22"/>
        </w:rPr>
        <w:tab/>
      </w:r>
    </w:p>
    <w:p>
      <w:pPr>
        <w:spacing w:line="400" w:lineRule="exact"/>
        <w:ind w:firstLine="420" w:firstLineChars="200"/>
        <w:rPr>
          <w:rFonts w:ascii="宋体" w:hAnsi="宋体" w:cs="宋体"/>
          <w:szCs w:val="22"/>
        </w:rPr>
      </w:pPr>
      <w:r>
        <w:rPr>
          <w:rFonts w:ascii="宋体" w:hAnsi="宋体" w:cs="宋体"/>
          <w:szCs w:val="22"/>
        </w:rPr>
        <w:t>邮政编码：</w:t>
      </w:r>
      <w:r>
        <w:rPr>
          <w:rFonts w:ascii="宋体" w:hAnsi="宋体" w:cs="宋体"/>
          <w:szCs w:val="22"/>
        </w:rPr>
        <w:tab/>
      </w:r>
      <w:r>
        <w:rPr>
          <w:rFonts w:ascii="宋体" w:hAnsi="宋体" w:cs="宋体"/>
          <w:szCs w:val="22"/>
        </w:rPr>
        <w:tab/>
      </w:r>
      <w:r>
        <w:rPr>
          <w:rFonts w:hint="eastAsia" w:ascii="宋体" w:hAnsi="宋体" w:cs="宋体"/>
          <w:szCs w:val="22"/>
        </w:rPr>
        <w:t xml:space="preserve">  </w:t>
      </w:r>
      <w:r>
        <w:rPr>
          <w:rFonts w:ascii="宋体" w:hAnsi="宋体" w:cs="宋体"/>
          <w:szCs w:val="22"/>
        </w:rPr>
        <w:tab/>
      </w:r>
      <w:r>
        <w:rPr>
          <w:rFonts w:ascii="宋体" w:hAnsi="宋体" w:cs="宋体"/>
          <w:szCs w:val="22"/>
        </w:rPr>
        <w:tab/>
      </w:r>
      <w:r>
        <w:rPr>
          <w:rFonts w:hint="eastAsia" w:ascii="宋体" w:hAnsi="宋体" w:cs="宋体"/>
          <w:szCs w:val="22"/>
        </w:rPr>
        <w:t xml:space="preserve">                   </w:t>
      </w:r>
      <w:r>
        <w:rPr>
          <w:rFonts w:ascii="宋体" w:hAnsi="宋体" w:cs="宋体"/>
          <w:szCs w:val="22"/>
        </w:rPr>
        <w:tab/>
      </w:r>
      <w:r>
        <w:rPr>
          <w:rFonts w:ascii="宋体" w:hAnsi="宋体" w:cs="宋体"/>
          <w:szCs w:val="22"/>
        </w:rPr>
        <w:tab/>
      </w:r>
      <w:r>
        <w:rPr>
          <w:rFonts w:ascii="宋体" w:hAnsi="宋体" w:cs="宋体"/>
          <w:szCs w:val="22"/>
        </w:rPr>
        <w:tab/>
      </w:r>
    </w:p>
    <w:p>
      <w:pPr>
        <w:spacing w:line="400" w:lineRule="exact"/>
        <w:ind w:firstLine="420" w:firstLineChars="200"/>
        <w:rPr>
          <w:rFonts w:ascii="宋体" w:hAnsi="宋体" w:cs="宋体"/>
          <w:szCs w:val="22"/>
        </w:rPr>
      </w:pPr>
      <w:r>
        <w:rPr>
          <w:rFonts w:ascii="宋体" w:hAnsi="宋体" w:cs="宋体"/>
          <w:szCs w:val="22"/>
        </w:rPr>
        <w:t>电    话：</w:t>
      </w:r>
      <w:r>
        <w:rPr>
          <w:rFonts w:ascii="宋体" w:hAnsi="宋体" w:cs="宋体"/>
          <w:szCs w:val="22"/>
        </w:rPr>
        <w:tab/>
      </w:r>
      <w:r>
        <w:rPr>
          <w:rFonts w:ascii="宋体" w:hAnsi="宋体" w:cs="宋体"/>
          <w:szCs w:val="22"/>
        </w:rPr>
        <w:tab/>
      </w:r>
      <w:r>
        <w:rPr>
          <w:rFonts w:hint="eastAsia" w:ascii="宋体" w:hAnsi="宋体" w:cs="宋体"/>
          <w:szCs w:val="22"/>
        </w:rPr>
        <w:t xml:space="preserve">  </w:t>
      </w:r>
      <w:r>
        <w:rPr>
          <w:rFonts w:ascii="宋体" w:hAnsi="宋体" w:cs="宋体"/>
          <w:szCs w:val="22"/>
        </w:rPr>
        <w:tab/>
      </w:r>
      <w:r>
        <w:rPr>
          <w:rFonts w:ascii="宋体" w:hAnsi="宋体" w:cs="宋体"/>
          <w:szCs w:val="22"/>
        </w:rPr>
        <w:tab/>
      </w:r>
      <w:r>
        <w:rPr>
          <w:rFonts w:hint="eastAsia" w:ascii="宋体" w:hAnsi="宋体" w:cs="宋体"/>
          <w:szCs w:val="22"/>
        </w:rPr>
        <w:t xml:space="preserve">                   </w:t>
      </w:r>
      <w:r>
        <w:rPr>
          <w:rFonts w:ascii="宋体" w:hAnsi="宋体" w:cs="宋体"/>
          <w:szCs w:val="22"/>
        </w:rPr>
        <w:tab/>
      </w:r>
      <w:r>
        <w:rPr>
          <w:rFonts w:ascii="宋体" w:hAnsi="宋体" w:cs="宋体"/>
          <w:szCs w:val="22"/>
        </w:rPr>
        <w:tab/>
      </w:r>
      <w:r>
        <w:rPr>
          <w:rFonts w:ascii="宋体" w:hAnsi="宋体" w:cs="宋体"/>
          <w:szCs w:val="22"/>
        </w:rPr>
        <w:tab/>
      </w:r>
    </w:p>
    <w:p>
      <w:pPr>
        <w:spacing w:line="400" w:lineRule="exact"/>
        <w:ind w:firstLine="420" w:firstLineChars="200"/>
        <w:rPr>
          <w:rFonts w:ascii="宋体" w:hAnsi="宋体" w:cs="宋体"/>
          <w:szCs w:val="22"/>
        </w:rPr>
      </w:pPr>
      <w:r>
        <w:rPr>
          <w:rFonts w:ascii="宋体" w:hAnsi="宋体" w:cs="宋体"/>
          <w:szCs w:val="22"/>
        </w:rPr>
        <w:t>传    真：</w:t>
      </w:r>
      <w:r>
        <w:rPr>
          <w:rFonts w:ascii="宋体" w:hAnsi="宋体" w:cs="宋体"/>
          <w:szCs w:val="22"/>
        </w:rPr>
        <w:tab/>
      </w:r>
      <w:r>
        <w:rPr>
          <w:rFonts w:ascii="宋体" w:hAnsi="宋体" w:cs="宋体"/>
          <w:szCs w:val="22"/>
        </w:rPr>
        <w:tab/>
      </w:r>
      <w:r>
        <w:rPr>
          <w:rFonts w:hint="eastAsia" w:ascii="宋体" w:hAnsi="宋体" w:cs="宋体"/>
          <w:szCs w:val="22"/>
        </w:rPr>
        <w:t xml:space="preserve">  </w:t>
      </w:r>
      <w:r>
        <w:rPr>
          <w:rFonts w:ascii="宋体" w:hAnsi="宋体" w:cs="宋体"/>
          <w:szCs w:val="22"/>
        </w:rPr>
        <w:tab/>
      </w:r>
      <w:r>
        <w:rPr>
          <w:rFonts w:ascii="宋体" w:hAnsi="宋体" w:cs="宋体"/>
          <w:szCs w:val="22"/>
        </w:rPr>
        <w:tab/>
      </w:r>
      <w:r>
        <w:rPr>
          <w:rFonts w:hint="eastAsia" w:ascii="宋体" w:hAnsi="宋体" w:cs="宋体"/>
          <w:szCs w:val="22"/>
        </w:rPr>
        <w:t xml:space="preserve">                   </w:t>
      </w:r>
      <w:r>
        <w:rPr>
          <w:rFonts w:ascii="宋体" w:hAnsi="宋体" w:cs="宋体"/>
          <w:szCs w:val="22"/>
        </w:rPr>
        <w:tab/>
      </w:r>
      <w:r>
        <w:rPr>
          <w:rFonts w:ascii="宋体" w:hAnsi="宋体" w:cs="宋体"/>
          <w:szCs w:val="22"/>
        </w:rPr>
        <w:tab/>
      </w:r>
      <w:r>
        <w:rPr>
          <w:rFonts w:ascii="宋体" w:hAnsi="宋体" w:cs="宋体"/>
          <w:szCs w:val="22"/>
        </w:rPr>
        <w:tab/>
      </w:r>
    </w:p>
    <w:p>
      <w:pPr>
        <w:spacing w:line="400" w:lineRule="exact"/>
        <w:ind w:firstLine="420" w:firstLineChars="200"/>
        <w:rPr>
          <w:rFonts w:ascii="宋体" w:hAnsi="宋体" w:cs="宋体"/>
          <w:szCs w:val="22"/>
        </w:rPr>
      </w:pPr>
      <w:r>
        <w:rPr>
          <w:rFonts w:ascii="宋体" w:hAnsi="宋体" w:cs="宋体"/>
          <w:szCs w:val="22"/>
        </w:rPr>
        <w:t xml:space="preserve">  </w:t>
      </w:r>
    </w:p>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r>
        <w:rPr>
          <w:rFonts w:ascii="宋体" w:hAnsi="宋体" w:cs="宋体"/>
          <w:szCs w:val="22"/>
        </w:rPr>
        <w:t xml:space="preserve">                           年      月      日</w:t>
      </w:r>
    </w:p>
    <w:p>
      <w:pPr>
        <w:rPr>
          <w:rFonts w:ascii="宋体" w:hAnsi="宋体" w:cs="宋体"/>
          <w:szCs w:val="22"/>
        </w:rPr>
      </w:pPr>
      <w:r>
        <w:rPr>
          <w:rFonts w:hint="eastAsia" w:ascii="宋体" w:hAnsi="宋体" w:cs="宋体"/>
          <w:szCs w:val="22"/>
        </w:rPr>
        <w:br w:type="page"/>
      </w:r>
    </w:p>
    <w:p>
      <w:pPr>
        <w:spacing w:line="400" w:lineRule="exact"/>
        <w:ind w:firstLine="420" w:firstLineChars="200"/>
        <w:rPr>
          <w:rFonts w:ascii="宋体" w:hAnsi="宋体" w:cs="宋体"/>
          <w:szCs w:val="22"/>
        </w:rPr>
      </w:pPr>
      <w:r>
        <w:rPr>
          <w:rFonts w:hint="eastAsia" w:ascii="宋体" w:hAnsi="宋体" w:cs="宋体"/>
          <w:szCs w:val="22"/>
        </w:rPr>
        <w:t>附件12：</w:t>
      </w:r>
    </w:p>
    <w:p>
      <w:pPr>
        <w:spacing w:line="400" w:lineRule="exact"/>
        <w:ind w:firstLine="420" w:firstLineChars="200"/>
        <w:rPr>
          <w:rFonts w:ascii="宋体" w:hAnsi="宋体" w:cs="宋体"/>
          <w:szCs w:val="22"/>
        </w:rPr>
      </w:pPr>
      <w:r>
        <w:rPr>
          <w:rFonts w:hint="eastAsia" w:ascii="宋体" w:hAnsi="宋体" w:cs="宋体"/>
          <w:szCs w:val="22"/>
        </w:rPr>
        <w:t>预付款保函</w:t>
      </w:r>
    </w:p>
    <w:p>
      <w:pPr>
        <w:spacing w:line="400" w:lineRule="exact"/>
        <w:ind w:firstLine="420" w:firstLineChars="200"/>
        <w:rPr>
          <w:rFonts w:ascii="宋体" w:hAnsi="宋体" w:cs="宋体"/>
          <w:szCs w:val="22"/>
        </w:rPr>
      </w:pPr>
      <w:r>
        <w:rPr>
          <w:rFonts w:hint="eastAsia" w:ascii="宋体" w:hAnsi="宋体" w:cs="宋体"/>
          <w:szCs w:val="22"/>
        </w:rPr>
        <w:t>（独立保函）</w:t>
      </w:r>
    </w:p>
    <w:p>
      <w:pPr>
        <w:spacing w:line="400" w:lineRule="exact"/>
        <w:ind w:firstLine="420" w:firstLineChars="200"/>
        <w:rPr>
          <w:rFonts w:ascii="宋体" w:hAnsi="宋体" w:cs="宋体"/>
          <w:szCs w:val="22"/>
        </w:rPr>
      </w:pPr>
      <w:r>
        <w:rPr>
          <w:rFonts w:hint="eastAsia" w:ascii="宋体" w:hAnsi="宋体" w:cs="宋体"/>
          <w:szCs w:val="22"/>
        </w:rPr>
        <w:t xml:space="preserve">编号：           </w:t>
      </w:r>
    </w:p>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r>
        <w:rPr>
          <w:rFonts w:hint="eastAsia" w:ascii="宋体" w:hAnsi="宋体" w:cs="宋体"/>
          <w:szCs w:val="22"/>
        </w:rPr>
        <w:t>申请人：</w:t>
      </w:r>
    </w:p>
    <w:p>
      <w:pPr>
        <w:spacing w:line="400" w:lineRule="exact"/>
        <w:ind w:firstLine="420" w:firstLineChars="200"/>
        <w:rPr>
          <w:rFonts w:ascii="宋体" w:hAnsi="宋体" w:cs="宋体"/>
          <w:szCs w:val="22"/>
        </w:rPr>
      </w:pPr>
      <w:r>
        <w:rPr>
          <w:rFonts w:hint="eastAsia" w:ascii="宋体" w:hAnsi="宋体" w:cs="宋体"/>
          <w:szCs w:val="22"/>
        </w:rPr>
        <w:t xml:space="preserve">  地址：</w:t>
      </w:r>
    </w:p>
    <w:p>
      <w:pPr>
        <w:spacing w:line="400" w:lineRule="exact"/>
        <w:ind w:firstLine="420" w:firstLineChars="200"/>
        <w:rPr>
          <w:rFonts w:ascii="宋体" w:hAnsi="宋体" w:cs="宋体"/>
          <w:szCs w:val="22"/>
        </w:rPr>
      </w:pPr>
      <w:r>
        <w:rPr>
          <w:rFonts w:hint="eastAsia" w:ascii="宋体" w:hAnsi="宋体" w:cs="宋体"/>
          <w:szCs w:val="22"/>
        </w:rPr>
        <w:t>受益人：</w:t>
      </w:r>
    </w:p>
    <w:p>
      <w:pPr>
        <w:spacing w:line="400" w:lineRule="exact"/>
        <w:ind w:firstLine="420" w:firstLineChars="200"/>
        <w:rPr>
          <w:rFonts w:ascii="宋体" w:hAnsi="宋体" w:cs="宋体"/>
          <w:szCs w:val="22"/>
        </w:rPr>
      </w:pPr>
      <w:r>
        <w:rPr>
          <w:rFonts w:hint="eastAsia" w:ascii="宋体" w:hAnsi="宋体" w:cs="宋体"/>
          <w:szCs w:val="22"/>
        </w:rPr>
        <w:t xml:space="preserve">  地址：</w:t>
      </w:r>
    </w:p>
    <w:p>
      <w:pPr>
        <w:spacing w:line="400" w:lineRule="exact"/>
        <w:ind w:firstLine="420" w:firstLineChars="200"/>
        <w:rPr>
          <w:rFonts w:ascii="宋体" w:hAnsi="宋体" w:cs="宋体"/>
          <w:szCs w:val="22"/>
        </w:rPr>
      </w:pPr>
      <w:r>
        <w:rPr>
          <w:rFonts w:hint="eastAsia" w:ascii="宋体" w:hAnsi="宋体" w:cs="宋体"/>
          <w:szCs w:val="22"/>
        </w:rPr>
        <w:t>开立人：</w:t>
      </w:r>
    </w:p>
    <w:p>
      <w:pPr>
        <w:spacing w:line="400" w:lineRule="exact"/>
        <w:ind w:firstLine="420" w:firstLineChars="200"/>
        <w:rPr>
          <w:rFonts w:ascii="宋体" w:hAnsi="宋体" w:cs="宋体"/>
          <w:szCs w:val="22"/>
        </w:rPr>
      </w:pPr>
      <w:r>
        <w:rPr>
          <w:rFonts w:hint="eastAsia" w:ascii="宋体" w:hAnsi="宋体" w:cs="宋体"/>
          <w:szCs w:val="22"/>
        </w:rPr>
        <w:t xml:space="preserve">  地址：</w:t>
      </w:r>
    </w:p>
    <w:p>
      <w:pPr>
        <w:spacing w:line="400" w:lineRule="exact"/>
        <w:ind w:firstLine="420" w:firstLineChars="200"/>
        <w:rPr>
          <w:rFonts w:ascii="宋体" w:hAnsi="宋体" w:cs="宋体"/>
          <w:szCs w:val="22"/>
        </w:rPr>
      </w:pPr>
      <w:r>
        <w:rPr>
          <w:rFonts w:hint="eastAsia" w:ascii="宋体" w:hAnsi="宋体" w:cs="宋体"/>
          <w:szCs w:val="22"/>
        </w:rPr>
        <w:t xml:space="preserve"> </w:t>
      </w:r>
    </w:p>
    <w:p>
      <w:pPr>
        <w:spacing w:line="400" w:lineRule="exact"/>
        <w:ind w:firstLine="420" w:firstLineChars="200"/>
        <w:rPr>
          <w:rFonts w:ascii="宋体" w:hAnsi="宋体" w:cs="宋体"/>
          <w:szCs w:val="22"/>
        </w:rPr>
      </w:pPr>
      <w:r>
        <w:rPr>
          <w:rFonts w:hint="eastAsia" w:ascii="宋体" w:hAnsi="宋体" w:cs="宋体"/>
          <w:szCs w:val="22"/>
        </w:rPr>
        <w:t xml:space="preserve">              （受益人名称）： </w:t>
      </w:r>
    </w:p>
    <w:p>
      <w:pPr>
        <w:spacing w:line="400" w:lineRule="exact"/>
        <w:ind w:firstLine="420" w:firstLineChars="200"/>
        <w:rPr>
          <w:rFonts w:ascii="宋体" w:hAnsi="宋体" w:cs="宋体"/>
          <w:szCs w:val="22"/>
        </w:rPr>
      </w:pPr>
      <w:r>
        <w:rPr>
          <w:rFonts w:hint="eastAsia" w:ascii="宋体" w:hAnsi="宋体" w:cs="宋体"/>
          <w:szCs w:val="22"/>
        </w:rPr>
        <w:t>鉴于</w:t>
      </w:r>
      <w:r>
        <w:rPr>
          <w:rFonts w:hint="eastAsia" w:ascii="宋体" w:hAnsi="宋体" w:cs="宋体"/>
          <w:szCs w:val="22"/>
          <w:u w:val="single"/>
        </w:rPr>
        <w:t xml:space="preserve">        </w:t>
      </w:r>
      <w:r>
        <w:rPr>
          <w:rFonts w:hint="eastAsia" w:ascii="宋体" w:hAnsi="宋体" w:cs="宋体"/>
          <w:szCs w:val="22"/>
        </w:rPr>
        <w:t>（以下简称“受益人”）与</w:t>
      </w:r>
      <w:r>
        <w:rPr>
          <w:rFonts w:hint="eastAsia" w:ascii="宋体" w:hAnsi="宋体" w:cs="宋体"/>
          <w:szCs w:val="22"/>
          <w:u w:val="single"/>
        </w:rPr>
        <w:t xml:space="preserve">         </w:t>
      </w:r>
      <w:r>
        <w:rPr>
          <w:rFonts w:hint="eastAsia" w:ascii="宋体" w:hAnsi="宋体" w:cs="宋体"/>
          <w:szCs w:val="22"/>
        </w:rPr>
        <w:t>（以下简称“申请人”）于</w:t>
      </w:r>
      <w:r>
        <w:rPr>
          <w:rFonts w:hint="eastAsia" w:ascii="宋体" w:hAnsi="宋体" w:cs="宋体"/>
          <w:szCs w:val="22"/>
          <w:u w:val="single"/>
        </w:rPr>
        <w:t xml:space="preserve">   </w:t>
      </w:r>
      <w:r>
        <w:rPr>
          <w:rFonts w:hint="eastAsia" w:ascii="宋体" w:hAnsi="宋体" w:cs="宋体"/>
          <w:szCs w:val="22"/>
        </w:rPr>
        <w:t>年</w:t>
      </w:r>
      <w:r>
        <w:rPr>
          <w:rFonts w:hint="eastAsia" w:ascii="宋体" w:hAnsi="宋体" w:cs="宋体"/>
          <w:szCs w:val="22"/>
          <w:u w:val="single"/>
        </w:rPr>
        <w:t xml:space="preserve">   </w:t>
      </w:r>
      <w:r>
        <w:rPr>
          <w:rFonts w:hint="eastAsia" w:ascii="宋体" w:hAnsi="宋体" w:cs="宋体"/>
          <w:szCs w:val="22"/>
        </w:rPr>
        <w:t>月</w:t>
      </w:r>
      <w:r>
        <w:rPr>
          <w:rFonts w:hint="eastAsia" w:ascii="宋体" w:hAnsi="宋体" w:cs="宋体"/>
          <w:szCs w:val="22"/>
          <w:u w:val="single"/>
        </w:rPr>
        <w:t xml:space="preserve">   </w:t>
      </w:r>
      <w:r>
        <w:rPr>
          <w:rFonts w:hint="eastAsia" w:ascii="宋体" w:hAnsi="宋体" w:cs="宋体"/>
          <w:szCs w:val="22"/>
        </w:rPr>
        <w:t>日就</w:t>
      </w:r>
      <w:r>
        <w:rPr>
          <w:rFonts w:hint="eastAsia" w:ascii="宋体" w:hAnsi="宋体" w:cs="宋体"/>
          <w:szCs w:val="22"/>
          <w:u w:val="single"/>
        </w:rPr>
        <w:t xml:space="preserve">           </w:t>
      </w:r>
      <w:r>
        <w:rPr>
          <w:rFonts w:hint="eastAsia" w:ascii="宋体" w:hAnsi="宋体" w:cs="宋体"/>
          <w:szCs w:val="22"/>
        </w:rPr>
        <w:t>工程（以下简称“本工程”）施工和有关事项协商一致共同签订</w:t>
      </w:r>
      <w:r>
        <w:rPr>
          <w:rFonts w:hint="eastAsia" w:ascii="宋体" w:hAnsi="宋体" w:cs="宋体"/>
          <w:szCs w:val="22"/>
          <w:u w:val="single"/>
        </w:rPr>
        <w:t>《        》</w:t>
      </w:r>
      <w:r>
        <w:rPr>
          <w:rFonts w:hint="eastAsia" w:ascii="宋体" w:hAnsi="宋体" w:cs="宋体"/>
          <w:szCs w:val="22"/>
        </w:rPr>
        <w:t xml:space="preserve">（以下简称“基础合同”），我方（即“开立人”）根据主合同了解到申请人为主合同项下之承包人，受益人为主合同项下之发包人，基于申请人的请求，我方同意就申请人按照合同约定正确和合理地为合同目的使用预付款，向贵方提供不可撤销、不可转让的见索即付独立保函（以下简称“本保函”）。 </w:t>
      </w:r>
    </w:p>
    <w:p>
      <w:pPr>
        <w:spacing w:line="400" w:lineRule="exact"/>
        <w:ind w:firstLine="420" w:firstLineChars="200"/>
        <w:rPr>
          <w:rFonts w:ascii="宋体" w:hAnsi="宋体" w:cs="宋体"/>
          <w:szCs w:val="22"/>
        </w:rPr>
      </w:pPr>
      <w:r>
        <w:rPr>
          <w:rFonts w:hint="eastAsia" w:ascii="宋体" w:hAnsi="宋体" w:cs="宋体"/>
          <w:szCs w:val="22"/>
        </w:rPr>
        <w:t>一、本保函担保范围：申请人未按照合同约定正确和合理地为合同目的使用预付款，应当向贵方承担的违约责任和赔偿因此造成的损失、利息、律师费、诉讼费用等实现债权的费用。</w:t>
      </w:r>
    </w:p>
    <w:p>
      <w:pPr>
        <w:spacing w:line="400" w:lineRule="exact"/>
        <w:ind w:firstLine="420" w:firstLineChars="200"/>
        <w:rPr>
          <w:rFonts w:ascii="宋体" w:hAnsi="宋体" w:cs="宋体"/>
          <w:szCs w:val="22"/>
        </w:rPr>
      </w:pPr>
      <w:r>
        <w:rPr>
          <w:rFonts w:hint="eastAsia" w:ascii="宋体" w:hAnsi="宋体" w:cs="宋体"/>
          <w:szCs w:val="22"/>
        </w:rPr>
        <w:t>二、本保函担保金额最高不超过人民币（大写）</w:t>
      </w:r>
      <w:r>
        <w:rPr>
          <w:rFonts w:hint="eastAsia" w:ascii="宋体" w:hAnsi="宋体" w:cs="宋体"/>
          <w:szCs w:val="22"/>
          <w:u w:val="single"/>
        </w:rPr>
        <w:t xml:space="preserve">          </w:t>
      </w:r>
      <w:r>
        <w:rPr>
          <w:rFonts w:hint="eastAsia" w:ascii="宋体" w:hAnsi="宋体" w:cs="宋体"/>
          <w:szCs w:val="22"/>
        </w:rPr>
        <w:t>元（¥</w:t>
      </w:r>
      <w:r>
        <w:rPr>
          <w:rFonts w:hint="eastAsia" w:ascii="宋体" w:hAnsi="宋体" w:cs="宋体"/>
          <w:szCs w:val="22"/>
          <w:u w:val="single"/>
        </w:rPr>
        <w:t xml:space="preserve">       </w:t>
      </w:r>
      <w:r>
        <w:rPr>
          <w:rFonts w:hint="eastAsia" w:ascii="宋体" w:hAnsi="宋体" w:cs="宋体"/>
          <w:szCs w:val="22"/>
        </w:rPr>
        <w:t xml:space="preserve">）。 </w:t>
      </w:r>
    </w:p>
    <w:p>
      <w:pPr>
        <w:spacing w:line="400" w:lineRule="exact"/>
        <w:ind w:firstLine="420" w:firstLineChars="200"/>
        <w:rPr>
          <w:rFonts w:ascii="宋体" w:hAnsi="宋体" w:cs="宋体"/>
          <w:szCs w:val="22"/>
        </w:rPr>
      </w:pPr>
      <w:r>
        <w:rPr>
          <w:rFonts w:hint="eastAsia" w:ascii="宋体" w:hAnsi="宋体" w:cs="宋体"/>
          <w:szCs w:val="22"/>
        </w:rPr>
        <w:t>三、本保函有效期自开立之日起至发包人全额扣回预付款后</w:t>
      </w:r>
      <w:r>
        <w:rPr>
          <w:rFonts w:hint="eastAsia" w:ascii="宋体" w:hAnsi="宋体" w:cs="宋体"/>
          <w:szCs w:val="22"/>
          <w:u w:val="single"/>
        </w:rPr>
        <w:t xml:space="preserve">   </w:t>
      </w:r>
      <w:r>
        <w:rPr>
          <w:rFonts w:hint="eastAsia" w:ascii="宋体" w:hAnsi="宋体" w:cs="宋体"/>
          <w:szCs w:val="22"/>
        </w:rPr>
        <w:t>日止，最迟不超过</w:t>
      </w:r>
      <w:r>
        <w:rPr>
          <w:rFonts w:hint="eastAsia" w:ascii="宋体" w:hAnsi="宋体" w:cs="宋体"/>
          <w:szCs w:val="22"/>
          <w:u w:val="single"/>
        </w:rPr>
        <w:t xml:space="preserve">    </w:t>
      </w:r>
      <w:r>
        <w:rPr>
          <w:rFonts w:hint="eastAsia" w:ascii="宋体" w:hAnsi="宋体" w:cs="宋体"/>
          <w:szCs w:val="22"/>
        </w:rPr>
        <w:t>年</w:t>
      </w:r>
      <w:r>
        <w:rPr>
          <w:rFonts w:hint="eastAsia" w:ascii="宋体" w:hAnsi="宋体" w:cs="宋体"/>
          <w:szCs w:val="22"/>
          <w:u w:val="single"/>
        </w:rPr>
        <w:t xml:space="preserve">    </w:t>
      </w:r>
      <w:r>
        <w:rPr>
          <w:rFonts w:hint="eastAsia" w:ascii="宋体" w:hAnsi="宋体" w:cs="宋体"/>
          <w:szCs w:val="22"/>
        </w:rPr>
        <w:t>月</w:t>
      </w:r>
      <w:r>
        <w:rPr>
          <w:rFonts w:hint="eastAsia" w:ascii="宋体" w:hAnsi="宋体" w:cs="宋体"/>
          <w:szCs w:val="22"/>
          <w:u w:val="single"/>
        </w:rPr>
        <w:t xml:space="preserve">    </w:t>
      </w:r>
      <w:r>
        <w:rPr>
          <w:rFonts w:hint="eastAsia" w:ascii="宋体" w:hAnsi="宋体" w:cs="宋体"/>
          <w:szCs w:val="22"/>
        </w:rPr>
        <w:t>日。</w:t>
      </w:r>
    </w:p>
    <w:p>
      <w:pPr>
        <w:spacing w:line="400" w:lineRule="exact"/>
        <w:ind w:firstLine="420" w:firstLineChars="200"/>
        <w:rPr>
          <w:rFonts w:ascii="宋体" w:hAnsi="宋体" w:cs="宋体"/>
          <w:szCs w:val="22"/>
        </w:rPr>
      </w:pPr>
      <w:r>
        <w:rPr>
          <w:rFonts w:hint="eastAsia" w:ascii="宋体" w:hAnsi="宋体" w:cs="宋体"/>
          <w:szCs w:val="22"/>
        </w:rPr>
        <w:t>四、我方承诺，在收到受益人发来的书面付款通知后的</w:t>
      </w:r>
      <w:r>
        <w:rPr>
          <w:rFonts w:hint="eastAsia" w:ascii="宋体" w:hAnsi="宋体" w:cs="宋体"/>
          <w:szCs w:val="22"/>
          <w:u w:val="single"/>
        </w:rPr>
        <w:t xml:space="preserve">    </w:t>
      </w:r>
      <w:r>
        <w:rPr>
          <w:rFonts w:hint="eastAsia" w:ascii="宋体" w:hAnsi="宋体" w:cs="宋体"/>
          <w:szCs w:val="22"/>
        </w:rPr>
        <w:t>日内无条件支付，前述书面付款通知即为付款要求之单据，且应满足以下要求：</w:t>
      </w:r>
    </w:p>
    <w:p>
      <w:pPr>
        <w:spacing w:line="400" w:lineRule="exact"/>
        <w:ind w:firstLine="420" w:firstLineChars="200"/>
        <w:rPr>
          <w:rFonts w:ascii="宋体" w:hAnsi="宋体" w:cs="宋体"/>
          <w:szCs w:val="22"/>
        </w:rPr>
      </w:pPr>
      <w:r>
        <w:rPr>
          <w:rFonts w:hint="eastAsia" w:ascii="宋体" w:hAnsi="宋体" w:cs="宋体"/>
          <w:szCs w:val="22"/>
        </w:rPr>
        <w:t>（1）付款通知到达的日期在本保函的有效期内；</w:t>
      </w:r>
    </w:p>
    <w:p>
      <w:pPr>
        <w:spacing w:line="400" w:lineRule="exact"/>
        <w:ind w:firstLine="420" w:firstLineChars="200"/>
        <w:rPr>
          <w:rFonts w:ascii="宋体" w:hAnsi="宋体" w:cs="宋体"/>
          <w:szCs w:val="22"/>
        </w:rPr>
      </w:pPr>
      <w:r>
        <w:rPr>
          <w:rFonts w:hint="eastAsia" w:ascii="宋体" w:hAnsi="宋体" w:cs="宋体"/>
          <w:szCs w:val="22"/>
        </w:rPr>
        <w:t>（2）载明要求支付的金额；</w:t>
      </w:r>
    </w:p>
    <w:p>
      <w:pPr>
        <w:spacing w:line="400" w:lineRule="exact"/>
        <w:ind w:firstLine="420" w:firstLineChars="200"/>
        <w:rPr>
          <w:rFonts w:ascii="宋体" w:hAnsi="宋体" w:cs="宋体"/>
          <w:szCs w:val="22"/>
        </w:rPr>
      </w:pPr>
      <w:r>
        <w:rPr>
          <w:rFonts w:hint="eastAsia" w:ascii="宋体" w:hAnsi="宋体" w:cs="宋体"/>
          <w:szCs w:val="22"/>
        </w:rPr>
        <w:t>（3）载明申请人违反合同义务的条款和内容；</w:t>
      </w:r>
    </w:p>
    <w:p>
      <w:pPr>
        <w:spacing w:line="400" w:lineRule="exact"/>
        <w:ind w:firstLine="420" w:firstLineChars="200"/>
        <w:rPr>
          <w:rFonts w:ascii="宋体" w:hAnsi="宋体" w:cs="宋体"/>
          <w:szCs w:val="22"/>
        </w:rPr>
      </w:pPr>
      <w:r>
        <w:rPr>
          <w:rFonts w:hint="eastAsia" w:ascii="宋体" w:hAnsi="宋体" w:cs="宋体"/>
          <w:szCs w:val="22"/>
        </w:rPr>
        <w:t>（4）声明不存在合同文件约定或我国法律规定免除申请人或开立人支付责任的情形；</w:t>
      </w:r>
    </w:p>
    <w:p>
      <w:pPr>
        <w:spacing w:line="400" w:lineRule="exact"/>
        <w:ind w:firstLine="420" w:firstLineChars="200"/>
        <w:rPr>
          <w:rFonts w:ascii="宋体" w:hAnsi="宋体" w:cs="宋体"/>
          <w:szCs w:val="22"/>
        </w:rPr>
      </w:pPr>
      <w:r>
        <w:rPr>
          <w:rFonts w:hint="eastAsia" w:ascii="宋体" w:hAnsi="宋体" w:cs="宋体"/>
          <w:szCs w:val="22"/>
        </w:rPr>
        <w:t>（5）付款通知应在本保函有效期内到达的地址是：</w:t>
      </w:r>
      <w:r>
        <w:rPr>
          <w:rFonts w:hint="eastAsia" w:ascii="宋体" w:hAnsi="宋体" w:cs="宋体"/>
          <w:szCs w:val="22"/>
          <w:u w:val="single"/>
        </w:rPr>
        <w:t xml:space="preserve">             </w:t>
      </w:r>
      <w:r>
        <w:rPr>
          <w:rFonts w:hint="eastAsia" w:ascii="宋体" w:hAnsi="宋体" w:cs="宋体"/>
          <w:szCs w:val="22"/>
        </w:rPr>
        <w:t>。</w:t>
      </w:r>
    </w:p>
    <w:p>
      <w:pPr>
        <w:spacing w:line="400" w:lineRule="exact"/>
        <w:ind w:firstLine="420" w:firstLineChars="200"/>
        <w:rPr>
          <w:rFonts w:ascii="宋体" w:hAnsi="宋体" w:cs="宋体"/>
          <w:szCs w:val="22"/>
        </w:rPr>
      </w:pPr>
      <w:r>
        <w:rPr>
          <w:rFonts w:hint="eastAsia" w:ascii="宋体" w:hAnsi="宋体" w:cs="宋体"/>
          <w:szCs w:val="22"/>
        </w:rPr>
        <w:t>受益人发出的书面付款通知应由其为鉴明受益人法定代表人（负责人）或授权代理人签字并加盖公章。</w:t>
      </w:r>
    </w:p>
    <w:p>
      <w:pPr>
        <w:spacing w:line="400" w:lineRule="exact"/>
        <w:ind w:firstLine="420" w:firstLineChars="200"/>
        <w:rPr>
          <w:rFonts w:ascii="宋体" w:hAnsi="宋体" w:cs="宋体"/>
          <w:szCs w:val="22"/>
        </w:rPr>
      </w:pPr>
      <w:r>
        <w:rPr>
          <w:rFonts w:hint="eastAsia" w:ascii="宋体" w:hAnsi="宋体" w:cs="宋体"/>
          <w:szCs w:val="22"/>
        </w:rPr>
        <w:t xml:space="preserve">五、本保函项下的权利不得转让，不得设定担保。贵方未经我方书面同意转 让本保函或其项下任何权利，对我方不发生法律效力。 </w:t>
      </w:r>
    </w:p>
    <w:p>
      <w:pPr>
        <w:spacing w:line="400" w:lineRule="exact"/>
        <w:ind w:firstLine="420" w:firstLineChars="200"/>
        <w:rPr>
          <w:rFonts w:ascii="宋体" w:hAnsi="宋体" w:cs="宋体"/>
          <w:szCs w:val="22"/>
        </w:rPr>
      </w:pPr>
      <w:r>
        <w:rPr>
          <w:rFonts w:hint="eastAsia" w:ascii="宋体" w:hAnsi="宋体" w:cs="宋体"/>
          <w:szCs w:val="22"/>
        </w:rPr>
        <w:t xml:space="preserve">六、与本保函有关的基础合同不成立、不生效、无效、被撤销、被解除，不影响本保函的独立有效。 </w:t>
      </w:r>
    </w:p>
    <w:p>
      <w:pPr>
        <w:spacing w:line="400" w:lineRule="exact"/>
        <w:ind w:firstLine="420" w:firstLineChars="200"/>
        <w:rPr>
          <w:rFonts w:ascii="宋体" w:hAnsi="宋体" w:cs="宋体"/>
          <w:szCs w:val="22"/>
        </w:rPr>
      </w:pPr>
      <w:r>
        <w:rPr>
          <w:rFonts w:hint="eastAsia" w:ascii="宋体" w:hAnsi="宋体" w:cs="宋体"/>
          <w:szCs w:val="22"/>
        </w:rPr>
        <w:t xml:space="preserve">七、贵方应在本保函到期后的七日内将本保函正本退回我方注销，但是不论贵方是否按此要求将本保函正本退回我方，我方在本保函项下的义务和责任均在保函有效期到期后自动消灭。 </w:t>
      </w:r>
    </w:p>
    <w:p>
      <w:pPr>
        <w:spacing w:line="400" w:lineRule="exact"/>
        <w:ind w:firstLine="420" w:firstLineChars="200"/>
        <w:rPr>
          <w:rFonts w:ascii="宋体" w:hAnsi="宋体" w:cs="宋体"/>
          <w:szCs w:val="22"/>
        </w:rPr>
      </w:pPr>
      <w:r>
        <w:rPr>
          <w:rFonts w:hint="eastAsia" w:ascii="宋体" w:hAnsi="宋体" w:cs="宋体"/>
          <w:szCs w:val="22"/>
        </w:rPr>
        <w:t>八、本保函适用的法律为中华人民共和国法律，争议裁判管辖地为中华人民共和国</w:t>
      </w:r>
      <w:r>
        <w:rPr>
          <w:rFonts w:hint="eastAsia" w:ascii="宋体" w:hAnsi="宋体" w:cs="宋体"/>
          <w:szCs w:val="22"/>
          <w:u w:val="single"/>
        </w:rPr>
        <w:t xml:space="preserve">     </w:t>
      </w:r>
      <w:r>
        <w:rPr>
          <w:rFonts w:hint="eastAsia" w:ascii="宋体" w:hAnsi="宋体" w:cs="宋体"/>
          <w:szCs w:val="22"/>
        </w:rPr>
        <w:t xml:space="preserve">。 </w:t>
      </w:r>
    </w:p>
    <w:p>
      <w:pPr>
        <w:spacing w:line="400" w:lineRule="exact"/>
        <w:ind w:firstLine="420" w:firstLineChars="200"/>
        <w:rPr>
          <w:rFonts w:ascii="宋体" w:hAnsi="宋体" w:cs="宋体"/>
          <w:szCs w:val="22"/>
        </w:rPr>
      </w:pPr>
      <w:r>
        <w:rPr>
          <w:rFonts w:hint="eastAsia" w:ascii="宋体" w:hAnsi="宋体" w:cs="宋体"/>
          <w:szCs w:val="22"/>
        </w:rPr>
        <w:t xml:space="preserve">九、本保函自我方法定代表人或授权代表签字并加盖公章之日起生效。 </w:t>
      </w:r>
    </w:p>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r>
        <w:rPr>
          <w:rFonts w:hint="eastAsia" w:ascii="宋体" w:hAnsi="宋体" w:cs="宋体"/>
          <w:szCs w:val="22"/>
        </w:rPr>
        <w:t xml:space="preserve">开 立 人：                              （公章） </w:t>
      </w:r>
    </w:p>
    <w:p>
      <w:pPr>
        <w:spacing w:line="400" w:lineRule="exact"/>
        <w:ind w:firstLine="420" w:firstLineChars="200"/>
        <w:rPr>
          <w:rFonts w:ascii="宋体" w:hAnsi="宋体" w:cs="宋体"/>
          <w:szCs w:val="22"/>
        </w:rPr>
      </w:pPr>
      <w:r>
        <w:rPr>
          <w:rFonts w:hint="eastAsia" w:ascii="宋体" w:hAnsi="宋体" w:cs="宋体"/>
          <w:szCs w:val="22"/>
        </w:rPr>
        <w:t xml:space="preserve">法定代表人（或授权代表）：               （签字） </w:t>
      </w:r>
    </w:p>
    <w:p>
      <w:pPr>
        <w:spacing w:line="400" w:lineRule="exact"/>
        <w:ind w:firstLine="420" w:firstLineChars="200"/>
        <w:rPr>
          <w:rFonts w:ascii="宋体" w:hAnsi="宋体" w:cs="宋体"/>
          <w:szCs w:val="22"/>
        </w:rPr>
      </w:pPr>
      <w:r>
        <w:rPr>
          <w:rFonts w:hint="eastAsia" w:ascii="宋体" w:hAnsi="宋体" w:cs="宋体"/>
          <w:szCs w:val="22"/>
        </w:rPr>
        <w:t xml:space="preserve">地    址：                                       </w:t>
      </w:r>
    </w:p>
    <w:p>
      <w:pPr>
        <w:spacing w:line="400" w:lineRule="exact"/>
        <w:ind w:firstLine="420" w:firstLineChars="200"/>
        <w:rPr>
          <w:rFonts w:ascii="宋体" w:hAnsi="宋体" w:cs="宋体"/>
          <w:szCs w:val="22"/>
        </w:rPr>
      </w:pPr>
      <w:r>
        <w:rPr>
          <w:rFonts w:hint="eastAsia" w:ascii="宋体" w:hAnsi="宋体" w:cs="宋体"/>
          <w:szCs w:val="22"/>
        </w:rPr>
        <w:t xml:space="preserve">邮政编码：                 </w:t>
      </w:r>
    </w:p>
    <w:p>
      <w:pPr>
        <w:spacing w:line="400" w:lineRule="exact"/>
        <w:ind w:firstLine="420" w:firstLineChars="200"/>
        <w:rPr>
          <w:rFonts w:ascii="宋体" w:hAnsi="宋体" w:cs="宋体"/>
          <w:szCs w:val="22"/>
        </w:rPr>
      </w:pPr>
      <w:r>
        <w:rPr>
          <w:rFonts w:hint="eastAsia" w:ascii="宋体" w:hAnsi="宋体" w:cs="宋体"/>
          <w:szCs w:val="22"/>
        </w:rPr>
        <w:t xml:space="preserve">电    话：                 </w:t>
      </w:r>
    </w:p>
    <w:p>
      <w:pPr>
        <w:spacing w:line="400" w:lineRule="exact"/>
        <w:ind w:firstLine="420" w:firstLineChars="200"/>
        <w:rPr>
          <w:rFonts w:ascii="宋体" w:hAnsi="宋体" w:cs="宋体"/>
          <w:szCs w:val="22"/>
        </w:rPr>
      </w:pPr>
      <w:r>
        <w:rPr>
          <w:rFonts w:hint="eastAsia" w:ascii="宋体" w:hAnsi="宋体" w:cs="宋体"/>
          <w:szCs w:val="22"/>
        </w:rPr>
        <w:t xml:space="preserve">传    真：                 </w:t>
      </w:r>
    </w:p>
    <w:p>
      <w:pPr>
        <w:spacing w:line="400" w:lineRule="exact"/>
        <w:ind w:firstLine="420" w:firstLineChars="200"/>
        <w:rPr>
          <w:rFonts w:ascii="宋体" w:hAnsi="宋体" w:cs="宋体"/>
          <w:szCs w:val="22"/>
        </w:rPr>
      </w:pPr>
      <w:r>
        <w:rPr>
          <w:rFonts w:hint="eastAsia" w:ascii="宋体" w:hAnsi="宋体" w:cs="宋体"/>
          <w:szCs w:val="22"/>
        </w:rPr>
        <w:t xml:space="preserve">    开立时间：      年      月        日</w:t>
      </w:r>
    </w:p>
    <w:p>
      <w:pPr>
        <w:rPr>
          <w:rFonts w:ascii="宋体" w:hAnsi="宋体"/>
        </w:rPr>
      </w:pPr>
    </w:p>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p>
    <w:p>
      <w:pPr>
        <w:spacing w:line="400" w:lineRule="exact"/>
        <w:ind w:firstLine="420" w:firstLineChars="200"/>
        <w:rPr>
          <w:rFonts w:ascii="宋体" w:hAnsi="宋体" w:cs="宋体"/>
          <w:szCs w:val="22"/>
        </w:rPr>
      </w:pPr>
    </w:p>
    <w:p>
      <w:pPr>
        <w:rPr>
          <w:rFonts w:ascii="宋体" w:hAnsi="宋体" w:cs="宋体"/>
          <w:szCs w:val="22"/>
        </w:rPr>
      </w:pPr>
      <w:r>
        <w:rPr>
          <w:rFonts w:hint="eastAsia" w:ascii="宋体" w:hAnsi="宋体" w:cs="宋体"/>
          <w:szCs w:val="22"/>
        </w:rPr>
        <w:br w:type="page"/>
      </w:r>
    </w:p>
    <w:p>
      <w:pPr>
        <w:spacing w:line="400" w:lineRule="exact"/>
        <w:ind w:firstLine="420" w:firstLineChars="200"/>
        <w:rPr>
          <w:rFonts w:ascii="宋体" w:hAnsi="宋体" w:cs="宋体"/>
          <w:szCs w:val="22"/>
        </w:rPr>
      </w:pPr>
      <w:r>
        <w:rPr>
          <w:rFonts w:hint="eastAsia" w:ascii="宋体" w:hAnsi="宋体" w:cs="宋体"/>
          <w:szCs w:val="22"/>
        </w:rPr>
        <w:t>附件13：</w:t>
      </w:r>
    </w:p>
    <w:p>
      <w:pPr>
        <w:spacing w:line="276" w:lineRule="auto"/>
        <w:ind w:firstLine="845"/>
        <w:jc w:val="center"/>
        <w:rPr>
          <w:rFonts w:ascii="宋体" w:hAnsi="宋体" w:cs="宋体"/>
          <w:b/>
          <w:bCs/>
          <w:sz w:val="32"/>
          <w:szCs w:val="32"/>
        </w:rPr>
      </w:pPr>
      <w:r>
        <w:rPr>
          <w:rFonts w:hint="eastAsia" w:ascii="宋体" w:hAnsi="宋体" w:cs="宋体"/>
          <w:b/>
          <w:bCs/>
          <w:sz w:val="32"/>
          <w:szCs w:val="32"/>
        </w:rPr>
        <w:t>安全生产协议书</w:t>
      </w:r>
    </w:p>
    <w:p>
      <w:pPr>
        <w:adjustRightInd w:val="0"/>
        <w:snapToGrid w:val="0"/>
        <w:spacing w:line="360" w:lineRule="auto"/>
        <w:ind w:firstLine="420" w:firstLineChars="200"/>
        <w:rPr>
          <w:rFonts w:ascii="宋体" w:hAnsi="宋体" w:cs="宋体"/>
          <w:szCs w:val="22"/>
        </w:rPr>
      </w:pPr>
    </w:p>
    <w:p>
      <w:pPr>
        <w:adjustRightInd w:val="0"/>
        <w:snapToGrid w:val="0"/>
        <w:spacing w:line="360" w:lineRule="auto"/>
        <w:ind w:firstLine="420" w:firstLineChars="200"/>
        <w:rPr>
          <w:rFonts w:ascii="宋体" w:hAnsi="宋体" w:cs="宋体"/>
          <w:szCs w:val="22"/>
        </w:rPr>
      </w:pPr>
      <w:r>
        <w:rPr>
          <w:rFonts w:hint="eastAsia" w:ascii="宋体" w:hAnsi="宋体" w:cs="宋体"/>
          <w:szCs w:val="22"/>
        </w:rPr>
        <w:t>为在</w:t>
      </w:r>
      <w:r>
        <w:rPr>
          <w:rFonts w:hint="eastAsia" w:ascii="宋体" w:hAnsi="宋体" w:cs="宋体"/>
          <w:szCs w:val="22"/>
          <w:u w:val="single"/>
        </w:rPr>
        <w:t xml:space="preserve"> </w:t>
      </w:r>
      <w:r>
        <w:rPr>
          <w:rFonts w:hint="eastAsia" w:ascii="宋体" w:hAnsi="宋体" w:cs="宋体"/>
          <w:spacing w:val="-5"/>
          <w:szCs w:val="22"/>
          <w:u w:val="single"/>
        </w:rPr>
        <w:t xml:space="preserve">              </w:t>
      </w:r>
      <w:r>
        <w:rPr>
          <w:rFonts w:hint="eastAsia" w:ascii="宋体" w:hAnsi="宋体"/>
          <w:b/>
          <w:bCs/>
          <w:szCs w:val="22"/>
          <w:u w:val="single"/>
        </w:rPr>
        <w:t xml:space="preserve"> </w:t>
      </w:r>
      <w:r>
        <w:rPr>
          <w:rFonts w:hint="eastAsia" w:ascii="宋体" w:hAnsi="宋体" w:cs="宋体"/>
          <w:szCs w:val="22"/>
        </w:rPr>
        <w:t>施工合同的实施过程中创造安全、高效的施工环境，切实搞好本项目的安全管理工作，本项目业主</w:t>
      </w:r>
      <w:r>
        <w:rPr>
          <w:rFonts w:hint="eastAsia" w:ascii="宋体" w:hAnsi="宋体" w:cs="宋体"/>
          <w:szCs w:val="22"/>
          <w:u w:val="single"/>
        </w:rPr>
        <w:t xml:space="preserve"> 桂林理工大学</w:t>
      </w:r>
      <w:r>
        <w:rPr>
          <w:rFonts w:hint="eastAsia" w:ascii="宋体" w:hAnsi="宋体" w:cs="宋体"/>
          <w:b/>
          <w:u w:val="single"/>
        </w:rPr>
        <w:t xml:space="preserve"> </w:t>
      </w:r>
      <w:r>
        <w:rPr>
          <w:rFonts w:hint="eastAsia" w:ascii="宋体" w:hAnsi="宋体" w:cs="宋体"/>
          <w:szCs w:val="22"/>
        </w:rPr>
        <w:t xml:space="preserve">（以下简称“甲方”）与承包人 </w:t>
      </w:r>
      <w:r>
        <w:rPr>
          <w:rFonts w:hint="eastAsia" w:ascii="Calibri" w:hAnsi="Calibri"/>
          <w:u w:val="single"/>
        </w:rPr>
        <w:t xml:space="preserve">               </w:t>
      </w:r>
      <w:r>
        <w:rPr>
          <w:rFonts w:hint="eastAsia" w:ascii="宋体" w:hAnsi="宋体" w:cs="宋体"/>
          <w:b/>
          <w:bCs/>
          <w:kern w:val="0"/>
          <w:u w:val="single"/>
        </w:rPr>
        <w:t xml:space="preserve"> </w:t>
      </w:r>
      <w:r>
        <w:rPr>
          <w:rFonts w:hint="eastAsia" w:ascii="宋体" w:hAnsi="宋体" w:cs="宋体"/>
          <w:szCs w:val="22"/>
        </w:rPr>
        <w:t>（以下简称“乙方”）特此签订安全生产合同：</w:t>
      </w:r>
    </w:p>
    <w:p>
      <w:pPr>
        <w:adjustRightInd w:val="0"/>
        <w:snapToGrid w:val="0"/>
        <w:spacing w:line="360" w:lineRule="auto"/>
        <w:ind w:firstLine="422" w:firstLineChars="200"/>
        <w:rPr>
          <w:rFonts w:ascii="宋体" w:hAnsi="宋体" w:cs="宋体"/>
          <w:b/>
          <w:szCs w:val="22"/>
        </w:rPr>
      </w:pPr>
      <w:bookmarkStart w:id="344" w:name="_Toc419363884"/>
      <w:r>
        <w:rPr>
          <w:rFonts w:hint="eastAsia" w:ascii="宋体" w:hAnsi="宋体" w:cs="宋体"/>
          <w:b/>
          <w:szCs w:val="22"/>
        </w:rPr>
        <w:t>一、甲方职责</w:t>
      </w:r>
      <w:bookmarkEnd w:id="344"/>
    </w:p>
    <w:p>
      <w:pPr>
        <w:adjustRightInd w:val="0"/>
        <w:snapToGrid w:val="0"/>
        <w:spacing w:line="360" w:lineRule="auto"/>
        <w:ind w:firstLine="420" w:firstLineChars="200"/>
        <w:rPr>
          <w:rFonts w:ascii="宋体" w:hAnsi="宋体" w:cs="宋体"/>
          <w:szCs w:val="22"/>
        </w:rPr>
      </w:pPr>
      <w:r>
        <w:rPr>
          <w:rFonts w:hint="eastAsia" w:ascii="宋体" w:hAnsi="宋体" w:cs="宋体"/>
          <w:szCs w:val="22"/>
        </w:rPr>
        <w:t>1.严格遵守国家有关安全生产的法律法规，认真执行工程承包合同中的有关安全要求。</w:t>
      </w:r>
    </w:p>
    <w:p>
      <w:pPr>
        <w:adjustRightInd w:val="0"/>
        <w:snapToGrid w:val="0"/>
        <w:spacing w:line="360" w:lineRule="auto"/>
        <w:ind w:firstLine="420" w:firstLineChars="200"/>
        <w:rPr>
          <w:rFonts w:ascii="宋体" w:hAnsi="宋体" w:cs="宋体"/>
          <w:szCs w:val="22"/>
        </w:rPr>
      </w:pPr>
      <w:r>
        <w:rPr>
          <w:rFonts w:hint="eastAsia" w:ascii="宋体" w:hAnsi="宋体" w:cs="宋体"/>
          <w:szCs w:val="22"/>
        </w:rPr>
        <w:t>2.按照“安全第一、预防为主”和坚持“管生产必须管安全”的原则进行安全生产管理，做到生产与安全工作同时计划、布置、检查、总结和评比。</w:t>
      </w:r>
    </w:p>
    <w:p>
      <w:pPr>
        <w:adjustRightInd w:val="0"/>
        <w:snapToGrid w:val="0"/>
        <w:spacing w:line="360" w:lineRule="auto"/>
        <w:ind w:firstLine="420" w:firstLineChars="200"/>
        <w:rPr>
          <w:rFonts w:ascii="宋体" w:hAnsi="宋体" w:cs="宋体"/>
          <w:szCs w:val="22"/>
        </w:rPr>
      </w:pPr>
      <w:r>
        <w:rPr>
          <w:rFonts w:hint="eastAsia" w:ascii="宋体" w:hAnsi="宋体" w:cs="宋体"/>
          <w:szCs w:val="22"/>
        </w:rPr>
        <w:t>3.重要的安全设施必须坚持与主体工程“三同时”的原则，即：同时设计、审批，同时施工，同时验收，投入使用。</w:t>
      </w:r>
    </w:p>
    <w:p>
      <w:pPr>
        <w:adjustRightInd w:val="0"/>
        <w:snapToGrid w:val="0"/>
        <w:spacing w:line="360" w:lineRule="auto"/>
        <w:ind w:firstLine="420" w:firstLineChars="200"/>
        <w:rPr>
          <w:rFonts w:ascii="宋体" w:hAnsi="宋体" w:cs="宋体"/>
          <w:szCs w:val="22"/>
        </w:rPr>
      </w:pPr>
      <w:r>
        <w:rPr>
          <w:rFonts w:hint="eastAsia" w:ascii="宋体" w:hAnsi="宋体" w:cs="宋体"/>
          <w:szCs w:val="22"/>
        </w:rPr>
        <w:t>4.定期召开安全生产调度会，及时传达中央及地方有关安全生产的精神。</w:t>
      </w:r>
    </w:p>
    <w:p>
      <w:pPr>
        <w:adjustRightInd w:val="0"/>
        <w:snapToGrid w:val="0"/>
        <w:spacing w:line="360" w:lineRule="auto"/>
        <w:ind w:firstLine="420" w:firstLineChars="200"/>
        <w:rPr>
          <w:rFonts w:ascii="宋体" w:hAnsi="宋体" w:cs="宋体"/>
          <w:szCs w:val="22"/>
        </w:rPr>
      </w:pPr>
      <w:r>
        <w:rPr>
          <w:rFonts w:hint="eastAsia" w:ascii="宋体" w:hAnsi="宋体" w:cs="宋体"/>
          <w:szCs w:val="22"/>
        </w:rPr>
        <w:t>5.组织对乙方施工现场安全生产检查，监督乙方及时处理发现的各种安全隐患。</w:t>
      </w:r>
    </w:p>
    <w:p>
      <w:pPr>
        <w:adjustRightInd w:val="0"/>
        <w:snapToGrid w:val="0"/>
        <w:spacing w:line="360" w:lineRule="auto"/>
        <w:ind w:firstLine="422" w:firstLineChars="200"/>
        <w:rPr>
          <w:rFonts w:ascii="宋体" w:hAnsi="宋体" w:cs="宋体"/>
          <w:b/>
          <w:szCs w:val="22"/>
        </w:rPr>
      </w:pPr>
      <w:bookmarkStart w:id="345" w:name="_Toc419363885"/>
      <w:r>
        <w:rPr>
          <w:rFonts w:hint="eastAsia" w:ascii="宋体" w:hAnsi="宋体" w:cs="宋体"/>
          <w:b/>
          <w:szCs w:val="22"/>
        </w:rPr>
        <w:t>二、乙方职责</w:t>
      </w:r>
      <w:bookmarkEnd w:id="345"/>
    </w:p>
    <w:p>
      <w:pPr>
        <w:adjustRightInd w:val="0"/>
        <w:snapToGrid w:val="0"/>
        <w:spacing w:line="360" w:lineRule="auto"/>
        <w:ind w:firstLine="420" w:firstLineChars="200"/>
        <w:rPr>
          <w:rFonts w:ascii="宋体" w:hAnsi="宋体" w:cs="宋体"/>
          <w:szCs w:val="22"/>
        </w:rPr>
      </w:pPr>
      <w:r>
        <w:rPr>
          <w:rFonts w:hint="eastAsia" w:ascii="宋体" w:hAnsi="宋体" w:cs="宋体"/>
          <w:szCs w:val="22"/>
        </w:rPr>
        <w:t>1.严格遵守国家有关安全生产的法律法规及建筑工程有关安全生产的规定，认真执行工程承包合同中的有关安全要求。</w:t>
      </w:r>
    </w:p>
    <w:p>
      <w:pPr>
        <w:adjustRightInd w:val="0"/>
        <w:snapToGrid w:val="0"/>
        <w:spacing w:line="360" w:lineRule="auto"/>
        <w:ind w:firstLine="420" w:firstLineChars="200"/>
        <w:rPr>
          <w:rFonts w:ascii="宋体" w:hAnsi="宋体" w:cs="宋体"/>
          <w:szCs w:val="22"/>
        </w:rPr>
      </w:pPr>
      <w:r>
        <w:rPr>
          <w:rFonts w:hint="eastAsia" w:ascii="宋体" w:hAnsi="宋体" w:cs="宋体"/>
          <w:szCs w:val="22"/>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djustRightInd w:val="0"/>
        <w:snapToGrid w:val="0"/>
        <w:spacing w:line="360" w:lineRule="auto"/>
        <w:ind w:firstLine="526"/>
        <w:rPr>
          <w:rFonts w:ascii="宋体" w:hAnsi="宋体" w:cs="宋体"/>
          <w:szCs w:val="22"/>
        </w:rPr>
      </w:pPr>
      <w:r>
        <w:rPr>
          <w:rFonts w:hint="eastAsia" w:ascii="宋体" w:hAnsi="宋体" w:cs="宋体"/>
          <w:szCs w:val="22"/>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adjustRightInd w:val="0"/>
        <w:snapToGrid w:val="0"/>
        <w:spacing w:line="360" w:lineRule="auto"/>
        <w:ind w:firstLine="526"/>
        <w:rPr>
          <w:rFonts w:ascii="宋体" w:hAnsi="宋体" w:cs="宋体"/>
          <w:szCs w:val="22"/>
        </w:rPr>
      </w:pPr>
      <w:r>
        <w:rPr>
          <w:rFonts w:hint="eastAsia" w:ascii="宋体" w:hAnsi="宋体" w:cs="宋体"/>
          <w:szCs w:val="22"/>
        </w:rPr>
        <w:t>4.乙方在任何时候都应采取各种合理的预防措施，防止其员工发生任何违法、违禁、暴力或妨碍治安的行为。</w:t>
      </w:r>
    </w:p>
    <w:p>
      <w:pPr>
        <w:adjustRightInd w:val="0"/>
        <w:snapToGrid w:val="0"/>
        <w:spacing w:line="360" w:lineRule="auto"/>
        <w:ind w:firstLine="526"/>
        <w:rPr>
          <w:rFonts w:ascii="宋体" w:hAnsi="宋体" w:cs="宋体"/>
          <w:szCs w:val="22"/>
        </w:rPr>
      </w:pPr>
      <w:r>
        <w:rPr>
          <w:rFonts w:hint="eastAsia" w:ascii="宋体" w:hAnsi="宋体" w:cs="宋体"/>
          <w:szCs w:val="22"/>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负责人必须承担管理责任。</w:t>
      </w:r>
    </w:p>
    <w:p>
      <w:pPr>
        <w:adjustRightInd w:val="0"/>
        <w:snapToGrid w:val="0"/>
        <w:spacing w:line="360" w:lineRule="auto"/>
        <w:ind w:firstLine="526"/>
        <w:rPr>
          <w:rFonts w:ascii="宋体" w:hAnsi="宋体" w:cs="宋体"/>
          <w:szCs w:val="22"/>
        </w:rPr>
      </w:pPr>
      <w:r>
        <w:rPr>
          <w:rFonts w:hint="eastAsia" w:ascii="宋体" w:hAnsi="宋体" w:cs="宋体"/>
          <w:szCs w:val="22"/>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adjustRightInd w:val="0"/>
        <w:snapToGrid w:val="0"/>
        <w:spacing w:line="360" w:lineRule="auto"/>
        <w:ind w:firstLine="526"/>
        <w:rPr>
          <w:rFonts w:ascii="宋体" w:hAnsi="宋体" w:cs="宋体"/>
          <w:szCs w:val="22"/>
        </w:rPr>
      </w:pPr>
      <w:r>
        <w:rPr>
          <w:rFonts w:hint="eastAsia" w:ascii="宋体" w:hAnsi="宋体" w:cs="宋体"/>
          <w:szCs w:val="22"/>
        </w:rPr>
        <w:t>7.操作人员上岗，必须按规定穿戴防护用品。项目经理和安全检查员应随时检查劳动防护用品的穿戴情况，不按规定穿戴防护用品的人员不得上岗。</w:t>
      </w:r>
    </w:p>
    <w:p>
      <w:pPr>
        <w:adjustRightInd w:val="0"/>
        <w:snapToGrid w:val="0"/>
        <w:spacing w:line="360" w:lineRule="auto"/>
        <w:ind w:firstLine="526"/>
        <w:rPr>
          <w:rFonts w:ascii="宋体" w:hAnsi="宋体" w:cs="宋体"/>
          <w:szCs w:val="22"/>
        </w:rPr>
      </w:pPr>
      <w:r>
        <w:rPr>
          <w:rFonts w:hint="eastAsia" w:ascii="宋体" w:hAnsi="宋体" w:cs="宋体"/>
          <w:szCs w:val="22"/>
        </w:rPr>
        <w:t>8.所有施工机械设备和高空作业的设备均应定期检查，并有安全员的签字记录，保证其经常处于完好状态；不合格的机具、设备和劳动保护用品严禁使用。</w:t>
      </w:r>
    </w:p>
    <w:p>
      <w:pPr>
        <w:adjustRightInd w:val="0"/>
        <w:snapToGrid w:val="0"/>
        <w:spacing w:line="360" w:lineRule="auto"/>
        <w:ind w:firstLine="526"/>
        <w:rPr>
          <w:rFonts w:ascii="宋体" w:hAnsi="宋体" w:cs="宋体"/>
          <w:szCs w:val="22"/>
        </w:rPr>
      </w:pPr>
      <w:r>
        <w:rPr>
          <w:rFonts w:hint="eastAsia" w:ascii="宋体" w:hAnsi="宋体" w:cs="宋体"/>
          <w:szCs w:val="22"/>
        </w:rPr>
        <w:t>9.施工中采用新技术、新工艺、新设备、新材料时，必须制定相应的安全技术措施，施工现场必须具有相关的安全标志牌。</w:t>
      </w:r>
    </w:p>
    <w:p>
      <w:pPr>
        <w:adjustRightInd w:val="0"/>
        <w:snapToGrid w:val="0"/>
        <w:spacing w:line="360" w:lineRule="auto"/>
        <w:ind w:firstLine="526"/>
        <w:rPr>
          <w:rFonts w:ascii="宋体" w:hAnsi="宋体" w:cs="宋体"/>
          <w:szCs w:val="22"/>
        </w:rPr>
      </w:pPr>
      <w:r>
        <w:rPr>
          <w:rFonts w:hint="eastAsia" w:ascii="宋体" w:hAnsi="宋体" w:cs="宋体"/>
          <w:szCs w:val="22"/>
        </w:rPr>
        <w:t>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adjustRightInd w:val="0"/>
        <w:snapToGrid w:val="0"/>
        <w:spacing w:line="360" w:lineRule="auto"/>
        <w:ind w:firstLine="528"/>
        <w:rPr>
          <w:rFonts w:ascii="宋体" w:hAnsi="宋体" w:cs="宋体"/>
          <w:b/>
          <w:szCs w:val="22"/>
        </w:rPr>
      </w:pPr>
      <w:bookmarkStart w:id="346" w:name="_Toc419363886"/>
      <w:r>
        <w:rPr>
          <w:rFonts w:hint="eastAsia" w:ascii="宋体" w:hAnsi="宋体" w:cs="宋体"/>
          <w:b/>
          <w:szCs w:val="22"/>
        </w:rPr>
        <w:t>三、违约责任</w:t>
      </w:r>
      <w:bookmarkEnd w:id="346"/>
    </w:p>
    <w:p>
      <w:pPr>
        <w:adjustRightInd w:val="0"/>
        <w:snapToGrid w:val="0"/>
        <w:spacing w:line="360" w:lineRule="auto"/>
        <w:ind w:firstLine="426"/>
        <w:rPr>
          <w:rFonts w:ascii="宋体" w:hAnsi="宋体" w:cs="宋体"/>
          <w:szCs w:val="22"/>
        </w:rPr>
      </w:pPr>
      <w:r>
        <w:rPr>
          <w:rFonts w:hint="eastAsia" w:ascii="宋体" w:hAnsi="宋体" w:cs="宋体"/>
          <w:szCs w:val="22"/>
        </w:rPr>
        <w:t>如因甲方或乙方违约造成安全事故，将依法追究责任。</w:t>
      </w:r>
    </w:p>
    <w:p>
      <w:pPr>
        <w:adjustRightInd w:val="0"/>
        <w:snapToGrid w:val="0"/>
        <w:spacing w:line="360" w:lineRule="auto"/>
        <w:ind w:firstLine="420" w:firstLineChars="200"/>
        <w:rPr>
          <w:rFonts w:ascii="宋体" w:hAnsi="宋体" w:cs="宋体"/>
          <w:szCs w:val="22"/>
        </w:rPr>
      </w:pPr>
      <w:r>
        <w:rPr>
          <w:rFonts w:hint="eastAsia" w:ascii="宋体" w:hAnsi="宋体" w:cs="宋体"/>
          <w:szCs w:val="22"/>
        </w:rPr>
        <w:t>本合同作为主合同附件，正本和副本份数与本合同专用条款第19.2条的约定相同。由双方法定代表人或其授权的代理人签署与加盖公章后生效，全部工程竣工验收后失效。</w:t>
      </w:r>
    </w:p>
    <w:p>
      <w:pPr>
        <w:adjustRightInd w:val="0"/>
        <w:snapToGrid w:val="0"/>
        <w:spacing w:line="500" w:lineRule="exact"/>
        <w:ind w:firstLine="526"/>
        <w:rPr>
          <w:rFonts w:ascii="宋体" w:hAnsi="宋体" w:cs="宋体"/>
          <w:b/>
          <w:u w:val="single"/>
        </w:rPr>
      </w:pPr>
      <w:r>
        <w:rPr>
          <w:rFonts w:hint="eastAsia" w:ascii="宋体" w:hAnsi="宋体" w:cs="宋体"/>
        </w:rPr>
        <w:t>发包人：</w:t>
      </w:r>
      <w:r>
        <w:rPr>
          <w:rFonts w:hint="eastAsia" w:ascii="宋体" w:hAnsi="宋体" w:cs="宋体"/>
          <w:b/>
          <w:u w:val="single"/>
        </w:rPr>
        <w:t>桂林理工大学</w:t>
      </w:r>
    </w:p>
    <w:p>
      <w:pPr>
        <w:adjustRightInd w:val="0"/>
        <w:snapToGrid w:val="0"/>
        <w:spacing w:line="500" w:lineRule="exact"/>
        <w:ind w:firstLine="526"/>
        <w:rPr>
          <w:rFonts w:ascii="宋体" w:hAnsi="宋体" w:cs="宋体"/>
        </w:rPr>
      </w:pPr>
      <w:r>
        <w:rPr>
          <w:rFonts w:hint="eastAsia" w:ascii="宋体" w:hAnsi="宋体" w:cs="宋体"/>
        </w:rPr>
        <w:t xml:space="preserve">（公章或合同专用章） </w:t>
      </w:r>
    </w:p>
    <w:p>
      <w:pPr>
        <w:adjustRightInd w:val="0"/>
        <w:snapToGrid w:val="0"/>
        <w:spacing w:line="500" w:lineRule="exact"/>
        <w:ind w:firstLine="526"/>
        <w:rPr>
          <w:rFonts w:ascii="宋体" w:hAnsi="宋体" w:cs="宋体"/>
        </w:rPr>
      </w:pPr>
      <w:r>
        <w:rPr>
          <w:rFonts w:hint="eastAsia" w:ascii="宋体" w:hAnsi="宋体" w:cs="宋体"/>
        </w:rPr>
        <w:t>法定代表人：</w:t>
      </w:r>
    </w:p>
    <w:p>
      <w:pPr>
        <w:adjustRightInd w:val="0"/>
        <w:snapToGrid w:val="0"/>
        <w:spacing w:line="500" w:lineRule="exact"/>
        <w:ind w:firstLine="526"/>
        <w:rPr>
          <w:rFonts w:ascii="宋体" w:hAnsi="宋体" w:cs="宋体"/>
        </w:rPr>
      </w:pPr>
      <w:r>
        <w:rPr>
          <w:rFonts w:hint="eastAsia" w:ascii="宋体" w:hAnsi="宋体" w:cs="宋体"/>
        </w:rPr>
        <w:t>（签字或盖章）</w:t>
      </w:r>
    </w:p>
    <w:p>
      <w:pPr>
        <w:adjustRightInd w:val="0"/>
        <w:snapToGrid w:val="0"/>
        <w:spacing w:line="500" w:lineRule="exact"/>
        <w:ind w:firstLine="526"/>
        <w:rPr>
          <w:rFonts w:ascii="宋体" w:hAnsi="宋体" w:cs="宋体"/>
        </w:rPr>
      </w:pPr>
      <w:r>
        <w:rPr>
          <w:rFonts w:hint="eastAsia" w:ascii="宋体" w:hAnsi="宋体" w:cs="宋体"/>
        </w:rPr>
        <w:t>地   址：</w:t>
      </w:r>
      <w:r>
        <w:rPr>
          <w:rFonts w:hint="eastAsia" w:ascii="宋体" w:hAnsi="宋体" w:cs="宋体"/>
          <w:bCs/>
          <w:szCs w:val="22"/>
        </w:rPr>
        <w:t xml:space="preserve">                </w:t>
      </w:r>
    </w:p>
    <w:p>
      <w:pPr>
        <w:adjustRightInd w:val="0"/>
        <w:snapToGrid w:val="0"/>
        <w:spacing w:line="500" w:lineRule="exact"/>
        <w:ind w:firstLine="526"/>
        <w:rPr>
          <w:rFonts w:ascii="宋体" w:hAnsi="宋体" w:cs="宋体"/>
        </w:rPr>
      </w:pPr>
      <w:r>
        <w:rPr>
          <w:rFonts w:hint="eastAsia" w:ascii="宋体" w:hAnsi="宋体" w:cs="宋体"/>
        </w:rPr>
        <w:t>日   期：    年    月    日</w:t>
      </w:r>
    </w:p>
    <w:p>
      <w:pPr>
        <w:adjustRightInd w:val="0"/>
        <w:snapToGrid w:val="0"/>
        <w:spacing w:line="500" w:lineRule="exact"/>
        <w:ind w:firstLine="526"/>
        <w:rPr>
          <w:rFonts w:ascii="宋体" w:hAnsi="宋体" w:cs="宋体"/>
        </w:rPr>
      </w:pPr>
    </w:p>
    <w:p>
      <w:pPr>
        <w:adjustRightInd w:val="0"/>
        <w:snapToGrid w:val="0"/>
        <w:spacing w:line="500" w:lineRule="exact"/>
        <w:ind w:firstLine="526"/>
        <w:rPr>
          <w:rFonts w:ascii="宋体" w:hAnsi="宋体" w:cs="宋体"/>
        </w:rPr>
      </w:pPr>
      <w:r>
        <w:rPr>
          <w:rFonts w:hint="eastAsia" w:ascii="宋体" w:hAnsi="宋体" w:cs="宋体"/>
        </w:rPr>
        <w:t xml:space="preserve">承包人：                                  </w:t>
      </w:r>
    </w:p>
    <w:p>
      <w:pPr>
        <w:adjustRightInd w:val="0"/>
        <w:snapToGrid w:val="0"/>
        <w:spacing w:line="500" w:lineRule="exact"/>
        <w:ind w:firstLine="526"/>
        <w:rPr>
          <w:rFonts w:ascii="宋体" w:hAnsi="宋体" w:cs="宋体"/>
        </w:rPr>
      </w:pPr>
      <w:r>
        <w:rPr>
          <w:rFonts w:hint="eastAsia" w:ascii="宋体" w:hAnsi="宋体" w:cs="宋体"/>
        </w:rPr>
        <w:t xml:space="preserve">（公章或合同专用章）                    </w:t>
      </w:r>
    </w:p>
    <w:p>
      <w:pPr>
        <w:adjustRightInd w:val="0"/>
        <w:snapToGrid w:val="0"/>
        <w:spacing w:line="500" w:lineRule="exact"/>
        <w:ind w:firstLine="526"/>
        <w:rPr>
          <w:rFonts w:ascii="宋体" w:hAnsi="宋体" w:cs="宋体"/>
        </w:rPr>
      </w:pPr>
      <w:r>
        <w:rPr>
          <w:rFonts w:hint="eastAsia" w:ascii="宋体" w:hAnsi="宋体" w:cs="宋体"/>
        </w:rPr>
        <w:t xml:space="preserve">法定代表人：                         </w:t>
      </w:r>
    </w:p>
    <w:p>
      <w:pPr>
        <w:adjustRightInd w:val="0"/>
        <w:snapToGrid w:val="0"/>
        <w:spacing w:line="500" w:lineRule="exact"/>
        <w:ind w:firstLine="526"/>
        <w:rPr>
          <w:rFonts w:ascii="宋体" w:hAnsi="宋体" w:cs="宋体"/>
        </w:rPr>
      </w:pPr>
      <w:r>
        <w:rPr>
          <w:rFonts w:hint="eastAsia" w:ascii="宋体" w:hAnsi="宋体" w:cs="宋体"/>
        </w:rPr>
        <w:t xml:space="preserve">  （签字或盖章）                        </w:t>
      </w:r>
    </w:p>
    <w:p>
      <w:pPr>
        <w:adjustRightInd w:val="0"/>
        <w:snapToGrid w:val="0"/>
        <w:spacing w:line="500" w:lineRule="exact"/>
        <w:ind w:firstLine="526"/>
        <w:rPr>
          <w:rFonts w:ascii="宋体" w:hAnsi="宋体" w:cs="宋体"/>
        </w:rPr>
      </w:pPr>
      <w:r>
        <w:rPr>
          <w:rFonts w:hint="eastAsia" w:ascii="宋体" w:hAnsi="宋体" w:cs="宋体"/>
        </w:rPr>
        <w:t>地   址：</w:t>
      </w:r>
      <w:r>
        <w:rPr>
          <w:rFonts w:hint="eastAsia" w:ascii="Calibri" w:hAnsi="Calibri"/>
          <w:szCs w:val="22"/>
        </w:rPr>
        <w:t xml:space="preserve">               </w:t>
      </w:r>
    </w:p>
    <w:p>
      <w:pPr>
        <w:adjustRightInd w:val="0"/>
        <w:snapToGrid w:val="0"/>
        <w:spacing w:line="360" w:lineRule="auto"/>
        <w:ind w:firstLine="526"/>
        <w:rPr>
          <w:rFonts w:ascii="宋体" w:hAnsi="宋体" w:cs="宋体"/>
        </w:rPr>
      </w:pPr>
      <w:r>
        <w:rPr>
          <w:rFonts w:hint="eastAsia" w:ascii="宋体" w:hAnsi="宋体" w:cs="宋体"/>
        </w:rPr>
        <w:t>日   期：    年    月    日</w:t>
      </w:r>
    </w:p>
    <w:p>
      <w:pPr>
        <w:pStyle w:val="162"/>
        <w:sectPr>
          <w:pgSz w:w="11906" w:h="16838"/>
          <w:pgMar w:top="935" w:right="1106" w:bottom="1440" w:left="1260" w:header="851" w:footer="992" w:gutter="0"/>
          <w:cols w:space="720" w:num="1"/>
          <w:docGrid w:type="lines" w:linePitch="312" w:charSpace="0"/>
        </w:sectPr>
      </w:pPr>
    </w:p>
    <w:p>
      <w:pPr>
        <w:snapToGrid w:val="0"/>
        <w:spacing w:line="420" w:lineRule="exact"/>
        <w:rPr>
          <w:rFonts w:ascii="宋体" w:hAnsi="宋体" w:cs="宋体"/>
          <w:kern w:val="0"/>
          <w:sz w:val="30"/>
          <w:szCs w:val="20"/>
        </w:rPr>
      </w:pPr>
      <w:r>
        <w:rPr>
          <w:rFonts w:hint="eastAsia" w:ascii="宋体" w:hAnsi="宋体" w:cs="宋体"/>
          <w:kern w:val="0"/>
          <w:sz w:val="30"/>
          <w:szCs w:val="20"/>
        </w:rPr>
        <w:t xml:space="preserve">附件14：   </w:t>
      </w:r>
    </w:p>
    <w:p>
      <w:pPr>
        <w:snapToGrid w:val="0"/>
        <w:spacing w:line="420" w:lineRule="exact"/>
        <w:jc w:val="center"/>
        <w:rPr>
          <w:rFonts w:ascii="宋体" w:hAnsi="宋体" w:cs="宋体"/>
          <w:kern w:val="0"/>
          <w:sz w:val="30"/>
          <w:szCs w:val="20"/>
        </w:rPr>
      </w:pPr>
      <w:r>
        <w:rPr>
          <w:rFonts w:hint="eastAsia" w:ascii="宋体" w:hAnsi="宋体" w:cs="宋体"/>
          <w:kern w:val="0"/>
          <w:sz w:val="30"/>
          <w:szCs w:val="20"/>
        </w:rPr>
        <w:t>允许调整主要材料和工程设备一览表</w:t>
      </w:r>
    </w:p>
    <w:tbl>
      <w:tblPr>
        <w:tblStyle w:val="45"/>
        <w:tblW w:w="14174" w:type="dxa"/>
        <w:tblInd w:w="0" w:type="dxa"/>
        <w:tblLayout w:type="autofit"/>
        <w:tblCellMar>
          <w:top w:w="0" w:type="dxa"/>
          <w:left w:w="108" w:type="dxa"/>
          <w:bottom w:w="0" w:type="dxa"/>
          <w:right w:w="108" w:type="dxa"/>
        </w:tblCellMar>
      </w:tblPr>
      <w:tblGrid>
        <w:gridCol w:w="686"/>
        <w:gridCol w:w="3767"/>
        <w:gridCol w:w="812"/>
        <w:gridCol w:w="984"/>
        <w:gridCol w:w="1172"/>
        <w:gridCol w:w="1358"/>
        <w:gridCol w:w="1304"/>
        <w:gridCol w:w="1335"/>
        <w:gridCol w:w="270"/>
        <w:gridCol w:w="958"/>
        <w:gridCol w:w="1280"/>
        <w:gridCol w:w="248"/>
      </w:tblGrid>
      <w:tr>
        <w:tblPrEx>
          <w:tblCellMar>
            <w:top w:w="0" w:type="dxa"/>
            <w:left w:w="108" w:type="dxa"/>
            <w:bottom w:w="0" w:type="dxa"/>
            <w:right w:w="108" w:type="dxa"/>
          </w:tblCellMar>
        </w:tblPrEx>
        <w:trPr>
          <w:trHeight w:val="540" w:hRule="atLeast"/>
        </w:trPr>
        <w:tc>
          <w:tcPr>
            <w:tcW w:w="11688" w:type="dxa"/>
            <w:gridSpan w:val="9"/>
            <w:tcBorders>
              <w:top w:val="nil"/>
              <w:left w:val="nil"/>
              <w:bottom w:val="nil"/>
              <w:right w:val="nil"/>
            </w:tcBorders>
            <w:shd w:val="clear" w:color="auto" w:fill="FFFFFF"/>
            <w:vAlign w:val="bottom"/>
          </w:tcPr>
          <w:p>
            <w:pPr>
              <w:widowControl/>
              <w:jc w:val="left"/>
              <w:rPr>
                <w:rFonts w:ascii="宋体" w:hAnsi="宋体" w:cs="Arial"/>
                <w:b/>
                <w:bCs/>
                <w:kern w:val="0"/>
                <w:sz w:val="20"/>
                <w:szCs w:val="20"/>
              </w:rPr>
            </w:pPr>
            <w:r>
              <w:rPr>
                <w:rFonts w:hint="eastAsia" w:ascii="宋体" w:hAnsi="宋体" w:cs="Arial"/>
                <w:b/>
                <w:bCs/>
                <w:kern w:val="0"/>
                <w:sz w:val="20"/>
                <w:szCs w:val="20"/>
              </w:rPr>
              <w:t>工程名称:</w:t>
            </w:r>
          </w:p>
        </w:tc>
        <w:tc>
          <w:tcPr>
            <w:tcW w:w="2486" w:type="dxa"/>
            <w:gridSpan w:val="3"/>
            <w:tcBorders>
              <w:top w:val="nil"/>
              <w:left w:val="nil"/>
              <w:bottom w:val="nil"/>
              <w:right w:val="nil"/>
            </w:tcBorders>
            <w:shd w:val="clear" w:color="auto" w:fill="FFFFFF"/>
            <w:vAlign w:val="bottom"/>
          </w:tcPr>
          <w:p>
            <w:pPr>
              <w:widowControl/>
              <w:jc w:val="left"/>
              <w:rPr>
                <w:rFonts w:ascii="宋体" w:hAnsi="宋体" w:cs="Arial"/>
                <w:b/>
                <w:bCs/>
                <w:kern w:val="0"/>
                <w:sz w:val="20"/>
                <w:szCs w:val="20"/>
              </w:rPr>
            </w:pPr>
            <w:r>
              <w:rPr>
                <w:rFonts w:hint="eastAsia" w:ascii="宋体" w:hAnsi="宋体" w:cs="Arial"/>
                <w:b/>
                <w:bCs/>
                <w:kern w:val="0"/>
                <w:sz w:val="20"/>
                <w:szCs w:val="20"/>
              </w:rPr>
              <w:t>编号:</w:t>
            </w:r>
          </w:p>
        </w:tc>
      </w:tr>
      <w:tr>
        <w:tblPrEx>
          <w:tblCellMar>
            <w:top w:w="0" w:type="dxa"/>
            <w:left w:w="108" w:type="dxa"/>
            <w:bottom w:w="0" w:type="dxa"/>
            <w:right w:w="108" w:type="dxa"/>
          </w:tblCellMar>
        </w:tblPrEx>
        <w:trPr>
          <w:trHeight w:val="382" w:hRule="atLeast"/>
        </w:trPr>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序号</w:t>
            </w:r>
          </w:p>
        </w:tc>
        <w:tc>
          <w:tcPr>
            <w:tcW w:w="376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名称、规格、型号</w:t>
            </w:r>
          </w:p>
        </w:tc>
        <w:tc>
          <w:tcPr>
            <w:tcW w:w="81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单位</w:t>
            </w:r>
          </w:p>
        </w:tc>
        <w:tc>
          <w:tcPr>
            <w:tcW w:w="984"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数量</w:t>
            </w:r>
          </w:p>
        </w:tc>
        <w:tc>
          <w:tcPr>
            <w:tcW w:w="117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风险系数（%）</w:t>
            </w:r>
          </w:p>
        </w:tc>
        <w:tc>
          <w:tcPr>
            <w:tcW w:w="1358"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基准单价（元）</w:t>
            </w:r>
          </w:p>
        </w:tc>
        <w:tc>
          <w:tcPr>
            <w:tcW w:w="1304"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磋商单价（元）</w:t>
            </w:r>
          </w:p>
        </w:tc>
        <w:tc>
          <w:tcPr>
            <w:tcW w:w="1335"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确认单价（元）</w:t>
            </w:r>
          </w:p>
        </w:tc>
        <w:tc>
          <w:tcPr>
            <w:tcW w:w="122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价差（元）</w:t>
            </w:r>
          </w:p>
        </w:tc>
        <w:tc>
          <w:tcPr>
            <w:tcW w:w="12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合计差价（元）</w:t>
            </w:r>
          </w:p>
        </w:tc>
        <w:tc>
          <w:tcPr>
            <w:tcW w:w="248" w:type="dxa"/>
            <w:tcBorders>
              <w:top w:val="nil"/>
              <w:left w:val="nil"/>
              <w:bottom w:val="nil"/>
              <w:right w:val="nil"/>
            </w:tcBorders>
          </w:tcPr>
          <w:p>
            <w:pPr>
              <w:widowControl/>
              <w:jc w:val="left"/>
              <w:rPr>
                <w:rFonts w:ascii="Arial" w:hAnsi="Arial" w:cs="Arial"/>
                <w:kern w:val="0"/>
                <w:sz w:val="24"/>
                <w:szCs w:val="24"/>
              </w:rPr>
            </w:pPr>
          </w:p>
        </w:tc>
      </w:tr>
      <w:tr>
        <w:tblPrEx>
          <w:tblCellMar>
            <w:top w:w="0" w:type="dxa"/>
            <w:left w:w="108" w:type="dxa"/>
            <w:bottom w:w="0" w:type="dxa"/>
            <w:right w:w="108" w:type="dxa"/>
          </w:tblCellMar>
        </w:tblPrEx>
        <w:trPr>
          <w:trHeight w:val="382" w:hRule="atLeast"/>
        </w:trPr>
        <w:tc>
          <w:tcPr>
            <w:tcW w:w="68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Arial"/>
                <w:kern w:val="0"/>
                <w:sz w:val="18"/>
                <w:szCs w:val="18"/>
              </w:rPr>
            </w:pPr>
            <w:r>
              <w:rPr>
                <w:rFonts w:hint="eastAsia" w:ascii="宋体" w:hAnsi="宋体" w:cs="Arial"/>
                <w:kern w:val="0"/>
                <w:sz w:val="18"/>
                <w:szCs w:val="18"/>
              </w:rPr>
              <w:t>1</w:t>
            </w:r>
          </w:p>
        </w:tc>
        <w:tc>
          <w:tcPr>
            <w:tcW w:w="3767"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Arial"/>
                <w:kern w:val="0"/>
                <w:sz w:val="18"/>
                <w:szCs w:val="18"/>
              </w:rPr>
            </w:pPr>
          </w:p>
        </w:tc>
        <w:tc>
          <w:tcPr>
            <w:tcW w:w="812"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kern w:val="0"/>
                <w:sz w:val="18"/>
                <w:szCs w:val="18"/>
              </w:rPr>
            </w:pPr>
          </w:p>
        </w:tc>
        <w:tc>
          <w:tcPr>
            <w:tcW w:w="984"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172"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358"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304"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335"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22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280"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248" w:type="dxa"/>
            <w:tcBorders>
              <w:top w:val="nil"/>
              <w:left w:val="nil"/>
              <w:bottom w:val="nil"/>
              <w:right w:val="nil"/>
            </w:tcBorders>
          </w:tcPr>
          <w:p>
            <w:pPr>
              <w:widowControl/>
              <w:jc w:val="left"/>
              <w:rPr>
                <w:rFonts w:ascii="Arial" w:hAnsi="Arial" w:cs="Arial"/>
                <w:kern w:val="0"/>
                <w:sz w:val="24"/>
                <w:szCs w:val="24"/>
              </w:rPr>
            </w:pPr>
          </w:p>
        </w:tc>
      </w:tr>
      <w:tr>
        <w:tblPrEx>
          <w:tblCellMar>
            <w:top w:w="0" w:type="dxa"/>
            <w:left w:w="108" w:type="dxa"/>
            <w:bottom w:w="0" w:type="dxa"/>
            <w:right w:w="108" w:type="dxa"/>
          </w:tblCellMar>
        </w:tblPrEx>
        <w:trPr>
          <w:trHeight w:val="382" w:hRule="atLeast"/>
        </w:trPr>
        <w:tc>
          <w:tcPr>
            <w:tcW w:w="68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Arial"/>
                <w:kern w:val="0"/>
                <w:sz w:val="18"/>
                <w:szCs w:val="18"/>
              </w:rPr>
            </w:pPr>
            <w:r>
              <w:rPr>
                <w:rFonts w:hint="eastAsia" w:ascii="宋体" w:hAnsi="宋体" w:cs="Arial"/>
                <w:kern w:val="0"/>
                <w:sz w:val="18"/>
                <w:szCs w:val="18"/>
              </w:rPr>
              <w:t>2</w:t>
            </w:r>
          </w:p>
        </w:tc>
        <w:tc>
          <w:tcPr>
            <w:tcW w:w="3767"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Arial"/>
                <w:kern w:val="0"/>
                <w:sz w:val="18"/>
                <w:szCs w:val="18"/>
              </w:rPr>
            </w:pPr>
          </w:p>
        </w:tc>
        <w:tc>
          <w:tcPr>
            <w:tcW w:w="812"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kern w:val="0"/>
                <w:sz w:val="18"/>
                <w:szCs w:val="18"/>
              </w:rPr>
            </w:pPr>
          </w:p>
        </w:tc>
        <w:tc>
          <w:tcPr>
            <w:tcW w:w="984"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172"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358"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304"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335"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22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280"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248" w:type="dxa"/>
            <w:tcBorders>
              <w:top w:val="nil"/>
              <w:left w:val="nil"/>
              <w:bottom w:val="nil"/>
              <w:right w:val="nil"/>
            </w:tcBorders>
          </w:tcPr>
          <w:p>
            <w:pPr>
              <w:widowControl/>
              <w:jc w:val="left"/>
              <w:rPr>
                <w:rFonts w:ascii="Arial" w:hAnsi="Arial" w:cs="Arial"/>
                <w:kern w:val="0"/>
                <w:sz w:val="24"/>
                <w:szCs w:val="24"/>
              </w:rPr>
            </w:pPr>
          </w:p>
        </w:tc>
      </w:tr>
      <w:tr>
        <w:tblPrEx>
          <w:tblCellMar>
            <w:top w:w="0" w:type="dxa"/>
            <w:left w:w="108" w:type="dxa"/>
            <w:bottom w:w="0" w:type="dxa"/>
            <w:right w:w="108" w:type="dxa"/>
          </w:tblCellMar>
        </w:tblPrEx>
        <w:trPr>
          <w:trHeight w:val="382" w:hRule="atLeast"/>
        </w:trPr>
        <w:tc>
          <w:tcPr>
            <w:tcW w:w="68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Arial"/>
                <w:kern w:val="0"/>
                <w:sz w:val="18"/>
                <w:szCs w:val="18"/>
              </w:rPr>
            </w:pPr>
            <w:r>
              <w:rPr>
                <w:rFonts w:hint="eastAsia" w:ascii="宋体" w:hAnsi="宋体" w:cs="Arial"/>
                <w:kern w:val="0"/>
                <w:sz w:val="18"/>
                <w:szCs w:val="18"/>
              </w:rPr>
              <w:t>3</w:t>
            </w:r>
          </w:p>
        </w:tc>
        <w:tc>
          <w:tcPr>
            <w:tcW w:w="3767"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Arial"/>
                <w:kern w:val="0"/>
                <w:sz w:val="18"/>
                <w:szCs w:val="18"/>
              </w:rPr>
            </w:pPr>
          </w:p>
        </w:tc>
        <w:tc>
          <w:tcPr>
            <w:tcW w:w="812"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kern w:val="0"/>
                <w:sz w:val="18"/>
                <w:szCs w:val="18"/>
              </w:rPr>
            </w:pPr>
          </w:p>
        </w:tc>
        <w:tc>
          <w:tcPr>
            <w:tcW w:w="984"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172"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358"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304"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335"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22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280"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248" w:type="dxa"/>
            <w:tcBorders>
              <w:top w:val="nil"/>
              <w:left w:val="nil"/>
              <w:bottom w:val="nil"/>
              <w:right w:val="nil"/>
            </w:tcBorders>
          </w:tcPr>
          <w:p>
            <w:pPr>
              <w:widowControl/>
              <w:jc w:val="left"/>
              <w:rPr>
                <w:rFonts w:ascii="Arial" w:hAnsi="Arial" w:cs="Arial"/>
                <w:kern w:val="0"/>
                <w:sz w:val="24"/>
                <w:szCs w:val="24"/>
              </w:rPr>
            </w:pPr>
          </w:p>
        </w:tc>
      </w:tr>
      <w:tr>
        <w:tblPrEx>
          <w:tblCellMar>
            <w:top w:w="0" w:type="dxa"/>
            <w:left w:w="108" w:type="dxa"/>
            <w:bottom w:w="0" w:type="dxa"/>
            <w:right w:w="108" w:type="dxa"/>
          </w:tblCellMar>
        </w:tblPrEx>
        <w:trPr>
          <w:trHeight w:val="382" w:hRule="atLeast"/>
        </w:trPr>
        <w:tc>
          <w:tcPr>
            <w:tcW w:w="68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Arial"/>
                <w:kern w:val="0"/>
                <w:sz w:val="18"/>
                <w:szCs w:val="18"/>
              </w:rPr>
            </w:pPr>
            <w:r>
              <w:rPr>
                <w:rFonts w:hint="eastAsia" w:ascii="宋体" w:hAnsi="宋体" w:cs="Arial"/>
                <w:kern w:val="0"/>
                <w:sz w:val="18"/>
                <w:szCs w:val="18"/>
              </w:rPr>
              <w:t>4</w:t>
            </w:r>
          </w:p>
        </w:tc>
        <w:tc>
          <w:tcPr>
            <w:tcW w:w="3767"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Arial"/>
                <w:kern w:val="0"/>
                <w:sz w:val="18"/>
                <w:szCs w:val="18"/>
              </w:rPr>
            </w:pPr>
          </w:p>
        </w:tc>
        <w:tc>
          <w:tcPr>
            <w:tcW w:w="812"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kern w:val="0"/>
                <w:sz w:val="18"/>
                <w:szCs w:val="18"/>
              </w:rPr>
            </w:pPr>
          </w:p>
        </w:tc>
        <w:tc>
          <w:tcPr>
            <w:tcW w:w="984"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172"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358"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304"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335"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22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280"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248" w:type="dxa"/>
            <w:tcBorders>
              <w:top w:val="nil"/>
              <w:left w:val="nil"/>
              <w:bottom w:val="nil"/>
              <w:right w:val="nil"/>
            </w:tcBorders>
          </w:tcPr>
          <w:p>
            <w:pPr>
              <w:widowControl/>
              <w:jc w:val="left"/>
              <w:rPr>
                <w:rFonts w:ascii="Arial" w:hAnsi="Arial" w:cs="Arial"/>
                <w:kern w:val="0"/>
                <w:sz w:val="24"/>
                <w:szCs w:val="24"/>
              </w:rPr>
            </w:pPr>
          </w:p>
        </w:tc>
      </w:tr>
      <w:tr>
        <w:tblPrEx>
          <w:tblCellMar>
            <w:top w:w="0" w:type="dxa"/>
            <w:left w:w="108" w:type="dxa"/>
            <w:bottom w:w="0" w:type="dxa"/>
            <w:right w:w="108" w:type="dxa"/>
          </w:tblCellMar>
        </w:tblPrEx>
        <w:trPr>
          <w:trHeight w:val="382" w:hRule="atLeast"/>
        </w:trPr>
        <w:tc>
          <w:tcPr>
            <w:tcW w:w="68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Arial"/>
                <w:kern w:val="0"/>
                <w:sz w:val="18"/>
                <w:szCs w:val="18"/>
              </w:rPr>
            </w:pPr>
            <w:r>
              <w:rPr>
                <w:rFonts w:hint="eastAsia" w:ascii="宋体" w:hAnsi="宋体" w:cs="Arial"/>
                <w:kern w:val="0"/>
                <w:sz w:val="18"/>
                <w:szCs w:val="18"/>
              </w:rPr>
              <w:t>5</w:t>
            </w:r>
          </w:p>
        </w:tc>
        <w:tc>
          <w:tcPr>
            <w:tcW w:w="3767"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Arial"/>
                <w:kern w:val="0"/>
                <w:sz w:val="18"/>
                <w:szCs w:val="18"/>
              </w:rPr>
            </w:pPr>
          </w:p>
        </w:tc>
        <w:tc>
          <w:tcPr>
            <w:tcW w:w="812"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kern w:val="0"/>
                <w:sz w:val="18"/>
                <w:szCs w:val="18"/>
              </w:rPr>
            </w:pPr>
          </w:p>
        </w:tc>
        <w:tc>
          <w:tcPr>
            <w:tcW w:w="984"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172"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358"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304"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335"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22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280"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248" w:type="dxa"/>
            <w:tcBorders>
              <w:top w:val="nil"/>
              <w:left w:val="nil"/>
              <w:bottom w:val="nil"/>
              <w:right w:val="nil"/>
            </w:tcBorders>
          </w:tcPr>
          <w:p>
            <w:pPr>
              <w:widowControl/>
              <w:jc w:val="left"/>
              <w:rPr>
                <w:rFonts w:ascii="Arial" w:hAnsi="Arial" w:cs="Arial"/>
                <w:kern w:val="0"/>
                <w:sz w:val="24"/>
                <w:szCs w:val="24"/>
              </w:rPr>
            </w:pPr>
          </w:p>
        </w:tc>
      </w:tr>
      <w:tr>
        <w:tblPrEx>
          <w:tblCellMar>
            <w:top w:w="0" w:type="dxa"/>
            <w:left w:w="108" w:type="dxa"/>
            <w:bottom w:w="0" w:type="dxa"/>
            <w:right w:w="108" w:type="dxa"/>
          </w:tblCellMar>
        </w:tblPrEx>
        <w:trPr>
          <w:trHeight w:val="382" w:hRule="atLeast"/>
        </w:trPr>
        <w:tc>
          <w:tcPr>
            <w:tcW w:w="68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Arial"/>
                <w:kern w:val="0"/>
                <w:sz w:val="18"/>
                <w:szCs w:val="18"/>
              </w:rPr>
            </w:pPr>
            <w:r>
              <w:rPr>
                <w:rFonts w:hint="eastAsia" w:ascii="宋体" w:hAnsi="宋体" w:cs="Arial"/>
                <w:kern w:val="0"/>
                <w:sz w:val="18"/>
                <w:szCs w:val="18"/>
              </w:rPr>
              <w:t>6</w:t>
            </w:r>
          </w:p>
        </w:tc>
        <w:tc>
          <w:tcPr>
            <w:tcW w:w="3767"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Arial"/>
                <w:kern w:val="0"/>
                <w:sz w:val="18"/>
                <w:szCs w:val="18"/>
              </w:rPr>
            </w:pPr>
          </w:p>
        </w:tc>
        <w:tc>
          <w:tcPr>
            <w:tcW w:w="812"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kern w:val="0"/>
                <w:sz w:val="18"/>
                <w:szCs w:val="18"/>
              </w:rPr>
            </w:pPr>
          </w:p>
        </w:tc>
        <w:tc>
          <w:tcPr>
            <w:tcW w:w="984"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172"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358"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304"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335"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22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280"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248" w:type="dxa"/>
            <w:tcBorders>
              <w:top w:val="nil"/>
              <w:left w:val="nil"/>
              <w:bottom w:val="nil"/>
              <w:right w:val="nil"/>
            </w:tcBorders>
          </w:tcPr>
          <w:p>
            <w:pPr>
              <w:widowControl/>
              <w:jc w:val="left"/>
              <w:rPr>
                <w:rFonts w:ascii="Arial" w:hAnsi="Arial" w:cs="Arial"/>
                <w:kern w:val="0"/>
                <w:sz w:val="24"/>
                <w:szCs w:val="24"/>
              </w:rPr>
            </w:pPr>
          </w:p>
        </w:tc>
      </w:tr>
      <w:tr>
        <w:tblPrEx>
          <w:tblCellMar>
            <w:top w:w="0" w:type="dxa"/>
            <w:left w:w="108" w:type="dxa"/>
            <w:bottom w:w="0" w:type="dxa"/>
            <w:right w:w="108" w:type="dxa"/>
          </w:tblCellMar>
        </w:tblPrEx>
        <w:trPr>
          <w:trHeight w:val="382" w:hRule="atLeast"/>
        </w:trPr>
        <w:tc>
          <w:tcPr>
            <w:tcW w:w="68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Arial"/>
                <w:kern w:val="0"/>
                <w:sz w:val="18"/>
                <w:szCs w:val="18"/>
              </w:rPr>
            </w:pPr>
            <w:r>
              <w:rPr>
                <w:rFonts w:hint="eastAsia" w:ascii="宋体" w:hAnsi="宋体" w:cs="Arial"/>
                <w:kern w:val="0"/>
                <w:sz w:val="18"/>
                <w:szCs w:val="18"/>
              </w:rPr>
              <w:t>7</w:t>
            </w:r>
          </w:p>
        </w:tc>
        <w:tc>
          <w:tcPr>
            <w:tcW w:w="3767"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Arial"/>
                <w:kern w:val="0"/>
                <w:sz w:val="18"/>
                <w:szCs w:val="18"/>
              </w:rPr>
            </w:pPr>
          </w:p>
        </w:tc>
        <w:tc>
          <w:tcPr>
            <w:tcW w:w="812"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kern w:val="0"/>
                <w:sz w:val="18"/>
                <w:szCs w:val="18"/>
              </w:rPr>
            </w:pPr>
          </w:p>
        </w:tc>
        <w:tc>
          <w:tcPr>
            <w:tcW w:w="984"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172"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358"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304"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335"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22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280"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248" w:type="dxa"/>
            <w:tcBorders>
              <w:top w:val="nil"/>
              <w:left w:val="nil"/>
              <w:bottom w:val="nil"/>
              <w:right w:val="nil"/>
            </w:tcBorders>
          </w:tcPr>
          <w:p>
            <w:pPr>
              <w:widowControl/>
              <w:jc w:val="left"/>
              <w:rPr>
                <w:rFonts w:ascii="Arial" w:hAnsi="Arial" w:cs="Arial"/>
                <w:kern w:val="0"/>
                <w:sz w:val="24"/>
                <w:szCs w:val="24"/>
              </w:rPr>
            </w:pPr>
          </w:p>
        </w:tc>
      </w:tr>
      <w:tr>
        <w:tblPrEx>
          <w:tblCellMar>
            <w:top w:w="0" w:type="dxa"/>
            <w:left w:w="108" w:type="dxa"/>
            <w:bottom w:w="0" w:type="dxa"/>
            <w:right w:w="108" w:type="dxa"/>
          </w:tblCellMar>
        </w:tblPrEx>
        <w:trPr>
          <w:trHeight w:val="382" w:hRule="atLeast"/>
        </w:trPr>
        <w:tc>
          <w:tcPr>
            <w:tcW w:w="68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Arial"/>
                <w:kern w:val="0"/>
                <w:sz w:val="18"/>
                <w:szCs w:val="18"/>
              </w:rPr>
            </w:pPr>
            <w:r>
              <w:rPr>
                <w:rFonts w:hint="eastAsia" w:ascii="宋体" w:hAnsi="宋体" w:cs="Arial"/>
                <w:kern w:val="0"/>
                <w:sz w:val="18"/>
                <w:szCs w:val="18"/>
              </w:rPr>
              <w:t>8</w:t>
            </w:r>
          </w:p>
        </w:tc>
        <w:tc>
          <w:tcPr>
            <w:tcW w:w="3767"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Arial"/>
                <w:kern w:val="0"/>
                <w:sz w:val="18"/>
                <w:szCs w:val="18"/>
              </w:rPr>
            </w:pPr>
          </w:p>
        </w:tc>
        <w:tc>
          <w:tcPr>
            <w:tcW w:w="812"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kern w:val="0"/>
                <w:sz w:val="18"/>
                <w:szCs w:val="18"/>
              </w:rPr>
            </w:pPr>
          </w:p>
        </w:tc>
        <w:tc>
          <w:tcPr>
            <w:tcW w:w="984"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172"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358"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304"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335"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22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280"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248" w:type="dxa"/>
            <w:tcBorders>
              <w:top w:val="nil"/>
              <w:left w:val="nil"/>
              <w:bottom w:val="nil"/>
              <w:right w:val="nil"/>
            </w:tcBorders>
          </w:tcPr>
          <w:p>
            <w:pPr>
              <w:widowControl/>
              <w:jc w:val="left"/>
              <w:rPr>
                <w:rFonts w:ascii="Arial" w:hAnsi="Arial" w:cs="Arial"/>
                <w:kern w:val="0"/>
                <w:sz w:val="24"/>
                <w:szCs w:val="24"/>
              </w:rPr>
            </w:pPr>
          </w:p>
        </w:tc>
      </w:tr>
      <w:tr>
        <w:tblPrEx>
          <w:tblCellMar>
            <w:top w:w="0" w:type="dxa"/>
            <w:left w:w="108" w:type="dxa"/>
            <w:bottom w:w="0" w:type="dxa"/>
            <w:right w:w="108" w:type="dxa"/>
          </w:tblCellMar>
        </w:tblPrEx>
        <w:trPr>
          <w:trHeight w:val="382" w:hRule="atLeast"/>
        </w:trPr>
        <w:tc>
          <w:tcPr>
            <w:tcW w:w="68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Arial"/>
                <w:kern w:val="0"/>
                <w:sz w:val="18"/>
                <w:szCs w:val="18"/>
              </w:rPr>
            </w:pPr>
            <w:r>
              <w:rPr>
                <w:rFonts w:hint="eastAsia" w:ascii="宋体" w:hAnsi="宋体" w:cs="Arial"/>
                <w:kern w:val="0"/>
                <w:sz w:val="18"/>
                <w:szCs w:val="18"/>
              </w:rPr>
              <w:t>9</w:t>
            </w:r>
          </w:p>
        </w:tc>
        <w:tc>
          <w:tcPr>
            <w:tcW w:w="3767"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Arial"/>
                <w:kern w:val="0"/>
                <w:sz w:val="18"/>
                <w:szCs w:val="18"/>
              </w:rPr>
            </w:pPr>
          </w:p>
        </w:tc>
        <w:tc>
          <w:tcPr>
            <w:tcW w:w="812"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kern w:val="0"/>
                <w:sz w:val="18"/>
                <w:szCs w:val="18"/>
              </w:rPr>
            </w:pPr>
          </w:p>
        </w:tc>
        <w:tc>
          <w:tcPr>
            <w:tcW w:w="984"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172"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358"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304"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335"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22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280"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248" w:type="dxa"/>
            <w:tcBorders>
              <w:top w:val="nil"/>
              <w:left w:val="nil"/>
              <w:bottom w:val="nil"/>
              <w:right w:val="nil"/>
            </w:tcBorders>
          </w:tcPr>
          <w:p>
            <w:pPr>
              <w:widowControl/>
              <w:jc w:val="left"/>
              <w:rPr>
                <w:rFonts w:ascii="Arial" w:hAnsi="Arial" w:cs="Arial"/>
                <w:kern w:val="0"/>
                <w:sz w:val="24"/>
                <w:szCs w:val="24"/>
              </w:rPr>
            </w:pPr>
          </w:p>
        </w:tc>
      </w:tr>
      <w:tr>
        <w:tblPrEx>
          <w:tblCellMar>
            <w:top w:w="0" w:type="dxa"/>
            <w:left w:w="108" w:type="dxa"/>
            <w:bottom w:w="0" w:type="dxa"/>
            <w:right w:w="108" w:type="dxa"/>
          </w:tblCellMar>
        </w:tblPrEx>
        <w:trPr>
          <w:trHeight w:val="382" w:hRule="atLeast"/>
        </w:trPr>
        <w:tc>
          <w:tcPr>
            <w:tcW w:w="68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Arial"/>
                <w:kern w:val="0"/>
                <w:sz w:val="18"/>
                <w:szCs w:val="18"/>
              </w:rPr>
            </w:pPr>
            <w:r>
              <w:rPr>
                <w:rFonts w:hint="eastAsia" w:ascii="宋体" w:hAnsi="宋体" w:cs="Arial"/>
                <w:kern w:val="0"/>
                <w:sz w:val="18"/>
                <w:szCs w:val="18"/>
              </w:rPr>
              <w:t>10</w:t>
            </w:r>
          </w:p>
        </w:tc>
        <w:tc>
          <w:tcPr>
            <w:tcW w:w="3767"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Arial"/>
                <w:kern w:val="0"/>
                <w:sz w:val="18"/>
                <w:szCs w:val="18"/>
              </w:rPr>
            </w:pPr>
          </w:p>
        </w:tc>
        <w:tc>
          <w:tcPr>
            <w:tcW w:w="812"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kern w:val="0"/>
                <w:sz w:val="18"/>
                <w:szCs w:val="18"/>
              </w:rPr>
            </w:pPr>
          </w:p>
        </w:tc>
        <w:tc>
          <w:tcPr>
            <w:tcW w:w="984"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172"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358"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304"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335"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22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280"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248" w:type="dxa"/>
            <w:tcBorders>
              <w:top w:val="nil"/>
              <w:left w:val="nil"/>
              <w:bottom w:val="nil"/>
              <w:right w:val="nil"/>
            </w:tcBorders>
          </w:tcPr>
          <w:p>
            <w:pPr>
              <w:widowControl/>
              <w:jc w:val="left"/>
              <w:rPr>
                <w:rFonts w:ascii="Arial" w:hAnsi="Arial" w:cs="Arial"/>
                <w:kern w:val="0"/>
                <w:sz w:val="24"/>
                <w:szCs w:val="24"/>
              </w:rPr>
            </w:pPr>
          </w:p>
        </w:tc>
      </w:tr>
      <w:tr>
        <w:tblPrEx>
          <w:tblCellMar>
            <w:top w:w="0" w:type="dxa"/>
            <w:left w:w="108" w:type="dxa"/>
            <w:bottom w:w="0" w:type="dxa"/>
            <w:right w:w="108" w:type="dxa"/>
          </w:tblCellMar>
        </w:tblPrEx>
        <w:trPr>
          <w:trHeight w:val="382" w:hRule="atLeast"/>
        </w:trPr>
        <w:tc>
          <w:tcPr>
            <w:tcW w:w="68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Arial"/>
                <w:kern w:val="0"/>
                <w:sz w:val="18"/>
                <w:szCs w:val="18"/>
              </w:rPr>
            </w:pPr>
            <w:r>
              <w:rPr>
                <w:rFonts w:hint="eastAsia" w:ascii="宋体" w:hAnsi="宋体" w:cs="Arial"/>
                <w:kern w:val="0"/>
                <w:sz w:val="18"/>
                <w:szCs w:val="18"/>
              </w:rPr>
              <w:t>11</w:t>
            </w:r>
          </w:p>
        </w:tc>
        <w:tc>
          <w:tcPr>
            <w:tcW w:w="3767"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Arial"/>
                <w:kern w:val="0"/>
                <w:sz w:val="18"/>
                <w:szCs w:val="18"/>
              </w:rPr>
            </w:pPr>
          </w:p>
        </w:tc>
        <w:tc>
          <w:tcPr>
            <w:tcW w:w="812"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kern w:val="0"/>
                <w:sz w:val="18"/>
                <w:szCs w:val="18"/>
              </w:rPr>
            </w:pPr>
          </w:p>
        </w:tc>
        <w:tc>
          <w:tcPr>
            <w:tcW w:w="984"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172"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358"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304"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335"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22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280"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248" w:type="dxa"/>
            <w:tcBorders>
              <w:top w:val="nil"/>
              <w:left w:val="nil"/>
              <w:bottom w:val="nil"/>
              <w:right w:val="nil"/>
            </w:tcBorders>
          </w:tcPr>
          <w:p>
            <w:pPr>
              <w:widowControl/>
              <w:jc w:val="left"/>
              <w:rPr>
                <w:rFonts w:ascii="Arial" w:hAnsi="Arial" w:cs="Arial"/>
                <w:kern w:val="0"/>
                <w:sz w:val="24"/>
                <w:szCs w:val="24"/>
              </w:rPr>
            </w:pPr>
          </w:p>
        </w:tc>
      </w:tr>
      <w:tr>
        <w:tblPrEx>
          <w:tblCellMar>
            <w:top w:w="0" w:type="dxa"/>
            <w:left w:w="108" w:type="dxa"/>
            <w:bottom w:w="0" w:type="dxa"/>
            <w:right w:w="108" w:type="dxa"/>
          </w:tblCellMar>
        </w:tblPrEx>
        <w:trPr>
          <w:trHeight w:val="382" w:hRule="atLeast"/>
        </w:trPr>
        <w:tc>
          <w:tcPr>
            <w:tcW w:w="68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Arial"/>
                <w:kern w:val="0"/>
                <w:sz w:val="18"/>
                <w:szCs w:val="18"/>
              </w:rPr>
            </w:pPr>
            <w:r>
              <w:rPr>
                <w:rFonts w:hint="eastAsia" w:ascii="宋体" w:hAnsi="宋体" w:cs="Arial"/>
                <w:kern w:val="0"/>
                <w:sz w:val="18"/>
                <w:szCs w:val="18"/>
              </w:rPr>
              <w:t>12</w:t>
            </w:r>
          </w:p>
        </w:tc>
        <w:tc>
          <w:tcPr>
            <w:tcW w:w="3767"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Arial"/>
                <w:kern w:val="0"/>
                <w:sz w:val="18"/>
                <w:szCs w:val="18"/>
              </w:rPr>
            </w:pPr>
          </w:p>
        </w:tc>
        <w:tc>
          <w:tcPr>
            <w:tcW w:w="812"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kern w:val="0"/>
                <w:sz w:val="18"/>
                <w:szCs w:val="18"/>
              </w:rPr>
            </w:pPr>
          </w:p>
        </w:tc>
        <w:tc>
          <w:tcPr>
            <w:tcW w:w="984"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172"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358"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304"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p>
        </w:tc>
        <w:tc>
          <w:tcPr>
            <w:tcW w:w="1335"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22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280"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248" w:type="dxa"/>
            <w:tcBorders>
              <w:top w:val="nil"/>
              <w:left w:val="nil"/>
              <w:bottom w:val="nil"/>
              <w:right w:val="nil"/>
            </w:tcBorders>
          </w:tcPr>
          <w:p>
            <w:pPr>
              <w:widowControl/>
              <w:jc w:val="left"/>
              <w:rPr>
                <w:rFonts w:ascii="Arial" w:hAnsi="Arial" w:cs="Arial"/>
                <w:kern w:val="0"/>
                <w:sz w:val="24"/>
                <w:szCs w:val="24"/>
              </w:rPr>
            </w:pPr>
          </w:p>
        </w:tc>
      </w:tr>
      <w:tr>
        <w:tblPrEx>
          <w:tblCellMar>
            <w:top w:w="0" w:type="dxa"/>
            <w:left w:w="108" w:type="dxa"/>
            <w:bottom w:w="0" w:type="dxa"/>
            <w:right w:w="108" w:type="dxa"/>
          </w:tblCellMar>
        </w:tblPrEx>
        <w:trPr>
          <w:trHeight w:val="382" w:hRule="atLeast"/>
        </w:trPr>
        <w:tc>
          <w:tcPr>
            <w:tcW w:w="68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Arial"/>
                <w:kern w:val="0"/>
                <w:sz w:val="18"/>
                <w:szCs w:val="18"/>
              </w:rPr>
            </w:pPr>
            <w:r>
              <w:rPr>
                <w:rFonts w:hint="eastAsia" w:ascii="宋体" w:hAnsi="宋体" w:cs="Arial"/>
                <w:kern w:val="0"/>
                <w:sz w:val="18"/>
                <w:szCs w:val="18"/>
              </w:rPr>
              <w:t>13</w:t>
            </w:r>
          </w:p>
        </w:tc>
        <w:tc>
          <w:tcPr>
            <w:tcW w:w="3767"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            合       计</w:t>
            </w:r>
          </w:p>
        </w:tc>
        <w:tc>
          <w:tcPr>
            <w:tcW w:w="812"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Arial"/>
                <w:kern w:val="0"/>
                <w:sz w:val="18"/>
                <w:szCs w:val="18"/>
              </w:rPr>
            </w:pPr>
            <w:r>
              <w:rPr>
                <w:rFonts w:hint="eastAsia" w:ascii="宋体" w:hAnsi="宋体" w:cs="Arial"/>
                <w:kern w:val="0"/>
                <w:sz w:val="18"/>
                <w:szCs w:val="18"/>
              </w:rPr>
              <w:t>　</w:t>
            </w:r>
          </w:p>
        </w:tc>
        <w:tc>
          <w:tcPr>
            <w:tcW w:w="984"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72"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358"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304"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335"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22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280" w:type="dxa"/>
            <w:tcBorders>
              <w:top w:val="nil"/>
              <w:left w:val="nil"/>
              <w:bottom w:val="single" w:color="000000" w:sz="4" w:space="0"/>
              <w:right w:val="single" w:color="000000" w:sz="4" w:space="0"/>
            </w:tcBorders>
            <w:shd w:val="clear" w:color="auto" w:fill="FFFFFF"/>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248" w:type="dxa"/>
            <w:tcBorders>
              <w:top w:val="nil"/>
              <w:left w:val="nil"/>
              <w:bottom w:val="nil"/>
              <w:right w:val="nil"/>
            </w:tcBorders>
          </w:tcPr>
          <w:p>
            <w:pPr>
              <w:widowControl/>
              <w:jc w:val="left"/>
              <w:rPr>
                <w:rFonts w:ascii="Arial" w:hAnsi="Arial" w:cs="Arial"/>
                <w:kern w:val="0"/>
                <w:sz w:val="24"/>
                <w:szCs w:val="24"/>
              </w:rPr>
            </w:pPr>
          </w:p>
        </w:tc>
      </w:tr>
    </w:tbl>
    <w:p>
      <w:pPr>
        <w:rPr>
          <w:rFonts w:ascii="Calibri" w:hAnsi="Calibri"/>
          <w:vanish/>
          <w:szCs w:val="22"/>
        </w:rPr>
      </w:pPr>
    </w:p>
    <w:p>
      <w:pPr>
        <w:rPr>
          <w:rFonts w:ascii="Calibri" w:hAnsi="Calibri"/>
          <w:szCs w:val="22"/>
        </w:rPr>
      </w:pPr>
      <w:r>
        <w:rPr>
          <w:rFonts w:hint="eastAsia" w:ascii="Calibri" w:hAnsi="Calibri"/>
          <w:szCs w:val="22"/>
        </w:rPr>
        <w:t>注:1.此表由招标人填写除</w:t>
      </w:r>
      <w:r>
        <w:rPr>
          <w:rFonts w:hint="eastAsia"/>
        </w:rPr>
        <w:t>“磋商单价”栏的内容，供应商在磋商时自主确定磋商单价。</w:t>
      </w:r>
    </w:p>
    <w:p>
      <w:pPr>
        <w:rPr>
          <w:rFonts w:ascii="Calibri" w:hAnsi="Calibri"/>
          <w:szCs w:val="22"/>
        </w:rPr>
        <w:sectPr>
          <w:headerReference r:id="rId9" w:type="default"/>
          <w:footerReference r:id="rId10" w:type="default"/>
          <w:pgSz w:w="16838" w:h="11906" w:orient="landscape"/>
          <w:pgMar w:top="1800" w:right="1440" w:bottom="1800" w:left="1440" w:header="851" w:footer="992" w:gutter="0"/>
          <w:cols w:space="425" w:num="1"/>
          <w:docGrid w:type="lines" w:linePitch="312" w:charSpace="0"/>
        </w:sectPr>
      </w:pPr>
      <w:r>
        <w:rPr>
          <w:rFonts w:hint="eastAsia" w:ascii="Calibri" w:hAnsi="Calibri"/>
          <w:szCs w:val="22"/>
        </w:rPr>
        <w:t>2.招标人应优先采用工程造价管理机构发布的单价作为基础单价，未发布的，通过市场调查确定其基准单价。</w:t>
      </w:r>
    </w:p>
    <w:p>
      <w:pPr>
        <w:rPr>
          <w:rFonts w:asciiTheme="minorEastAsia" w:hAnsiTheme="minorEastAsia" w:eastAsiaTheme="minorEastAsia" w:cstheme="minorEastAsia"/>
          <w:b/>
          <w:bCs/>
          <w:kern w:val="0"/>
          <w:sz w:val="44"/>
          <w:szCs w:val="44"/>
        </w:rPr>
      </w:pPr>
    </w:p>
    <w:p>
      <w:pPr>
        <w:rPr>
          <w:rFonts w:asciiTheme="minorEastAsia" w:hAnsiTheme="minorEastAsia" w:eastAsiaTheme="minorEastAsia" w:cstheme="minorEastAsia"/>
          <w:b/>
          <w:bCs/>
          <w:kern w:val="0"/>
          <w:sz w:val="44"/>
          <w:szCs w:val="44"/>
        </w:rPr>
      </w:pPr>
    </w:p>
    <w:p>
      <w:pPr>
        <w:pStyle w:val="26"/>
        <w:spacing w:line="360" w:lineRule="auto"/>
        <w:jc w:val="center"/>
        <w:outlineLvl w:val="0"/>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第八章    质疑、投诉材料格式</w:t>
      </w:r>
      <w:bookmarkEnd w:id="41"/>
    </w:p>
    <w:p>
      <w:pPr>
        <w:spacing w:line="360" w:lineRule="auto"/>
        <w:jc w:val="center"/>
        <w:rPr>
          <w:rFonts w:ascii="宋体" w:hAnsi="宋体"/>
          <w:b/>
          <w:bCs/>
          <w:sz w:val="32"/>
          <w:szCs w:val="32"/>
        </w:rPr>
      </w:pPr>
      <w:r>
        <w:rPr>
          <w:rFonts w:hint="eastAsia" w:ascii="宋体" w:hAnsi="宋体"/>
          <w:b/>
          <w:bCs/>
          <w:sz w:val="32"/>
          <w:szCs w:val="32"/>
        </w:rPr>
        <w:t>质疑函（格式）</w:t>
      </w:r>
    </w:p>
    <w:p>
      <w:pPr>
        <w:pStyle w:val="26"/>
        <w:spacing w:line="360" w:lineRule="auto"/>
        <w:ind w:firstLine="482" w:firstLineChars="200"/>
        <w:contextualSpacing/>
        <w:rPr>
          <w:rFonts w:hAnsi="宋体"/>
          <w:b/>
          <w:bCs/>
          <w:sz w:val="24"/>
          <w:szCs w:val="24"/>
        </w:rPr>
      </w:pPr>
      <w:r>
        <w:rPr>
          <w:rFonts w:hint="eastAsia" w:hAnsi="宋体"/>
          <w:b/>
          <w:bCs/>
          <w:sz w:val="24"/>
          <w:szCs w:val="24"/>
        </w:rPr>
        <w:t>一、质疑供应商基本信息：</w:t>
      </w:r>
    </w:p>
    <w:p>
      <w:pPr>
        <w:pStyle w:val="26"/>
        <w:spacing w:line="360" w:lineRule="auto"/>
        <w:ind w:firstLine="480" w:firstLineChars="200"/>
        <w:contextualSpacing/>
        <w:rPr>
          <w:rFonts w:hAnsi="宋体"/>
          <w:bCs/>
          <w:sz w:val="24"/>
          <w:szCs w:val="24"/>
          <w:u w:val="single"/>
        </w:rPr>
      </w:pPr>
      <w:r>
        <w:rPr>
          <w:rFonts w:hint="eastAsia" w:hAnsi="宋体"/>
          <w:bCs/>
          <w:sz w:val="24"/>
          <w:szCs w:val="24"/>
        </w:rPr>
        <w:t>质疑供应商：</w:t>
      </w:r>
      <w:r>
        <w:rPr>
          <w:rFonts w:hint="eastAsia" w:hAnsi="宋体"/>
          <w:bCs/>
          <w:sz w:val="24"/>
          <w:szCs w:val="24"/>
          <w:u w:val="single"/>
        </w:rPr>
        <w:t xml:space="preserve">                                       </w:t>
      </w:r>
      <w:r>
        <w:rPr>
          <w:rFonts w:hint="eastAsia" w:hAnsi="宋体"/>
          <w:bCs/>
          <w:sz w:val="24"/>
          <w:szCs w:val="24"/>
        </w:rPr>
        <w:t xml:space="preserve">                 </w:t>
      </w:r>
    </w:p>
    <w:p>
      <w:pPr>
        <w:pStyle w:val="26"/>
        <w:spacing w:line="360" w:lineRule="auto"/>
        <w:ind w:firstLine="480" w:firstLineChars="200"/>
        <w:contextualSpacing/>
        <w:rPr>
          <w:rFonts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pPr>
        <w:pStyle w:val="26"/>
        <w:spacing w:line="360" w:lineRule="auto"/>
        <w:ind w:firstLine="480" w:firstLineChars="200"/>
        <w:contextualSpacing/>
        <w:rPr>
          <w:rFonts w:hAnsi="宋体"/>
          <w:bCs/>
          <w:sz w:val="24"/>
          <w:szCs w:val="24"/>
        </w:rPr>
      </w:pPr>
      <w:r>
        <w:rPr>
          <w:rFonts w:hAnsi="宋体"/>
          <w:bCs/>
          <w:sz w:val="24"/>
          <w:szCs w:val="24"/>
        </w:rPr>
        <w:t>联系人</w:t>
      </w:r>
      <w:r>
        <w:rPr>
          <w:rFonts w:hint="eastAsia" w:hAnsi="宋体"/>
          <w:bCs/>
          <w:sz w:val="24"/>
          <w:szCs w:val="24"/>
        </w:rPr>
        <w:t>：</w:t>
      </w:r>
      <w:r>
        <w:rPr>
          <w:rFonts w:hint="eastAsia" w:hAnsi="宋体"/>
          <w:bCs/>
          <w:sz w:val="24"/>
          <w:szCs w:val="24"/>
          <w:u w:val="single"/>
        </w:rPr>
        <w:t xml:space="preserve">                     </w:t>
      </w: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pPr>
        <w:pStyle w:val="26"/>
        <w:spacing w:line="360" w:lineRule="auto"/>
        <w:ind w:firstLine="480" w:firstLineChars="200"/>
        <w:contextualSpacing/>
        <w:rPr>
          <w:rFonts w:hAnsi="宋体"/>
          <w:bCs/>
          <w:sz w:val="24"/>
          <w:szCs w:val="24"/>
        </w:rPr>
      </w:pPr>
      <w:r>
        <w:rPr>
          <w:rFonts w:hint="eastAsia" w:hAnsi="宋体"/>
          <w:bCs/>
          <w:sz w:val="24"/>
          <w:szCs w:val="24"/>
        </w:rPr>
        <w:t>授权代表：</w:t>
      </w:r>
      <w:r>
        <w:rPr>
          <w:rFonts w:hint="eastAsia" w:hAnsi="宋体"/>
          <w:bCs/>
          <w:sz w:val="24"/>
          <w:szCs w:val="24"/>
          <w:u w:val="single"/>
        </w:rPr>
        <w:t xml:space="preserve">                      </w:t>
      </w:r>
    </w:p>
    <w:p>
      <w:pPr>
        <w:pStyle w:val="26"/>
        <w:spacing w:line="360" w:lineRule="auto"/>
        <w:ind w:firstLine="480" w:firstLineChars="200"/>
        <w:contextualSpacing/>
        <w:rPr>
          <w:rFonts w:hAnsi="宋体"/>
          <w:bCs/>
          <w:sz w:val="24"/>
          <w:szCs w:val="24"/>
          <w:u w:val="single"/>
        </w:rPr>
      </w:pP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pPr>
        <w:pStyle w:val="26"/>
        <w:spacing w:line="360" w:lineRule="auto"/>
        <w:ind w:firstLine="480" w:firstLineChars="200"/>
        <w:contextualSpacing/>
        <w:rPr>
          <w:rFonts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pPr>
        <w:pStyle w:val="26"/>
        <w:spacing w:line="360" w:lineRule="auto"/>
        <w:ind w:firstLine="482" w:firstLineChars="200"/>
        <w:contextualSpacing/>
        <w:rPr>
          <w:rFonts w:hAnsi="宋体"/>
          <w:b/>
          <w:bCs/>
          <w:sz w:val="24"/>
          <w:szCs w:val="24"/>
        </w:rPr>
      </w:pPr>
      <w:r>
        <w:rPr>
          <w:rFonts w:hint="eastAsia" w:hAnsi="宋体"/>
          <w:b/>
          <w:bCs/>
          <w:sz w:val="24"/>
          <w:szCs w:val="24"/>
        </w:rPr>
        <w:t>二、质疑项目基本情况：</w:t>
      </w:r>
    </w:p>
    <w:p>
      <w:pPr>
        <w:pStyle w:val="26"/>
        <w:spacing w:line="360" w:lineRule="auto"/>
        <w:ind w:left="25" w:leftChars="12" w:firstLine="472" w:firstLineChars="197"/>
        <w:contextualSpacing/>
        <w:rPr>
          <w:rFonts w:hAnsi="宋体"/>
          <w:sz w:val="24"/>
          <w:szCs w:val="24"/>
        </w:rPr>
      </w:pPr>
      <w:r>
        <w:rPr>
          <w:rFonts w:hint="eastAsia" w:hAnsi="宋体"/>
          <w:bCs/>
          <w:sz w:val="24"/>
          <w:szCs w:val="24"/>
        </w:rPr>
        <w:t>质疑</w:t>
      </w:r>
      <w:r>
        <w:rPr>
          <w:rFonts w:hint="eastAsia" w:hAnsi="宋体"/>
          <w:sz w:val="24"/>
          <w:szCs w:val="24"/>
        </w:rPr>
        <w:t>项目的名称：</w:t>
      </w:r>
      <w:r>
        <w:rPr>
          <w:rFonts w:hint="eastAsia" w:hAnsi="宋体"/>
          <w:bCs/>
          <w:sz w:val="24"/>
          <w:szCs w:val="24"/>
          <w:u w:val="single"/>
        </w:rPr>
        <w:t xml:space="preserve">                                     </w:t>
      </w:r>
    </w:p>
    <w:p>
      <w:pPr>
        <w:pStyle w:val="26"/>
        <w:spacing w:line="360" w:lineRule="auto"/>
        <w:ind w:left="25" w:leftChars="12" w:firstLine="472" w:firstLineChars="197"/>
        <w:contextualSpacing/>
        <w:rPr>
          <w:rFonts w:hAnsi="宋体"/>
          <w:sz w:val="24"/>
          <w:szCs w:val="24"/>
        </w:rPr>
      </w:pPr>
      <w:r>
        <w:rPr>
          <w:rFonts w:hint="eastAsia" w:hAnsi="宋体"/>
          <w:bCs/>
          <w:sz w:val="24"/>
          <w:szCs w:val="24"/>
        </w:rPr>
        <w:t>质疑</w:t>
      </w:r>
      <w:r>
        <w:rPr>
          <w:rFonts w:hint="eastAsia" w:hAnsi="宋体"/>
          <w:sz w:val="24"/>
          <w:szCs w:val="24"/>
        </w:rPr>
        <w:t>项目的编号：</w:t>
      </w:r>
      <w:r>
        <w:rPr>
          <w:rFonts w:hint="eastAsia" w:hAnsi="宋体"/>
          <w:bCs/>
          <w:sz w:val="24"/>
          <w:szCs w:val="24"/>
          <w:u w:val="single"/>
        </w:rPr>
        <w:t xml:space="preserve">                                     </w:t>
      </w:r>
    </w:p>
    <w:p>
      <w:pPr>
        <w:pStyle w:val="26"/>
        <w:spacing w:line="360" w:lineRule="auto"/>
        <w:ind w:left="25" w:leftChars="12" w:firstLine="472" w:firstLineChars="197"/>
        <w:contextualSpacing/>
        <w:rPr>
          <w:rFonts w:hAnsi="宋体"/>
          <w:sz w:val="24"/>
          <w:szCs w:val="24"/>
        </w:rPr>
      </w:pPr>
      <w:r>
        <w:rPr>
          <w:rFonts w:hint="eastAsia" w:hAnsi="宋体"/>
          <w:sz w:val="24"/>
          <w:szCs w:val="24"/>
        </w:rPr>
        <w:t>采购人名称：</w:t>
      </w:r>
      <w:r>
        <w:rPr>
          <w:rFonts w:hint="eastAsia" w:hAnsi="宋体"/>
          <w:bCs/>
          <w:sz w:val="24"/>
          <w:szCs w:val="24"/>
          <w:u w:val="single"/>
        </w:rPr>
        <w:t xml:space="preserve">                                         </w:t>
      </w:r>
    </w:p>
    <w:p>
      <w:pPr>
        <w:pStyle w:val="26"/>
        <w:spacing w:line="360" w:lineRule="auto"/>
        <w:ind w:left="25" w:leftChars="12" w:firstLine="472" w:firstLineChars="197"/>
        <w:contextualSpacing/>
        <w:rPr>
          <w:rFonts w:hAnsi="宋体"/>
          <w:sz w:val="24"/>
          <w:szCs w:val="24"/>
        </w:rPr>
      </w:pPr>
      <w:r>
        <w:rPr>
          <w:rFonts w:hint="eastAsia" w:hAnsi="宋体"/>
          <w:sz w:val="24"/>
          <w:szCs w:val="24"/>
        </w:rPr>
        <w:t>质疑事项：</w:t>
      </w:r>
    </w:p>
    <w:p>
      <w:pPr>
        <w:pStyle w:val="26"/>
        <w:spacing w:line="360" w:lineRule="auto"/>
        <w:ind w:left="25" w:leftChars="12" w:firstLine="352" w:firstLineChars="147"/>
        <w:contextualSpacing/>
        <w:rPr>
          <w:rFonts w:hAnsi="宋体"/>
          <w:sz w:val="24"/>
          <w:szCs w:val="24"/>
        </w:rPr>
      </w:pPr>
      <w:r>
        <w:rPr>
          <w:rFonts w:hint="eastAsia" w:hAnsi="宋体"/>
          <w:sz w:val="24"/>
          <w:szCs w:val="24"/>
        </w:rPr>
        <w:t>□采购文件   采购文件获取日期：</w:t>
      </w:r>
      <w:r>
        <w:rPr>
          <w:rFonts w:hint="eastAsia" w:hAnsi="宋体"/>
          <w:bCs/>
          <w:sz w:val="24"/>
          <w:szCs w:val="24"/>
          <w:u w:val="single"/>
        </w:rPr>
        <w:t xml:space="preserve">                                   </w:t>
      </w:r>
    </w:p>
    <w:p>
      <w:pPr>
        <w:pStyle w:val="26"/>
        <w:spacing w:line="360" w:lineRule="auto"/>
        <w:ind w:left="25" w:leftChars="12" w:firstLine="352" w:firstLineChars="147"/>
        <w:contextualSpacing/>
        <w:rPr>
          <w:rFonts w:hAnsi="宋体"/>
          <w:sz w:val="24"/>
          <w:szCs w:val="24"/>
        </w:rPr>
      </w:pPr>
      <w:r>
        <w:rPr>
          <w:rFonts w:hint="eastAsia" w:hAnsi="宋体"/>
          <w:sz w:val="24"/>
          <w:szCs w:val="24"/>
        </w:rPr>
        <w:t xml:space="preserve">□采购过程   </w:t>
      </w:r>
    </w:p>
    <w:p>
      <w:pPr>
        <w:pStyle w:val="26"/>
        <w:spacing w:line="360" w:lineRule="auto"/>
        <w:ind w:left="25" w:leftChars="12" w:firstLine="352" w:firstLineChars="147"/>
        <w:contextualSpacing/>
        <w:rPr>
          <w:rFonts w:hAnsi="宋体"/>
          <w:bCs/>
          <w:sz w:val="24"/>
          <w:szCs w:val="24"/>
          <w:u w:val="single"/>
        </w:rPr>
      </w:pPr>
      <w:r>
        <w:rPr>
          <w:rFonts w:hint="eastAsia" w:hAnsi="宋体"/>
          <w:sz w:val="24"/>
          <w:szCs w:val="24"/>
        </w:rPr>
        <w:t xml:space="preserve">□成交结果   </w:t>
      </w:r>
    </w:p>
    <w:p>
      <w:pPr>
        <w:pStyle w:val="26"/>
        <w:spacing w:line="360" w:lineRule="auto"/>
        <w:ind w:left="25" w:leftChars="12" w:firstLine="472" w:firstLineChars="196"/>
        <w:contextualSpacing/>
        <w:rPr>
          <w:rFonts w:hAnsi="宋体"/>
          <w:b/>
          <w:sz w:val="24"/>
          <w:szCs w:val="24"/>
        </w:rPr>
      </w:pPr>
      <w:r>
        <w:rPr>
          <w:rFonts w:hint="eastAsia" w:hAnsi="宋体"/>
          <w:b/>
          <w:sz w:val="24"/>
          <w:szCs w:val="24"/>
        </w:rPr>
        <w:t>三、质疑事项具体内容</w:t>
      </w:r>
    </w:p>
    <w:p>
      <w:pPr>
        <w:pStyle w:val="26"/>
        <w:spacing w:line="360" w:lineRule="auto"/>
        <w:ind w:left="25" w:leftChars="12" w:firstLine="472" w:firstLineChars="197"/>
        <w:contextualSpacing/>
        <w:rPr>
          <w:rFonts w:hAnsi="宋体"/>
          <w:sz w:val="24"/>
          <w:szCs w:val="24"/>
        </w:rPr>
      </w:pPr>
      <w:r>
        <w:rPr>
          <w:rFonts w:hint="eastAsia" w:hAnsi="宋体"/>
          <w:sz w:val="24"/>
          <w:szCs w:val="24"/>
        </w:rPr>
        <w:t>质疑事项1：</w:t>
      </w:r>
      <w:r>
        <w:rPr>
          <w:rFonts w:hint="eastAsia" w:hAnsi="宋体"/>
          <w:bCs/>
          <w:sz w:val="24"/>
          <w:szCs w:val="24"/>
          <w:u w:val="single"/>
        </w:rPr>
        <w:t xml:space="preserve">                                                                    </w:t>
      </w:r>
    </w:p>
    <w:p>
      <w:pPr>
        <w:pStyle w:val="26"/>
        <w:spacing w:line="360" w:lineRule="auto"/>
        <w:ind w:left="25" w:leftChars="12" w:firstLine="472" w:firstLineChars="197"/>
        <w:contextualSpacing/>
        <w:rPr>
          <w:rFonts w:hAnsi="宋体"/>
          <w:sz w:val="24"/>
          <w:szCs w:val="24"/>
        </w:rPr>
      </w:pPr>
      <w:r>
        <w:rPr>
          <w:rFonts w:hint="eastAsia" w:hAnsi="宋体"/>
          <w:sz w:val="24"/>
          <w:szCs w:val="24"/>
        </w:rPr>
        <w:t>事实依据：</w:t>
      </w:r>
      <w:r>
        <w:rPr>
          <w:rFonts w:hint="eastAsia" w:hAnsi="宋体"/>
          <w:bCs/>
          <w:sz w:val="24"/>
          <w:szCs w:val="24"/>
          <w:u w:val="single"/>
        </w:rPr>
        <w:t xml:space="preserve">                                                                      </w:t>
      </w:r>
    </w:p>
    <w:p>
      <w:pPr>
        <w:pStyle w:val="26"/>
        <w:spacing w:line="360" w:lineRule="auto"/>
        <w:ind w:left="25" w:leftChars="12" w:firstLine="472" w:firstLineChars="197"/>
        <w:contextualSpacing/>
        <w:rPr>
          <w:rFonts w:hAnsi="宋体"/>
          <w:sz w:val="24"/>
          <w:szCs w:val="24"/>
        </w:rPr>
      </w:pPr>
      <w:r>
        <w:rPr>
          <w:rFonts w:hint="eastAsia" w:hAnsi="宋体"/>
          <w:sz w:val="24"/>
          <w:szCs w:val="24"/>
        </w:rPr>
        <w:t>法律依据：</w:t>
      </w:r>
      <w:r>
        <w:rPr>
          <w:rFonts w:hint="eastAsia" w:hAnsi="宋体"/>
          <w:sz w:val="24"/>
          <w:szCs w:val="24"/>
          <w:u w:val="single"/>
        </w:rPr>
        <w:t xml:space="preserve">                                                        </w:t>
      </w:r>
      <w:r>
        <w:rPr>
          <w:rFonts w:hint="eastAsia" w:hAnsi="宋体"/>
          <w:bCs/>
          <w:sz w:val="24"/>
          <w:szCs w:val="24"/>
          <w:u w:val="single"/>
        </w:rPr>
        <w:t xml:space="preserve">               </w:t>
      </w:r>
    </w:p>
    <w:p>
      <w:pPr>
        <w:pStyle w:val="26"/>
        <w:spacing w:line="360" w:lineRule="auto"/>
        <w:ind w:left="25" w:leftChars="12" w:firstLine="472" w:firstLineChars="197"/>
        <w:contextualSpacing/>
        <w:rPr>
          <w:rFonts w:hAnsi="宋体"/>
          <w:sz w:val="24"/>
          <w:szCs w:val="24"/>
        </w:rPr>
      </w:pPr>
      <w:r>
        <w:rPr>
          <w:rFonts w:hint="eastAsia" w:hAnsi="宋体"/>
          <w:sz w:val="24"/>
          <w:szCs w:val="24"/>
        </w:rPr>
        <w:t>质疑事项2</w:t>
      </w:r>
    </w:p>
    <w:p>
      <w:pPr>
        <w:pStyle w:val="26"/>
        <w:spacing w:line="360" w:lineRule="auto"/>
        <w:ind w:left="25" w:leftChars="12" w:firstLine="472" w:firstLineChars="197"/>
        <w:contextualSpacing/>
        <w:rPr>
          <w:rFonts w:hAnsi="宋体"/>
          <w:sz w:val="24"/>
          <w:szCs w:val="24"/>
        </w:rPr>
      </w:pPr>
      <w:r>
        <w:rPr>
          <w:rFonts w:hAnsi="宋体"/>
          <w:sz w:val="24"/>
          <w:szCs w:val="24"/>
        </w:rPr>
        <w:t>……</w:t>
      </w:r>
    </w:p>
    <w:p>
      <w:pPr>
        <w:pStyle w:val="26"/>
        <w:spacing w:line="360" w:lineRule="auto"/>
        <w:ind w:left="25" w:leftChars="12" w:firstLine="472" w:firstLineChars="197"/>
        <w:contextualSpacing/>
        <w:rPr>
          <w:rFonts w:hAnsi="宋体"/>
          <w:sz w:val="24"/>
          <w:szCs w:val="24"/>
        </w:rPr>
      </w:pPr>
      <w:r>
        <w:rPr>
          <w:rFonts w:hint="eastAsia" w:hAnsi="宋体"/>
          <w:sz w:val="24"/>
          <w:szCs w:val="24"/>
        </w:rPr>
        <w:t>四、与质疑事项相关的质疑请求：</w:t>
      </w:r>
    </w:p>
    <w:p>
      <w:pPr>
        <w:pStyle w:val="26"/>
        <w:spacing w:line="360" w:lineRule="auto"/>
        <w:ind w:left="25" w:leftChars="12" w:firstLine="472" w:firstLineChars="197"/>
        <w:contextualSpacing/>
        <w:rPr>
          <w:rFonts w:hAnsi="宋体"/>
          <w:sz w:val="24"/>
          <w:szCs w:val="24"/>
        </w:rPr>
      </w:pPr>
      <w:r>
        <w:rPr>
          <w:rFonts w:hint="eastAsia" w:hAnsi="宋体"/>
          <w:sz w:val="24"/>
          <w:szCs w:val="24"/>
        </w:rPr>
        <w:t>请求：</w:t>
      </w:r>
      <w:r>
        <w:rPr>
          <w:rFonts w:hint="eastAsia" w:hAnsi="宋体"/>
          <w:bCs/>
          <w:sz w:val="24"/>
          <w:szCs w:val="24"/>
          <w:u w:val="single"/>
        </w:rPr>
        <w:t xml:space="preserve">                                                                </w:t>
      </w:r>
    </w:p>
    <w:p>
      <w:pPr>
        <w:pStyle w:val="26"/>
        <w:spacing w:line="360" w:lineRule="auto"/>
        <w:ind w:left="25" w:leftChars="12" w:firstLine="352" w:firstLineChars="147"/>
        <w:contextualSpacing/>
        <w:rPr>
          <w:rFonts w:hAnsi="宋体"/>
          <w:sz w:val="24"/>
          <w:szCs w:val="24"/>
        </w:rPr>
      </w:pPr>
    </w:p>
    <w:p>
      <w:pPr>
        <w:pStyle w:val="26"/>
        <w:spacing w:line="360" w:lineRule="auto"/>
        <w:ind w:left="25" w:leftChars="12" w:firstLine="472" w:firstLineChars="197"/>
        <w:contextualSpacing/>
        <w:rPr>
          <w:rFonts w:hAnsi="宋体"/>
          <w:sz w:val="24"/>
          <w:szCs w:val="24"/>
        </w:rPr>
      </w:pPr>
      <w:r>
        <w:rPr>
          <w:rFonts w:hint="eastAsia" w:hAnsi="宋体"/>
          <w:sz w:val="24"/>
          <w:szCs w:val="24"/>
        </w:rPr>
        <w:t>签字（签章）：                                       公章：</w:t>
      </w:r>
    </w:p>
    <w:p>
      <w:pPr>
        <w:pStyle w:val="26"/>
        <w:spacing w:line="360" w:lineRule="auto"/>
        <w:ind w:left="25" w:leftChars="12" w:firstLine="352" w:firstLineChars="147"/>
        <w:contextualSpacing/>
        <w:rPr>
          <w:rFonts w:hAnsi="宋体"/>
          <w:sz w:val="24"/>
          <w:szCs w:val="24"/>
        </w:rPr>
      </w:pPr>
    </w:p>
    <w:p>
      <w:pPr>
        <w:pStyle w:val="26"/>
        <w:spacing w:line="360" w:lineRule="auto"/>
        <w:ind w:left="25" w:leftChars="12" w:firstLine="472" w:firstLineChars="197"/>
        <w:contextualSpacing/>
        <w:rPr>
          <w:rFonts w:hAnsi="宋体"/>
          <w:sz w:val="24"/>
          <w:szCs w:val="24"/>
        </w:rPr>
      </w:pPr>
      <w:r>
        <w:rPr>
          <w:rFonts w:hint="eastAsia" w:hAnsi="宋体"/>
          <w:sz w:val="24"/>
          <w:szCs w:val="24"/>
        </w:rPr>
        <w:t>日期：</w:t>
      </w:r>
    </w:p>
    <w:p>
      <w:pPr>
        <w:pStyle w:val="26"/>
        <w:spacing w:line="360" w:lineRule="auto"/>
        <w:contextualSpacing/>
        <w:rPr>
          <w:rFonts w:hAnsi="宋体"/>
          <w:b/>
          <w:sz w:val="24"/>
          <w:szCs w:val="24"/>
        </w:rPr>
      </w:pPr>
      <w:r>
        <w:rPr>
          <w:rFonts w:hint="eastAsia" w:hAnsi="宋体"/>
          <w:b/>
          <w:sz w:val="24"/>
          <w:szCs w:val="24"/>
        </w:rPr>
        <w:t>说明：</w:t>
      </w:r>
    </w:p>
    <w:p>
      <w:pPr>
        <w:pStyle w:val="26"/>
        <w:spacing w:line="360" w:lineRule="auto"/>
        <w:ind w:left="25" w:leftChars="12" w:firstLine="354" w:firstLineChars="147"/>
        <w:contextualSpacing/>
        <w:rPr>
          <w:rFonts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pPr>
        <w:pStyle w:val="26"/>
        <w:spacing w:line="360" w:lineRule="auto"/>
        <w:ind w:left="25" w:leftChars="12" w:firstLine="354" w:firstLineChars="147"/>
        <w:contextualSpacing/>
        <w:rPr>
          <w:rFonts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6"/>
        <w:spacing w:line="360" w:lineRule="auto"/>
        <w:ind w:left="25" w:leftChars="12" w:firstLine="354" w:firstLineChars="147"/>
        <w:contextualSpacing/>
        <w:rPr>
          <w:rFonts w:hAnsi="宋体"/>
          <w:b/>
          <w:sz w:val="24"/>
          <w:szCs w:val="24"/>
        </w:rPr>
      </w:pPr>
      <w:r>
        <w:rPr>
          <w:rFonts w:hint="eastAsia" w:hAnsi="宋体"/>
          <w:b/>
          <w:sz w:val="24"/>
          <w:szCs w:val="24"/>
        </w:rPr>
        <w:t>3.质疑函的质疑事项应具体、明确，并有必要的事实依据和法律依据。</w:t>
      </w:r>
    </w:p>
    <w:p>
      <w:pPr>
        <w:pStyle w:val="26"/>
        <w:spacing w:line="360" w:lineRule="auto"/>
        <w:ind w:left="25" w:leftChars="12" w:firstLine="354" w:firstLineChars="147"/>
        <w:contextualSpacing/>
        <w:rPr>
          <w:rFonts w:hAnsi="宋体"/>
          <w:b/>
          <w:sz w:val="24"/>
          <w:szCs w:val="24"/>
        </w:rPr>
      </w:pPr>
      <w:r>
        <w:rPr>
          <w:rFonts w:hint="eastAsia" w:hAnsi="宋体"/>
          <w:b/>
          <w:sz w:val="24"/>
          <w:szCs w:val="24"/>
        </w:rPr>
        <w:t>4.质疑函的质疑请求应与质疑事项相关。</w:t>
      </w:r>
    </w:p>
    <w:p>
      <w:pPr>
        <w:pStyle w:val="26"/>
        <w:spacing w:line="360" w:lineRule="auto"/>
        <w:ind w:left="25" w:leftChars="12" w:firstLine="354" w:firstLineChars="147"/>
        <w:contextualSpacing/>
        <w:rPr>
          <w:rFonts w:hAnsi="宋体"/>
          <w:b/>
        </w:rPr>
      </w:pPr>
      <w:r>
        <w:rPr>
          <w:rFonts w:hint="eastAsia" w:hAnsi="宋体"/>
          <w:b/>
          <w:sz w:val="24"/>
          <w:szCs w:val="24"/>
        </w:rPr>
        <w:t>5.质疑供应商为法人或者其他组织的，质疑函应由法定代表人、主要负责人，或者其授权代表签字或者盖章，并加盖公章。</w:t>
      </w:r>
    </w:p>
    <w:p>
      <w:pPr>
        <w:pStyle w:val="26"/>
        <w:snapToGrid w:val="0"/>
        <w:rPr>
          <w:b/>
          <w:sz w:val="24"/>
          <w:szCs w:val="24"/>
        </w:rPr>
      </w:pPr>
    </w:p>
    <w:p>
      <w:pPr>
        <w:spacing w:line="460" w:lineRule="exact"/>
        <w:jc w:val="center"/>
        <w:rPr>
          <w:rFonts w:eastAsia="隶书"/>
          <w:sz w:val="44"/>
        </w:rPr>
      </w:pPr>
      <w:r>
        <w:rPr>
          <w:rFonts w:eastAsia="隶书"/>
          <w:sz w:val="44"/>
        </w:rPr>
        <w:br w:type="page"/>
      </w:r>
    </w:p>
    <w:p>
      <w:pPr>
        <w:spacing w:line="360" w:lineRule="auto"/>
        <w:jc w:val="center"/>
        <w:rPr>
          <w:rFonts w:ascii="宋体" w:hAnsi="宋体"/>
          <w:b/>
          <w:bCs/>
          <w:sz w:val="32"/>
          <w:szCs w:val="32"/>
        </w:rPr>
      </w:pPr>
      <w:r>
        <w:rPr>
          <w:rFonts w:hint="eastAsia" w:ascii="宋体" w:hAnsi="宋体"/>
          <w:b/>
          <w:bCs/>
          <w:sz w:val="32"/>
          <w:szCs w:val="32"/>
        </w:rPr>
        <w:t>投诉书（格式）</w:t>
      </w:r>
    </w:p>
    <w:p>
      <w:pPr>
        <w:pStyle w:val="26"/>
        <w:snapToGrid w:val="0"/>
        <w:spacing w:line="360" w:lineRule="auto"/>
        <w:ind w:firstLine="482" w:firstLineChars="200"/>
        <w:rPr>
          <w:rFonts w:hAnsi="宋体"/>
          <w:b/>
          <w:bCs/>
          <w:sz w:val="24"/>
          <w:szCs w:val="24"/>
        </w:rPr>
      </w:pPr>
      <w:r>
        <w:rPr>
          <w:rFonts w:hint="eastAsia" w:hAnsi="宋体"/>
          <w:b/>
          <w:bCs/>
          <w:sz w:val="24"/>
          <w:szCs w:val="24"/>
        </w:rPr>
        <w:t>一、投诉相关主体基本情况：</w:t>
      </w:r>
    </w:p>
    <w:p>
      <w:pPr>
        <w:pStyle w:val="26"/>
        <w:snapToGrid w:val="0"/>
        <w:spacing w:line="360" w:lineRule="auto"/>
        <w:ind w:firstLine="480" w:firstLineChars="200"/>
        <w:rPr>
          <w:rFonts w:hAnsi="宋体"/>
          <w:bCs/>
          <w:sz w:val="24"/>
          <w:szCs w:val="24"/>
          <w:u w:val="single"/>
        </w:rPr>
      </w:pPr>
      <w:r>
        <w:rPr>
          <w:rFonts w:hint="eastAsia" w:hAnsi="宋体"/>
          <w:bCs/>
          <w:sz w:val="24"/>
          <w:szCs w:val="24"/>
        </w:rPr>
        <w:t>供应商：</w:t>
      </w:r>
      <w:r>
        <w:rPr>
          <w:rFonts w:hint="eastAsia" w:hAnsi="宋体"/>
          <w:bCs/>
          <w:sz w:val="24"/>
          <w:szCs w:val="24"/>
          <w:u w:val="single"/>
        </w:rPr>
        <w:t xml:space="preserve">                                                                        </w:t>
      </w:r>
      <w:r>
        <w:rPr>
          <w:rFonts w:hint="eastAsia" w:hAnsi="宋体"/>
          <w:bCs/>
          <w:sz w:val="24"/>
          <w:szCs w:val="24"/>
        </w:rPr>
        <w:t xml:space="preserve">                 </w:t>
      </w:r>
    </w:p>
    <w:p>
      <w:pPr>
        <w:pStyle w:val="26"/>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pPr>
        <w:pStyle w:val="26"/>
        <w:snapToGrid w:val="0"/>
        <w:spacing w:line="360" w:lineRule="auto"/>
        <w:ind w:firstLine="480" w:firstLineChars="200"/>
        <w:rPr>
          <w:rFonts w:hAnsi="宋体"/>
          <w:bCs/>
          <w:sz w:val="24"/>
          <w:szCs w:val="24"/>
          <w:u w:val="single"/>
        </w:rPr>
      </w:pPr>
      <w:r>
        <w:rPr>
          <w:rFonts w:hint="eastAsia" w:hAnsi="宋体"/>
          <w:bCs/>
          <w:sz w:val="24"/>
          <w:szCs w:val="24"/>
        </w:rPr>
        <w:t>法定代表人/主要负责人：</w:t>
      </w:r>
      <w:r>
        <w:rPr>
          <w:rFonts w:hint="eastAsia" w:hAnsi="宋体"/>
          <w:bCs/>
          <w:sz w:val="24"/>
          <w:szCs w:val="24"/>
          <w:u w:val="single"/>
        </w:rPr>
        <w:t xml:space="preserve">                                                         </w:t>
      </w:r>
    </w:p>
    <w:p>
      <w:pPr>
        <w:pStyle w:val="26"/>
        <w:snapToGrid w:val="0"/>
        <w:spacing w:line="360" w:lineRule="auto"/>
        <w:ind w:firstLine="480" w:firstLineChars="200"/>
        <w:rPr>
          <w:rFonts w:hAnsi="宋体"/>
          <w:bCs/>
          <w:sz w:val="24"/>
          <w:szCs w:val="24"/>
        </w:rPr>
      </w:pP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pPr>
        <w:pStyle w:val="26"/>
        <w:snapToGrid w:val="0"/>
        <w:spacing w:line="360" w:lineRule="auto"/>
        <w:ind w:firstLine="480" w:firstLineChars="200"/>
        <w:rPr>
          <w:rFonts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pPr>
        <w:pStyle w:val="26"/>
        <w:snapToGrid w:val="0"/>
        <w:spacing w:line="360" w:lineRule="auto"/>
        <w:ind w:firstLine="480" w:firstLineChars="200"/>
        <w:rPr>
          <w:rFonts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p>
    <w:p>
      <w:pPr>
        <w:pStyle w:val="26"/>
        <w:snapToGrid w:val="0"/>
        <w:spacing w:line="360" w:lineRule="auto"/>
        <w:ind w:firstLine="480" w:firstLineChars="200"/>
        <w:rPr>
          <w:rFonts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pPr>
        <w:pStyle w:val="26"/>
        <w:snapToGrid w:val="0"/>
        <w:spacing w:line="360" w:lineRule="auto"/>
        <w:ind w:firstLine="480" w:firstLineChars="200"/>
        <w:rPr>
          <w:rFonts w:hAnsi="宋体"/>
          <w:bCs/>
          <w:sz w:val="24"/>
          <w:szCs w:val="24"/>
        </w:rPr>
      </w:pPr>
      <w:r>
        <w:rPr>
          <w:rFonts w:hint="eastAsia" w:hAnsi="宋体"/>
          <w:bCs/>
          <w:sz w:val="24"/>
          <w:szCs w:val="24"/>
        </w:rPr>
        <w:t>被投诉人1：</w:t>
      </w:r>
    </w:p>
    <w:p>
      <w:pPr>
        <w:pStyle w:val="26"/>
        <w:snapToGrid w:val="0"/>
        <w:spacing w:line="360" w:lineRule="auto"/>
        <w:ind w:firstLine="480" w:firstLineChars="200"/>
        <w:rPr>
          <w:rFonts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pPr>
        <w:pStyle w:val="26"/>
        <w:snapToGrid w:val="0"/>
        <w:spacing w:line="360" w:lineRule="auto"/>
        <w:ind w:firstLine="480" w:firstLineChars="200"/>
        <w:rPr>
          <w:rFonts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pPr>
        <w:pStyle w:val="26"/>
        <w:snapToGrid w:val="0"/>
        <w:spacing w:line="360" w:lineRule="auto"/>
        <w:ind w:firstLine="480" w:firstLineChars="200"/>
        <w:rPr>
          <w:rFonts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pPr>
        <w:pStyle w:val="26"/>
        <w:snapToGrid w:val="0"/>
        <w:spacing w:line="360" w:lineRule="auto"/>
        <w:ind w:firstLine="480" w:firstLineChars="200"/>
        <w:rPr>
          <w:rFonts w:hAnsi="宋体"/>
          <w:bCs/>
          <w:sz w:val="24"/>
          <w:szCs w:val="24"/>
        </w:rPr>
      </w:pPr>
      <w:r>
        <w:rPr>
          <w:rFonts w:hint="eastAsia" w:hAnsi="宋体"/>
          <w:bCs/>
          <w:sz w:val="24"/>
          <w:szCs w:val="24"/>
        </w:rPr>
        <w:t>被投诉人2：</w:t>
      </w:r>
    </w:p>
    <w:p>
      <w:pPr>
        <w:pStyle w:val="26"/>
        <w:snapToGrid w:val="0"/>
        <w:spacing w:line="360" w:lineRule="auto"/>
        <w:ind w:firstLine="480" w:firstLineChars="200"/>
        <w:rPr>
          <w:rFonts w:hAnsi="宋体"/>
          <w:bCs/>
          <w:sz w:val="24"/>
          <w:szCs w:val="24"/>
        </w:rPr>
      </w:pPr>
      <w:r>
        <w:rPr>
          <w:rFonts w:hAnsi="宋体"/>
          <w:bCs/>
          <w:sz w:val="24"/>
          <w:szCs w:val="24"/>
        </w:rPr>
        <w:t>……</w:t>
      </w:r>
    </w:p>
    <w:p>
      <w:pPr>
        <w:pStyle w:val="26"/>
        <w:snapToGrid w:val="0"/>
        <w:spacing w:line="360" w:lineRule="auto"/>
        <w:ind w:firstLine="480" w:firstLineChars="200"/>
        <w:rPr>
          <w:rFonts w:hAnsi="宋体"/>
          <w:bCs/>
          <w:sz w:val="24"/>
          <w:szCs w:val="24"/>
          <w:u w:val="single"/>
        </w:rPr>
      </w:pPr>
      <w:r>
        <w:rPr>
          <w:rFonts w:hint="eastAsia" w:hAnsi="宋体"/>
          <w:bCs/>
          <w:sz w:val="24"/>
          <w:szCs w:val="24"/>
        </w:rPr>
        <w:t>相关供应商：</w:t>
      </w:r>
      <w:r>
        <w:rPr>
          <w:rFonts w:hint="eastAsia" w:hAnsi="宋体"/>
          <w:bCs/>
          <w:sz w:val="24"/>
          <w:szCs w:val="24"/>
          <w:u w:val="single"/>
        </w:rPr>
        <w:t xml:space="preserve">                                                                       </w:t>
      </w:r>
    </w:p>
    <w:p>
      <w:pPr>
        <w:pStyle w:val="26"/>
        <w:snapToGrid w:val="0"/>
        <w:spacing w:line="360" w:lineRule="auto"/>
        <w:ind w:firstLine="480" w:firstLineChars="200"/>
        <w:rPr>
          <w:rFonts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p>
    <w:p>
      <w:pPr>
        <w:pStyle w:val="26"/>
        <w:snapToGrid w:val="0"/>
        <w:spacing w:line="360" w:lineRule="auto"/>
        <w:ind w:firstLine="480" w:firstLineChars="200"/>
        <w:rPr>
          <w:rFonts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r>
        <w:rPr>
          <w:rFonts w:hint="eastAsia" w:hAnsi="宋体"/>
          <w:bCs/>
          <w:sz w:val="24"/>
          <w:szCs w:val="24"/>
        </w:rPr>
        <w:t xml:space="preserve">                </w:t>
      </w:r>
    </w:p>
    <w:p>
      <w:pPr>
        <w:pStyle w:val="26"/>
        <w:snapToGrid w:val="0"/>
        <w:spacing w:line="360" w:lineRule="auto"/>
        <w:ind w:firstLine="482" w:firstLineChars="200"/>
        <w:rPr>
          <w:rFonts w:hAnsi="宋体"/>
          <w:b/>
          <w:bCs/>
          <w:sz w:val="24"/>
          <w:szCs w:val="24"/>
        </w:rPr>
      </w:pPr>
      <w:r>
        <w:rPr>
          <w:rFonts w:hint="eastAsia" w:hAnsi="宋体"/>
          <w:b/>
          <w:bCs/>
          <w:sz w:val="24"/>
          <w:szCs w:val="24"/>
        </w:rPr>
        <w:t>二、投诉项目基本情况：</w:t>
      </w:r>
    </w:p>
    <w:p>
      <w:pPr>
        <w:pStyle w:val="26"/>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项目的名称：</w:t>
      </w:r>
      <w:r>
        <w:rPr>
          <w:rFonts w:hint="eastAsia" w:hAnsi="宋体"/>
          <w:bCs/>
          <w:sz w:val="24"/>
          <w:szCs w:val="24"/>
          <w:u w:val="single"/>
        </w:rPr>
        <w:t xml:space="preserve">                                                                   </w:t>
      </w:r>
    </w:p>
    <w:p>
      <w:pPr>
        <w:pStyle w:val="26"/>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项目的编号：</w:t>
      </w:r>
      <w:r>
        <w:rPr>
          <w:rFonts w:hint="eastAsia" w:hAnsi="宋体"/>
          <w:bCs/>
          <w:sz w:val="24"/>
          <w:szCs w:val="24"/>
          <w:u w:val="single"/>
        </w:rPr>
        <w:t xml:space="preserve">                                          </w:t>
      </w:r>
    </w:p>
    <w:p>
      <w:pPr>
        <w:pStyle w:val="26"/>
        <w:spacing w:line="360" w:lineRule="auto"/>
        <w:ind w:left="25" w:leftChars="12" w:firstLine="472" w:firstLineChars="197"/>
        <w:rPr>
          <w:rFonts w:hAnsi="宋体"/>
          <w:bCs/>
          <w:sz w:val="24"/>
          <w:szCs w:val="24"/>
          <w:u w:val="single"/>
        </w:rPr>
      </w:pPr>
      <w:r>
        <w:rPr>
          <w:rFonts w:hint="eastAsia" w:hAnsi="宋体"/>
          <w:sz w:val="24"/>
          <w:szCs w:val="24"/>
        </w:rPr>
        <w:t>采购人名称：</w:t>
      </w:r>
      <w:r>
        <w:rPr>
          <w:rFonts w:hint="eastAsia" w:hAnsi="宋体"/>
          <w:bCs/>
          <w:sz w:val="24"/>
          <w:szCs w:val="24"/>
          <w:u w:val="single"/>
        </w:rPr>
        <w:t xml:space="preserve">                                                                        </w:t>
      </w:r>
    </w:p>
    <w:p>
      <w:pPr>
        <w:pStyle w:val="26"/>
        <w:spacing w:line="360" w:lineRule="auto"/>
        <w:ind w:left="25" w:leftChars="12" w:firstLine="472" w:firstLineChars="197"/>
        <w:rPr>
          <w:rFonts w:hAnsi="宋体"/>
          <w:bCs/>
          <w:sz w:val="24"/>
          <w:szCs w:val="24"/>
          <w:u w:val="single"/>
        </w:rPr>
      </w:pPr>
      <w:r>
        <w:rPr>
          <w:rFonts w:hint="eastAsia" w:hAnsi="宋体"/>
          <w:sz w:val="24"/>
          <w:szCs w:val="24"/>
        </w:rPr>
        <w:t>代理机构名称：</w:t>
      </w:r>
      <w:r>
        <w:rPr>
          <w:rFonts w:hint="eastAsia" w:hAnsi="宋体"/>
          <w:bCs/>
          <w:sz w:val="24"/>
          <w:szCs w:val="24"/>
          <w:u w:val="single"/>
        </w:rPr>
        <w:t xml:space="preserve">                                                                      </w:t>
      </w:r>
    </w:p>
    <w:p>
      <w:pPr>
        <w:pStyle w:val="26"/>
        <w:spacing w:line="360" w:lineRule="auto"/>
        <w:ind w:left="25" w:leftChars="12" w:firstLine="472" w:firstLineChars="197"/>
        <w:rPr>
          <w:rFonts w:hAnsi="宋体"/>
          <w:bCs/>
          <w:sz w:val="24"/>
          <w:szCs w:val="24"/>
          <w:u w:val="single"/>
        </w:rPr>
      </w:pPr>
      <w:r>
        <w:rPr>
          <w:rFonts w:hint="eastAsia" w:hAnsi="宋体"/>
          <w:bCs/>
          <w:sz w:val="24"/>
          <w:szCs w:val="24"/>
        </w:rPr>
        <w:t>招标文件公告：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pPr>
        <w:pStyle w:val="26"/>
        <w:spacing w:line="360" w:lineRule="auto"/>
        <w:ind w:left="25" w:leftChars="12" w:firstLine="472" w:firstLineChars="197"/>
        <w:rPr>
          <w:rFonts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pPr>
        <w:pStyle w:val="26"/>
        <w:spacing w:line="360" w:lineRule="auto"/>
        <w:ind w:left="25" w:leftChars="12" w:firstLine="472" w:firstLineChars="196"/>
        <w:rPr>
          <w:rFonts w:hAnsi="宋体"/>
          <w:b/>
          <w:sz w:val="24"/>
          <w:szCs w:val="24"/>
        </w:rPr>
      </w:pPr>
      <w:r>
        <w:rPr>
          <w:rFonts w:hint="eastAsia" w:hAnsi="宋体"/>
          <w:b/>
          <w:sz w:val="24"/>
          <w:szCs w:val="24"/>
        </w:rPr>
        <w:t>三、质疑基本情况</w:t>
      </w:r>
    </w:p>
    <w:p>
      <w:pPr>
        <w:pStyle w:val="26"/>
        <w:spacing w:line="360" w:lineRule="auto"/>
        <w:ind w:firstLine="480" w:firstLineChars="200"/>
        <w:rPr>
          <w:rFonts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pPr>
        <w:pStyle w:val="26"/>
        <w:spacing w:line="360" w:lineRule="auto"/>
        <w:ind w:firstLine="241"/>
        <w:rPr>
          <w:rFonts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pPr>
        <w:pStyle w:val="26"/>
        <w:spacing w:line="360" w:lineRule="auto"/>
        <w:ind w:firstLine="241"/>
        <w:rPr>
          <w:rFonts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pPr>
        <w:pStyle w:val="26"/>
        <w:spacing w:line="360" w:lineRule="auto"/>
        <w:ind w:firstLine="480" w:firstLineChars="200"/>
        <w:rPr>
          <w:rFonts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pPr>
        <w:pStyle w:val="26"/>
        <w:spacing w:line="360" w:lineRule="auto"/>
        <w:ind w:left="25" w:leftChars="12" w:firstLine="472" w:firstLineChars="196"/>
        <w:rPr>
          <w:rFonts w:hAnsi="宋体"/>
          <w:b/>
          <w:sz w:val="24"/>
          <w:szCs w:val="24"/>
        </w:rPr>
      </w:pPr>
      <w:r>
        <w:rPr>
          <w:rFonts w:hint="eastAsia" w:hAnsi="宋体"/>
          <w:b/>
          <w:sz w:val="24"/>
          <w:szCs w:val="24"/>
        </w:rPr>
        <w:t>四、投诉事项具体内容</w:t>
      </w:r>
    </w:p>
    <w:p>
      <w:pPr>
        <w:pStyle w:val="26"/>
        <w:spacing w:line="360" w:lineRule="auto"/>
        <w:ind w:left="25" w:leftChars="12" w:firstLine="472" w:firstLineChars="197"/>
        <w:rPr>
          <w:rFonts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pPr>
        <w:pStyle w:val="26"/>
        <w:spacing w:line="360" w:lineRule="auto"/>
        <w:ind w:firstLine="480" w:firstLineChars="200"/>
        <w:rPr>
          <w:rFonts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pPr>
        <w:pStyle w:val="26"/>
        <w:spacing w:line="360" w:lineRule="auto"/>
        <w:ind w:left="25" w:leftChars="12" w:firstLine="472" w:firstLineChars="197"/>
        <w:rPr>
          <w:rFonts w:hAnsi="宋体"/>
          <w:sz w:val="24"/>
          <w:szCs w:val="24"/>
        </w:rPr>
      </w:pPr>
      <w:r>
        <w:rPr>
          <w:rFonts w:hint="eastAsia" w:hAnsi="宋体"/>
          <w:bCs/>
          <w:sz w:val="24"/>
          <w:szCs w:val="24"/>
          <w:u w:val="single"/>
        </w:rPr>
        <w:t xml:space="preserve">                                                                                        </w:t>
      </w:r>
    </w:p>
    <w:p>
      <w:pPr>
        <w:pStyle w:val="26"/>
        <w:spacing w:line="360" w:lineRule="auto"/>
        <w:ind w:firstLine="480" w:firstLineChars="200"/>
        <w:rPr>
          <w:rFonts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pPr>
        <w:pStyle w:val="26"/>
        <w:spacing w:line="360" w:lineRule="auto"/>
        <w:ind w:left="25" w:leftChars="12" w:firstLine="352" w:firstLineChars="147"/>
        <w:rPr>
          <w:rFonts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pPr>
        <w:pStyle w:val="26"/>
        <w:spacing w:line="360" w:lineRule="auto"/>
        <w:ind w:left="25" w:leftChars="12" w:firstLine="472" w:firstLineChars="197"/>
        <w:rPr>
          <w:rFonts w:hAnsi="宋体"/>
          <w:bCs/>
          <w:sz w:val="24"/>
          <w:szCs w:val="24"/>
        </w:rPr>
      </w:pPr>
      <w:r>
        <w:rPr>
          <w:rFonts w:hint="eastAsia" w:hAnsi="宋体"/>
          <w:sz w:val="24"/>
          <w:szCs w:val="24"/>
        </w:rPr>
        <w:t xml:space="preserve">投诉事项2  </w:t>
      </w:r>
      <w:r>
        <w:rPr>
          <w:rFonts w:hint="eastAsia" w:hAnsi="宋体"/>
          <w:bCs/>
          <w:sz w:val="24"/>
          <w:szCs w:val="24"/>
        </w:rPr>
        <w:t xml:space="preserve">   </w:t>
      </w:r>
    </w:p>
    <w:p>
      <w:pPr>
        <w:pStyle w:val="26"/>
        <w:spacing w:line="360" w:lineRule="auto"/>
        <w:ind w:left="25" w:leftChars="12" w:firstLine="472" w:firstLineChars="197"/>
        <w:rPr>
          <w:rFonts w:hAnsi="宋体"/>
          <w:bCs/>
          <w:sz w:val="24"/>
          <w:szCs w:val="24"/>
        </w:rPr>
      </w:pPr>
      <w:r>
        <w:rPr>
          <w:rFonts w:hAnsi="宋体"/>
          <w:bCs/>
          <w:sz w:val="24"/>
          <w:szCs w:val="24"/>
        </w:rPr>
        <w:t>……</w:t>
      </w:r>
    </w:p>
    <w:p>
      <w:pPr>
        <w:pStyle w:val="26"/>
        <w:spacing w:line="360" w:lineRule="auto"/>
        <w:ind w:left="25" w:leftChars="12" w:firstLine="472" w:firstLineChars="196"/>
        <w:rPr>
          <w:rFonts w:hAnsi="宋体"/>
          <w:b/>
          <w:sz w:val="24"/>
          <w:szCs w:val="24"/>
        </w:rPr>
      </w:pPr>
      <w:r>
        <w:rPr>
          <w:rFonts w:hint="eastAsia" w:hAnsi="宋体"/>
          <w:b/>
          <w:sz w:val="24"/>
          <w:szCs w:val="24"/>
        </w:rPr>
        <w:t>五、与投诉事项相关的投诉请求：</w:t>
      </w:r>
    </w:p>
    <w:p>
      <w:pPr>
        <w:pStyle w:val="26"/>
        <w:spacing w:line="360" w:lineRule="auto"/>
        <w:ind w:left="25" w:leftChars="12" w:firstLine="472" w:firstLineChars="197"/>
        <w:rPr>
          <w:rFonts w:hAnsi="宋体"/>
          <w:sz w:val="24"/>
          <w:szCs w:val="24"/>
        </w:rPr>
      </w:pPr>
      <w:r>
        <w:rPr>
          <w:rFonts w:hint="eastAsia" w:hAnsi="宋体"/>
          <w:sz w:val="24"/>
          <w:szCs w:val="24"/>
        </w:rPr>
        <w:t>请求：</w:t>
      </w:r>
      <w:r>
        <w:rPr>
          <w:rFonts w:hint="eastAsia" w:hAnsi="宋体"/>
          <w:bCs/>
          <w:sz w:val="24"/>
          <w:szCs w:val="24"/>
          <w:u w:val="single"/>
        </w:rPr>
        <w:t xml:space="preserve">                                                                                 </w:t>
      </w:r>
    </w:p>
    <w:p>
      <w:pPr>
        <w:pStyle w:val="26"/>
        <w:spacing w:line="360" w:lineRule="auto"/>
        <w:ind w:left="25" w:leftChars="12" w:firstLine="352" w:firstLineChars="147"/>
        <w:rPr>
          <w:rFonts w:hAnsi="宋体"/>
          <w:sz w:val="24"/>
          <w:szCs w:val="24"/>
        </w:rPr>
      </w:pPr>
    </w:p>
    <w:p>
      <w:pPr>
        <w:pStyle w:val="26"/>
        <w:spacing w:line="360" w:lineRule="auto"/>
        <w:ind w:left="25" w:leftChars="12" w:firstLine="472" w:firstLineChars="197"/>
        <w:rPr>
          <w:rFonts w:hAnsi="宋体"/>
          <w:sz w:val="24"/>
          <w:szCs w:val="24"/>
        </w:rPr>
      </w:pPr>
      <w:r>
        <w:rPr>
          <w:rFonts w:hint="eastAsia" w:hAnsi="宋体"/>
          <w:sz w:val="24"/>
          <w:szCs w:val="24"/>
        </w:rPr>
        <w:t>签字（签章）：                                       公章：</w:t>
      </w:r>
    </w:p>
    <w:p>
      <w:pPr>
        <w:pStyle w:val="26"/>
        <w:spacing w:line="360" w:lineRule="auto"/>
        <w:ind w:left="25" w:leftChars="12" w:firstLine="352" w:firstLineChars="147"/>
        <w:rPr>
          <w:rFonts w:hAnsi="宋体"/>
          <w:sz w:val="24"/>
          <w:szCs w:val="24"/>
        </w:rPr>
      </w:pPr>
    </w:p>
    <w:p>
      <w:pPr>
        <w:pStyle w:val="26"/>
        <w:spacing w:line="360" w:lineRule="auto"/>
        <w:ind w:left="25" w:leftChars="12" w:firstLine="472" w:firstLineChars="197"/>
        <w:rPr>
          <w:rFonts w:hAnsi="宋体"/>
          <w:sz w:val="24"/>
          <w:szCs w:val="24"/>
        </w:rPr>
      </w:pPr>
      <w:r>
        <w:rPr>
          <w:rFonts w:hint="eastAsia" w:hAnsi="宋体"/>
          <w:sz w:val="24"/>
          <w:szCs w:val="24"/>
        </w:rPr>
        <w:t>日期：</w:t>
      </w:r>
    </w:p>
    <w:p>
      <w:pPr>
        <w:pStyle w:val="26"/>
        <w:spacing w:line="360" w:lineRule="auto"/>
        <w:ind w:left="25" w:leftChars="12" w:firstLine="472" w:firstLineChars="197"/>
        <w:rPr>
          <w:rFonts w:hAnsi="宋体"/>
          <w:sz w:val="24"/>
          <w:szCs w:val="24"/>
        </w:rPr>
      </w:pPr>
      <w:r>
        <w:rPr>
          <w:rFonts w:hint="eastAsia" w:hAnsi="宋体"/>
          <w:bCs/>
          <w:sz w:val="24"/>
          <w:szCs w:val="24"/>
        </w:rPr>
        <w:t xml:space="preserve">                                                                                 </w:t>
      </w:r>
    </w:p>
    <w:p>
      <w:pPr>
        <w:pStyle w:val="26"/>
        <w:snapToGrid w:val="0"/>
        <w:spacing w:line="360" w:lineRule="auto"/>
        <w:rPr>
          <w:rFonts w:hAnsi="宋体"/>
          <w:b/>
          <w:sz w:val="24"/>
          <w:szCs w:val="24"/>
        </w:rPr>
      </w:pPr>
    </w:p>
    <w:p>
      <w:pPr>
        <w:pStyle w:val="26"/>
        <w:snapToGrid w:val="0"/>
        <w:spacing w:line="360" w:lineRule="auto"/>
        <w:rPr>
          <w:rFonts w:hAnsi="宋体"/>
          <w:b/>
          <w:sz w:val="24"/>
          <w:szCs w:val="24"/>
        </w:rPr>
      </w:pPr>
      <w:r>
        <w:rPr>
          <w:rFonts w:hint="eastAsia" w:hAnsi="宋体"/>
          <w:b/>
          <w:sz w:val="24"/>
          <w:szCs w:val="24"/>
        </w:rPr>
        <w:t>说明：</w:t>
      </w:r>
    </w:p>
    <w:p>
      <w:pPr>
        <w:pStyle w:val="26"/>
        <w:spacing w:line="360" w:lineRule="auto"/>
        <w:ind w:left="25" w:leftChars="12" w:firstLine="354" w:firstLineChars="147"/>
        <w:rPr>
          <w:rFonts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pPr>
        <w:pStyle w:val="26"/>
        <w:spacing w:line="360" w:lineRule="auto"/>
        <w:ind w:left="25" w:leftChars="12" w:firstLine="354" w:firstLineChars="147"/>
        <w:rPr>
          <w:rFonts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26"/>
        <w:spacing w:line="360" w:lineRule="auto"/>
        <w:ind w:left="25" w:leftChars="12" w:firstLine="354" w:firstLineChars="147"/>
        <w:rPr>
          <w:rFonts w:hAnsi="宋体"/>
          <w:b/>
          <w:sz w:val="24"/>
          <w:szCs w:val="24"/>
        </w:rPr>
      </w:pPr>
      <w:r>
        <w:rPr>
          <w:rFonts w:hint="eastAsia" w:hAnsi="宋体"/>
          <w:b/>
          <w:sz w:val="24"/>
          <w:szCs w:val="24"/>
        </w:rPr>
        <w:t>3.投诉书应简要列明质疑事项，质疑函、质疑答复等作为附件材料提供。</w:t>
      </w:r>
    </w:p>
    <w:p>
      <w:pPr>
        <w:pStyle w:val="26"/>
        <w:spacing w:line="360" w:lineRule="auto"/>
        <w:ind w:left="25" w:leftChars="12" w:firstLine="354" w:firstLineChars="147"/>
        <w:rPr>
          <w:rFonts w:hAnsi="宋体"/>
          <w:b/>
          <w:sz w:val="24"/>
          <w:szCs w:val="24"/>
        </w:rPr>
      </w:pPr>
      <w:r>
        <w:rPr>
          <w:rFonts w:hint="eastAsia" w:hAnsi="宋体"/>
          <w:b/>
          <w:sz w:val="24"/>
          <w:szCs w:val="24"/>
        </w:rPr>
        <w:t>4.投诉书的投诉事项应具体、明确，并有必要的事实依据和法律依据。</w:t>
      </w:r>
    </w:p>
    <w:p>
      <w:pPr>
        <w:pStyle w:val="26"/>
        <w:spacing w:line="360" w:lineRule="auto"/>
        <w:ind w:left="25" w:leftChars="12" w:firstLine="354" w:firstLineChars="147"/>
        <w:rPr>
          <w:rFonts w:hAnsi="宋体"/>
          <w:b/>
          <w:sz w:val="24"/>
          <w:szCs w:val="24"/>
        </w:rPr>
      </w:pPr>
      <w:r>
        <w:rPr>
          <w:rFonts w:hint="eastAsia" w:hAnsi="宋体"/>
          <w:b/>
          <w:sz w:val="24"/>
          <w:szCs w:val="24"/>
        </w:rPr>
        <w:t>5.投诉书的投诉请求应与投诉事项相关。</w:t>
      </w:r>
    </w:p>
    <w:p>
      <w:r>
        <w:rPr>
          <w:rFonts w:hint="eastAsia" w:hAnsi="宋体"/>
          <w:b/>
          <w:sz w:val="24"/>
          <w:szCs w:val="24"/>
        </w:rPr>
        <w:t>6.投诉人为法人或者其他组织的，投诉书应由法定代表人、主要负责人，或者其授权代表签字或者盖章，并加盖公章。</w:t>
      </w:r>
      <w:bookmarkEnd w:id="18"/>
      <w:bookmarkEnd w:id="2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理德小标宋简">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方正美黑简体">
    <w:altName w:val="黑体"/>
    <w:panose1 w:val="00000000000000000000"/>
    <w:charset w:val="86"/>
    <w:family w:val="script"/>
    <w:pitch w:val="default"/>
    <w:sig w:usb0="00000000" w:usb1="00000000" w:usb2="00000000" w:usb3="00000000" w:csb0="00040000" w:csb1="00000000"/>
  </w:font>
  <w:font w:name="汉仪魏碑简">
    <w:altName w:val="宋体"/>
    <w:panose1 w:val="00000000000000000000"/>
    <w:charset w:val="86"/>
    <w:family w:val="modern"/>
    <w:pitch w:val="default"/>
    <w:sig w:usb0="00000000" w:usb1="00000000" w:usb2="00000012"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script"/>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cs="Times New Roman"/>
      </w:rPr>
    </w:pPr>
    <w:r>
      <w:fldChar w:fldCharType="begin"/>
    </w:r>
    <w:r>
      <w:instrText xml:space="preserve"> PAGE   \* MERGEFORMAT </w:instrText>
    </w:r>
    <w:r>
      <w:fldChar w:fldCharType="separate"/>
    </w:r>
    <w:r>
      <w:rPr>
        <w:lang w:val="zh-CN"/>
      </w:rPr>
      <w:t>12</w:t>
    </w:r>
    <w:r>
      <w:rPr>
        <w:lang w:val="zh-CN"/>
      </w:rPr>
      <w:fldChar w:fldCharType="end"/>
    </w:r>
  </w:p>
  <w:p>
    <w:pPr>
      <w:pStyle w:val="31"/>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napToGrid w:val="0"/>
      <w:jc w:val="left"/>
      <w:rPr>
        <w:rStyle w:val="49"/>
        <w:kern w:val="0"/>
        <w:sz w:val="18"/>
        <w:szCs w:val="18"/>
      </w:rPr>
    </w:pPr>
    <w:r>
      <w:rPr>
        <w:rStyle w:val="49"/>
        <w:kern w:val="0"/>
        <w:sz w:val="18"/>
        <w:szCs w:val="18"/>
      </w:rPr>
      <w:fldChar w:fldCharType="begin"/>
    </w:r>
    <w:r>
      <w:rPr>
        <w:rStyle w:val="49"/>
        <w:kern w:val="0"/>
        <w:sz w:val="18"/>
        <w:szCs w:val="18"/>
      </w:rPr>
      <w:instrText xml:space="preserve">PAGE  </w:instrText>
    </w:r>
    <w:r>
      <w:rPr>
        <w:rStyle w:val="49"/>
        <w:kern w:val="0"/>
        <w:sz w:val="18"/>
        <w:szCs w:val="18"/>
      </w:rPr>
      <w:fldChar w:fldCharType="separate"/>
    </w:r>
    <w:r>
      <w:rPr>
        <w:rStyle w:val="49"/>
        <w:kern w:val="0"/>
        <w:sz w:val="18"/>
        <w:szCs w:val="18"/>
      </w:rPr>
      <w:t>78</w:t>
    </w:r>
    <w:r>
      <w:rPr>
        <w:rStyle w:val="49"/>
        <w:kern w:val="0"/>
        <w:sz w:val="18"/>
        <w:szCs w:val="18"/>
      </w:rPr>
      <w:fldChar w:fldCharType="end"/>
    </w:r>
  </w:p>
  <w:p>
    <w:pPr>
      <w:snapToGrid w:val="0"/>
      <w:jc w:val="left"/>
      <w:rPr>
        <w:kern w:val="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napToGrid w:val="0"/>
      <w:jc w:val="left"/>
      <w:rPr>
        <w:rStyle w:val="49"/>
        <w:kern w:val="0"/>
        <w:sz w:val="18"/>
        <w:szCs w:val="18"/>
      </w:rPr>
    </w:pPr>
    <w:r>
      <w:rPr>
        <w:rStyle w:val="49"/>
        <w:kern w:val="0"/>
        <w:sz w:val="18"/>
        <w:szCs w:val="18"/>
      </w:rPr>
      <w:fldChar w:fldCharType="begin"/>
    </w:r>
    <w:r>
      <w:rPr>
        <w:rStyle w:val="49"/>
        <w:kern w:val="0"/>
        <w:sz w:val="18"/>
        <w:szCs w:val="18"/>
      </w:rPr>
      <w:instrText xml:space="preserve">PAGE  </w:instrText>
    </w:r>
    <w:r>
      <w:rPr>
        <w:rStyle w:val="49"/>
        <w:kern w:val="0"/>
        <w:sz w:val="18"/>
        <w:szCs w:val="18"/>
      </w:rPr>
      <w:fldChar w:fldCharType="end"/>
    </w:r>
  </w:p>
  <w:p>
    <w:pPr>
      <w:snapToGrid w:val="0"/>
      <w:jc w:val="left"/>
      <w:rPr>
        <w:kern w:val="0"/>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kern w:val="0"/>
        <w:sz w:val="18"/>
        <w:szCs w:val="18"/>
      </w:rPr>
    </w:pPr>
  </w:p>
  <w:p>
    <w:pPr>
      <w:snapToGrid w:val="0"/>
      <w:jc w:val="left"/>
      <w:rPr>
        <w:kern w:val="0"/>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cs="Times New Roman"/>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rPr>
                              <w:rFonts w:cs="Times New Roman"/>
                            </w:rPr>
                          </w:pPr>
                          <w:r>
                            <w:fldChar w:fldCharType="begin"/>
                          </w:r>
                          <w:r>
                            <w:instrText xml:space="preserve"> PAGE  \* MERGEFORMAT </w:instrText>
                          </w:r>
                          <w:r>
                            <w:fldChar w:fldCharType="separate"/>
                          </w:r>
                          <w:r>
                            <w:t>83</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UQeDckBAACZAwAADgAAAGRycy9lMm9Eb2MueG1srVPNjtMwEL4j8Q6W&#10;79Rph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I6&#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pRB4NyQEAAJkDAAAOAAAAAAAAAAEAIAAAAB4BAABkcnMvZTJvRG9j&#10;LnhtbFBLBQYAAAAABgAGAFkBAABZBQAAAAA=&#10;">
              <v:fill on="f" focussize="0,0"/>
              <v:stroke on="f"/>
              <v:imagedata o:title=""/>
              <o:lock v:ext="edit" aspectratio="f"/>
              <v:textbox inset="0mm,0mm,0mm,0mm" style="mso-fit-shape-to-text:t;">
                <w:txbxContent>
                  <w:p>
                    <w:pPr>
                      <w:pStyle w:val="31"/>
                      <w:rPr>
                        <w:rFonts w:cs="Times New Roman"/>
                      </w:rPr>
                    </w:pPr>
                    <w:r>
                      <w:fldChar w:fldCharType="begin"/>
                    </w:r>
                    <w:r>
                      <w:instrText xml:space="preserve"> PAGE  \* MERGEFORMAT </w:instrText>
                    </w:r>
                    <w:r>
                      <w:fldChar w:fldCharType="separate"/>
                    </w:r>
                    <w:r>
                      <w:t>83</w:t>
                    </w:r>
                    <w:r>
                      <w:fldChar w:fldCharType="end"/>
                    </w:r>
                  </w:p>
                </w:txbxContent>
              </v:textbox>
            </v:shape>
          </w:pict>
        </mc:Fallback>
      </mc:AlternateContent>
    </w:r>
  </w:p>
  <w:p>
    <w:pPr>
      <w:pStyle w:val="31"/>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rPr>
        <w:rFonts w:cs="Times New Roman"/>
      </w:rPr>
    </w:pPr>
    <w:r>
      <w:rPr>
        <w:rFonts w:hint="eastAsia" w:asciiTheme="minorEastAsia" w:hAnsiTheme="minorEastAsia" w:eastAsiaTheme="minorEastAsia" w:cstheme="minorEastAsia"/>
        <w:bCs/>
        <w:lang w:eastAsia="zh-CN"/>
      </w:rPr>
      <w:t>广西建设工程机电设备招标中心有限公司</w:t>
    </w:r>
    <w:r>
      <w:rPr>
        <w:rFonts w:ascii="宋体" w:hAnsi="宋体" w:cs="宋体"/>
      </w:rPr>
      <w:t xml:space="preserve">                                      </w:t>
    </w:r>
    <w:r>
      <w:rPr>
        <w:rFonts w:hint="eastAsia" w:ascii="宋体" w:hAnsi="宋体" w:cs="宋体"/>
      </w:rPr>
      <w:t>竞争性磋商采购文件</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kern w:val="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asciiTheme="minorEastAsia" w:hAnsiTheme="minorEastAsia" w:eastAsiaTheme="minorEastAsia" w:cstheme="minorEastAsia"/>
        <w:bCs/>
        <w:lang w:eastAsia="zh-CN"/>
      </w:rPr>
      <w:t>广西建设工程机电设备招标中心有限公司</w:t>
    </w:r>
    <w:r>
      <w:rPr>
        <w:rFonts w:hint="eastAsia"/>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EE9FF1"/>
    <w:multiLevelType w:val="singleLevel"/>
    <w:tmpl w:val="8EEE9FF1"/>
    <w:lvl w:ilvl="0" w:tentative="0">
      <w:start w:val="2"/>
      <w:numFmt w:val="chineseCounting"/>
      <w:suff w:val="nothing"/>
      <w:lvlText w:val="%1、"/>
      <w:lvlJc w:val="left"/>
      <w:pPr>
        <w:ind w:left="451" w:firstLine="0"/>
      </w:pPr>
      <w:rPr>
        <w:rFonts w:hint="eastAsia"/>
      </w:rPr>
    </w:lvl>
  </w:abstractNum>
  <w:abstractNum w:abstractNumId="1">
    <w:nsid w:val="CC594CB6"/>
    <w:multiLevelType w:val="singleLevel"/>
    <w:tmpl w:val="CC594CB6"/>
    <w:lvl w:ilvl="0" w:tentative="0">
      <w:start w:val="1"/>
      <w:numFmt w:val="decimal"/>
      <w:suff w:val="nothing"/>
      <w:lvlText w:val="%1、"/>
      <w:lvlJc w:val="left"/>
    </w:lvl>
  </w:abstractNum>
  <w:abstractNum w:abstractNumId="2">
    <w:nsid w:val="EB8CEB78"/>
    <w:multiLevelType w:val="singleLevel"/>
    <w:tmpl w:val="EB8CEB78"/>
    <w:lvl w:ilvl="0" w:tentative="0">
      <w:start w:val="3"/>
      <w:numFmt w:val="chineseCounting"/>
      <w:suff w:val="space"/>
      <w:lvlText w:val="第%1章"/>
      <w:lvlJc w:val="left"/>
      <w:rPr>
        <w:rFonts w:hint="eastAsia"/>
      </w:rPr>
    </w:lvl>
  </w:abstractNum>
  <w:abstractNum w:abstractNumId="3">
    <w:nsid w:val="FE65547F"/>
    <w:multiLevelType w:val="singleLevel"/>
    <w:tmpl w:val="FE65547F"/>
    <w:lvl w:ilvl="0" w:tentative="0">
      <w:start w:val="1"/>
      <w:numFmt w:val="decimal"/>
      <w:pStyle w:val="15"/>
      <w:lvlText w:val="%1."/>
      <w:lvlJc w:val="left"/>
      <w:pPr>
        <w:tabs>
          <w:tab w:val="left" w:pos="360"/>
        </w:tabs>
        <w:ind w:left="360" w:hanging="360"/>
      </w:pPr>
    </w:lvl>
  </w:abstractNum>
  <w:abstractNum w:abstractNumId="4">
    <w:nsid w:val="049E55D1"/>
    <w:multiLevelType w:val="multilevel"/>
    <w:tmpl w:val="049E55D1"/>
    <w:lvl w:ilvl="0" w:tentative="0">
      <w:start w:val="1"/>
      <w:numFmt w:val="decimal"/>
      <w:pStyle w:val="127"/>
      <w:lvlText w:val="%1."/>
      <w:lvlJc w:val="left"/>
      <w:pPr>
        <w:tabs>
          <w:tab w:val="left" w:pos="624"/>
        </w:tabs>
        <w:ind w:left="624" w:hanging="624"/>
      </w:pPr>
      <w:rPr>
        <w:rFonts w:hint="default" w:ascii="Arial" w:hAnsi="Arial" w:cs="Arial"/>
        <w:b/>
        <w:bCs/>
        <w:i w:val="0"/>
        <w:iCs w:val="0"/>
        <w:sz w:val="24"/>
        <w:szCs w:val="24"/>
      </w:rPr>
    </w:lvl>
    <w:lvl w:ilvl="1" w:tentative="0">
      <w:start w:val="1"/>
      <w:numFmt w:val="decimal"/>
      <w:pStyle w:val="148"/>
      <w:lvlText w:val="%1.%2"/>
      <w:lvlJc w:val="left"/>
      <w:pPr>
        <w:tabs>
          <w:tab w:val="left" w:pos="624"/>
        </w:tabs>
        <w:ind w:left="624" w:hanging="624"/>
      </w:pPr>
      <w:rPr>
        <w:rFonts w:hint="default" w:ascii="Arial" w:hAnsi="Arial" w:cs="Arial"/>
        <w:b w:val="0"/>
        <w:bCs w:val="0"/>
        <w:i w:val="0"/>
        <w:iCs w:val="0"/>
        <w:sz w:val="24"/>
        <w:szCs w:val="24"/>
      </w:rPr>
    </w:lvl>
    <w:lvl w:ilvl="2" w:tentative="0">
      <w:start w:val="1"/>
      <w:numFmt w:val="decimal"/>
      <w:pStyle w:val="145"/>
      <w:lvlText w:val="(%3)"/>
      <w:lvlJc w:val="left"/>
      <w:pPr>
        <w:tabs>
          <w:tab w:val="left" w:pos="624"/>
        </w:tabs>
        <w:ind w:left="624" w:hanging="624"/>
      </w:pPr>
      <w:rPr>
        <w:rFonts w:hint="default" w:ascii="Arial" w:hAnsi="Arial" w:cs="Arial"/>
        <w:b w:val="0"/>
        <w:bCs w:val="0"/>
        <w:i w:val="0"/>
        <w:iCs w:val="0"/>
        <w:sz w:val="24"/>
        <w:szCs w:val="24"/>
      </w:rPr>
    </w:lvl>
    <w:lvl w:ilvl="3" w:tentative="0">
      <w:start w:val="1"/>
      <w:numFmt w:val="decimal"/>
      <w:pStyle w:val="132"/>
      <w:lvlText w:val="%1.%2.%4"/>
      <w:lvlJc w:val="left"/>
      <w:pPr>
        <w:tabs>
          <w:tab w:val="left" w:pos="1361"/>
        </w:tabs>
        <w:ind w:left="1361" w:hanging="737"/>
      </w:pPr>
      <w:rPr>
        <w:rFonts w:hint="default" w:ascii="Arial" w:hAnsi="Arial" w:cs="Arial"/>
        <w:b w:val="0"/>
        <w:bCs w:val="0"/>
        <w:i w:val="0"/>
        <w:iCs w:val="0"/>
        <w:sz w:val="24"/>
        <w:szCs w:val="24"/>
      </w:rPr>
    </w:lvl>
    <w:lvl w:ilvl="4" w:tentative="0">
      <w:start w:val="1"/>
      <w:numFmt w:val="lowerLetter"/>
      <w:pStyle w:val="131"/>
      <w:lvlText w:val="(%5)"/>
      <w:lvlJc w:val="left"/>
      <w:pPr>
        <w:tabs>
          <w:tab w:val="left" w:pos="1361"/>
        </w:tabs>
        <w:ind w:left="1361" w:hanging="737"/>
      </w:pPr>
      <w:rPr>
        <w:rFonts w:hint="default" w:ascii="Arial" w:hAnsi="Arial" w:cs="Arial"/>
        <w:b w:val="0"/>
        <w:bCs w:val="0"/>
        <w:i w:val="0"/>
        <w:iCs w:val="0"/>
        <w:sz w:val="20"/>
        <w:szCs w:val="20"/>
      </w:rPr>
    </w:lvl>
    <w:lvl w:ilvl="5" w:tentative="0">
      <w:start w:val="1"/>
      <w:numFmt w:val="lowerRoman"/>
      <w:pStyle w:val="137"/>
      <w:lvlText w:val="(%6)"/>
      <w:lvlJc w:val="left"/>
      <w:pPr>
        <w:tabs>
          <w:tab w:val="left" w:pos="2041"/>
        </w:tabs>
        <w:ind w:left="2041" w:hanging="680"/>
      </w:pPr>
      <w:rPr>
        <w:rFonts w:hint="default" w:ascii="Arial" w:hAnsi="Arial" w:cs="Arial"/>
        <w:b w:val="0"/>
        <w:bCs w:val="0"/>
        <w:i w:val="0"/>
        <w:iCs w:val="0"/>
        <w:sz w:val="20"/>
        <w:szCs w:val="20"/>
      </w:rPr>
    </w:lvl>
    <w:lvl w:ilvl="6" w:tentative="0">
      <w:start w:val="1"/>
      <w:numFmt w:val="upperLetter"/>
      <w:pStyle w:val="138"/>
      <w:lvlText w:val="(%7)"/>
      <w:lvlJc w:val="left"/>
      <w:pPr>
        <w:tabs>
          <w:tab w:val="left" w:pos="2041"/>
        </w:tabs>
        <w:ind w:left="2041" w:hanging="680"/>
      </w:pPr>
      <w:rPr>
        <w:rFonts w:hint="default" w:ascii="Arial" w:hAnsi="Arial" w:cs="Arial"/>
        <w:b w:val="0"/>
        <w:bCs w:val="0"/>
        <w:i w:val="0"/>
        <w:iCs w:val="0"/>
        <w:sz w:val="20"/>
        <w:szCs w:val="20"/>
      </w:rPr>
    </w:lvl>
    <w:lvl w:ilvl="7" w:tentative="0">
      <w:start w:val="1"/>
      <w:numFmt w:val="upperLetter"/>
      <w:pStyle w:val="128"/>
      <w:lvlText w:val="(%8)"/>
      <w:lvlJc w:val="left"/>
      <w:pPr>
        <w:tabs>
          <w:tab w:val="left" w:pos="2722"/>
        </w:tabs>
        <w:ind w:left="2722" w:hanging="681"/>
      </w:pPr>
      <w:rPr>
        <w:rFonts w:hint="default" w:ascii="Arial" w:hAnsi="Arial" w:cs="Arial"/>
        <w:b w:val="0"/>
        <w:bCs w:val="0"/>
        <w:i w:val="0"/>
        <w:iCs w:val="0"/>
        <w:sz w:val="20"/>
        <w:szCs w:val="20"/>
      </w:rPr>
    </w:lvl>
    <w:lvl w:ilvl="8" w:tentative="0">
      <w:start w:val="1"/>
      <w:numFmt w:val="none"/>
      <w:lvlText w:val=""/>
      <w:lvlJc w:val="left"/>
      <w:pPr>
        <w:tabs>
          <w:tab w:val="left" w:pos="4320"/>
        </w:tabs>
        <w:ind w:left="4320" w:hanging="1440"/>
      </w:pPr>
      <w:rPr>
        <w:rFonts w:hint="eastAsia"/>
      </w:rPr>
    </w:lvl>
  </w:abstractNum>
  <w:abstractNum w:abstractNumId="5">
    <w:nsid w:val="0C48645C"/>
    <w:multiLevelType w:val="multilevel"/>
    <w:tmpl w:val="0C48645C"/>
    <w:lvl w:ilvl="0" w:tentative="0">
      <w:start w:val="1"/>
      <w:numFmt w:val="decimal"/>
      <w:pStyle w:val="130"/>
      <w:lvlText w:val="(%1)"/>
      <w:lvlJc w:val="left"/>
      <w:pPr>
        <w:tabs>
          <w:tab w:val="left" w:pos="680"/>
        </w:tabs>
        <w:ind w:left="680" w:hanging="680"/>
      </w:pPr>
      <w:rPr>
        <w:rFonts w:hint="default"/>
        <w:b/>
        <w:bCs/>
        <w:i w:val="0"/>
        <w:iCs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0F44714D"/>
    <w:multiLevelType w:val="singleLevel"/>
    <w:tmpl w:val="0F44714D"/>
    <w:lvl w:ilvl="0" w:tentative="0">
      <w:start w:val="1"/>
      <w:numFmt w:val="chineseCounting"/>
      <w:suff w:val="nothing"/>
      <w:lvlText w:val="%1、"/>
      <w:lvlJc w:val="left"/>
      <w:rPr>
        <w:rFonts w:hint="eastAsia"/>
      </w:rPr>
    </w:lvl>
  </w:abstractNum>
  <w:abstractNum w:abstractNumId="7">
    <w:nsid w:val="14EF5680"/>
    <w:multiLevelType w:val="singleLevel"/>
    <w:tmpl w:val="14EF5680"/>
    <w:lvl w:ilvl="0" w:tentative="0">
      <w:start w:val="1"/>
      <w:numFmt w:val="decimal"/>
      <w:pStyle w:val="140"/>
      <w:lvlText w:val="%1."/>
      <w:lvlJc w:val="left"/>
      <w:pPr>
        <w:tabs>
          <w:tab w:val="left" w:pos="480"/>
        </w:tabs>
        <w:ind w:left="480" w:hanging="480"/>
      </w:pPr>
      <w:rPr>
        <w:rFonts w:hint="default"/>
        <w:sz w:val="23"/>
        <w:szCs w:val="23"/>
      </w:rPr>
    </w:lvl>
  </w:abstractNum>
  <w:abstractNum w:abstractNumId="8">
    <w:nsid w:val="17C1A060"/>
    <w:multiLevelType w:val="singleLevel"/>
    <w:tmpl w:val="17C1A060"/>
    <w:lvl w:ilvl="0" w:tentative="0">
      <w:start w:val="7"/>
      <w:numFmt w:val="chineseCounting"/>
      <w:suff w:val="nothing"/>
      <w:lvlText w:val="%1、"/>
      <w:lvlJc w:val="left"/>
      <w:rPr>
        <w:rFonts w:hint="eastAsia"/>
      </w:rPr>
    </w:lvl>
  </w:abstractNum>
  <w:abstractNum w:abstractNumId="9">
    <w:nsid w:val="29481282"/>
    <w:multiLevelType w:val="singleLevel"/>
    <w:tmpl w:val="29481282"/>
    <w:lvl w:ilvl="0" w:tentative="0">
      <w:start w:val="1"/>
      <w:numFmt w:val="decimal"/>
      <w:suff w:val="nothing"/>
      <w:lvlText w:val="%1、"/>
      <w:lvlJc w:val="left"/>
    </w:lvl>
  </w:abstractNum>
  <w:abstractNum w:abstractNumId="10">
    <w:nsid w:val="447EFA92"/>
    <w:multiLevelType w:val="singleLevel"/>
    <w:tmpl w:val="447EFA92"/>
    <w:lvl w:ilvl="0" w:tentative="0">
      <w:start w:val="1"/>
      <w:numFmt w:val="decimal"/>
      <w:suff w:val="space"/>
      <w:lvlText w:val="(%1)"/>
      <w:lvlJc w:val="left"/>
    </w:lvl>
  </w:abstractNum>
  <w:abstractNum w:abstractNumId="11">
    <w:nsid w:val="57EC4BDC"/>
    <w:multiLevelType w:val="multilevel"/>
    <w:tmpl w:val="57EC4BDC"/>
    <w:lvl w:ilvl="0" w:tentative="0">
      <w:start w:val="1"/>
      <w:numFmt w:val="chineseCountingThousand"/>
      <w:pStyle w:val="3"/>
      <w:lvlText w:val="第%1条."/>
      <w:lvlJc w:val="left"/>
      <w:pPr>
        <w:tabs>
          <w:tab w:val="left" w:pos="1080"/>
        </w:tabs>
      </w:pPr>
    </w:lvl>
    <w:lvl w:ilvl="1" w:tentative="0">
      <w:start w:val="1"/>
      <w:numFmt w:val="decimal"/>
      <w:lvlText w:val="3.%2."/>
      <w:lvlJc w:val="left"/>
      <w:pPr>
        <w:tabs>
          <w:tab w:val="left" w:pos="1140"/>
        </w:tabs>
        <w:ind w:left="420"/>
      </w:pPr>
      <w:rPr>
        <w:rFonts w:hint="eastAsia"/>
        <w:b/>
        <w:bCs/>
        <w:i w:val="0"/>
        <w:iCs w:val="0"/>
        <w:caps w:val="0"/>
        <w:strike w:val="0"/>
        <w:dstrike w:val="0"/>
        <w:vanish w:val="0"/>
        <w:sz w:val="24"/>
        <w:szCs w:val="24"/>
        <w:vertAlign w:val="baseline"/>
        <w14:shadow w14:blurRad="0" w14:dist="0" w14:dir="0" w14:sx="0" w14:sy="0" w14:kx="0" w14:ky="0" w14:algn="none">
          <w14:srgbClr w14:val="000000"/>
        </w14:shadow>
      </w:rPr>
    </w:lvl>
    <w:lvl w:ilvl="2" w:tentative="0">
      <w:start w:val="1"/>
      <w:numFmt w:val="decimal"/>
      <w:lvlText w:val="4.%3."/>
      <w:lvlJc w:val="left"/>
      <w:pPr>
        <w:tabs>
          <w:tab w:val="left" w:pos="1560"/>
        </w:tabs>
        <w:ind w:left="840"/>
      </w:pPr>
      <w:rPr>
        <w:rFonts w:hint="eastAsia" w:ascii="宋体" w:eastAsia="宋体"/>
        <w:b/>
        <w:bCs/>
        <w:i w:val="0"/>
        <w:iCs w:val="0"/>
        <w:caps w:val="0"/>
        <w:strike w:val="0"/>
        <w:dstrike w:val="0"/>
        <w:vanish w:val="0"/>
        <w:color w:val="000000"/>
        <w:sz w:val="24"/>
        <w:szCs w:val="24"/>
        <w:vertAlign w:val="baseline"/>
        <w14:shadow w14:blurRad="0" w14:dist="0" w14:dir="0" w14:sx="0" w14:sy="0" w14:kx="0" w14:ky="0" w14:algn="none">
          <w14:srgbClr w14:val="000000"/>
        </w14:shadow>
      </w:rPr>
    </w:lvl>
    <w:lvl w:ilvl="3" w:tentative="0">
      <w:start w:val="1"/>
      <w:numFmt w:val="decimal"/>
      <w:lvlText w:val="6.%4."/>
      <w:lvlJc w:val="left"/>
      <w:pPr>
        <w:tabs>
          <w:tab w:val="left" w:pos="1980"/>
        </w:tabs>
        <w:ind w:left="1260"/>
      </w:pPr>
      <w:rPr>
        <w:rFonts w:hint="eastAsia" w:ascii="宋体" w:eastAsia="宋体"/>
        <w:b/>
        <w:bCs/>
        <w:i w:val="0"/>
        <w:iCs w:val="0"/>
        <w:caps w:val="0"/>
        <w:strike w:val="0"/>
        <w:dstrike w:val="0"/>
        <w:vanish w:val="0"/>
        <w:color w:val="000000"/>
        <w:sz w:val="24"/>
        <w:szCs w:val="24"/>
        <w:vertAlign w:val="baseline"/>
        <w14:shadow w14:blurRad="0" w14:dist="0" w14:dir="0" w14:sx="0" w14:sy="0" w14:kx="0" w14:ky="0" w14:algn="none">
          <w14:srgbClr w14:val="000000"/>
        </w14:shadow>
      </w:rPr>
    </w:lvl>
    <w:lvl w:ilvl="4" w:tentative="0">
      <w:start w:val="1"/>
      <w:numFmt w:val="decimal"/>
      <w:lvlText w:val="12.%5."/>
      <w:lvlJc w:val="left"/>
      <w:pPr>
        <w:tabs>
          <w:tab w:val="left" w:pos="2400"/>
        </w:tabs>
        <w:ind w:left="1680"/>
      </w:pPr>
      <w:rPr>
        <w:rFonts w:hint="eastAsia" w:ascii="宋体" w:eastAsia="宋体"/>
        <w:b/>
        <w:bCs/>
        <w:i w:val="0"/>
        <w:iCs w:val="0"/>
        <w:caps w:val="0"/>
        <w:strike w:val="0"/>
        <w:dstrike w:val="0"/>
        <w:vanish w:val="0"/>
        <w:color w:val="000000"/>
        <w:sz w:val="24"/>
        <w:szCs w:val="24"/>
        <w:vertAlign w:val="baseline"/>
        <w14:shadow w14:blurRad="0" w14:dist="0" w14:dir="0" w14:sx="0" w14:sy="0" w14:kx="0" w14:ky="0" w14:algn="none">
          <w14:srgbClr w14:val="000000"/>
        </w14:shadow>
      </w:rPr>
    </w:lvl>
    <w:lvl w:ilvl="5" w:tentative="0">
      <w:start w:val="10"/>
      <w:numFmt w:val="decimal"/>
      <w:lvlText w:val="%6．"/>
      <w:lvlJc w:val="left"/>
      <w:pPr>
        <w:tabs>
          <w:tab w:val="left" w:pos="2820"/>
        </w:tabs>
        <w:ind w:left="2820" w:hanging="72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B5030ED"/>
    <w:multiLevelType w:val="singleLevel"/>
    <w:tmpl w:val="6B5030ED"/>
    <w:lvl w:ilvl="0" w:tentative="0">
      <w:start w:val="1"/>
      <w:numFmt w:val="decimal"/>
      <w:pStyle w:val="142"/>
      <w:lvlText w:val="(%1)"/>
      <w:lvlJc w:val="left"/>
      <w:pPr>
        <w:tabs>
          <w:tab w:val="left" w:pos="567"/>
        </w:tabs>
        <w:ind w:left="567" w:hanging="567"/>
      </w:pPr>
      <w:rPr>
        <w:rFonts w:hint="eastAsia"/>
        <w:b/>
        <w:bCs/>
        <w:i w:val="0"/>
        <w:iCs w:val="0"/>
        <w:sz w:val="23"/>
        <w:szCs w:val="23"/>
      </w:rPr>
    </w:lvl>
  </w:abstractNum>
  <w:abstractNum w:abstractNumId="13">
    <w:nsid w:val="7D335EF8"/>
    <w:multiLevelType w:val="singleLevel"/>
    <w:tmpl w:val="7D335EF8"/>
    <w:lvl w:ilvl="0" w:tentative="0">
      <w:start w:val="1"/>
      <w:numFmt w:val="decimal"/>
      <w:suff w:val="space"/>
      <w:lvlText w:val="%1."/>
      <w:lvlJc w:val="left"/>
      <w:pPr>
        <w:ind w:left="0" w:firstLine="0"/>
      </w:pPr>
    </w:lvl>
  </w:abstractNum>
  <w:num w:numId="1">
    <w:abstractNumId w:val="11"/>
  </w:num>
  <w:num w:numId="2">
    <w:abstractNumId w:val="3"/>
  </w:num>
  <w:num w:numId="3">
    <w:abstractNumId w:val="4"/>
  </w:num>
  <w:num w:numId="4">
    <w:abstractNumId w:val="5"/>
  </w:num>
  <w:num w:numId="5">
    <w:abstractNumId w:val="7"/>
  </w:num>
  <w:num w:numId="6">
    <w:abstractNumId w:val="12"/>
  </w:num>
  <w:num w:numId="7">
    <w:abstractNumId w:val="8"/>
  </w:num>
  <w:num w:numId="8">
    <w:abstractNumId w:val="10"/>
  </w:num>
  <w:num w:numId="9">
    <w:abstractNumId w:val="2"/>
  </w:num>
  <w:num w:numId="10">
    <w:abstractNumId w:val="0"/>
  </w:num>
  <w:num w:numId="11">
    <w:abstractNumId w:val="1"/>
  </w:num>
  <w:num w:numId="12">
    <w:abstractNumId w:val="9"/>
  </w:num>
  <w:num w:numId="13">
    <w:abstractNumId w:val="6"/>
  </w:num>
  <w:num w:numId="14">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hideSpellingError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YWJmZTZmYzE3MmExZDJlMjljODY4ZjJkMzVmMzYifQ=="/>
  </w:docVars>
  <w:rsids>
    <w:rsidRoot w:val="002418ED"/>
    <w:rsid w:val="0000649F"/>
    <w:rsid w:val="00023AB5"/>
    <w:rsid w:val="00024C49"/>
    <w:rsid w:val="00065D5A"/>
    <w:rsid w:val="0007799F"/>
    <w:rsid w:val="000D0C9B"/>
    <w:rsid w:val="000E54DB"/>
    <w:rsid w:val="000F6622"/>
    <w:rsid w:val="001104B7"/>
    <w:rsid w:val="00136896"/>
    <w:rsid w:val="00137881"/>
    <w:rsid w:val="001820E4"/>
    <w:rsid w:val="001933D4"/>
    <w:rsid w:val="001A10A0"/>
    <w:rsid w:val="001C30E0"/>
    <w:rsid w:val="001C315D"/>
    <w:rsid w:val="001D4F53"/>
    <w:rsid w:val="001D7D62"/>
    <w:rsid w:val="001E069D"/>
    <w:rsid w:val="001F238E"/>
    <w:rsid w:val="0022467B"/>
    <w:rsid w:val="002418ED"/>
    <w:rsid w:val="002472F6"/>
    <w:rsid w:val="00250BF0"/>
    <w:rsid w:val="00255D92"/>
    <w:rsid w:val="00256659"/>
    <w:rsid w:val="00273957"/>
    <w:rsid w:val="002A2A1E"/>
    <w:rsid w:val="002A4CB1"/>
    <w:rsid w:val="002B2944"/>
    <w:rsid w:val="002D5F2A"/>
    <w:rsid w:val="00346547"/>
    <w:rsid w:val="00364622"/>
    <w:rsid w:val="00376C37"/>
    <w:rsid w:val="00395214"/>
    <w:rsid w:val="00396DFD"/>
    <w:rsid w:val="003B3FC0"/>
    <w:rsid w:val="003B7696"/>
    <w:rsid w:val="003C4C7D"/>
    <w:rsid w:val="003D6A75"/>
    <w:rsid w:val="003E7C9C"/>
    <w:rsid w:val="00407E53"/>
    <w:rsid w:val="00412721"/>
    <w:rsid w:val="00450162"/>
    <w:rsid w:val="00460FCD"/>
    <w:rsid w:val="004B604B"/>
    <w:rsid w:val="004E49D5"/>
    <w:rsid w:val="005057C4"/>
    <w:rsid w:val="005228CA"/>
    <w:rsid w:val="0052705D"/>
    <w:rsid w:val="00543553"/>
    <w:rsid w:val="005518BE"/>
    <w:rsid w:val="00560684"/>
    <w:rsid w:val="0056444F"/>
    <w:rsid w:val="005B1167"/>
    <w:rsid w:val="005C115F"/>
    <w:rsid w:val="005C61D9"/>
    <w:rsid w:val="005F1F68"/>
    <w:rsid w:val="005F5881"/>
    <w:rsid w:val="006058D3"/>
    <w:rsid w:val="00652ABA"/>
    <w:rsid w:val="00652F80"/>
    <w:rsid w:val="006635C9"/>
    <w:rsid w:val="00686106"/>
    <w:rsid w:val="006A436E"/>
    <w:rsid w:val="006B03BA"/>
    <w:rsid w:val="006F1267"/>
    <w:rsid w:val="006F5836"/>
    <w:rsid w:val="0072738E"/>
    <w:rsid w:val="00743C85"/>
    <w:rsid w:val="0075003A"/>
    <w:rsid w:val="00751256"/>
    <w:rsid w:val="00753809"/>
    <w:rsid w:val="007615EE"/>
    <w:rsid w:val="007A140A"/>
    <w:rsid w:val="007A7DEF"/>
    <w:rsid w:val="007E64F6"/>
    <w:rsid w:val="007F67F9"/>
    <w:rsid w:val="0080091A"/>
    <w:rsid w:val="00820E2E"/>
    <w:rsid w:val="00834A26"/>
    <w:rsid w:val="008431F4"/>
    <w:rsid w:val="00860D24"/>
    <w:rsid w:val="0086353C"/>
    <w:rsid w:val="00866FA5"/>
    <w:rsid w:val="008716B9"/>
    <w:rsid w:val="00876637"/>
    <w:rsid w:val="0088518E"/>
    <w:rsid w:val="0089756E"/>
    <w:rsid w:val="008B261F"/>
    <w:rsid w:val="008B349F"/>
    <w:rsid w:val="008D0BA6"/>
    <w:rsid w:val="008E7C49"/>
    <w:rsid w:val="009029B3"/>
    <w:rsid w:val="0091575E"/>
    <w:rsid w:val="009335C6"/>
    <w:rsid w:val="00935851"/>
    <w:rsid w:val="0095169E"/>
    <w:rsid w:val="00961A1B"/>
    <w:rsid w:val="00966C54"/>
    <w:rsid w:val="009737F6"/>
    <w:rsid w:val="009A149D"/>
    <w:rsid w:val="009B0695"/>
    <w:rsid w:val="009E2495"/>
    <w:rsid w:val="009F6ACD"/>
    <w:rsid w:val="00A257BB"/>
    <w:rsid w:val="00A70478"/>
    <w:rsid w:val="00A85F5F"/>
    <w:rsid w:val="00A868C8"/>
    <w:rsid w:val="00A97810"/>
    <w:rsid w:val="00AB474E"/>
    <w:rsid w:val="00AB5084"/>
    <w:rsid w:val="00AD42E3"/>
    <w:rsid w:val="00AD484B"/>
    <w:rsid w:val="00AD5794"/>
    <w:rsid w:val="00AF2A5F"/>
    <w:rsid w:val="00B56EC4"/>
    <w:rsid w:val="00B87D3E"/>
    <w:rsid w:val="00BB57D2"/>
    <w:rsid w:val="00BC2F68"/>
    <w:rsid w:val="00BE7250"/>
    <w:rsid w:val="00C27508"/>
    <w:rsid w:val="00C36B54"/>
    <w:rsid w:val="00C373E9"/>
    <w:rsid w:val="00C4570F"/>
    <w:rsid w:val="00C5149B"/>
    <w:rsid w:val="00C53BA4"/>
    <w:rsid w:val="00C637D5"/>
    <w:rsid w:val="00C679A7"/>
    <w:rsid w:val="00C82081"/>
    <w:rsid w:val="00C84926"/>
    <w:rsid w:val="00CB3531"/>
    <w:rsid w:val="00D02750"/>
    <w:rsid w:val="00D201D6"/>
    <w:rsid w:val="00D4142A"/>
    <w:rsid w:val="00D4339C"/>
    <w:rsid w:val="00D56432"/>
    <w:rsid w:val="00D7386C"/>
    <w:rsid w:val="00D865C8"/>
    <w:rsid w:val="00D977C1"/>
    <w:rsid w:val="00DB7935"/>
    <w:rsid w:val="00DD2337"/>
    <w:rsid w:val="00DE0F24"/>
    <w:rsid w:val="00DF2D8B"/>
    <w:rsid w:val="00DF6FDB"/>
    <w:rsid w:val="00E0024B"/>
    <w:rsid w:val="00E23A8D"/>
    <w:rsid w:val="00E501BB"/>
    <w:rsid w:val="00E56710"/>
    <w:rsid w:val="00E66BAF"/>
    <w:rsid w:val="00EE2B69"/>
    <w:rsid w:val="00EE7999"/>
    <w:rsid w:val="00EF0908"/>
    <w:rsid w:val="00EF3F80"/>
    <w:rsid w:val="00F16F62"/>
    <w:rsid w:val="00F24E46"/>
    <w:rsid w:val="00F30444"/>
    <w:rsid w:val="00F409AE"/>
    <w:rsid w:val="00F52AEE"/>
    <w:rsid w:val="00F85C8C"/>
    <w:rsid w:val="00FB07AC"/>
    <w:rsid w:val="00FB7E2E"/>
    <w:rsid w:val="00FD283A"/>
    <w:rsid w:val="00FE0856"/>
    <w:rsid w:val="01175BCB"/>
    <w:rsid w:val="012704DB"/>
    <w:rsid w:val="01382BBC"/>
    <w:rsid w:val="0139304C"/>
    <w:rsid w:val="014E272B"/>
    <w:rsid w:val="015F2C67"/>
    <w:rsid w:val="01912C7E"/>
    <w:rsid w:val="01B662AB"/>
    <w:rsid w:val="01C64722"/>
    <w:rsid w:val="01D87538"/>
    <w:rsid w:val="02116542"/>
    <w:rsid w:val="027B5769"/>
    <w:rsid w:val="02942239"/>
    <w:rsid w:val="035C50E4"/>
    <w:rsid w:val="036A1B82"/>
    <w:rsid w:val="03A23D72"/>
    <w:rsid w:val="043339C7"/>
    <w:rsid w:val="04603590"/>
    <w:rsid w:val="04C11DAF"/>
    <w:rsid w:val="053077A7"/>
    <w:rsid w:val="05A1670A"/>
    <w:rsid w:val="05B647A2"/>
    <w:rsid w:val="06092301"/>
    <w:rsid w:val="06286C23"/>
    <w:rsid w:val="063F6AB5"/>
    <w:rsid w:val="066E56DC"/>
    <w:rsid w:val="06712922"/>
    <w:rsid w:val="067773D8"/>
    <w:rsid w:val="06931366"/>
    <w:rsid w:val="06A33F12"/>
    <w:rsid w:val="06A660EC"/>
    <w:rsid w:val="06C75D86"/>
    <w:rsid w:val="06ED33FD"/>
    <w:rsid w:val="06F56226"/>
    <w:rsid w:val="06FF48E3"/>
    <w:rsid w:val="07147872"/>
    <w:rsid w:val="07311744"/>
    <w:rsid w:val="073B11D3"/>
    <w:rsid w:val="073D2D23"/>
    <w:rsid w:val="07547C1F"/>
    <w:rsid w:val="07691A5B"/>
    <w:rsid w:val="07757DDA"/>
    <w:rsid w:val="078B414B"/>
    <w:rsid w:val="0790322D"/>
    <w:rsid w:val="07F20CD1"/>
    <w:rsid w:val="082E72A2"/>
    <w:rsid w:val="083E4D1A"/>
    <w:rsid w:val="08513BC1"/>
    <w:rsid w:val="08946407"/>
    <w:rsid w:val="089A2898"/>
    <w:rsid w:val="08A15A7D"/>
    <w:rsid w:val="08AB6853"/>
    <w:rsid w:val="08C66D55"/>
    <w:rsid w:val="08CC0F44"/>
    <w:rsid w:val="08D86398"/>
    <w:rsid w:val="090C2FAE"/>
    <w:rsid w:val="091F15F9"/>
    <w:rsid w:val="0920008D"/>
    <w:rsid w:val="096A33EB"/>
    <w:rsid w:val="097F19A1"/>
    <w:rsid w:val="098707BD"/>
    <w:rsid w:val="098B07D2"/>
    <w:rsid w:val="099E47B2"/>
    <w:rsid w:val="09A456FA"/>
    <w:rsid w:val="09E0573E"/>
    <w:rsid w:val="0A11609A"/>
    <w:rsid w:val="0A552A4D"/>
    <w:rsid w:val="0A8C7FBE"/>
    <w:rsid w:val="0ACD22CC"/>
    <w:rsid w:val="0AE7615F"/>
    <w:rsid w:val="0B517A40"/>
    <w:rsid w:val="0B7620DE"/>
    <w:rsid w:val="0C28394A"/>
    <w:rsid w:val="0C2A23F3"/>
    <w:rsid w:val="0C342609"/>
    <w:rsid w:val="0C44289D"/>
    <w:rsid w:val="0C640755"/>
    <w:rsid w:val="0CCC31A1"/>
    <w:rsid w:val="0CEA6115"/>
    <w:rsid w:val="0CFD1BFF"/>
    <w:rsid w:val="0D8D4779"/>
    <w:rsid w:val="0D9D0734"/>
    <w:rsid w:val="0DB05F76"/>
    <w:rsid w:val="0DE63B13"/>
    <w:rsid w:val="0DF50BDD"/>
    <w:rsid w:val="0E1B0D75"/>
    <w:rsid w:val="0E265FE7"/>
    <w:rsid w:val="0EAF6A38"/>
    <w:rsid w:val="0EC042B5"/>
    <w:rsid w:val="0EE76800"/>
    <w:rsid w:val="0EF00994"/>
    <w:rsid w:val="0F276495"/>
    <w:rsid w:val="0F3D0F1E"/>
    <w:rsid w:val="0F4E5716"/>
    <w:rsid w:val="0F637AD6"/>
    <w:rsid w:val="0F661772"/>
    <w:rsid w:val="0F66581A"/>
    <w:rsid w:val="0F820C13"/>
    <w:rsid w:val="0F995C92"/>
    <w:rsid w:val="0FC050BF"/>
    <w:rsid w:val="0FC213B9"/>
    <w:rsid w:val="0FF97E65"/>
    <w:rsid w:val="10017E03"/>
    <w:rsid w:val="10034449"/>
    <w:rsid w:val="103B201E"/>
    <w:rsid w:val="1055197E"/>
    <w:rsid w:val="1055546D"/>
    <w:rsid w:val="106107D3"/>
    <w:rsid w:val="1092405F"/>
    <w:rsid w:val="10977040"/>
    <w:rsid w:val="10EB09A2"/>
    <w:rsid w:val="111660D6"/>
    <w:rsid w:val="111862C5"/>
    <w:rsid w:val="11273C7A"/>
    <w:rsid w:val="112A3BF4"/>
    <w:rsid w:val="1186305E"/>
    <w:rsid w:val="11C526FC"/>
    <w:rsid w:val="120342EE"/>
    <w:rsid w:val="12321836"/>
    <w:rsid w:val="12396C23"/>
    <w:rsid w:val="123E5E9E"/>
    <w:rsid w:val="124E7809"/>
    <w:rsid w:val="127B3BFD"/>
    <w:rsid w:val="12AF277F"/>
    <w:rsid w:val="12BC5320"/>
    <w:rsid w:val="12F6524A"/>
    <w:rsid w:val="131613DB"/>
    <w:rsid w:val="13345C6A"/>
    <w:rsid w:val="134B6BA7"/>
    <w:rsid w:val="137E0131"/>
    <w:rsid w:val="13AA66C2"/>
    <w:rsid w:val="13B82254"/>
    <w:rsid w:val="13E40610"/>
    <w:rsid w:val="13EA0D88"/>
    <w:rsid w:val="14007EBA"/>
    <w:rsid w:val="14486C28"/>
    <w:rsid w:val="149D3865"/>
    <w:rsid w:val="149F13F6"/>
    <w:rsid w:val="14B206E4"/>
    <w:rsid w:val="14D61ED0"/>
    <w:rsid w:val="153D1748"/>
    <w:rsid w:val="1546633F"/>
    <w:rsid w:val="15665530"/>
    <w:rsid w:val="156A5EA6"/>
    <w:rsid w:val="156B5174"/>
    <w:rsid w:val="158208D0"/>
    <w:rsid w:val="1582215A"/>
    <w:rsid w:val="158B3902"/>
    <w:rsid w:val="15A0292E"/>
    <w:rsid w:val="15AD2CD0"/>
    <w:rsid w:val="15E423DB"/>
    <w:rsid w:val="1614723C"/>
    <w:rsid w:val="16265B7D"/>
    <w:rsid w:val="162B0E36"/>
    <w:rsid w:val="16372183"/>
    <w:rsid w:val="16376D26"/>
    <w:rsid w:val="167232D9"/>
    <w:rsid w:val="16A65282"/>
    <w:rsid w:val="16AC3528"/>
    <w:rsid w:val="16C7506F"/>
    <w:rsid w:val="16DB614A"/>
    <w:rsid w:val="17231A63"/>
    <w:rsid w:val="173C240D"/>
    <w:rsid w:val="174313FB"/>
    <w:rsid w:val="17577EAA"/>
    <w:rsid w:val="177314DB"/>
    <w:rsid w:val="177939B3"/>
    <w:rsid w:val="179B5CE4"/>
    <w:rsid w:val="17BD2942"/>
    <w:rsid w:val="17F10E40"/>
    <w:rsid w:val="17FC48F2"/>
    <w:rsid w:val="1838591D"/>
    <w:rsid w:val="1845264B"/>
    <w:rsid w:val="1874237E"/>
    <w:rsid w:val="18C515BD"/>
    <w:rsid w:val="18E01BF7"/>
    <w:rsid w:val="19257BA0"/>
    <w:rsid w:val="195474DB"/>
    <w:rsid w:val="198C11E1"/>
    <w:rsid w:val="199018BB"/>
    <w:rsid w:val="19A9778D"/>
    <w:rsid w:val="19C544DB"/>
    <w:rsid w:val="1A472154"/>
    <w:rsid w:val="1A60344F"/>
    <w:rsid w:val="1A72516B"/>
    <w:rsid w:val="1A7A15D6"/>
    <w:rsid w:val="1A947E2C"/>
    <w:rsid w:val="1ABE4E06"/>
    <w:rsid w:val="1AD75285"/>
    <w:rsid w:val="1AFA1194"/>
    <w:rsid w:val="1AFF6991"/>
    <w:rsid w:val="1B0B1AAD"/>
    <w:rsid w:val="1B334CA0"/>
    <w:rsid w:val="1B4D40AA"/>
    <w:rsid w:val="1B7549F6"/>
    <w:rsid w:val="1B7B72B6"/>
    <w:rsid w:val="1B8608C6"/>
    <w:rsid w:val="1B883914"/>
    <w:rsid w:val="1B9054B2"/>
    <w:rsid w:val="1BB83E58"/>
    <w:rsid w:val="1BC1303B"/>
    <w:rsid w:val="1BD109CD"/>
    <w:rsid w:val="1BE33FB8"/>
    <w:rsid w:val="1C1339FE"/>
    <w:rsid w:val="1C5D337B"/>
    <w:rsid w:val="1C7D3C0B"/>
    <w:rsid w:val="1CA170E3"/>
    <w:rsid w:val="1CF00880"/>
    <w:rsid w:val="1D012F61"/>
    <w:rsid w:val="1D370BBE"/>
    <w:rsid w:val="1D5E7090"/>
    <w:rsid w:val="1D994B9E"/>
    <w:rsid w:val="1DB624A7"/>
    <w:rsid w:val="1DB943F8"/>
    <w:rsid w:val="1DBC657F"/>
    <w:rsid w:val="1DD677BD"/>
    <w:rsid w:val="1DF16B20"/>
    <w:rsid w:val="1DF23CCF"/>
    <w:rsid w:val="1E320A08"/>
    <w:rsid w:val="1E3A0907"/>
    <w:rsid w:val="1E46352B"/>
    <w:rsid w:val="1E6C79D2"/>
    <w:rsid w:val="1E746C8C"/>
    <w:rsid w:val="1E975487"/>
    <w:rsid w:val="1EAB264C"/>
    <w:rsid w:val="1EC820C5"/>
    <w:rsid w:val="1F142B6A"/>
    <w:rsid w:val="1F7E221A"/>
    <w:rsid w:val="1FA6337B"/>
    <w:rsid w:val="1FB92215"/>
    <w:rsid w:val="1FC00772"/>
    <w:rsid w:val="1FC078D5"/>
    <w:rsid w:val="1FC07FC4"/>
    <w:rsid w:val="20021EFA"/>
    <w:rsid w:val="20061553"/>
    <w:rsid w:val="200A1243"/>
    <w:rsid w:val="202309F2"/>
    <w:rsid w:val="20481362"/>
    <w:rsid w:val="206D1FC6"/>
    <w:rsid w:val="207D33CF"/>
    <w:rsid w:val="20A37A60"/>
    <w:rsid w:val="20C42A93"/>
    <w:rsid w:val="20CB7035"/>
    <w:rsid w:val="20CF15F8"/>
    <w:rsid w:val="20DC3C0C"/>
    <w:rsid w:val="210F6034"/>
    <w:rsid w:val="21194C9A"/>
    <w:rsid w:val="21357D6F"/>
    <w:rsid w:val="214A249A"/>
    <w:rsid w:val="21694EC3"/>
    <w:rsid w:val="216C663D"/>
    <w:rsid w:val="217726A5"/>
    <w:rsid w:val="21926B87"/>
    <w:rsid w:val="21C21C74"/>
    <w:rsid w:val="21D32A70"/>
    <w:rsid w:val="21D7200F"/>
    <w:rsid w:val="21E62BCC"/>
    <w:rsid w:val="21EA03E6"/>
    <w:rsid w:val="21F92A28"/>
    <w:rsid w:val="22332171"/>
    <w:rsid w:val="22436A29"/>
    <w:rsid w:val="226E3D8A"/>
    <w:rsid w:val="228A73A4"/>
    <w:rsid w:val="229C7A75"/>
    <w:rsid w:val="22D015F2"/>
    <w:rsid w:val="22E93444"/>
    <w:rsid w:val="22F8223D"/>
    <w:rsid w:val="231A66FE"/>
    <w:rsid w:val="234D561B"/>
    <w:rsid w:val="23545B67"/>
    <w:rsid w:val="23566F63"/>
    <w:rsid w:val="2387666F"/>
    <w:rsid w:val="238D6ED9"/>
    <w:rsid w:val="23D1545F"/>
    <w:rsid w:val="23DE19FA"/>
    <w:rsid w:val="23E568B3"/>
    <w:rsid w:val="24027E09"/>
    <w:rsid w:val="241237D2"/>
    <w:rsid w:val="241A5C0D"/>
    <w:rsid w:val="24423C1E"/>
    <w:rsid w:val="24500F4B"/>
    <w:rsid w:val="247A3560"/>
    <w:rsid w:val="24FE2F03"/>
    <w:rsid w:val="25095948"/>
    <w:rsid w:val="250A4587"/>
    <w:rsid w:val="254C35EC"/>
    <w:rsid w:val="25A51464"/>
    <w:rsid w:val="25B047EA"/>
    <w:rsid w:val="25E55ADC"/>
    <w:rsid w:val="267D63AF"/>
    <w:rsid w:val="267F4E5D"/>
    <w:rsid w:val="2680332A"/>
    <w:rsid w:val="26A96F57"/>
    <w:rsid w:val="26AA761F"/>
    <w:rsid w:val="26AB78AC"/>
    <w:rsid w:val="26AF08B4"/>
    <w:rsid w:val="270F1EFD"/>
    <w:rsid w:val="2722113C"/>
    <w:rsid w:val="27483067"/>
    <w:rsid w:val="276D2F7B"/>
    <w:rsid w:val="277512D3"/>
    <w:rsid w:val="28116D6C"/>
    <w:rsid w:val="2832268C"/>
    <w:rsid w:val="28357391"/>
    <w:rsid w:val="28833F3B"/>
    <w:rsid w:val="288528F2"/>
    <w:rsid w:val="28932FED"/>
    <w:rsid w:val="28B3117F"/>
    <w:rsid w:val="28DA4003"/>
    <w:rsid w:val="28E0470F"/>
    <w:rsid w:val="28F62B07"/>
    <w:rsid w:val="28FB65E3"/>
    <w:rsid w:val="290D51B5"/>
    <w:rsid w:val="292D6C55"/>
    <w:rsid w:val="2930367A"/>
    <w:rsid w:val="293161DA"/>
    <w:rsid w:val="294C5246"/>
    <w:rsid w:val="295C2DFA"/>
    <w:rsid w:val="295F6257"/>
    <w:rsid w:val="296D65CD"/>
    <w:rsid w:val="29BE3D54"/>
    <w:rsid w:val="29D7610E"/>
    <w:rsid w:val="29E52707"/>
    <w:rsid w:val="29EB62D0"/>
    <w:rsid w:val="29F23B96"/>
    <w:rsid w:val="29F536D8"/>
    <w:rsid w:val="2A0973AB"/>
    <w:rsid w:val="2A0E5216"/>
    <w:rsid w:val="2A5967CA"/>
    <w:rsid w:val="2AA2141C"/>
    <w:rsid w:val="2AA46C97"/>
    <w:rsid w:val="2ADE38AE"/>
    <w:rsid w:val="2B257C36"/>
    <w:rsid w:val="2B2F29A0"/>
    <w:rsid w:val="2BA8115C"/>
    <w:rsid w:val="2C0B3750"/>
    <w:rsid w:val="2C0B73C8"/>
    <w:rsid w:val="2C187CC6"/>
    <w:rsid w:val="2C4E1D94"/>
    <w:rsid w:val="2C880CFA"/>
    <w:rsid w:val="2C8F222E"/>
    <w:rsid w:val="2CED089D"/>
    <w:rsid w:val="2D09034B"/>
    <w:rsid w:val="2D31727E"/>
    <w:rsid w:val="2D7E77E3"/>
    <w:rsid w:val="2D931E76"/>
    <w:rsid w:val="2DA26DDD"/>
    <w:rsid w:val="2DB74F53"/>
    <w:rsid w:val="2DB97485"/>
    <w:rsid w:val="2DF93A69"/>
    <w:rsid w:val="2E077529"/>
    <w:rsid w:val="2E0D3E8E"/>
    <w:rsid w:val="2E1B14D5"/>
    <w:rsid w:val="2E5D30E7"/>
    <w:rsid w:val="2E6801AF"/>
    <w:rsid w:val="2E9469D9"/>
    <w:rsid w:val="2E9E3053"/>
    <w:rsid w:val="2F0D723B"/>
    <w:rsid w:val="2F0E72A2"/>
    <w:rsid w:val="2F1A43C9"/>
    <w:rsid w:val="2F367926"/>
    <w:rsid w:val="2F4475BF"/>
    <w:rsid w:val="2F543264"/>
    <w:rsid w:val="2F9E1627"/>
    <w:rsid w:val="2FA200F5"/>
    <w:rsid w:val="2FAB6C88"/>
    <w:rsid w:val="2FF762B7"/>
    <w:rsid w:val="3023482F"/>
    <w:rsid w:val="303845C1"/>
    <w:rsid w:val="303E047C"/>
    <w:rsid w:val="30BD5A4F"/>
    <w:rsid w:val="30C47229"/>
    <w:rsid w:val="30E066B8"/>
    <w:rsid w:val="30EF5A83"/>
    <w:rsid w:val="30F37830"/>
    <w:rsid w:val="30F902EA"/>
    <w:rsid w:val="310846E5"/>
    <w:rsid w:val="31451072"/>
    <w:rsid w:val="31885096"/>
    <w:rsid w:val="318B18EE"/>
    <w:rsid w:val="31E37053"/>
    <w:rsid w:val="32011C0F"/>
    <w:rsid w:val="321D7269"/>
    <w:rsid w:val="321E3175"/>
    <w:rsid w:val="3271444E"/>
    <w:rsid w:val="328738CD"/>
    <w:rsid w:val="32B34592"/>
    <w:rsid w:val="32CD524A"/>
    <w:rsid w:val="32D05BEE"/>
    <w:rsid w:val="32D7238D"/>
    <w:rsid w:val="32E744DB"/>
    <w:rsid w:val="32F3504D"/>
    <w:rsid w:val="333A4A31"/>
    <w:rsid w:val="338E34A8"/>
    <w:rsid w:val="33955F91"/>
    <w:rsid w:val="33DE475E"/>
    <w:rsid w:val="33E52369"/>
    <w:rsid w:val="33EC6631"/>
    <w:rsid w:val="33FA05BB"/>
    <w:rsid w:val="34135560"/>
    <w:rsid w:val="34290B77"/>
    <w:rsid w:val="34512615"/>
    <w:rsid w:val="348A76E8"/>
    <w:rsid w:val="34B47F8E"/>
    <w:rsid w:val="34BB4D2A"/>
    <w:rsid w:val="35194817"/>
    <w:rsid w:val="35202BA4"/>
    <w:rsid w:val="352525E4"/>
    <w:rsid w:val="358838F4"/>
    <w:rsid w:val="358E6188"/>
    <w:rsid w:val="35987D28"/>
    <w:rsid w:val="35A50C49"/>
    <w:rsid w:val="35A87AF3"/>
    <w:rsid w:val="35C847FA"/>
    <w:rsid w:val="35F53705"/>
    <w:rsid w:val="36063E9A"/>
    <w:rsid w:val="36203281"/>
    <w:rsid w:val="36211EDA"/>
    <w:rsid w:val="36233036"/>
    <w:rsid w:val="362753B4"/>
    <w:rsid w:val="368B3B0A"/>
    <w:rsid w:val="36ED4BFB"/>
    <w:rsid w:val="37443FF0"/>
    <w:rsid w:val="377A5D71"/>
    <w:rsid w:val="37826A6B"/>
    <w:rsid w:val="378E64BD"/>
    <w:rsid w:val="37B655F7"/>
    <w:rsid w:val="37F35C3D"/>
    <w:rsid w:val="37FA2D45"/>
    <w:rsid w:val="380610A9"/>
    <w:rsid w:val="38224922"/>
    <w:rsid w:val="384B11BC"/>
    <w:rsid w:val="386F62B8"/>
    <w:rsid w:val="3882414D"/>
    <w:rsid w:val="38A35835"/>
    <w:rsid w:val="38A4662A"/>
    <w:rsid w:val="38AF2BBC"/>
    <w:rsid w:val="38DF671D"/>
    <w:rsid w:val="391D7E0B"/>
    <w:rsid w:val="39361971"/>
    <w:rsid w:val="39460A64"/>
    <w:rsid w:val="39660497"/>
    <w:rsid w:val="399B13E6"/>
    <w:rsid w:val="39BB5D97"/>
    <w:rsid w:val="39C711D1"/>
    <w:rsid w:val="39CA6372"/>
    <w:rsid w:val="3A1738C4"/>
    <w:rsid w:val="3ACC10C7"/>
    <w:rsid w:val="3AEC683B"/>
    <w:rsid w:val="3B1D47DF"/>
    <w:rsid w:val="3B441E0D"/>
    <w:rsid w:val="3B4516B4"/>
    <w:rsid w:val="3B62491D"/>
    <w:rsid w:val="3B7E5B2B"/>
    <w:rsid w:val="3B895BC8"/>
    <w:rsid w:val="3BA76847"/>
    <w:rsid w:val="3BAF0F71"/>
    <w:rsid w:val="3BE53167"/>
    <w:rsid w:val="3C1F67E1"/>
    <w:rsid w:val="3C3263F5"/>
    <w:rsid w:val="3C4A1E61"/>
    <w:rsid w:val="3C4B35E8"/>
    <w:rsid w:val="3C4D3B52"/>
    <w:rsid w:val="3C667DC0"/>
    <w:rsid w:val="3C6D639F"/>
    <w:rsid w:val="3D4071C1"/>
    <w:rsid w:val="3D4225DB"/>
    <w:rsid w:val="3D716F95"/>
    <w:rsid w:val="3D841FF4"/>
    <w:rsid w:val="3DD362C5"/>
    <w:rsid w:val="3DF75341"/>
    <w:rsid w:val="3E3631DC"/>
    <w:rsid w:val="3E78202C"/>
    <w:rsid w:val="3E885FA9"/>
    <w:rsid w:val="3E944B39"/>
    <w:rsid w:val="3EBE6EF2"/>
    <w:rsid w:val="3EC266DA"/>
    <w:rsid w:val="3EC63C56"/>
    <w:rsid w:val="3ECD2927"/>
    <w:rsid w:val="3F0C02D1"/>
    <w:rsid w:val="3F131C8D"/>
    <w:rsid w:val="3F164A3D"/>
    <w:rsid w:val="3F194038"/>
    <w:rsid w:val="3F5D102F"/>
    <w:rsid w:val="3F6A5356"/>
    <w:rsid w:val="3F7F0829"/>
    <w:rsid w:val="3FBB5466"/>
    <w:rsid w:val="3FC24DBD"/>
    <w:rsid w:val="3FFE5A34"/>
    <w:rsid w:val="40157C88"/>
    <w:rsid w:val="402A2267"/>
    <w:rsid w:val="403A1C8F"/>
    <w:rsid w:val="408A49C4"/>
    <w:rsid w:val="408D1A72"/>
    <w:rsid w:val="40BF3481"/>
    <w:rsid w:val="40C43710"/>
    <w:rsid w:val="40D379EC"/>
    <w:rsid w:val="40E93F24"/>
    <w:rsid w:val="41283D86"/>
    <w:rsid w:val="416E1291"/>
    <w:rsid w:val="419D2D01"/>
    <w:rsid w:val="41BA1BF0"/>
    <w:rsid w:val="41E77E27"/>
    <w:rsid w:val="42335445"/>
    <w:rsid w:val="423558AD"/>
    <w:rsid w:val="428E0425"/>
    <w:rsid w:val="42A76A5F"/>
    <w:rsid w:val="42AB020C"/>
    <w:rsid w:val="42CD50FE"/>
    <w:rsid w:val="42D04EB0"/>
    <w:rsid w:val="42FA1CF4"/>
    <w:rsid w:val="430E77E0"/>
    <w:rsid w:val="43320581"/>
    <w:rsid w:val="434404B8"/>
    <w:rsid w:val="43673AC6"/>
    <w:rsid w:val="43AC70E5"/>
    <w:rsid w:val="43AD7D73"/>
    <w:rsid w:val="43B83EED"/>
    <w:rsid w:val="43F63E43"/>
    <w:rsid w:val="4406358E"/>
    <w:rsid w:val="4411751E"/>
    <w:rsid w:val="44207664"/>
    <w:rsid w:val="44304265"/>
    <w:rsid w:val="443C3C76"/>
    <w:rsid w:val="449C3E2A"/>
    <w:rsid w:val="44DD08CC"/>
    <w:rsid w:val="44E5153B"/>
    <w:rsid w:val="44ED72D0"/>
    <w:rsid w:val="44F7735C"/>
    <w:rsid w:val="44F817CA"/>
    <w:rsid w:val="45434DFE"/>
    <w:rsid w:val="45582CE4"/>
    <w:rsid w:val="458D76F7"/>
    <w:rsid w:val="45EE72E3"/>
    <w:rsid w:val="45FC78B1"/>
    <w:rsid w:val="46161B84"/>
    <w:rsid w:val="46187956"/>
    <w:rsid w:val="46502178"/>
    <w:rsid w:val="465075EA"/>
    <w:rsid w:val="466047EF"/>
    <w:rsid w:val="467557CF"/>
    <w:rsid w:val="46832EC4"/>
    <w:rsid w:val="468334EF"/>
    <w:rsid w:val="46EC3CCB"/>
    <w:rsid w:val="46F727B9"/>
    <w:rsid w:val="47103E84"/>
    <w:rsid w:val="47162F74"/>
    <w:rsid w:val="471D2D20"/>
    <w:rsid w:val="474C0240"/>
    <w:rsid w:val="47B70069"/>
    <w:rsid w:val="47B9016C"/>
    <w:rsid w:val="47BA5346"/>
    <w:rsid w:val="47CC1EE8"/>
    <w:rsid w:val="47F74E44"/>
    <w:rsid w:val="47FD2A3E"/>
    <w:rsid w:val="47FD4A05"/>
    <w:rsid w:val="481257DB"/>
    <w:rsid w:val="48177CEE"/>
    <w:rsid w:val="48402A51"/>
    <w:rsid w:val="48551578"/>
    <w:rsid w:val="487123E0"/>
    <w:rsid w:val="48CB6925"/>
    <w:rsid w:val="48DC67EF"/>
    <w:rsid w:val="48E254E3"/>
    <w:rsid w:val="492055D0"/>
    <w:rsid w:val="492D638D"/>
    <w:rsid w:val="49405B43"/>
    <w:rsid w:val="495719EC"/>
    <w:rsid w:val="49656870"/>
    <w:rsid w:val="498A34DB"/>
    <w:rsid w:val="49A10856"/>
    <w:rsid w:val="4A210409"/>
    <w:rsid w:val="4A736BF8"/>
    <w:rsid w:val="4A8218F9"/>
    <w:rsid w:val="4A854500"/>
    <w:rsid w:val="4AB54369"/>
    <w:rsid w:val="4B1352A9"/>
    <w:rsid w:val="4B15559C"/>
    <w:rsid w:val="4B201F64"/>
    <w:rsid w:val="4B210482"/>
    <w:rsid w:val="4B31495A"/>
    <w:rsid w:val="4B3D74C1"/>
    <w:rsid w:val="4B791924"/>
    <w:rsid w:val="4B9B1400"/>
    <w:rsid w:val="4BE9028E"/>
    <w:rsid w:val="4BE94B06"/>
    <w:rsid w:val="4C357668"/>
    <w:rsid w:val="4C503513"/>
    <w:rsid w:val="4C596654"/>
    <w:rsid w:val="4C9B62BB"/>
    <w:rsid w:val="4CDB5179"/>
    <w:rsid w:val="4D02062E"/>
    <w:rsid w:val="4D1678EF"/>
    <w:rsid w:val="4D255941"/>
    <w:rsid w:val="4D4011A6"/>
    <w:rsid w:val="4DCF5796"/>
    <w:rsid w:val="4E3046D1"/>
    <w:rsid w:val="4E46382D"/>
    <w:rsid w:val="4E816CDB"/>
    <w:rsid w:val="4EA7301B"/>
    <w:rsid w:val="4EBC3EF5"/>
    <w:rsid w:val="4EEC68B2"/>
    <w:rsid w:val="4F1204ED"/>
    <w:rsid w:val="4F392B9B"/>
    <w:rsid w:val="4F7C41D4"/>
    <w:rsid w:val="4F994A0F"/>
    <w:rsid w:val="4FB7012D"/>
    <w:rsid w:val="4FEC1056"/>
    <w:rsid w:val="4FF03193"/>
    <w:rsid w:val="4FF97D5B"/>
    <w:rsid w:val="500F77C7"/>
    <w:rsid w:val="50AC6291"/>
    <w:rsid w:val="50B10D36"/>
    <w:rsid w:val="510F6FF3"/>
    <w:rsid w:val="511B0BB5"/>
    <w:rsid w:val="51417324"/>
    <w:rsid w:val="514E3444"/>
    <w:rsid w:val="515B2D5B"/>
    <w:rsid w:val="51BB2A6F"/>
    <w:rsid w:val="521468B3"/>
    <w:rsid w:val="521C3F67"/>
    <w:rsid w:val="528D4ADB"/>
    <w:rsid w:val="52962737"/>
    <w:rsid w:val="529A52D7"/>
    <w:rsid w:val="52C72EFE"/>
    <w:rsid w:val="52D723B2"/>
    <w:rsid w:val="52E6502D"/>
    <w:rsid w:val="53234805"/>
    <w:rsid w:val="53612DE6"/>
    <w:rsid w:val="538074FC"/>
    <w:rsid w:val="53E23C48"/>
    <w:rsid w:val="54153B2A"/>
    <w:rsid w:val="541D77BD"/>
    <w:rsid w:val="54434E54"/>
    <w:rsid w:val="54444C5E"/>
    <w:rsid w:val="54A77464"/>
    <w:rsid w:val="54B71354"/>
    <w:rsid w:val="54BD2153"/>
    <w:rsid w:val="54E447C7"/>
    <w:rsid w:val="54EE6E71"/>
    <w:rsid w:val="550211AF"/>
    <w:rsid w:val="55025FEA"/>
    <w:rsid w:val="551A0823"/>
    <w:rsid w:val="55216902"/>
    <w:rsid w:val="556C4241"/>
    <w:rsid w:val="55701C2A"/>
    <w:rsid w:val="55724C5B"/>
    <w:rsid w:val="55907F8D"/>
    <w:rsid w:val="5593070C"/>
    <w:rsid w:val="559D2D4D"/>
    <w:rsid w:val="559D44BF"/>
    <w:rsid w:val="55AB4717"/>
    <w:rsid w:val="55B179A0"/>
    <w:rsid w:val="55E75FFB"/>
    <w:rsid w:val="56312035"/>
    <w:rsid w:val="566A4013"/>
    <w:rsid w:val="566C593F"/>
    <w:rsid w:val="567E7EB5"/>
    <w:rsid w:val="56897873"/>
    <w:rsid w:val="56C9677C"/>
    <w:rsid w:val="56D653C3"/>
    <w:rsid w:val="57276637"/>
    <w:rsid w:val="57603931"/>
    <w:rsid w:val="57A816B5"/>
    <w:rsid w:val="57AA2216"/>
    <w:rsid w:val="57D84F42"/>
    <w:rsid w:val="57F47EB1"/>
    <w:rsid w:val="57F56196"/>
    <w:rsid w:val="5815258B"/>
    <w:rsid w:val="581E0235"/>
    <w:rsid w:val="583152CE"/>
    <w:rsid w:val="5832626C"/>
    <w:rsid w:val="583D784D"/>
    <w:rsid w:val="58430452"/>
    <w:rsid w:val="586065FA"/>
    <w:rsid w:val="589B1FA6"/>
    <w:rsid w:val="58CA48C1"/>
    <w:rsid w:val="58DA1FEF"/>
    <w:rsid w:val="59102496"/>
    <w:rsid w:val="5913345A"/>
    <w:rsid w:val="59204367"/>
    <w:rsid w:val="592D1629"/>
    <w:rsid w:val="593F72E6"/>
    <w:rsid w:val="596367FF"/>
    <w:rsid w:val="59CE0147"/>
    <w:rsid w:val="5A076430"/>
    <w:rsid w:val="5A373B7A"/>
    <w:rsid w:val="5A406ED7"/>
    <w:rsid w:val="5A407735"/>
    <w:rsid w:val="5A425CB4"/>
    <w:rsid w:val="5A4420E9"/>
    <w:rsid w:val="5A7E375D"/>
    <w:rsid w:val="5A8D6BFD"/>
    <w:rsid w:val="5A8D7133"/>
    <w:rsid w:val="5ADA6297"/>
    <w:rsid w:val="5AEA6513"/>
    <w:rsid w:val="5B1669C9"/>
    <w:rsid w:val="5B3D7DA1"/>
    <w:rsid w:val="5B754EAE"/>
    <w:rsid w:val="5BC92FE2"/>
    <w:rsid w:val="5BE03C01"/>
    <w:rsid w:val="5BEC60DC"/>
    <w:rsid w:val="5BEF6D29"/>
    <w:rsid w:val="5C1325F5"/>
    <w:rsid w:val="5C187F3C"/>
    <w:rsid w:val="5C1B12E8"/>
    <w:rsid w:val="5CC8442B"/>
    <w:rsid w:val="5CE820E5"/>
    <w:rsid w:val="5D6A14D2"/>
    <w:rsid w:val="5D6B3030"/>
    <w:rsid w:val="5D772B57"/>
    <w:rsid w:val="5DAF3045"/>
    <w:rsid w:val="5DB864EC"/>
    <w:rsid w:val="5E033A59"/>
    <w:rsid w:val="5E1C4DEE"/>
    <w:rsid w:val="5E2B4D2B"/>
    <w:rsid w:val="5E7005D8"/>
    <w:rsid w:val="5E994F2F"/>
    <w:rsid w:val="5EB272D1"/>
    <w:rsid w:val="5EBA601D"/>
    <w:rsid w:val="5F3C21BB"/>
    <w:rsid w:val="5F4C4D8C"/>
    <w:rsid w:val="5F506A56"/>
    <w:rsid w:val="5F656BBE"/>
    <w:rsid w:val="5F703D10"/>
    <w:rsid w:val="5F7D0273"/>
    <w:rsid w:val="5F8A08C7"/>
    <w:rsid w:val="5F9C44BD"/>
    <w:rsid w:val="5FBD7995"/>
    <w:rsid w:val="5FF81911"/>
    <w:rsid w:val="603622AE"/>
    <w:rsid w:val="605A3842"/>
    <w:rsid w:val="609965FC"/>
    <w:rsid w:val="60AE3960"/>
    <w:rsid w:val="60C11ADB"/>
    <w:rsid w:val="60D27D19"/>
    <w:rsid w:val="60DC0432"/>
    <w:rsid w:val="60F26278"/>
    <w:rsid w:val="60FA77A8"/>
    <w:rsid w:val="616425BD"/>
    <w:rsid w:val="61784C47"/>
    <w:rsid w:val="617E5D5F"/>
    <w:rsid w:val="61815B25"/>
    <w:rsid w:val="619607DF"/>
    <w:rsid w:val="61CD250B"/>
    <w:rsid w:val="61D4758A"/>
    <w:rsid w:val="61E514C9"/>
    <w:rsid w:val="62244B6F"/>
    <w:rsid w:val="622D64F2"/>
    <w:rsid w:val="625B0771"/>
    <w:rsid w:val="62A268BB"/>
    <w:rsid w:val="62A72D5C"/>
    <w:rsid w:val="62C70F10"/>
    <w:rsid w:val="62D91D86"/>
    <w:rsid w:val="631D12A7"/>
    <w:rsid w:val="633E564D"/>
    <w:rsid w:val="634818B2"/>
    <w:rsid w:val="63A36368"/>
    <w:rsid w:val="63A46D27"/>
    <w:rsid w:val="63E14ED8"/>
    <w:rsid w:val="63EF49BB"/>
    <w:rsid w:val="63F16FB9"/>
    <w:rsid w:val="640706A3"/>
    <w:rsid w:val="642721E0"/>
    <w:rsid w:val="6442442C"/>
    <w:rsid w:val="6451160C"/>
    <w:rsid w:val="646B5C3B"/>
    <w:rsid w:val="6470257C"/>
    <w:rsid w:val="648C2BF5"/>
    <w:rsid w:val="64A5151D"/>
    <w:rsid w:val="64C00328"/>
    <w:rsid w:val="64C02546"/>
    <w:rsid w:val="64C71494"/>
    <w:rsid w:val="64C8752F"/>
    <w:rsid w:val="64E07CE0"/>
    <w:rsid w:val="64E268AD"/>
    <w:rsid w:val="64E70B16"/>
    <w:rsid w:val="64EA3DF2"/>
    <w:rsid w:val="64FA01E9"/>
    <w:rsid w:val="6512265A"/>
    <w:rsid w:val="65194AE2"/>
    <w:rsid w:val="6577337E"/>
    <w:rsid w:val="65914422"/>
    <w:rsid w:val="65983C9F"/>
    <w:rsid w:val="659E7E60"/>
    <w:rsid w:val="65E15826"/>
    <w:rsid w:val="65FF6A10"/>
    <w:rsid w:val="66020763"/>
    <w:rsid w:val="666C7DEF"/>
    <w:rsid w:val="667F69B7"/>
    <w:rsid w:val="66A42511"/>
    <w:rsid w:val="66D93A20"/>
    <w:rsid w:val="670A3D2E"/>
    <w:rsid w:val="670E064B"/>
    <w:rsid w:val="67152740"/>
    <w:rsid w:val="67550DBE"/>
    <w:rsid w:val="6759544A"/>
    <w:rsid w:val="678C42CF"/>
    <w:rsid w:val="681B3B74"/>
    <w:rsid w:val="68241258"/>
    <w:rsid w:val="683F6A51"/>
    <w:rsid w:val="68654188"/>
    <w:rsid w:val="686D231A"/>
    <w:rsid w:val="688F42E7"/>
    <w:rsid w:val="68BA4779"/>
    <w:rsid w:val="68DA102D"/>
    <w:rsid w:val="68EE34D3"/>
    <w:rsid w:val="690430FB"/>
    <w:rsid w:val="69490C6B"/>
    <w:rsid w:val="695B05B8"/>
    <w:rsid w:val="695E1B81"/>
    <w:rsid w:val="697241B5"/>
    <w:rsid w:val="699F29DF"/>
    <w:rsid w:val="69AB140F"/>
    <w:rsid w:val="69AB4E06"/>
    <w:rsid w:val="69B961FD"/>
    <w:rsid w:val="69DA7267"/>
    <w:rsid w:val="6A244106"/>
    <w:rsid w:val="6A764D12"/>
    <w:rsid w:val="6A905372"/>
    <w:rsid w:val="6A9A1FF3"/>
    <w:rsid w:val="6A9E29F4"/>
    <w:rsid w:val="6AAA66BD"/>
    <w:rsid w:val="6AAF0A00"/>
    <w:rsid w:val="6AB701CA"/>
    <w:rsid w:val="6ABF6F65"/>
    <w:rsid w:val="6ACE1FD7"/>
    <w:rsid w:val="6AD8254B"/>
    <w:rsid w:val="6AEA47AB"/>
    <w:rsid w:val="6B227368"/>
    <w:rsid w:val="6B561170"/>
    <w:rsid w:val="6B80566A"/>
    <w:rsid w:val="6B8E482F"/>
    <w:rsid w:val="6BAD72D0"/>
    <w:rsid w:val="6BD95B27"/>
    <w:rsid w:val="6BFA2EE6"/>
    <w:rsid w:val="6C2D5C19"/>
    <w:rsid w:val="6C5B408D"/>
    <w:rsid w:val="6C915E88"/>
    <w:rsid w:val="6C930236"/>
    <w:rsid w:val="6CC200BE"/>
    <w:rsid w:val="6CC77E3B"/>
    <w:rsid w:val="6CCB77F4"/>
    <w:rsid w:val="6CF34041"/>
    <w:rsid w:val="6D1E4468"/>
    <w:rsid w:val="6D243A13"/>
    <w:rsid w:val="6D293AB8"/>
    <w:rsid w:val="6D323E92"/>
    <w:rsid w:val="6D4A67DD"/>
    <w:rsid w:val="6D604217"/>
    <w:rsid w:val="6D633BFB"/>
    <w:rsid w:val="6D725D15"/>
    <w:rsid w:val="6D732E5A"/>
    <w:rsid w:val="6D921676"/>
    <w:rsid w:val="6D95176A"/>
    <w:rsid w:val="6D9B441B"/>
    <w:rsid w:val="6DBE538E"/>
    <w:rsid w:val="6DCF1E00"/>
    <w:rsid w:val="6DCF266C"/>
    <w:rsid w:val="6E361CC3"/>
    <w:rsid w:val="6E553249"/>
    <w:rsid w:val="6E7D2BC3"/>
    <w:rsid w:val="6EA27D34"/>
    <w:rsid w:val="6EAC575D"/>
    <w:rsid w:val="6ECD076F"/>
    <w:rsid w:val="6EE47B4F"/>
    <w:rsid w:val="6EE97134"/>
    <w:rsid w:val="6F0324B8"/>
    <w:rsid w:val="6F091190"/>
    <w:rsid w:val="6F2D032F"/>
    <w:rsid w:val="6F361F10"/>
    <w:rsid w:val="6F3B2C38"/>
    <w:rsid w:val="6F690A79"/>
    <w:rsid w:val="6FBC061A"/>
    <w:rsid w:val="6FDC2C0C"/>
    <w:rsid w:val="6FED062B"/>
    <w:rsid w:val="6FF04672"/>
    <w:rsid w:val="6FFF58CF"/>
    <w:rsid w:val="70003AAC"/>
    <w:rsid w:val="70147DF3"/>
    <w:rsid w:val="701B3AAA"/>
    <w:rsid w:val="705D7638"/>
    <w:rsid w:val="706F2B70"/>
    <w:rsid w:val="707A7ECE"/>
    <w:rsid w:val="70837300"/>
    <w:rsid w:val="708A63FB"/>
    <w:rsid w:val="7092760F"/>
    <w:rsid w:val="70B83C40"/>
    <w:rsid w:val="714802B0"/>
    <w:rsid w:val="71583C9A"/>
    <w:rsid w:val="71791D68"/>
    <w:rsid w:val="71876B0B"/>
    <w:rsid w:val="71A4258C"/>
    <w:rsid w:val="71A861A9"/>
    <w:rsid w:val="71B479B2"/>
    <w:rsid w:val="71B62E6D"/>
    <w:rsid w:val="71C00BCE"/>
    <w:rsid w:val="71C5500F"/>
    <w:rsid w:val="71F33A73"/>
    <w:rsid w:val="722166C3"/>
    <w:rsid w:val="723E400B"/>
    <w:rsid w:val="72580F09"/>
    <w:rsid w:val="7276287E"/>
    <w:rsid w:val="72A14B92"/>
    <w:rsid w:val="72AE160F"/>
    <w:rsid w:val="72B5273C"/>
    <w:rsid w:val="72D75E82"/>
    <w:rsid w:val="731E7FAE"/>
    <w:rsid w:val="73215E84"/>
    <w:rsid w:val="735E58C0"/>
    <w:rsid w:val="73610D33"/>
    <w:rsid w:val="73695E9E"/>
    <w:rsid w:val="7383596D"/>
    <w:rsid w:val="74221C9A"/>
    <w:rsid w:val="74314DD6"/>
    <w:rsid w:val="744045FF"/>
    <w:rsid w:val="74604020"/>
    <w:rsid w:val="74846C36"/>
    <w:rsid w:val="74895097"/>
    <w:rsid w:val="74A673D4"/>
    <w:rsid w:val="74F24C72"/>
    <w:rsid w:val="7542223F"/>
    <w:rsid w:val="758B3078"/>
    <w:rsid w:val="75A53860"/>
    <w:rsid w:val="75B4584F"/>
    <w:rsid w:val="75EB4BA5"/>
    <w:rsid w:val="760463E6"/>
    <w:rsid w:val="762E4504"/>
    <w:rsid w:val="76316D8C"/>
    <w:rsid w:val="76346CF4"/>
    <w:rsid w:val="764E542E"/>
    <w:rsid w:val="765B5D07"/>
    <w:rsid w:val="76A12B58"/>
    <w:rsid w:val="76A376B3"/>
    <w:rsid w:val="76C17980"/>
    <w:rsid w:val="76CB0669"/>
    <w:rsid w:val="776C5A44"/>
    <w:rsid w:val="7785743E"/>
    <w:rsid w:val="77962B28"/>
    <w:rsid w:val="779B402E"/>
    <w:rsid w:val="77A16947"/>
    <w:rsid w:val="77D724A8"/>
    <w:rsid w:val="77E61423"/>
    <w:rsid w:val="78403C53"/>
    <w:rsid w:val="78644BC3"/>
    <w:rsid w:val="786C0C1A"/>
    <w:rsid w:val="7885526B"/>
    <w:rsid w:val="789062B1"/>
    <w:rsid w:val="78C50B82"/>
    <w:rsid w:val="78F13856"/>
    <w:rsid w:val="792D15E4"/>
    <w:rsid w:val="79491CC5"/>
    <w:rsid w:val="79645594"/>
    <w:rsid w:val="7972250A"/>
    <w:rsid w:val="797B18FD"/>
    <w:rsid w:val="79CF60CB"/>
    <w:rsid w:val="79F701DE"/>
    <w:rsid w:val="79FA77BE"/>
    <w:rsid w:val="7A036672"/>
    <w:rsid w:val="7A1140B3"/>
    <w:rsid w:val="7A1C7560"/>
    <w:rsid w:val="7A3A17F7"/>
    <w:rsid w:val="7A4866D6"/>
    <w:rsid w:val="7A6C46FD"/>
    <w:rsid w:val="7A784FAA"/>
    <w:rsid w:val="7A7D5F38"/>
    <w:rsid w:val="7AB777C7"/>
    <w:rsid w:val="7ABC0EF6"/>
    <w:rsid w:val="7B032E6F"/>
    <w:rsid w:val="7B287973"/>
    <w:rsid w:val="7B296605"/>
    <w:rsid w:val="7B3A2533"/>
    <w:rsid w:val="7B745BE2"/>
    <w:rsid w:val="7B7C688E"/>
    <w:rsid w:val="7B80705D"/>
    <w:rsid w:val="7BC50A86"/>
    <w:rsid w:val="7BC614A9"/>
    <w:rsid w:val="7BD03BF0"/>
    <w:rsid w:val="7C093CE8"/>
    <w:rsid w:val="7C7044AF"/>
    <w:rsid w:val="7C8810B1"/>
    <w:rsid w:val="7C8E04B5"/>
    <w:rsid w:val="7C981F95"/>
    <w:rsid w:val="7CBB2E8C"/>
    <w:rsid w:val="7CBD2A6C"/>
    <w:rsid w:val="7CC7057A"/>
    <w:rsid w:val="7CEF33DA"/>
    <w:rsid w:val="7CF56BE1"/>
    <w:rsid w:val="7D094D05"/>
    <w:rsid w:val="7D291FA0"/>
    <w:rsid w:val="7D334242"/>
    <w:rsid w:val="7D40058A"/>
    <w:rsid w:val="7D90557F"/>
    <w:rsid w:val="7DC60192"/>
    <w:rsid w:val="7DEB340E"/>
    <w:rsid w:val="7E7A2986"/>
    <w:rsid w:val="7E7F1AD5"/>
    <w:rsid w:val="7E9F72B9"/>
    <w:rsid w:val="7EAE7190"/>
    <w:rsid w:val="7EB03566"/>
    <w:rsid w:val="7EE21C55"/>
    <w:rsid w:val="7EE3162A"/>
    <w:rsid w:val="7F155026"/>
    <w:rsid w:val="7F1A56DC"/>
    <w:rsid w:val="7F273959"/>
    <w:rsid w:val="7F4D71F3"/>
    <w:rsid w:val="7F5923A2"/>
    <w:rsid w:val="7F7331FE"/>
    <w:rsid w:val="7F85704F"/>
    <w:rsid w:val="7F8855EB"/>
    <w:rsid w:val="7FAA399B"/>
    <w:rsid w:val="7FE03D04"/>
    <w:rsid w:val="7FE231CE"/>
    <w:rsid w:val="7FFD12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name="Salutation"/>
    <w:lsdException w:qFormat="1" w:unhideWhenUsed="0" w:uiPriority="99" w:semiHidden="0" w:name="Date"/>
    <w:lsdException w:qFormat="1" w:unhideWhenUsed="0" w:uiPriority="0" w:semiHidden="0" w:name="Body Text First Indent" w:locked="1"/>
    <w:lsdException w:qFormat="1" w:unhideWhenUsed="0" w:uiPriority="0" w:semiHidden="0" w:name="Body Text First Indent 2" w:locked="1"/>
    <w:lsdException w:qFormat="1" w:unhideWhenUsed="0" w:uiPriority="99" w:name="Note Heading"/>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62"/>
    <w:qFormat/>
    <w:uiPriority w:val="99"/>
    <w:pPr>
      <w:numPr>
        <w:ilvl w:val="0"/>
        <w:numId w:val="1"/>
      </w:numPr>
      <w:overflowPunct w:val="0"/>
      <w:autoSpaceDE w:val="0"/>
      <w:autoSpaceDN w:val="0"/>
      <w:adjustRightInd w:val="0"/>
      <w:snapToGrid w:val="0"/>
      <w:spacing w:before="120" w:line="360" w:lineRule="auto"/>
      <w:textAlignment w:val="baseline"/>
      <w:outlineLvl w:val="0"/>
    </w:pPr>
    <w:rPr>
      <w:rFonts w:eastAsia="理德小标宋简"/>
      <w:b/>
      <w:bCs/>
      <w:kern w:val="44"/>
      <w:sz w:val="28"/>
      <w:szCs w:val="28"/>
    </w:rPr>
  </w:style>
  <w:style w:type="paragraph" w:styleId="4">
    <w:name w:val="heading 2"/>
    <w:basedOn w:val="1"/>
    <w:next w:val="1"/>
    <w:link w:val="63"/>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64"/>
    <w:qFormat/>
    <w:uiPriority w:val="99"/>
    <w:pPr>
      <w:keepNext/>
      <w:keepLines/>
      <w:spacing w:before="260" w:after="260" w:line="416" w:lineRule="auto"/>
      <w:outlineLvl w:val="2"/>
    </w:pPr>
    <w:rPr>
      <w:b/>
      <w:bCs/>
      <w:sz w:val="32"/>
      <w:szCs w:val="32"/>
    </w:rPr>
  </w:style>
  <w:style w:type="paragraph" w:styleId="6">
    <w:name w:val="heading 4"/>
    <w:basedOn w:val="1"/>
    <w:next w:val="1"/>
    <w:link w:val="65"/>
    <w:qFormat/>
    <w:uiPriority w:val="99"/>
    <w:pPr>
      <w:keepNext/>
      <w:keepLines/>
      <w:spacing w:line="360" w:lineRule="auto"/>
      <w:jc w:val="center"/>
      <w:outlineLvl w:val="3"/>
    </w:pPr>
    <w:rPr>
      <w:rFonts w:ascii="Cambria" w:hAnsi="Cambria" w:cs="Cambria"/>
      <w:b/>
      <w:bCs/>
      <w:sz w:val="28"/>
      <w:szCs w:val="28"/>
    </w:rPr>
  </w:style>
  <w:style w:type="paragraph" w:styleId="7">
    <w:name w:val="heading 5"/>
    <w:basedOn w:val="1"/>
    <w:next w:val="8"/>
    <w:link w:val="66"/>
    <w:qFormat/>
    <w:uiPriority w:val="99"/>
    <w:pPr>
      <w:keepNext/>
      <w:keepLines/>
      <w:spacing w:before="280" w:after="290" w:line="376" w:lineRule="auto"/>
      <w:outlineLvl w:val="4"/>
    </w:pPr>
    <w:rPr>
      <w:b/>
      <w:bCs/>
      <w:sz w:val="28"/>
      <w:szCs w:val="28"/>
    </w:rPr>
  </w:style>
  <w:style w:type="paragraph" w:styleId="9">
    <w:name w:val="heading 6"/>
    <w:basedOn w:val="1"/>
    <w:next w:val="1"/>
    <w:link w:val="67"/>
    <w:qFormat/>
    <w:uiPriority w:val="99"/>
    <w:pPr>
      <w:keepNext/>
      <w:keepLines/>
      <w:spacing w:before="240" w:after="64" w:line="316" w:lineRule="auto"/>
      <w:outlineLvl w:val="5"/>
    </w:pPr>
    <w:rPr>
      <w:rFonts w:ascii="Cambria" w:hAnsi="Cambria" w:cs="Cambria"/>
      <w:b/>
      <w:bCs/>
      <w:sz w:val="24"/>
      <w:szCs w:val="24"/>
    </w:rPr>
  </w:style>
  <w:style w:type="paragraph" w:styleId="10">
    <w:name w:val="heading 7"/>
    <w:basedOn w:val="1"/>
    <w:next w:val="1"/>
    <w:link w:val="68"/>
    <w:qFormat/>
    <w:uiPriority w:val="99"/>
    <w:pPr>
      <w:keepNext/>
      <w:keepLines/>
      <w:spacing w:before="240" w:after="64" w:line="316" w:lineRule="auto"/>
      <w:outlineLvl w:val="6"/>
    </w:pPr>
    <w:rPr>
      <w:rFonts w:ascii="Calibri" w:hAnsi="Calibri" w:cs="Calibri"/>
      <w:b/>
      <w:bCs/>
      <w:sz w:val="24"/>
      <w:szCs w:val="24"/>
    </w:rPr>
  </w:style>
  <w:style w:type="paragraph" w:styleId="11">
    <w:name w:val="heading 8"/>
    <w:basedOn w:val="1"/>
    <w:next w:val="1"/>
    <w:link w:val="69"/>
    <w:qFormat/>
    <w:uiPriority w:val="99"/>
    <w:pPr>
      <w:keepNext/>
      <w:keepLines/>
      <w:spacing w:before="240" w:after="64" w:line="316" w:lineRule="auto"/>
      <w:outlineLvl w:val="7"/>
    </w:pPr>
    <w:rPr>
      <w:rFonts w:ascii="Cambria" w:hAnsi="Cambria" w:cs="Cambria"/>
      <w:sz w:val="24"/>
      <w:szCs w:val="24"/>
    </w:rPr>
  </w:style>
  <w:style w:type="paragraph" w:styleId="12">
    <w:name w:val="heading 9"/>
    <w:basedOn w:val="1"/>
    <w:next w:val="1"/>
    <w:link w:val="70"/>
    <w:qFormat/>
    <w:uiPriority w:val="99"/>
    <w:pPr>
      <w:keepNext/>
      <w:keepLines/>
      <w:spacing w:before="240" w:after="64" w:line="316" w:lineRule="auto"/>
      <w:outlineLvl w:val="8"/>
    </w:pPr>
    <w:rPr>
      <w:rFonts w:ascii="Cambria" w:hAnsi="Cambria" w:cs="Cambria"/>
    </w:rPr>
  </w:style>
  <w:style w:type="character" w:default="1" w:styleId="47">
    <w:name w:val="Default Paragraph Font"/>
    <w:semiHidden/>
    <w:unhideWhenUsed/>
    <w:qFormat/>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2">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8">
    <w:name w:val="Normal Indent"/>
    <w:basedOn w:val="1"/>
    <w:qFormat/>
    <w:uiPriority w:val="99"/>
    <w:pPr>
      <w:widowControl/>
      <w:ind w:firstLine="420"/>
      <w:jc w:val="left"/>
    </w:pPr>
    <w:rPr>
      <w:sz w:val="20"/>
      <w:szCs w:val="20"/>
    </w:rPr>
  </w:style>
  <w:style w:type="paragraph" w:styleId="13">
    <w:name w:val="toc 7"/>
    <w:basedOn w:val="1"/>
    <w:next w:val="1"/>
    <w:semiHidden/>
    <w:qFormat/>
    <w:uiPriority w:val="99"/>
    <w:pPr>
      <w:adjustRightInd w:val="0"/>
      <w:spacing w:line="312" w:lineRule="atLeast"/>
      <w:ind w:left="1260"/>
      <w:jc w:val="left"/>
      <w:textAlignment w:val="baseline"/>
    </w:pPr>
    <w:rPr>
      <w:kern w:val="0"/>
      <w:sz w:val="18"/>
      <w:szCs w:val="18"/>
    </w:rPr>
  </w:style>
  <w:style w:type="paragraph" w:styleId="14">
    <w:name w:val="Note Heading"/>
    <w:basedOn w:val="1"/>
    <w:next w:val="1"/>
    <w:link w:val="71"/>
    <w:semiHidden/>
    <w:qFormat/>
    <w:uiPriority w:val="99"/>
    <w:pPr>
      <w:spacing w:beforeLines="20" w:afterLines="50"/>
      <w:jc w:val="center"/>
    </w:pPr>
    <w:rPr>
      <w:rFonts w:ascii="Calibri" w:hAnsi="Calibri" w:cs="Calibri"/>
      <w:kern w:val="0"/>
      <w:sz w:val="24"/>
      <w:szCs w:val="24"/>
    </w:rPr>
  </w:style>
  <w:style w:type="paragraph" w:styleId="15">
    <w:name w:val="List Number"/>
    <w:basedOn w:val="1"/>
    <w:semiHidden/>
    <w:unhideWhenUsed/>
    <w:qFormat/>
    <w:locked/>
    <w:uiPriority w:val="99"/>
    <w:pPr>
      <w:numPr>
        <w:ilvl w:val="0"/>
        <w:numId w:val="2"/>
      </w:numPr>
    </w:pPr>
  </w:style>
  <w:style w:type="paragraph" w:styleId="16">
    <w:name w:val="caption"/>
    <w:basedOn w:val="1"/>
    <w:next w:val="1"/>
    <w:qFormat/>
    <w:uiPriority w:val="99"/>
    <w:pPr>
      <w:spacing w:before="152" w:after="160"/>
    </w:pPr>
    <w:rPr>
      <w:rFonts w:ascii="Arial" w:hAnsi="Arial" w:eastAsia="黑体" w:cs="Arial"/>
      <w:sz w:val="20"/>
      <w:szCs w:val="20"/>
    </w:rPr>
  </w:style>
  <w:style w:type="paragraph" w:styleId="17">
    <w:name w:val="Document Map"/>
    <w:basedOn w:val="1"/>
    <w:link w:val="72"/>
    <w:semiHidden/>
    <w:qFormat/>
    <w:uiPriority w:val="99"/>
    <w:pPr>
      <w:adjustRightInd w:val="0"/>
      <w:spacing w:line="312" w:lineRule="atLeast"/>
      <w:textAlignment w:val="baseline"/>
    </w:pPr>
    <w:rPr>
      <w:rFonts w:ascii="宋体" w:hAnsi="Calibri" w:cs="宋体"/>
      <w:kern w:val="0"/>
      <w:sz w:val="18"/>
      <w:szCs w:val="18"/>
    </w:rPr>
  </w:style>
  <w:style w:type="paragraph" w:styleId="18">
    <w:name w:val="annotation text"/>
    <w:basedOn w:val="1"/>
    <w:link w:val="73"/>
    <w:semiHidden/>
    <w:qFormat/>
    <w:uiPriority w:val="99"/>
    <w:pPr>
      <w:adjustRightInd w:val="0"/>
      <w:spacing w:line="312" w:lineRule="atLeast"/>
      <w:jc w:val="left"/>
      <w:textAlignment w:val="baseline"/>
    </w:pPr>
    <w:rPr>
      <w:rFonts w:ascii="Calibri" w:hAnsi="Calibri" w:cs="Calibri"/>
    </w:rPr>
  </w:style>
  <w:style w:type="paragraph" w:styleId="19">
    <w:name w:val="Salutation"/>
    <w:basedOn w:val="1"/>
    <w:next w:val="1"/>
    <w:link w:val="74"/>
    <w:semiHidden/>
    <w:qFormat/>
    <w:uiPriority w:val="99"/>
    <w:rPr>
      <w:rFonts w:ascii="Calibri" w:hAnsi="Calibri" w:cs="Calibri"/>
      <w:kern w:val="0"/>
      <w:sz w:val="24"/>
      <w:szCs w:val="24"/>
    </w:rPr>
  </w:style>
  <w:style w:type="paragraph" w:styleId="20">
    <w:name w:val="Body Text"/>
    <w:basedOn w:val="1"/>
    <w:next w:val="21"/>
    <w:link w:val="75"/>
    <w:qFormat/>
    <w:uiPriority w:val="99"/>
    <w:pPr>
      <w:adjustRightInd w:val="0"/>
      <w:spacing w:line="312" w:lineRule="atLeast"/>
      <w:jc w:val="center"/>
      <w:textAlignment w:val="baseline"/>
    </w:pPr>
    <w:rPr>
      <w:rFonts w:ascii="楷体_GB2312" w:hAnsi="Calibri" w:eastAsia="楷体_GB2312" w:cs="楷体_GB2312"/>
      <w:b/>
      <w:bCs/>
      <w:kern w:val="0"/>
      <w:sz w:val="48"/>
      <w:szCs w:val="48"/>
    </w:rPr>
  </w:style>
  <w:style w:type="paragraph" w:styleId="21">
    <w:name w:val="Body Text First Indent"/>
    <w:basedOn w:val="20"/>
    <w:qFormat/>
    <w:locked/>
    <w:uiPriority w:val="0"/>
    <w:pPr>
      <w:adjustRightInd/>
      <w:spacing w:after="120" w:line="240" w:lineRule="auto"/>
      <w:ind w:firstLine="420" w:firstLineChars="100"/>
      <w:jc w:val="both"/>
    </w:pPr>
    <w:rPr>
      <w:rFonts w:ascii="Times New Roman"/>
      <w:szCs w:val="24"/>
    </w:rPr>
  </w:style>
  <w:style w:type="paragraph" w:styleId="22">
    <w:name w:val="Body Text Indent"/>
    <w:basedOn w:val="1"/>
    <w:link w:val="76"/>
    <w:qFormat/>
    <w:uiPriority w:val="99"/>
    <w:pPr>
      <w:ind w:left="420" w:leftChars="200"/>
      <w:jc w:val="left"/>
    </w:pPr>
    <w:rPr>
      <w:rFonts w:ascii="Calibri" w:hAnsi="Calibri" w:cs="Calibri"/>
      <w:kern w:val="0"/>
      <w:sz w:val="24"/>
      <w:szCs w:val="24"/>
    </w:rPr>
  </w:style>
  <w:style w:type="paragraph" w:styleId="23">
    <w:name w:val="index 4"/>
    <w:basedOn w:val="1"/>
    <w:next w:val="1"/>
    <w:semiHidden/>
    <w:qFormat/>
    <w:uiPriority w:val="99"/>
    <w:pPr>
      <w:ind w:left="600" w:leftChars="600"/>
    </w:pPr>
  </w:style>
  <w:style w:type="paragraph" w:styleId="24">
    <w:name w:val="toc 5"/>
    <w:basedOn w:val="1"/>
    <w:next w:val="1"/>
    <w:semiHidden/>
    <w:qFormat/>
    <w:uiPriority w:val="99"/>
    <w:pPr>
      <w:adjustRightInd w:val="0"/>
      <w:spacing w:line="312" w:lineRule="atLeast"/>
      <w:ind w:left="840"/>
      <w:jc w:val="left"/>
      <w:textAlignment w:val="baseline"/>
    </w:pPr>
    <w:rPr>
      <w:kern w:val="0"/>
      <w:sz w:val="18"/>
      <w:szCs w:val="18"/>
    </w:rPr>
  </w:style>
  <w:style w:type="paragraph" w:styleId="25">
    <w:name w:val="toc 3"/>
    <w:basedOn w:val="1"/>
    <w:next w:val="1"/>
    <w:semiHidden/>
    <w:qFormat/>
    <w:uiPriority w:val="99"/>
    <w:pPr>
      <w:adjustRightInd w:val="0"/>
      <w:spacing w:line="312" w:lineRule="atLeast"/>
      <w:ind w:left="420"/>
      <w:jc w:val="left"/>
      <w:textAlignment w:val="baseline"/>
    </w:pPr>
    <w:rPr>
      <w:i/>
      <w:iCs/>
      <w:kern w:val="0"/>
      <w:sz w:val="20"/>
      <w:szCs w:val="20"/>
    </w:rPr>
  </w:style>
  <w:style w:type="paragraph" w:styleId="26">
    <w:name w:val="Plain Text"/>
    <w:basedOn w:val="1"/>
    <w:link w:val="77"/>
    <w:qFormat/>
    <w:uiPriority w:val="99"/>
    <w:rPr>
      <w:rFonts w:ascii="宋体" w:hAnsi="Courier New" w:cs="宋体"/>
      <w:kern w:val="0"/>
      <w:sz w:val="20"/>
      <w:szCs w:val="20"/>
    </w:rPr>
  </w:style>
  <w:style w:type="paragraph" w:styleId="27">
    <w:name w:val="toc 8"/>
    <w:basedOn w:val="1"/>
    <w:next w:val="1"/>
    <w:semiHidden/>
    <w:qFormat/>
    <w:uiPriority w:val="99"/>
    <w:pPr>
      <w:adjustRightInd w:val="0"/>
      <w:spacing w:line="312" w:lineRule="atLeast"/>
      <w:ind w:left="1470"/>
      <w:jc w:val="left"/>
      <w:textAlignment w:val="baseline"/>
    </w:pPr>
    <w:rPr>
      <w:kern w:val="0"/>
      <w:sz w:val="18"/>
      <w:szCs w:val="18"/>
    </w:rPr>
  </w:style>
  <w:style w:type="paragraph" w:styleId="28">
    <w:name w:val="Date"/>
    <w:basedOn w:val="1"/>
    <w:next w:val="1"/>
    <w:link w:val="104"/>
    <w:qFormat/>
    <w:uiPriority w:val="99"/>
    <w:pPr>
      <w:ind w:left="100" w:leftChars="2500"/>
    </w:pPr>
    <w:rPr>
      <w:rFonts w:ascii="Calibri" w:hAnsi="Calibri" w:cs="Calibri"/>
    </w:rPr>
  </w:style>
  <w:style w:type="paragraph" w:styleId="29">
    <w:name w:val="Body Text Indent 2"/>
    <w:basedOn w:val="1"/>
    <w:link w:val="98"/>
    <w:qFormat/>
    <w:uiPriority w:val="99"/>
    <w:pPr>
      <w:spacing w:after="120" w:line="480" w:lineRule="auto"/>
      <w:ind w:left="420" w:leftChars="200"/>
    </w:pPr>
    <w:rPr>
      <w:rFonts w:ascii="Calibri" w:hAnsi="Calibri" w:cs="Calibri"/>
    </w:rPr>
  </w:style>
  <w:style w:type="paragraph" w:styleId="30">
    <w:name w:val="Balloon Text"/>
    <w:basedOn w:val="1"/>
    <w:link w:val="80"/>
    <w:semiHidden/>
    <w:qFormat/>
    <w:uiPriority w:val="99"/>
    <w:rPr>
      <w:rFonts w:ascii="Calibri" w:hAnsi="Calibri" w:cs="Calibri"/>
      <w:kern w:val="0"/>
      <w:sz w:val="18"/>
      <w:szCs w:val="18"/>
    </w:rPr>
  </w:style>
  <w:style w:type="paragraph" w:styleId="31">
    <w:name w:val="footer"/>
    <w:basedOn w:val="1"/>
    <w:link w:val="81"/>
    <w:qFormat/>
    <w:uiPriority w:val="99"/>
    <w:pPr>
      <w:tabs>
        <w:tab w:val="center" w:pos="4153"/>
        <w:tab w:val="right" w:pos="8306"/>
      </w:tabs>
      <w:snapToGrid w:val="0"/>
      <w:jc w:val="left"/>
    </w:pPr>
    <w:rPr>
      <w:rFonts w:ascii="Calibri" w:hAnsi="Calibri" w:cs="Calibri"/>
      <w:kern w:val="0"/>
      <w:sz w:val="18"/>
      <w:szCs w:val="18"/>
    </w:rPr>
  </w:style>
  <w:style w:type="paragraph" w:styleId="32">
    <w:name w:val="header"/>
    <w:basedOn w:val="1"/>
    <w:link w:val="82"/>
    <w:qFormat/>
    <w:uiPriority w:val="99"/>
    <w:pPr>
      <w:pBdr>
        <w:bottom w:val="single" w:color="auto" w:sz="6" w:space="1"/>
      </w:pBdr>
      <w:tabs>
        <w:tab w:val="center" w:pos="4153"/>
        <w:tab w:val="right" w:pos="8306"/>
      </w:tabs>
      <w:snapToGrid w:val="0"/>
      <w:jc w:val="center"/>
    </w:pPr>
    <w:rPr>
      <w:rFonts w:ascii="Calibri" w:hAnsi="Calibri" w:cs="Calibri"/>
      <w:kern w:val="0"/>
      <w:sz w:val="18"/>
      <w:szCs w:val="18"/>
    </w:rPr>
  </w:style>
  <w:style w:type="paragraph" w:styleId="33">
    <w:name w:val="toc 1"/>
    <w:basedOn w:val="1"/>
    <w:next w:val="1"/>
    <w:semiHidden/>
    <w:qFormat/>
    <w:uiPriority w:val="99"/>
    <w:pPr>
      <w:adjustRightInd w:val="0"/>
      <w:spacing w:before="120" w:after="120" w:line="312" w:lineRule="atLeast"/>
      <w:jc w:val="left"/>
      <w:textAlignment w:val="baseline"/>
    </w:pPr>
    <w:rPr>
      <w:b/>
      <w:bCs/>
      <w:caps/>
      <w:kern w:val="0"/>
      <w:sz w:val="20"/>
      <w:szCs w:val="20"/>
    </w:rPr>
  </w:style>
  <w:style w:type="paragraph" w:styleId="34">
    <w:name w:val="toc 4"/>
    <w:basedOn w:val="1"/>
    <w:next w:val="1"/>
    <w:semiHidden/>
    <w:qFormat/>
    <w:uiPriority w:val="99"/>
    <w:pPr>
      <w:adjustRightInd w:val="0"/>
      <w:spacing w:line="312" w:lineRule="atLeast"/>
      <w:ind w:left="630"/>
      <w:jc w:val="left"/>
      <w:textAlignment w:val="baseline"/>
    </w:pPr>
    <w:rPr>
      <w:kern w:val="0"/>
      <w:sz w:val="18"/>
      <w:szCs w:val="18"/>
    </w:rPr>
  </w:style>
  <w:style w:type="paragraph" w:styleId="35">
    <w:name w:val="Subtitle"/>
    <w:basedOn w:val="1"/>
    <w:next w:val="1"/>
    <w:link w:val="110"/>
    <w:qFormat/>
    <w:uiPriority w:val="99"/>
    <w:pPr>
      <w:spacing w:before="240" w:after="60" w:line="312" w:lineRule="auto"/>
      <w:jc w:val="center"/>
      <w:outlineLvl w:val="1"/>
    </w:pPr>
    <w:rPr>
      <w:rFonts w:ascii="Cambria" w:hAnsi="Cambria" w:cs="Cambria"/>
      <w:b/>
      <w:bCs/>
      <w:kern w:val="28"/>
      <w:sz w:val="32"/>
      <w:szCs w:val="32"/>
    </w:rPr>
  </w:style>
  <w:style w:type="paragraph" w:styleId="36">
    <w:name w:val="footnote text"/>
    <w:basedOn w:val="1"/>
    <w:link w:val="89"/>
    <w:semiHidden/>
    <w:qFormat/>
    <w:uiPriority w:val="99"/>
    <w:pPr>
      <w:adjustRightInd w:val="0"/>
      <w:spacing w:line="312" w:lineRule="atLeast"/>
      <w:jc w:val="left"/>
    </w:pPr>
    <w:rPr>
      <w:rFonts w:ascii="Calibri" w:hAnsi="Calibri" w:cs="Calibri"/>
      <w:sz w:val="18"/>
      <w:szCs w:val="18"/>
    </w:rPr>
  </w:style>
  <w:style w:type="paragraph" w:styleId="37">
    <w:name w:val="toc 6"/>
    <w:basedOn w:val="1"/>
    <w:next w:val="1"/>
    <w:semiHidden/>
    <w:qFormat/>
    <w:uiPriority w:val="99"/>
    <w:pPr>
      <w:adjustRightInd w:val="0"/>
      <w:spacing w:line="312" w:lineRule="atLeast"/>
      <w:ind w:left="1050"/>
      <w:jc w:val="left"/>
      <w:textAlignment w:val="baseline"/>
    </w:pPr>
    <w:rPr>
      <w:kern w:val="0"/>
      <w:sz w:val="18"/>
      <w:szCs w:val="18"/>
    </w:rPr>
  </w:style>
  <w:style w:type="paragraph" w:styleId="38">
    <w:name w:val="Body Text Indent 3"/>
    <w:basedOn w:val="1"/>
    <w:link w:val="85"/>
    <w:qFormat/>
    <w:uiPriority w:val="99"/>
    <w:pPr>
      <w:adjustRightInd w:val="0"/>
      <w:spacing w:line="360" w:lineRule="auto"/>
      <w:ind w:firstLine="480"/>
      <w:textAlignment w:val="baseline"/>
    </w:pPr>
    <w:rPr>
      <w:rFonts w:ascii="宋体" w:hAnsi="Calibri" w:cs="宋体"/>
      <w:kern w:val="0"/>
      <w:sz w:val="28"/>
      <w:szCs w:val="28"/>
    </w:rPr>
  </w:style>
  <w:style w:type="paragraph" w:styleId="39">
    <w:name w:val="toc 2"/>
    <w:basedOn w:val="1"/>
    <w:next w:val="1"/>
    <w:semiHidden/>
    <w:qFormat/>
    <w:uiPriority w:val="99"/>
    <w:pPr>
      <w:adjustRightInd w:val="0"/>
      <w:spacing w:line="312" w:lineRule="atLeast"/>
      <w:ind w:left="210"/>
      <w:jc w:val="left"/>
      <w:textAlignment w:val="baseline"/>
    </w:pPr>
    <w:rPr>
      <w:smallCaps/>
      <w:kern w:val="0"/>
      <w:sz w:val="20"/>
      <w:szCs w:val="20"/>
    </w:rPr>
  </w:style>
  <w:style w:type="paragraph" w:styleId="40">
    <w:name w:val="toc 9"/>
    <w:basedOn w:val="1"/>
    <w:next w:val="1"/>
    <w:semiHidden/>
    <w:qFormat/>
    <w:uiPriority w:val="99"/>
    <w:pPr>
      <w:adjustRightInd w:val="0"/>
      <w:spacing w:line="312" w:lineRule="atLeast"/>
      <w:ind w:left="1680"/>
      <w:jc w:val="left"/>
      <w:textAlignment w:val="baseline"/>
    </w:pPr>
    <w:rPr>
      <w:kern w:val="0"/>
      <w:sz w:val="18"/>
      <w:szCs w:val="18"/>
    </w:rPr>
  </w:style>
  <w:style w:type="paragraph" w:styleId="4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2">
    <w:name w:val="Title"/>
    <w:basedOn w:val="1"/>
    <w:next w:val="1"/>
    <w:link w:val="86"/>
    <w:qFormat/>
    <w:uiPriority w:val="99"/>
    <w:pPr>
      <w:spacing w:before="240" w:after="60"/>
      <w:jc w:val="center"/>
      <w:outlineLvl w:val="0"/>
    </w:pPr>
    <w:rPr>
      <w:rFonts w:ascii="Arial" w:hAnsi="Arial" w:cs="Arial"/>
      <w:b/>
      <w:bCs/>
      <w:kern w:val="0"/>
      <w:sz w:val="44"/>
      <w:szCs w:val="44"/>
    </w:rPr>
  </w:style>
  <w:style w:type="paragraph" w:styleId="43">
    <w:name w:val="annotation subject"/>
    <w:basedOn w:val="18"/>
    <w:next w:val="18"/>
    <w:link w:val="87"/>
    <w:semiHidden/>
    <w:qFormat/>
    <w:uiPriority w:val="99"/>
    <w:rPr>
      <w:b/>
      <w:bCs/>
      <w:kern w:val="0"/>
      <w:sz w:val="20"/>
      <w:szCs w:val="20"/>
    </w:rPr>
  </w:style>
  <w:style w:type="paragraph" w:styleId="44">
    <w:name w:val="Body Text First Indent 2"/>
    <w:basedOn w:val="1"/>
    <w:qFormat/>
    <w:locked/>
    <w:uiPriority w:val="0"/>
    <w:pPr>
      <w:autoSpaceDE w:val="0"/>
      <w:autoSpaceDN w:val="0"/>
      <w:spacing w:line="360" w:lineRule="auto"/>
      <w:ind w:left="420" w:leftChars="200" w:firstLine="420" w:firstLineChars="200"/>
    </w:pPr>
  </w:style>
  <w:style w:type="table" w:styleId="46">
    <w:name w:val="Table Grid"/>
    <w:basedOn w:val="45"/>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99"/>
    <w:rPr>
      <w:b/>
      <w:bCs/>
    </w:rPr>
  </w:style>
  <w:style w:type="character" w:styleId="49">
    <w:name w:val="page number"/>
    <w:basedOn w:val="47"/>
    <w:qFormat/>
    <w:uiPriority w:val="99"/>
  </w:style>
  <w:style w:type="character" w:styleId="50">
    <w:name w:val="FollowedHyperlink"/>
    <w:basedOn w:val="47"/>
    <w:qFormat/>
    <w:uiPriority w:val="99"/>
    <w:rPr>
      <w:color w:val="auto"/>
      <w:u w:val="none"/>
    </w:rPr>
  </w:style>
  <w:style w:type="character" w:styleId="51">
    <w:name w:val="HTML Definition"/>
    <w:basedOn w:val="47"/>
    <w:qFormat/>
    <w:uiPriority w:val="99"/>
  </w:style>
  <w:style w:type="character" w:styleId="52">
    <w:name w:val="HTML Typewriter"/>
    <w:basedOn w:val="47"/>
    <w:qFormat/>
    <w:uiPriority w:val="99"/>
    <w:rPr>
      <w:rFonts w:ascii="monospace" w:hAnsi="monospace" w:eastAsia="Times New Roman" w:cs="monospace"/>
      <w:sz w:val="20"/>
      <w:szCs w:val="20"/>
    </w:rPr>
  </w:style>
  <w:style w:type="character" w:styleId="53">
    <w:name w:val="HTML Acronym"/>
    <w:basedOn w:val="47"/>
    <w:qFormat/>
    <w:uiPriority w:val="99"/>
  </w:style>
  <w:style w:type="character" w:styleId="54">
    <w:name w:val="HTML Variable"/>
    <w:basedOn w:val="47"/>
    <w:qFormat/>
    <w:uiPriority w:val="99"/>
  </w:style>
  <w:style w:type="character" w:styleId="55">
    <w:name w:val="Hyperlink"/>
    <w:basedOn w:val="47"/>
    <w:qFormat/>
    <w:uiPriority w:val="99"/>
    <w:rPr>
      <w:color w:val="auto"/>
      <w:u w:val="none"/>
    </w:rPr>
  </w:style>
  <w:style w:type="character" w:styleId="56">
    <w:name w:val="HTML Code"/>
    <w:basedOn w:val="47"/>
    <w:qFormat/>
    <w:uiPriority w:val="99"/>
    <w:rPr>
      <w:rFonts w:ascii="monospace" w:hAnsi="monospace" w:eastAsia="Times New Roman" w:cs="monospace"/>
      <w:sz w:val="20"/>
      <w:szCs w:val="20"/>
    </w:rPr>
  </w:style>
  <w:style w:type="character" w:styleId="57">
    <w:name w:val="annotation reference"/>
    <w:basedOn w:val="47"/>
    <w:semiHidden/>
    <w:qFormat/>
    <w:uiPriority w:val="99"/>
    <w:rPr>
      <w:sz w:val="21"/>
      <w:szCs w:val="21"/>
    </w:rPr>
  </w:style>
  <w:style w:type="character" w:styleId="58">
    <w:name w:val="HTML Cite"/>
    <w:basedOn w:val="47"/>
    <w:qFormat/>
    <w:uiPriority w:val="99"/>
  </w:style>
  <w:style w:type="character" w:styleId="59">
    <w:name w:val="HTML Keyboard"/>
    <w:basedOn w:val="47"/>
    <w:qFormat/>
    <w:uiPriority w:val="99"/>
    <w:rPr>
      <w:rFonts w:ascii="monospace" w:hAnsi="monospace" w:eastAsia="Times New Roman" w:cs="monospace"/>
      <w:sz w:val="20"/>
      <w:szCs w:val="20"/>
    </w:rPr>
  </w:style>
  <w:style w:type="character" w:styleId="60">
    <w:name w:val="HTML Sample"/>
    <w:basedOn w:val="47"/>
    <w:qFormat/>
    <w:uiPriority w:val="99"/>
    <w:rPr>
      <w:rFonts w:ascii="monospace" w:hAnsi="monospace" w:eastAsia="Times New Roman" w:cs="monospace"/>
    </w:rPr>
  </w:style>
  <w:style w:type="paragraph" w:customStyle="1" w:styleId="61">
    <w:name w:val="Default"/>
    <w:basedOn w:val="42"/>
    <w:next w:val="3"/>
    <w:qFormat/>
    <w:uiPriority w:val="99"/>
    <w:pPr>
      <w:autoSpaceDE w:val="0"/>
      <w:autoSpaceDN w:val="0"/>
      <w:adjustRightInd w:val="0"/>
    </w:pPr>
    <w:rPr>
      <w:rFonts w:ascii="宋体" w:hAnsi="Times New Roman" w:cs="宋体"/>
      <w:color w:val="000000"/>
      <w:sz w:val="24"/>
      <w:szCs w:val="24"/>
    </w:rPr>
  </w:style>
  <w:style w:type="character" w:customStyle="1" w:styleId="62">
    <w:name w:val="标题 1 字符"/>
    <w:basedOn w:val="47"/>
    <w:link w:val="3"/>
    <w:qFormat/>
    <w:locked/>
    <w:uiPriority w:val="99"/>
    <w:rPr>
      <w:rFonts w:ascii="Times New Roman" w:hAnsi="Times New Roman" w:eastAsia="理德小标宋简" w:cs="Times New Roman"/>
      <w:b/>
      <w:bCs/>
      <w:kern w:val="44"/>
      <w:sz w:val="44"/>
      <w:szCs w:val="44"/>
    </w:rPr>
  </w:style>
  <w:style w:type="character" w:customStyle="1" w:styleId="63">
    <w:name w:val="标题 2 字符"/>
    <w:basedOn w:val="47"/>
    <w:link w:val="4"/>
    <w:qFormat/>
    <w:locked/>
    <w:uiPriority w:val="99"/>
    <w:rPr>
      <w:rFonts w:ascii="Cambria" w:hAnsi="Cambria" w:eastAsia="宋体" w:cs="Cambria"/>
      <w:b/>
      <w:bCs/>
      <w:sz w:val="32"/>
      <w:szCs w:val="32"/>
    </w:rPr>
  </w:style>
  <w:style w:type="character" w:customStyle="1" w:styleId="64">
    <w:name w:val="标题 3 字符"/>
    <w:basedOn w:val="47"/>
    <w:link w:val="5"/>
    <w:qFormat/>
    <w:locked/>
    <w:uiPriority w:val="99"/>
    <w:rPr>
      <w:rFonts w:ascii="Times New Roman" w:hAnsi="Times New Roman" w:eastAsia="宋体" w:cs="Times New Roman"/>
      <w:b/>
      <w:bCs/>
      <w:sz w:val="32"/>
      <w:szCs w:val="32"/>
    </w:rPr>
  </w:style>
  <w:style w:type="character" w:customStyle="1" w:styleId="65">
    <w:name w:val="标题 4 字符"/>
    <w:basedOn w:val="47"/>
    <w:link w:val="6"/>
    <w:qFormat/>
    <w:locked/>
    <w:uiPriority w:val="99"/>
    <w:rPr>
      <w:rFonts w:ascii="Cambria" w:hAnsi="Cambria" w:eastAsia="宋体" w:cs="Cambria"/>
      <w:b/>
      <w:bCs/>
      <w:sz w:val="36"/>
      <w:szCs w:val="36"/>
    </w:rPr>
  </w:style>
  <w:style w:type="character" w:customStyle="1" w:styleId="66">
    <w:name w:val="标题 5 字符"/>
    <w:basedOn w:val="47"/>
    <w:link w:val="7"/>
    <w:qFormat/>
    <w:locked/>
    <w:uiPriority w:val="99"/>
    <w:rPr>
      <w:rFonts w:ascii="Times New Roman" w:hAnsi="Times New Roman" w:eastAsia="宋体" w:cs="Times New Roman"/>
      <w:b/>
      <w:bCs/>
      <w:sz w:val="28"/>
      <w:szCs w:val="28"/>
    </w:rPr>
  </w:style>
  <w:style w:type="character" w:customStyle="1" w:styleId="67">
    <w:name w:val="标题 6 字符"/>
    <w:basedOn w:val="47"/>
    <w:link w:val="9"/>
    <w:qFormat/>
    <w:locked/>
    <w:uiPriority w:val="99"/>
    <w:rPr>
      <w:rFonts w:ascii="Cambria" w:hAnsi="Cambria" w:eastAsia="宋体" w:cs="Cambria"/>
      <w:b/>
      <w:bCs/>
      <w:sz w:val="24"/>
      <w:szCs w:val="24"/>
    </w:rPr>
  </w:style>
  <w:style w:type="character" w:customStyle="1" w:styleId="68">
    <w:name w:val="标题 7 字符"/>
    <w:basedOn w:val="47"/>
    <w:link w:val="10"/>
    <w:qFormat/>
    <w:locked/>
    <w:uiPriority w:val="99"/>
    <w:rPr>
      <w:rFonts w:ascii="Calibri" w:hAnsi="Calibri" w:eastAsia="宋体" w:cs="Calibri"/>
      <w:b/>
      <w:bCs/>
      <w:sz w:val="24"/>
      <w:szCs w:val="24"/>
    </w:rPr>
  </w:style>
  <w:style w:type="character" w:customStyle="1" w:styleId="69">
    <w:name w:val="标题 8 字符"/>
    <w:basedOn w:val="47"/>
    <w:link w:val="11"/>
    <w:qFormat/>
    <w:locked/>
    <w:uiPriority w:val="99"/>
    <w:rPr>
      <w:rFonts w:ascii="Cambria" w:hAnsi="Cambria" w:eastAsia="宋体" w:cs="Cambria"/>
      <w:sz w:val="24"/>
      <w:szCs w:val="24"/>
    </w:rPr>
  </w:style>
  <w:style w:type="character" w:customStyle="1" w:styleId="70">
    <w:name w:val="标题 9 字符"/>
    <w:basedOn w:val="47"/>
    <w:link w:val="12"/>
    <w:qFormat/>
    <w:locked/>
    <w:uiPriority w:val="99"/>
    <w:rPr>
      <w:rFonts w:ascii="Cambria" w:hAnsi="Cambria" w:eastAsia="宋体" w:cs="Cambria"/>
      <w:sz w:val="21"/>
      <w:szCs w:val="21"/>
    </w:rPr>
  </w:style>
  <w:style w:type="character" w:customStyle="1" w:styleId="71">
    <w:name w:val="注释标题 字符"/>
    <w:basedOn w:val="47"/>
    <w:link w:val="14"/>
    <w:semiHidden/>
    <w:qFormat/>
    <w:locked/>
    <w:uiPriority w:val="99"/>
    <w:rPr>
      <w:rFonts w:ascii="Times New Roman" w:hAnsi="Times New Roman" w:eastAsia="宋体" w:cs="Times New Roman"/>
    </w:rPr>
  </w:style>
  <w:style w:type="character" w:customStyle="1" w:styleId="72">
    <w:name w:val="文档结构图 字符"/>
    <w:basedOn w:val="47"/>
    <w:link w:val="17"/>
    <w:semiHidden/>
    <w:qFormat/>
    <w:locked/>
    <w:uiPriority w:val="99"/>
    <w:rPr>
      <w:rFonts w:ascii="宋体" w:hAnsi="Times New Roman" w:eastAsia="宋体" w:cs="宋体"/>
      <w:sz w:val="18"/>
      <w:szCs w:val="18"/>
    </w:rPr>
  </w:style>
  <w:style w:type="character" w:customStyle="1" w:styleId="73">
    <w:name w:val="批注文字 字符"/>
    <w:basedOn w:val="47"/>
    <w:link w:val="18"/>
    <w:semiHidden/>
    <w:qFormat/>
    <w:locked/>
    <w:uiPriority w:val="99"/>
    <w:rPr>
      <w:rFonts w:ascii="Times New Roman" w:hAnsi="Times New Roman" w:eastAsia="宋体" w:cs="Times New Roman"/>
    </w:rPr>
  </w:style>
  <w:style w:type="character" w:customStyle="1" w:styleId="74">
    <w:name w:val="称呼 字符"/>
    <w:basedOn w:val="47"/>
    <w:link w:val="19"/>
    <w:semiHidden/>
    <w:qFormat/>
    <w:locked/>
    <w:uiPriority w:val="99"/>
    <w:rPr>
      <w:rFonts w:ascii="Times New Roman" w:hAnsi="Times New Roman" w:eastAsia="宋体" w:cs="Times New Roman"/>
    </w:rPr>
  </w:style>
  <w:style w:type="character" w:customStyle="1" w:styleId="75">
    <w:name w:val="正文文本 字符"/>
    <w:basedOn w:val="47"/>
    <w:link w:val="20"/>
    <w:semiHidden/>
    <w:qFormat/>
    <w:locked/>
    <w:uiPriority w:val="99"/>
    <w:rPr>
      <w:rFonts w:ascii="Times New Roman" w:hAnsi="Times New Roman" w:eastAsia="宋体" w:cs="Times New Roman"/>
    </w:rPr>
  </w:style>
  <w:style w:type="character" w:customStyle="1" w:styleId="76">
    <w:name w:val="正文文本缩进 字符"/>
    <w:basedOn w:val="47"/>
    <w:link w:val="22"/>
    <w:semiHidden/>
    <w:qFormat/>
    <w:locked/>
    <w:uiPriority w:val="99"/>
    <w:rPr>
      <w:rFonts w:ascii="Times New Roman" w:hAnsi="Times New Roman" w:eastAsia="宋体" w:cs="Times New Roman"/>
    </w:rPr>
  </w:style>
  <w:style w:type="character" w:customStyle="1" w:styleId="77">
    <w:name w:val="纯文本 字符"/>
    <w:basedOn w:val="47"/>
    <w:link w:val="26"/>
    <w:semiHidden/>
    <w:qFormat/>
    <w:locked/>
    <w:uiPriority w:val="99"/>
    <w:rPr>
      <w:rFonts w:ascii="宋体" w:hAnsi="Courier New" w:eastAsia="宋体" w:cs="宋体"/>
      <w:sz w:val="21"/>
      <w:szCs w:val="21"/>
    </w:rPr>
  </w:style>
  <w:style w:type="character" w:customStyle="1" w:styleId="78">
    <w:name w:val="Date Char"/>
    <w:basedOn w:val="47"/>
    <w:semiHidden/>
    <w:qFormat/>
    <w:locked/>
    <w:uiPriority w:val="99"/>
    <w:rPr>
      <w:rFonts w:ascii="Times New Roman" w:hAnsi="Times New Roman" w:eastAsia="宋体" w:cs="Times New Roman"/>
    </w:rPr>
  </w:style>
  <w:style w:type="character" w:customStyle="1" w:styleId="79">
    <w:name w:val="Body Text Indent 2 Char"/>
    <w:basedOn w:val="47"/>
    <w:semiHidden/>
    <w:qFormat/>
    <w:locked/>
    <w:uiPriority w:val="99"/>
    <w:rPr>
      <w:rFonts w:ascii="Times New Roman" w:hAnsi="Times New Roman" w:eastAsia="宋体" w:cs="Times New Roman"/>
    </w:rPr>
  </w:style>
  <w:style w:type="character" w:customStyle="1" w:styleId="80">
    <w:name w:val="批注框文本 字符"/>
    <w:basedOn w:val="47"/>
    <w:link w:val="30"/>
    <w:semiHidden/>
    <w:qFormat/>
    <w:locked/>
    <w:uiPriority w:val="99"/>
    <w:rPr>
      <w:rFonts w:ascii="Times New Roman" w:hAnsi="Times New Roman" w:eastAsia="宋体" w:cs="Times New Roman"/>
      <w:sz w:val="18"/>
      <w:szCs w:val="18"/>
    </w:rPr>
  </w:style>
  <w:style w:type="character" w:customStyle="1" w:styleId="81">
    <w:name w:val="页脚 字符"/>
    <w:basedOn w:val="47"/>
    <w:link w:val="31"/>
    <w:semiHidden/>
    <w:qFormat/>
    <w:locked/>
    <w:uiPriority w:val="99"/>
    <w:rPr>
      <w:rFonts w:ascii="Times New Roman" w:hAnsi="Times New Roman" w:eastAsia="宋体" w:cs="Times New Roman"/>
      <w:sz w:val="18"/>
      <w:szCs w:val="18"/>
    </w:rPr>
  </w:style>
  <w:style w:type="character" w:customStyle="1" w:styleId="82">
    <w:name w:val="页眉 字符"/>
    <w:basedOn w:val="47"/>
    <w:link w:val="32"/>
    <w:semiHidden/>
    <w:qFormat/>
    <w:locked/>
    <w:uiPriority w:val="99"/>
    <w:rPr>
      <w:rFonts w:ascii="Times New Roman" w:hAnsi="Times New Roman" w:eastAsia="宋体" w:cs="Times New Roman"/>
      <w:sz w:val="18"/>
      <w:szCs w:val="18"/>
    </w:rPr>
  </w:style>
  <w:style w:type="character" w:customStyle="1" w:styleId="83">
    <w:name w:val="Subtitle Char"/>
    <w:basedOn w:val="47"/>
    <w:qFormat/>
    <w:locked/>
    <w:uiPriority w:val="99"/>
    <w:rPr>
      <w:rFonts w:ascii="Cambria" w:hAnsi="Cambria" w:eastAsia="宋体" w:cs="Cambria"/>
      <w:b/>
      <w:bCs/>
      <w:kern w:val="28"/>
      <w:sz w:val="32"/>
      <w:szCs w:val="32"/>
    </w:rPr>
  </w:style>
  <w:style w:type="character" w:customStyle="1" w:styleId="84">
    <w:name w:val="Footnote Text Char"/>
    <w:basedOn w:val="47"/>
    <w:semiHidden/>
    <w:qFormat/>
    <w:locked/>
    <w:uiPriority w:val="99"/>
    <w:rPr>
      <w:rFonts w:ascii="Times New Roman" w:hAnsi="Times New Roman" w:eastAsia="宋体" w:cs="Times New Roman"/>
      <w:sz w:val="18"/>
      <w:szCs w:val="18"/>
    </w:rPr>
  </w:style>
  <w:style w:type="character" w:customStyle="1" w:styleId="85">
    <w:name w:val="正文文本缩进 3 字符"/>
    <w:basedOn w:val="47"/>
    <w:link w:val="38"/>
    <w:semiHidden/>
    <w:qFormat/>
    <w:locked/>
    <w:uiPriority w:val="99"/>
    <w:rPr>
      <w:rFonts w:ascii="Times New Roman" w:hAnsi="Times New Roman" w:eastAsia="宋体" w:cs="Times New Roman"/>
      <w:sz w:val="16"/>
      <w:szCs w:val="16"/>
    </w:rPr>
  </w:style>
  <w:style w:type="character" w:customStyle="1" w:styleId="86">
    <w:name w:val="标题 字符"/>
    <w:basedOn w:val="47"/>
    <w:link w:val="42"/>
    <w:qFormat/>
    <w:locked/>
    <w:uiPriority w:val="99"/>
    <w:rPr>
      <w:rFonts w:ascii="Cambria" w:hAnsi="Cambria" w:eastAsia="宋体" w:cs="Cambria"/>
      <w:b/>
      <w:bCs/>
      <w:sz w:val="32"/>
      <w:szCs w:val="32"/>
    </w:rPr>
  </w:style>
  <w:style w:type="character" w:customStyle="1" w:styleId="87">
    <w:name w:val="批注主题 字符"/>
    <w:basedOn w:val="73"/>
    <w:link w:val="43"/>
    <w:semiHidden/>
    <w:qFormat/>
    <w:locked/>
    <w:uiPriority w:val="99"/>
    <w:rPr>
      <w:rFonts w:ascii="Times New Roman" w:hAnsi="Times New Roman" w:eastAsia="宋体" w:cs="Times New Roman"/>
      <w:b/>
      <w:bCs/>
    </w:rPr>
  </w:style>
  <w:style w:type="character" w:customStyle="1" w:styleId="88">
    <w:name w:val="正文文本 Char"/>
    <w:qFormat/>
    <w:uiPriority w:val="99"/>
    <w:rPr>
      <w:rFonts w:ascii="楷体_GB2312" w:eastAsia="楷体_GB2312" w:cs="楷体_GB2312"/>
      <w:b/>
      <w:bCs/>
      <w:sz w:val="48"/>
      <w:szCs w:val="48"/>
    </w:rPr>
  </w:style>
  <w:style w:type="character" w:customStyle="1" w:styleId="89">
    <w:name w:val="脚注文本 字符"/>
    <w:basedOn w:val="47"/>
    <w:link w:val="36"/>
    <w:qFormat/>
    <w:locked/>
    <w:uiPriority w:val="99"/>
    <w:rPr>
      <w:sz w:val="18"/>
      <w:szCs w:val="18"/>
    </w:rPr>
  </w:style>
  <w:style w:type="character" w:customStyle="1" w:styleId="90">
    <w:name w:val="明显引用 Char1"/>
    <w:basedOn w:val="47"/>
    <w:qFormat/>
    <w:locked/>
    <w:uiPriority w:val="99"/>
    <w:rPr>
      <w:b/>
      <w:bCs/>
      <w:i/>
      <w:iCs/>
      <w:color w:val="4F81BD"/>
    </w:rPr>
  </w:style>
  <w:style w:type="paragraph" w:styleId="91">
    <w:name w:val="Intense Quote"/>
    <w:basedOn w:val="1"/>
    <w:next w:val="1"/>
    <w:link w:val="92"/>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92">
    <w:name w:val="明显引用 字符"/>
    <w:basedOn w:val="47"/>
    <w:link w:val="91"/>
    <w:qFormat/>
    <w:locked/>
    <w:uiPriority w:val="99"/>
    <w:rPr>
      <w:rFonts w:ascii="Times New Roman" w:hAnsi="Times New Roman" w:eastAsia="宋体" w:cs="Times New Roman"/>
      <w:b/>
      <w:bCs/>
      <w:i/>
      <w:iCs/>
      <w:color w:val="4F81BD"/>
    </w:rPr>
  </w:style>
  <w:style w:type="character" w:customStyle="1" w:styleId="93">
    <w:name w:val="页眉 Char"/>
    <w:qFormat/>
    <w:uiPriority w:val="99"/>
    <w:rPr>
      <w:sz w:val="18"/>
      <w:szCs w:val="18"/>
    </w:rPr>
  </w:style>
  <w:style w:type="character" w:customStyle="1" w:styleId="94">
    <w:name w:val="批注框文本 Char"/>
    <w:qFormat/>
    <w:uiPriority w:val="99"/>
    <w:rPr>
      <w:sz w:val="18"/>
      <w:szCs w:val="18"/>
    </w:rPr>
  </w:style>
  <w:style w:type="character" w:customStyle="1" w:styleId="95">
    <w:name w:val="l2"/>
    <w:basedOn w:val="47"/>
    <w:qFormat/>
    <w:uiPriority w:val="99"/>
  </w:style>
  <w:style w:type="character" w:customStyle="1" w:styleId="96">
    <w:name w:val="文档结构图 Char"/>
    <w:qFormat/>
    <w:uiPriority w:val="99"/>
    <w:rPr>
      <w:rFonts w:ascii="宋体" w:cs="宋体"/>
      <w:sz w:val="18"/>
      <w:szCs w:val="18"/>
    </w:rPr>
  </w:style>
  <w:style w:type="character" w:customStyle="1" w:styleId="97">
    <w:name w:val="正文文本 Char1"/>
    <w:basedOn w:val="47"/>
    <w:qFormat/>
    <w:locked/>
    <w:uiPriority w:val="99"/>
    <w:rPr>
      <w:kern w:val="2"/>
      <w:sz w:val="22"/>
      <w:szCs w:val="22"/>
    </w:rPr>
  </w:style>
  <w:style w:type="character" w:customStyle="1" w:styleId="98">
    <w:name w:val="正文文本缩进 2 字符"/>
    <w:basedOn w:val="47"/>
    <w:link w:val="29"/>
    <w:qFormat/>
    <w:locked/>
    <w:uiPriority w:val="99"/>
    <w:rPr>
      <w:sz w:val="24"/>
      <w:szCs w:val="24"/>
    </w:rPr>
  </w:style>
  <w:style w:type="character" w:customStyle="1" w:styleId="99">
    <w:name w:val="正文文本缩进 2 Char"/>
    <w:basedOn w:val="47"/>
    <w:semiHidden/>
    <w:qFormat/>
    <w:uiPriority w:val="99"/>
    <w:rPr>
      <w:kern w:val="2"/>
      <w:sz w:val="22"/>
      <w:szCs w:val="22"/>
    </w:rPr>
  </w:style>
  <w:style w:type="character" w:customStyle="1" w:styleId="100">
    <w:name w:val="r2"/>
    <w:basedOn w:val="47"/>
    <w:qFormat/>
    <w:uiPriority w:val="99"/>
  </w:style>
  <w:style w:type="character" w:customStyle="1" w:styleId="101">
    <w:name w:val="批注主题 Char"/>
    <w:qFormat/>
    <w:uiPriority w:val="99"/>
    <w:rPr>
      <w:b/>
      <w:bCs/>
    </w:rPr>
  </w:style>
  <w:style w:type="character" w:customStyle="1" w:styleId="102">
    <w:name w:val="副标题 Char"/>
    <w:basedOn w:val="47"/>
    <w:qFormat/>
    <w:uiPriority w:val="99"/>
    <w:rPr>
      <w:rFonts w:ascii="Cambria" w:hAnsi="Cambria" w:cs="Cambria"/>
      <w:b/>
      <w:bCs/>
      <w:kern w:val="28"/>
      <w:sz w:val="32"/>
      <w:szCs w:val="32"/>
    </w:rPr>
  </w:style>
  <w:style w:type="character" w:customStyle="1" w:styleId="103">
    <w:name w:val="明显引用 Char"/>
    <w:basedOn w:val="47"/>
    <w:qFormat/>
    <w:uiPriority w:val="99"/>
    <w:rPr>
      <w:b/>
      <w:bCs/>
      <w:i/>
      <w:iCs/>
      <w:color w:val="4F81BD"/>
      <w:kern w:val="2"/>
      <w:sz w:val="22"/>
      <w:szCs w:val="22"/>
    </w:rPr>
  </w:style>
  <w:style w:type="character" w:customStyle="1" w:styleId="104">
    <w:name w:val="日期 字符"/>
    <w:basedOn w:val="47"/>
    <w:link w:val="28"/>
    <w:qFormat/>
    <w:locked/>
    <w:uiPriority w:val="99"/>
  </w:style>
  <w:style w:type="character" w:customStyle="1" w:styleId="105">
    <w:name w:val="引用 Char1"/>
    <w:basedOn w:val="47"/>
    <w:qFormat/>
    <w:locked/>
    <w:uiPriority w:val="99"/>
    <w:rPr>
      <w:i/>
      <w:iCs/>
      <w:color w:val="000000"/>
    </w:rPr>
  </w:style>
  <w:style w:type="paragraph" w:styleId="106">
    <w:name w:val="Quote"/>
    <w:basedOn w:val="1"/>
    <w:next w:val="1"/>
    <w:link w:val="107"/>
    <w:qFormat/>
    <w:uiPriority w:val="99"/>
    <w:rPr>
      <w:rFonts w:ascii="Calibri" w:hAnsi="Calibri" w:cs="Calibri"/>
      <w:i/>
      <w:iCs/>
      <w:color w:val="000000"/>
    </w:rPr>
  </w:style>
  <w:style w:type="character" w:customStyle="1" w:styleId="107">
    <w:name w:val="引用 字符"/>
    <w:basedOn w:val="47"/>
    <w:link w:val="106"/>
    <w:qFormat/>
    <w:locked/>
    <w:uiPriority w:val="99"/>
    <w:rPr>
      <w:rFonts w:ascii="Times New Roman" w:hAnsi="Times New Roman" w:eastAsia="宋体" w:cs="Times New Roman"/>
      <w:i/>
      <w:iCs/>
      <w:color w:val="000000"/>
    </w:rPr>
  </w:style>
  <w:style w:type="character" w:customStyle="1" w:styleId="108">
    <w:name w:val="注释标题 Char"/>
    <w:semiHidden/>
    <w:qFormat/>
    <w:uiPriority w:val="99"/>
    <w:rPr>
      <w:sz w:val="24"/>
      <w:szCs w:val="24"/>
    </w:rPr>
  </w:style>
  <w:style w:type="character" w:customStyle="1" w:styleId="109">
    <w:name w:val="正文文本缩进 3 Char"/>
    <w:qFormat/>
    <w:uiPriority w:val="99"/>
    <w:rPr>
      <w:rFonts w:ascii="宋体" w:cs="宋体"/>
      <w:sz w:val="28"/>
      <w:szCs w:val="28"/>
    </w:rPr>
  </w:style>
  <w:style w:type="character" w:customStyle="1" w:styleId="110">
    <w:name w:val="副标题 字符"/>
    <w:basedOn w:val="47"/>
    <w:link w:val="35"/>
    <w:qFormat/>
    <w:locked/>
    <w:uiPriority w:val="99"/>
    <w:rPr>
      <w:rFonts w:ascii="Cambria" w:hAnsi="Cambria" w:cs="Cambria"/>
      <w:b/>
      <w:bCs/>
      <w:kern w:val="28"/>
      <w:sz w:val="32"/>
      <w:szCs w:val="32"/>
    </w:rPr>
  </w:style>
  <w:style w:type="character" w:customStyle="1" w:styleId="111">
    <w:name w:val="称呼 Char"/>
    <w:semiHidden/>
    <w:qFormat/>
    <w:uiPriority w:val="99"/>
    <w:rPr>
      <w:sz w:val="24"/>
      <w:szCs w:val="24"/>
    </w:rPr>
  </w:style>
  <w:style w:type="character" w:customStyle="1" w:styleId="112">
    <w:name w:val="批注文字 Char"/>
    <w:qFormat/>
    <w:uiPriority w:val="99"/>
  </w:style>
  <w:style w:type="character" w:customStyle="1" w:styleId="113">
    <w:name w:val="纯文本 Char2"/>
    <w:qFormat/>
    <w:uiPriority w:val="99"/>
    <w:rPr>
      <w:rFonts w:ascii="宋体" w:hAnsi="Courier New" w:cs="宋体"/>
      <w:kern w:val="2"/>
      <w:sz w:val="21"/>
      <w:szCs w:val="21"/>
    </w:rPr>
  </w:style>
  <w:style w:type="character" w:customStyle="1" w:styleId="114">
    <w:name w:val="标题4 Char Char"/>
    <w:link w:val="115"/>
    <w:qFormat/>
    <w:locked/>
    <w:uiPriority w:val="99"/>
    <w:rPr>
      <w:rFonts w:ascii="Arial" w:hAnsi="Arial" w:cs="Arial"/>
      <w:b/>
      <w:bCs/>
      <w:sz w:val="32"/>
      <w:szCs w:val="32"/>
    </w:rPr>
  </w:style>
  <w:style w:type="paragraph" w:customStyle="1" w:styleId="115">
    <w:name w:val="标题4"/>
    <w:basedOn w:val="4"/>
    <w:next w:val="23"/>
    <w:link w:val="114"/>
    <w:qFormat/>
    <w:uiPriority w:val="99"/>
    <w:pPr>
      <w:spacing w:before="60" w:after="60" w:line="412" w:lineRule="auto"/>
    </w:pPr>
    <w:rPr>
      <w:rFonts w:ascii="Arial" w:hAnsi="Arial" w:cs="Arial"/>
      <w:kern w:val="0"/>
      <w:sz w:val="24"/>
      <w:szCs w:val="24"/>
    </w:rPr>
  </w:style>
  <w:style w:type="character" w:customStyle="1" w:styleId="116">
    <w:name w:val="标题5 Char Char"/>
    <w:link w:val="117"/>
    <w:qFormat/>
    <w:locked/>
    <w:uiPriority w:val="99"/>
    <w:rPr>
      <w:rFonts w:ascii="Arial" w:hAnsi="Arial" w:cs="Arial"/>
      <w:b/>
      <w:bCs/>
      <w:sz w:val="32"/>
      <w:szCs w:val="32"/>
    </w:rPr>
  </w:style>
  <w:style w:type="paragraph" w:customStyle="1" w:styleId="117">
    <w:name w:val="标题5"/>
    <w:basedOn w:val="5"/>
    <w:link w:val="116"/>
    <w:qFormat/>
    <w:uiPriority w:val="99"/>
    <w:pPr>
      <w:spacing w:line="412" w:lineRule="auto"/>
    </w:pPr>
    <w:rPr>
      <w:rFonts w:ascii="Arial" w:hAnsi="Arial" w:cs="Arial"/>
      <w:kern w:val="0"/>
      <w:sz w:val="24"/>
      <w:szCs w:val="24"/>
    </w:rPr>
  </w:style>
  <w:style w:type="character" w:customStyle="1" w:styleId="118">
    <w:name w:val="纯文本 Char"/>
    <w:qFormat/>
    <w:uiPriority w:val="99"/>
    <w:rPr>
      <w:rFonts w:ascii="宋体" w:hAnsi="Courier New" w:cs="宋体"/>
      <w:sz w:val="21"/>
      <w:szCs w:val="21"/>
    </w:rPr>
  </w:style>
  <w:style w:type="character" w:customStyle="1" w:styleId="119">
    <w:name w:val="页脚 Char"/>
    <w:qFormat/>
    <w:uiPriority w:val="99"/>
    <w:rPr>
      <w:sz w:val="18"/>
      <w:szCs w:val="18"/>
    </w:rPr>
  </w:style>
  <w:style w:type="character" w:customStyle="1" w:styleId="120">
    <w:name w:val="标题 Char"/>
    <w:qFormat/>
    <w:uiPriority w:val="99"/>
    <w:rPr>
      <w:rFonts w:ascii="Arial" w:hAnsi="Arial" w:cs="Arial"/>
      <w:b/>
      <w:bCs/>
      <w:sz w:val="32"/>
      <w:szCs w:val="32"/>
    </w:rPr>
  </w:style>
  <w:style w:type="character" w:customStyle="1" w:styleId="121">
    <w:name w:val="脚注文本 Char"/>
    <w:basedOn w:val="47"/>
    <w:semiHidden/>
    <w:qFormat/>
    <w:uiPriority w:val="99"/>
    <w:rPr>
      <w:kern w:val="2"/>
      <w:sz w:val="18"/>
      <w:szCs w:val="18"/>
    </w:rPr>
  </w:style>
  <w:style w:type="character" w:customStyle="1" w:styleId="122">
    <w:name w:val="正文文本缩进 Char"/>
    <w:qFormat/>
    <w:uiPriority w:val="99"/>
    <w:rPr>
      <w:sz w:val="24"/>
      <w:szCs w:val="24"/>
    </w:rPr>
  </w:style>
  <w:style w:type="character" w:customStyle="1" w:styleId="123">
    <w:name w:val="纯文本 Char1"/>
    <w:qFormat/>
    <w:uiPriority w:val="99"/>
    <w:rPr>
      <w:rFonts w:ascii="宋体" w:hAnsi="Courier New" w:eastAsia="宋体" w:cs="宋体"/>
      <w:sz w:val="20"/>
      <w:szCs w:val="20"/>
    </w:rPr>
  </w:style>
  <w:style w:type="character" w:customStyle="1" w:styleId="124">
    <w:name w:val="引用 Char"/>
    <w:basedOn w:val="47"/>
    <w:qFormat/>
    <w:uiPriority w:val="99"/>
    <w:rPr>
      <w:i/>
      <w:iCs/>
      <w:color w:val="000000"/>
      <w:kern w:val="2"/>
      <w:sz w:val="22"/>
      <w:szCs w:val="22"/>
    </w:rPr>
  </w:style>
  <w:style w:type="character" w:customStyle="1" w:styleId="125">
    <w:name w:val="普通文字 Char Char2"/>
    <w:qFormat/>
    <w:uiPriority w:val="99"/>
    <w:rPr>
      <w:rFonts w:ascii="宋体" w:hAnsi="Courier New" w:eastAsia="宋体" w:cs="宋体"/>
      <w:kern w:val="2"/>
      <w:sz w:val="21"/>
      <w:szCs w:val="21"/>
      <w:lang w:val="en-US" w:eastAsia="zh-CN"/>
    </w:rPr>
  </w:style>
  <w:style w:type="paragraph" w:customStyle="1" w:styleId="126">
    <w:name w:val="Table Paragraph"/>
    <w:basedOn w:val="1"/>
    <w:qFormat/>
    <w:uiPriority w:val="99"/>
    <w:pPr>
      <w:autoSpaceDE w:val="0"/>
      <w:autoSpaceDN w:val="0"/>
      <w:adjustRightInd w:val="0"/>
      <w:jc w:val="left"/>
    </w:pPr>
    <w:rPr>
      <w:rFonts w:ascii="黑体" w:eastAsia="黑体" w:cs="黑体"/>
      <w:kern w:val="0"/>
      <w:sz w:val="24"/>
      <w:szCs w:val="24"/>
    </w:rPr>
  </w:style>
  <w:style w:type="paragraph" w:customStyle="1" w:styleId="127">
    <w:name w:val="Level 1"/>
    <w:basedOn w:val="1"/>
    <w:next w:val="1"/>
    <w:qFormat/>
    <w:uiPriority w:val="99"/>
    <w:pPr>
      <w:keepNext/>
      <w:widowControl/>
      <w:numPr>
        <w:ilvl w:val="0"/>
        <w:numId w:val="3"/>
      </w:numPr>
      <w:spacing w:line="360" w:lineRule="auto"/>
      <w:outlineLvl w:val="0"/>
    </w:pPr>
    <w:rPr>
      <w:rFonts w:ascii="Arial" w:hAnsi="Arial" w:eastAsia="黑体" w:cs="Arial"/>
      <w:b/>
      <w:bCs/>
      <w:caps/>
      <w:w w:val="105"/>
      <w:kern w:val="20"/>
      <w:sz w:val="24"/>
      <w:szCs w:val="24"/>
      <w:lang w:val="en-GB" w:eastAsia="en-US"/>
    </w:rPr>
  </w:style>
  <w:style w:type="paragraph" w:customStyle="1" w:styleId="128">
    <w:name w:val="Level 8"/>
    <w:basedOn w:val="1"/>
    <w:qFormat/>
    <w:uiPriority w:val="99"/>
    <w:pPr>
      <w:widowControl/>
      <w:numPr>
        <w:ilvl w:val="7"/>
        <w:numId w:val="3"/>
      </w:numPr>
      <w:spacing w:after="120" w:line="336" w:lineRule="auto"/>
      <w:outlineLvl w:val="7"/>
    </w:pPr>
    <w:rPr>
      <w:rFonts w:ascii="Arial" w:hAnsi="Arial" w:cs="Arial"/>
      <w:w w:val="105"/>
      <w:kern w:val="20"/>
      <w:sz w:val="24"/>
      <w:szCs w:val="24"/>
      <w:lang w:val="en-GB" w:eastAsia="en-US"/>
    </w:rPr>
  </w:style>
  <w:style w:type="paragraph" w:customStyle="1" w:styleId="129">
    <w:name w:val="05 Body"/>
    <w:basedOn w:val="1"/>
    <w:qFormat/>
    <w:uiPriority w:val="99"/>
    <w:pPr>
      <w:widowControl/>
      <w:spacing w:line="290" w:lineRule="auto"/>
    </w:pPr>
    <w:rPr>
      <w:rFonts w:ascii="Arial" w:hAnsi="Arial" w:cs="Arial"/>
      <w:kern w:val="20"/>
      <w:sz w:val="24"/>
      <w:szCs w:val="24"/>
      <w:lang w:val="en-GB" w:eastAsia="en-US"/>
    </w:rPr>
  </w:style>
  <w:style w:type="paragraph" w:customStyle="1" w:styleId="130">
    <w:name w:val="Parties"/>
    <w:basedOn w:val="1"/>
    <w:qFormat/>
    <w:uiPriority w:val="99"/>
    <w:pPr>
      <w:widowControl/>
      <w:numPr>
        <w:ilvl w:val="0"/>
        <w:numId w:val="4"/>
      </w:numPr>
      <w:spacing w:after="140" w:line="290" w:lineRule="auto"/>
    </w:pPr>
    <w:rPr>
      <w:rFonts w:ascii="Arial" w:hAnsi="Arial" w:cs="Arial"/>
      <w:kern w:val="20"/>
      <w:sz w:val="20"/>
      <w:szCs w:val="20"/>
      <w:lang w:val="en-GB" w:eastAsia="en-US"/>
    </w:rPr>
  </w:style>
  <w:style w:type="paragraph" w:customStyle="1" w:styleId="131">
    <w:name w:val="Level 5"/>
    <w:basedOn w:val="132"/>
    <w:qFormat/>
    <w:uiPriority w:val="99"/>
    <w:pPr>
      <w:numPr>
        <w:ilvl w:val="4"/>
      </w:numPr>
      <w:tabs>
        <w:tab w:val="left" w:pos="1361"/>
      </w:tabs>
      <w:outlineLvl w:val="4"/>
    </w:pPr>
  </w:style>
  <w:style w:type="paragraph" w:customStyle="1" w:styleId="132">
    <w:name w:val="Level 4"/>
    <w:basedOn w:val="1"/>
    <w:qFormat/>
    <w:uiPriority w:val="99"/>
    <w:pPr>
      <w:numPr>
        <w:ilvl w:val="3"/>
        <w:numId w:val="3"/>
      </w:numPr>
      <w:spacing w:after="120" w:line="336" w:lineRule="auto"/>
      <w:outlineLvl w:val="3"/>
    </w:pPr>
    <w:rPr>
      <w:rFonts w:ascii="Arial" w:hAnsi="Arial" w:cs="Arial"/>
      <w:w w:val="105"/>
      <w:kern w:val="20"/>
      <w:sz w:val="24"/>
      <w:szCs w:val="24"/>
      <w:lang w:val="en-GB" w:eastAsia="en-US"/>
    </w:rPr>
  </w:style>
  <w:style w:type="paragraph" w:customStyle="1" w:styleId="133">
    <w:name w:val="Body"/>
    <w:basedOn w:val="1"/>
    <w:qFormat/>
    <w:uiPriority w:val="99"/>
    <w:pPr>
      <w:widowControl/>
      <w:spacing w:after="140" w:line="290" w:lineRule="auto"/>
    </w:pPr>
    <w:rPr>
      <w:rFonts w:ascii="Arial" w:hAnsi="Arial" w:cs="Arial"/>
      <w:kern w:val="20"/>
      <w:sz w:val="20"/>
      <w:szCs w:val="20"/>
      <w:lang w:val="en-GB" w:eastAsia="en-US"/>
    </w:rPr>
  </w:style>
  <w:style w:type="paragraph" w:customStyle="1" w:styleId="134">
    <w:name w:val="Char"/>
    <w:basedOn w:val="1"/>
    <w:qFormat/>
    <w:uiPriority w:val="99"/>
    <w:pPr>
      <w:snapToGrid w:val="0"/>
      <w:spacing w:line="440" w:lineRule="atLeast"/>
    </w:pPr>
    <w:rPr>
      <w:rFonts w:ascii="宋体" w:cs="宋体"/>
      <w:sz w:val="24"/>
      <w:szCs w:val="24"/>
    </w:rPr>
  </w:style>
  <w:style w:type="paragraph" w:customStyle="1" w:styleId="135">
    <w:name w:val="样式 标题 2 + Times New Roman 四号 非加粗 段前: 5 磅 段后: 0 磅 行距: 固定值 20..."/>
    <w:basedOn w:val="4"/>
    <w:next w:val="1"/>
    <w:qFormat/>
    <w:uiPriority w:val="99"/>
    <w:pPr>
      <w:spacing w:before="100" w:after="0" w:line="400" w:lineRule="exact"/>
    </w:pPr>
    <w:rPr>
      <w:rFonts w:ascii="Times New Roman" w:hAnsi="Times New Roman" w:eastAsia="黑体" w:cs="Times New Roman"/>
      <w:b w:val="0"/>
      <w:bCs w:val="0"/>
      <w:sz w:val="28"/>
      <w:szCs w:val="28"/>
    </w:rPr>
  </w:style>
  <w:style w:type="paragraph" w:customStyle="1" w:styleId="136">
    <w:name w:val="03 Wheras"/>
    <w:basedOn w:val="1"/>
    <w:qFormat/>
    <w:uiPriority w:val="99"/>
    <w:pPr>
      <w:widowControl/>
      <w:spacing w:line="290" w:lineRule="auto"/>
    </w:pPr>
    <w:rPr>
      <w:rFonts w:ascii="Arial" w:hAnsi="Arial" w:eastAsia="黑体" w:cs="Arial"/>
      <w:b/>
      <w:bCs/>
      <w:kern w:val="20"/>
      <w:sz w:val="24"/>
      <w:szCs w:val="24"/>
      <w:lang w:val="en-GB" w:eastAsia="en-US"/>
    </w:rPr>
  </w:style>
  <w:style w:type="paragraph" w:customStyle="1" w:styleId="137">
    <w:name w:val="Level 6"/>
    <w:basedOn w:val="131"/>
    <w:qFormat/>
    <w:uiPriority w:val="99"/>
    <w:pPr>
      <w:numPr>
        <w:ilvl w:val="5"/>
      </w:numPr>
      <w:outlineLvl w:val="5"/>
    </w:pPr>
  </w:style>
  <w:style w:type="paragraph" w:customStyle="1" w:styleId="138">
    <w:name w:val="Level 7"/>
    <w:basedOn w:val="1"/>
    <w:qFormat/>
    <w:uiPriority w:val="99"/>
    <w:pPr>
      <w:widowControl/>
      <w:numPr>
        <w:ilvl w:val="6"/>
        <w:numId w:val="3"/>
      </w:numPr>
      <w:spacing w:after="120" w:line="336" w:lineRule="auto"/>
      <w:outlineLvl w:val="6"/>
    </w:pPr>
    <w:rPr>
      <w:rFonts w:ascii="Arial" w:hAnsi="Arial" w:cs="Arial"/>
      <w:w w:val="105"/>
      <w:kern w:val="20"/>
      <w:sz w:val="24"/>
      <w:szCs w:val="24"/>
      <w:lang w:val="en-GB" w:eastAsia="en-US"/>
    </w:rPr>
  </w:style>
  <w:style w:type="paragraph" w:customStyle="1" w:styleId="139">
    <w:name w:val="WPSOffice手动目录 1"/>
    <w:qFormat/>
    <w:uiPriority w:val="99"/>
    <w:rPr>
      <w:rFonts w:ascii="Times New Roman" w:hAnsi="Times New Roman" w:eastAsia="宋体" w:cs="Times New Roman"/>
      <w:lang w:val="en-US" w:eastAsia="zh-CN" w:bidi="ar-SA"/>
    </w:rPr>
  </w:style>
  <w:style w:type="paragraph" w:customStyle="1" w:styleId="140">
    <w:name w:val="04 Recitals"/>
    <w:basedOn w:val="129"/>
    <w:qFormat/>
    <w:uiPriority w:val="99"/>
    <w:pPr>
      <w:numPr>
        <w:ilvl w:val="0"/>
        <w:numId w:val="5"/>
      </w:numPr>
    </w:pPr>
  </w:style>
  <w:style w:type="paragraph" w:customStyle="1" w:styleId="141">
    <w:name w:val="zFSNarrative"/>
    <w:basedOn w:val="1"/>
    <w:qFormat/>
    <w:uiPriority w:val="99"/>
    <w:pPr>
      <w:widowControl/>
      <w:spacing w:before="120" w:after="120" w:line="290" w:lineRule="auto"/>
      <w:jc w:val="center"/>
    </w:pPr>
    <w:rPr>
      <w:rFonts w:ascii="Arial" w:hAnsi="Arial" w:cs="Arial"/>
      <w:kern w:val="20"/>
      <w:sz w:val="20"/>
      <w:szCs w:val="20"/>
      <w:lang w:val="en-GB" w:eastAsia="en-US"/>
    </w:rPr>
  </w:style>
  <w:style w:type="paragraph" w:customStyle="1" w:styleId="142">
    <w:name w:val="02 Parties"/>
    <w:basedOn w:val="1"/>
    <w:qFormat/>
    <w:uiPriority w:val="99"/>
    <w:pPr>
      <w:widowControl/>
      <w:numPr>
        <w:ilvl w:val="0"/>
        <w:numId w:val="6"/>
      </w:numPr>
      <w:spacing w:line="290" w:lineRule="auto"/>
    </w:pPr>
    <w:rPr>
      <w:rFonts w:ascii="Arial" w:hAnsi="Arial" w:cs="Arial"/>
      <w:kern w:val="20"/>
      <w:sz w:val="24"/>
      <w:szCs w:val="24"/>
      <w:lang w:val="en-GB" w:eastAsia="en-US"/>
    </w:rPr>
  </w:style>
  <w:style w:type="paragraph" w:customStyle="1" w:styleId="143">
    <w:name w:val="修订1"/>
    <w:qFormat/>
    <w:uiPriority w:val="99"/>
    <w:rPr>
      <w:rFonts w:ascii="Times New Roman" w:hAnsi="Times New Roman" w:eastAsia="宋体" w:cs="Times New Roman"/>
      <w:kern w:val="2"/>
      <w:sz w:val="21"/>
      <w:szCs w:val="21"/>
      <w:lang w:val="en-US" w:eastAsia="zh-CN" w:bidi="ar-SA"/>
    </w:rPr>
  </w:style>
  <w:style w:type="paragraph" w:customStyle="1" w:styleId="144">
    <w:name w:val="Char Char Char Char Char Char Char"/>
    <w:basedOn w:val="1"/>
    <w:qFormat/>
    <w:uiPriority w:val="99"/>
    <w:rPr>
      <w:rFonts w:ascii="仿宋_GB2312" w:eastAsia="仿宋_GB2312" w:cs="仿宋_GB2312"/>
      <w:spacing w:val="-4"/>
      <w:sz w:val="32"/>
      <w:szCs w:val="32"/>
    </w:rPr>
  </w:style>
  <w:style w:type="paragraph" w:customStyle="1" w:styleId="145">
    <w:name w:val="Level 3"/>
    <w:basedOn w:val="1"/>
    <w:qFormat/>
    <w:uiPriority w:val="99"/>
    <w:pPr>
      <w:numPr>
        <w:ilvl w:val="2"/>
        <w:numId w:val="3"/>
      </w:numPr>
      <w:spacing w:after="120" w:line="336" w:lineRule="auto"/>
      <w:outlineLvl w:val="2"/>
    </w:pPr>
    <w:rPr>
      <w:rFonts w:ascii="Arial" w:hAnsi="Arial" w:cs="Arial"/>
      <w:w w:val="105"/>
      <w:kern w:val="20"/>
      <w:sz w:val="24"/>
      <w:szCs w:val="24"/>
      <w:lang w:val="en-GB" w:eastAsia="en-US"/>
    </w:rPr>
  </w:style>
  <w:style w:type="paragraph" w:styleId="146">
    <w:name w:val="List Paragraph"/>
    <w:basedOn w:val="1"/>
    <w:qFormat/>
    <w:uiPriority w:val="99"/>
    <w:pPr>
      <w:ind w:firstLine="420" w:firstLineChars="200"/>
    </w:pPr>
  </w:style>
  <w:style w:type="paragraph" w:customStyle="1" w:styleId="147">
    <w:name w:val="zFSco-names"/>
    <w:basedOn w:val="1"/>
    <w:next w:val="1"/>
    <w:qFormat/>
    <w:uiPriority w:val="99"/>
    <w:pPr>
      <w:widowControl/>
      <w:spacing w:before="120" w:after="120" w:line="290" w:lineRule="auto"/>
      <w:jc w:val="center"/>
    </w:pPr>
    <w:rPr>
      <w:rFonts w:ascii="Arial" w:hAnsi="Arial" w:cs="Arial"/>
      <w:kern w:val="24"/>
      <w:sz w:val="24"/>
      <w:szCs w:val="24"/>
      <w:lang w:val="en-GB" w:eastAsia="en-US"/>
    </w:rPr>
  </w:style>
  <w:style w:type="paragraph" w:customStyle="1" w:styleId="148">
    <w:name w:val="Level 2"/>
    <w:basedOn w:val="1"/>
    <w:next w:val="1"/>
    <w:qFormat/>
    <w:uiPriority w:val="99"/>
    <w:pPr>
      <w:numPr>
        <w:ilvl w:val="1"/>
        <w:numId w:val="3"/>
      </w:numPr>
      <w:spacing w:line="360" w:lineRule="auto"/>
      <w:outlineLvl w:val="1"/>
    </w:pPr>
    <w:rPr>
      <w:rFonts w:ascii="Arial" w:hAnsi="Arial" w:cs="Arial"/>
      <w:w w:val="105"/>
      <w:kern w:val="20"/>
      <w:sz w:val="24"/>
      <w:szCs w:val="24"/>
      <w:lang w:val="en-GB" w:eastAsia="en-US"/>
    </w:rPr>
  </w:style>
  <w:style w:type="paragraph" w:customStyle="1" w:styleId="149">
    <w:name w:val="PT-WZ"/>
    <w:qFormat/>
    <w:uiPriority w:val="99"/>
    <w:pPr>
      <w:widowControl w:val="0"/>
      <w:adjustRightInd w:val="0"/>
      <w:snapToGrid w:val="0"/>
      <w:spacing w:line="5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50">
    <w:name w:val="Heading 81"/>
    <w:basedOn w:val="1"/>
    <w:qFormat/>
    <w:uiPriority w:val="99"/>
    <w:pPr>
      <w:autoSpaceDE w:val="0"/>
      <w:autoSpaceDN w:val="0"/>
      <w:ind w:left="765"/>
      <w:jc w:val="left"/>
      <w:outlineLvl w:val="8"/>
    </w:pPr>
    <w:rPr>
      <w:rFonts w:ascii="宋体" w:hAnsi="宋体" w:cs="宋体"/>
      <w:b/>
      <w:bCs/>
      <w:kern w:val="0"/>
      <w:lang w:val="zh-CN"/>
    </w:rPr>
  </w:style>
  <w:style w:type="paragraph" w:customStyle="1" w:styleId="151">
    <w:name w:val="标题 81"/>
    <w:basedOn w:val="1"/>
    <w:qFormat/>
    <w:uiPriority w:val="1"/>
    <w:pPr>
      <w:autoSpaceDE w:val="0"/>
      <w:autoSpaceDN w:val="0"/>
      <w:ind w:left="765"/>
      <w:jc w:val="left"/>
      <w:outlineLvl w:val="8"/>
    </w:pPr>
    <w:rPr>
      <w:rFonts w:ascii="宋体" w:hAnsi="宋体" w:cs="宋体"/>
      <w:b/>
      <w:bCs/>
      <w:kern w:val="0"/>
      <w:lang w:val="zh-CN" w:bidi="zh-CN"/>
    </w:rPr>
  </w:style>
  <w:style w:type="character" w:customStyle="1" w:styleId="152">
    <w:name w:val="fontstyle01"/>
    <w:qFormat/>
    <w:uiPriority w:val="0"/>
    <w:rPr>
      <w:rFonts w:hint="default" w:ascii="Times New Roman" w:hAnsi="Times New Roman" w:eastAsia="宋体" w:cs="Times New Roman"/>
      <w:color w:val="000000"/>
      <w:sz w:val="22"/>
      <w:szCs w:val="22"/>
    </w:rPr>
  </w:style>
  <w:style w:type="paragraph" w:customStyle="1" w:styleId="153">
    <w:name w:val="_Style 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1"/>
    <w:basedOn w:val="1"/>
    <w:next w:val="26"/>
    <w:qFormat/>
    <w:uiPriority w:val="0"/>
    <w:rPr>
      <w:rFonts w:ascii="宋体" w:hAnsi="Courier New"/>
      <w:szCs w:val="20"/>
    </w:rPr>
  </w:style>
  <w:style w:type="paragraph" w:customStyle="1" w:styleId="155">
    <w:name w:val="2"/>
    <w:basedOn w:val="1"/>
    <w:next w:val="26"/>
    <w:qFormat/>
    <w:uiPriority w:val="0"/>
    <w:rPr>
      <w:rFonts w:ascii="宋体" w:hAnsi="Courier New"/>
      <w:szCs w:val="20"/>
    </w:rPr>
  </w:style>
  <w:style w:type="paragraph" w:customStyle="1" w:styleId="156">
    <w:name w:val="标题 1_0"/>
    <w:basedOn w:val="157"/>
    <w:next w:val="157"/>
    <w:qFormat/>
    <w:uiPriority w:val="0"/>
    <w:pPr>
      <w:keepNext/>
      <w:keepLines/>
      <w:spacing w:line="360" w:lineRule="auto"/>
      <w:outlineLvl w:val="0"/>
    </w:pPr>
    <w:rPr>
      <w:rFonts w:ascii="Times New Roman" w:hAnsi="Times New Roman" w:eastAsia="黑体" w:cs="Times New Roman"/>
      <w:b/>
      <w:bCs/>
      <w:kern w:val="44"/>
      <w:sz w:val="32"/>
      <w:szCs w:val="32"/>
    </w:rPr>
  </w:style>
  <w:style w:type="paragraph" w:customStyle="1" w:styleId="157">
    <w:name w:val="正文_2"/>
    <w:basedOn w:val="158"/>
    <w:next w:val="160"/>
    <w:qFormat/>
    <w:uiPriority w:val="0"/>
    <w:rPr>
      <w:szCs w:val="22"/>
    </w:rPr>
  </w:style>
  <w:style w:type="paragraph" w:customStyle="1" w:styleId="158">
    <w:name w:val="正文_3"/>
    <w:basedOn w:val="159"/>
    <w:qFormat/>
    <w:uiPriority w:val="0"/>
    <w:rPr>
      <w:rFonts w:cs="宋体"/>
      <w:szCs w:val="21"/>
    </w:rPr>
  </w:style>
  <w:style w:type="paragraph" w:customStyle="1" w:styleId="15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标题 4_0"/>
    <w:basedOn w:val="161"/>
    <w:next w:val="157"/>
    <w:qFormat/>
    <w:uiPriority w:val="0"/>
    <w:pPr>
      <w:keepNext/>
      <w:keepLines/>
      <w:spacing w:line="360" w:lineRule="auto"/>
      <w:outlineLvl w:val="3"/>
    </w:pPr>
    <w:rPr>
      <w:rFonts w:ascii="Arial" w:hAnsi="Arial"/>
      <w:b/>
      <w:bCs/>
      <w:szCs w:val="28"/>
    </w:rPr>
  </w:style>
  <w:style w:type="paragraph" w:customStyle="1" w:styleId="161">
    <w:name w:val="正文_0"/>
    <w:next w:val="16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2">
    <w:name w:val="_Style 5_0"/>
    <w:qFormat/>
    <w:uiPriority w:val="1"/>
    <w:rPr>
      <w:rFonts w:ascii="Times New Roman" w:hAnsi="Times New Roman" w:eastAsia="宋体" w:cs="Times New Roman"/>
      <w:sz w:val="22"/>
      <w:szCs w:val="22"/>
      <w:lang w:val="en-US" w:eastAsia="zh-CN" w:bidi="ar-SA"/>
    </w:rPr>
  </w:style>
  <w:style w:type="paragraph" w:customStyle="1" w:styleId="163">
    <w:name w:val="正文_2_0"/>
    <w:basedOn w:val="158"/>
    <w:qFormat/>
    <w:uiPriority w:val="0"/>
  </w:style>
  <w:style w:type="paragraph" w:customStyle="1" w:styleId="164">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16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List Paragraph1"/>
    <w:basedOn w:val="1"/>
    <w:qFormat/>
    <w:uiPriority w:val="0"/>
    <w:pPr>
      <w:widowControl/>
      <w:spacing w:after="200" w:line="276" w:lineRule="auto"/>
      <w:ind w:left="720"/>
      <w:jc w:val="left"/>
    </w:pPr>
    <w:rPr>
      <w:rFonts w:ascii="Calibri" w:hAnsi="Calibri"/>
      <w:kern w:val="0"/>
      <w:sz w:val="22"/>
      <w:szCs w:val="22"/>
    </w:rPr>
  </w:style>
  <w:style w:type="character" w:customStyle="1" w:styleId="167">
    <w:name w:val="NormalCharacter"/>
    <w:qFormat/>
    <w:uiPriority w:val="0"/>
  </w:style>
  <w:style w:type="paragraph" w:customStyle="1" w:styleId="168">
    <w:name w:val="正文1"/>
    <w:basedOn w:val="1"/>
    <w:qFormat/>
    <w:uiPriority w:val="0"/>
    <w:pPr>
      <w:adjustRightInd w:val="0"/>
      <w:spacing w:line="318" w:lineRule="atLeast"/>
      <w:ind w:left="369" w:firstLine="369"/>
      <w:textAlignment w:val="baseline"/>
    </w:pPr>
    <w:rPr>
      <w:szCs w:val="20"/>
    </w:rPr>
  </w:style>
  <w:style w:type="paragraph" w:customStyle="1" w:styleId="169">
    <w:name w:val="p0"/>
    <w:basedOn w:val="1"/>
    <w:qFormat/>
    <w:uiPriority w:val="0"/>
    <w:pPr>
      <w:widowControl/>
    </w:pPr>
    <w:rPr>
      <w:kern w:val="0"/>
    </w:rPr>
  </w:style>
  <w:style w:type="paragraph" w:customStyle="1" w:styleId="170">
    <w:name w:val="正文2"/>
    <w:basedOn w:val="1"/>
    <w:qFormat/>
    <w:uiPriority w:val="0"/>
    <w:pPr>
      <w:adjustRightInd w:val="0"/>
      <w:spacing w:before="156" w:line="360" w:lineRule="auto"/>
      <w:ind w:firstLine="510" w:firstLineChars="200"/>
    </w:pPr>
    <w:rPr>
      <w:kern w:val="0"/>
      <w:sz w:val="24"/>
      <w:szCs w:val="20"/>
    </w:rPr>
  </w:style>
  <w:style w:type="paragraph" w:customStyle="1" w:styleId="171">
    <w:name w:val="正文文本_0"/>
    <w:basedOn w:val="157"/>
    <w:qFormat/>
    <w:uiPriority w:val="99"/>
    <w:pPr>
      <w:adjustRightInd w:val="0"/>
      <w:spacing w:after="60" w:line="360" w:lineRule="atLeast"/>
      <w:ind w:left="72" w:leftChars="30" w:right="30" w:rightChars="30"/>
      <w:jc w:val="center"/>
      <w:textAlignment w:val="baseline"/>
    </w:pPr>
  </w:style>
  <w:style w:type="paragraph" w:customStyle="1" w:styleId="172">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3">
    <w:name w:val="UserStyle_106"/>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74">
    <w:name w:val="标题 2_1"/>
    <w:basedOn w:val="163"/>
    <w:next w:val="163"/>
    <w:semiHidden/>
    <w:qFormat/>
    <w:uiPriority w:val="0"/>
    <w:pPr>
      <w:keepNext/>
      <w:keepLines/>
      <w:spacing w:before="260" w:after="260" w:line="415" w:lineRule="auto"/>
      <w:outlineLvl w:val="1"/>
    </w:pPr>
    <w:rPr>
      <w:rFonts w:ascii="Cambria" w:hAnsi="Cambria"/>
      <w:b/>
      <w:bCs/>
      <w:sz w:val="32"/>
      <w:szCs w:val="32"/>
    </w:rPr>
  </w:style>
  <w:style w:type="paragraph" w:customStyle="1" w:styleId="175">
    <w:name w:val="标题 3_0"/>
    <w:basedOn w:val="161"/>
    <w:next w:val="157"/>
    <w:qFormat/>
    <w:uiPriority w:val="99"/>
    <w:pPr>
      <w:keepNext/>
      <w:keepLines/>
      <w:spacing w:line="360" w:lineRule="auto"/>
      <w:outlineLvl w:val="2"/>
    </w:pPr>
    <w:rPr>
      <w:rFonts w:eastAsia="黑体"/>
      <w:b/>
      <w:bCs/>
      <w:szCs w:val="32"/>
    </w:rPr>
  </w:style>
  <w:style w:type="paragraph" w:customStyle="1" w:styleId="176">
    <w:name w:val="正文_2_0_0"/>
    <w:basedOn w:val="177"/>
    <w:qFormat/>
    <w:uiPriority w:val="0"/>
  </w:style>
  <w:style w:type="paragraph" w:customStyle="1" w:styleId="177">
    <w:name w:val="正文_2_1"/>
    <w:basedOn w:val="178"/>
    <w:qFormat/>
    <w:uiPriority w:val="0"/>
  </w:style>
  <w:style w:type="paragraph" w:customStyle="1" w:styleId="178">
    <w:name w:val="正文_2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9">
    <w:name w:val="批注文字_0"/>
    <w:basedOn w:val="158"/>
    <w:unhideWhenUsed/>
    <w:qFormat/>
    <w:uiPriority w:val="0"/>
    <w:pPr>
      <w:jc w:val="left"/>
    </w:pPr>
    <w:rPr>
      <w:rFonts w:ascii="Times New Roman" w:hAnsi="Times New Roman"/>
    </w:rPr>
  </w:style>
  <w:style w:type="paragraph" w:customStyle="1" w:styleId="180">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1">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2">
    <w:name w:val="标题 2 Char_1"/>
    <w:link w:val="183"/>
    <w:qFormat/>
    <w:uiPriority w:val="0"/>
    <w:rPr>
      <w:rFonts w:ascii="Cambria" w:hAnsi="Cambria"/>
      <w:b/>
      <w:bCs/>
      <w:kern w:val="0"/>
      <w:sz w:val="32"/>
      <w:szCs w:val="32"/>
    </w:rPr>
  </w:style>
  <w:style w:type="paragraph" w:customStyle="1" w:styleId="183">
    <w:name w:val="标题 2_2"/>
    <w:basedOn w:val="157"/>
    <w:next w:val="157"/>
    <w:link w:val="182"/>
    <w:qFormat/>
    <w:uiPriority w:val="0"/>
    <w:pPr>
      <w:keepNext/>
      <w:keepLines/>
      <w:spacing w:before="260" w:after="260" w:line="416" w:lineRule="auto"/>
      <w:outlineLvl w:val="1"/>
    </w:pPr>
    <w:rPr>
      <w:rFonts w:ascii="Cambria" w:hAnsi="Cambria"/>
      <w:b/>
      <w:bCs/>
      <w:kern w:val="0"/>
      <w:sz w:val="32"/>
      <w:szCs w:val="32"/>
    </w:rPr>
  </w:style>
  <w:style w:type="paragraph" w:customStyle="1" w:styleId="184">
    <w:name w:val="Normal_1"/>
    <w:qFormat/>
    <w:uiPriority w:val="0"/>
    <w:rPr>
      <w:rFonts w:ascii="Times New Roman" w:hAnsi="Times New Roman" w:eastAsia="Times New Roman" w:cs="Times New Roman"/>
      <w:sz w:val="24"/>
      <w:szCs w:val="24"/>
      <w:lang w:val="en-US" w:eastAsia="zh-CN" w:bidi="ar-SA"/>
    </w:rPr>
  </w:style>
  <w:style w:type="paragraph" w:customStyle="1" w:styleId="185">
    <w:name w:val="正文呀2_0"/>
    <w:basedOn w:val="186"/>
    <w:qFormat/>
    <w:uiPriority w:val="0"/>
    <w:rPr>
      <w:rFonts w:ascii="Times New Roman" w:hAnsi="Times New Roman"/>
    </w:rPr>
  </w:style>
  <w:style w:type="paragraph" w:customStyle="1" w:styleId="186">
    <w:name w:val="正文呀_0"/>
    <w:basedOn w:val="181"/>
    <w:qFormat/>
    <w:uiPriority w:val="0"/>
    <w:pPr>
      <w:spacing w:line="420" w:lineRule="exact"/>
      <w:ind w:firstLine="420" w:firstLineChars="200"/>
    </w:pPr>
    <w:rPr>
      <w:rFonts w:ascii="宋体" w:hAnsi="宋体"/>
      <w:szCs w:val="21"/>
    </w:rPr>
  </w:style>
  <w:style w:type="paragraph" w:customStyle="1" w:styleId="187">
    <w:name w:val="标题 2_0"/>
    <w:basedOn w:val="157"/>
    <w:next w:val="157"/>
    <w:qFormat/>
    <w:uiPriority w:val="0"/>
    <w:pPr>
      <w:keepNext/>
      <w:keepLines/>
      <w:spacing w:before="260" w:after="260" w:line="412" w:lineRule="auto"/>
      <w:outlineLvl w:val="1"/>
    </w:pPr>
    <w:rPr>
      <w:rFonts w:ascii="Arial" w:hAnsi="Arial" w:eastAsia="黑体"/>
      <w:b/>
      <w:color w:val="000000"/>
      <w:sz w:val="32"/>
      <w:szCs w:val="20"/>
    </w:rPr>
  </w:style>
  <w:style w:type="paragraph" w:customStyle="1" w:styleId="188">
    <w:name w:val="无间隔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正文_0_0"/>
    <w:next w:val="16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F7080E-0DC4-40D3-8588-9ECB1B2D329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134</Pages>
  <Words>14486</Words>
  <Characters>82573</Characters>
  <Lines>688</Lines>
  <Paragraphs>193</Paragraphs>
  <TotalTime>1</TotalTime>
  <ScaleCrop>false</ScaleCrop>
  <LinksUpToDate>false</LinksUpToDate>
  <CharactersWithSpaces>96866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2024-07-04T11:32:00Z</dcterms:created>
  <dc:creator>NTKO</dc:creator>
  <cp:lastModifiedBy>lhb</cp:lastModifiedBy>
  <cp:lastPrinted>2022-11-16T04:13:00Z</cp:lastPrinted>
  <dcterms:modified xsi:type="dcterms:W3CDTF">2024-07-12T08:42:46Z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00A41F2251454CB2B27BBCCACC85CDCB_13</vt:lpwstr>
  </property>
</Properties>
</file>