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E1F93">
      <w:pPr>
        <w:spacing w:line="360" w:lineRule="auto"/>
        <w:jc w:val="center"/>
        <w:rPr>
          <w:rFonts w:hint="eastAsia" w:ascii="方正小标宋简体" w:hAnsi="宋体" w:eastAsia="方正小标宋简体"/>
          <w:color w:val="auto"/>
          <w:sz w:val="52"/>
          <w:szCs w:val="52"/>
          <w:highlight w:val="none"/>
          <w:lang w:eastAsia="zh-CN"/>
        </w:rPr>
      </w:pPr>
    </w:p>
    <w:p w14:paraId="7AF8DDA7">
      <w:pPr>
        <w:spacing w:line="360" w:lineRule="auto"/>
        <w:jc w:val="center"/>
        <w:rPr>
          <w:rFonts w:hint="eastAsia" w:ascii="方正小标宋简体" w:hAnsi="宋体" w:eastAsia="方正小标宋简体"/>
          <w:color w:val="auto"/>
          <w:sz w:val="52"/>
          <w:szCs w:val="52"/>
          <w:highlight w:val="none"/>
          <w:lang w:eastAsia="zh-CN"/>
        </w:rPr>
      </w:pPr>
    </w:p>
    <w:p w14:paraId="70014CF1">
      <w:pPr>
        <w:spacing w:line="360" w:lineRule="auto"/>
        <w:jc w:val="center"/>
        <w:rPr>
          <w:rFonts w:hint="eastAsia" w:ascii="方正小标宋简体" w:hAnsi="方正小标宋简体" w:eastAsia="方正小标宋简体" w:cs="方正小标宋简体"/>
          <w:color w:val="auto"/>
          <w:sz w:val="52"/>
          <w:szCs w:val="52"/>
          <w:highlight w:val="none"/>
          <w:lang w:eastAsia="zh-CN"/>
        </w:rPr>
      </w:pPr>
      <w:bookmarkStart w:id="1136" w:name="_GoBack"/>
      <w:bookmarkEnd w:id="1136"/>
    </w:p>
    <w:p w14:paraId="150BF9B4">
      <w:pPr>
        <w:spacing w:line="360" w:lineRule="auto"/>
        <w:jc w:val="center"/>
        <w:rPr>
          <w:rFonts w:ascii="方正小标宋简体" w:hAnsi="方正小标宋简体" w:eastAsia="方正小标宋简体" w:cs="方正小标宋简体"/>
          <w:b/>
          <w:color w:val="auto"/>
          <w:sz w:val="44"/>
          <w:szCs w:val="44"/>
          <w:highlight w:val="none"/>
        </w:rPr>
      </w:pPr>
    </w:p>
    <w:p w14:paraId="17AABCF8">
      <w:pPr>
        <w:pStyle w:val="64"/>
        <w:rPr>
          <w:color w:val="auto"/>
          <w:highlight w:val="none"/>
        </w:rPr>
      </w:pPr>
    </w:p>
    <w:p w14:paraId="27B0A953">
      <w:pPr>
        <w:snapToGrid w:val="0"/>
        <w:spacing w:beforeLines="50" w:line="360" w:lineRule="auto"/>
        <w:jc w:val="center"/>
        <w:rPr>
          <w:rFonts w:hint="eastAsia" w:ascii="宋体" w:hAnsi="宋体" w:eastAsia="宋体" w:cs="宋体"/>
          <w:color w:val="auto"/>
          <w:sz w:val="120"/>
          <w:szCs w:val="120"/>
          <w:highlight w:val="none"/>
        </w:rPr>
      </w:pPr>
      <w:r>
        <w:rPr>
          <w:rFonts w:hint="eastAsia" w:ascii="宋体" w:hAnsi="宋体" w:eastAsia="宋体" w:cs="宋体"/>
          <w:color w:val="auto"/>
          <w:sz w:val="120"/>
          <w:szCs w:val="120"/>
          <w:highlight w:val="none"/>
        </w:rPr>
        <w:t>竞争性磋商文件</w:t>
      </w:r>
    </w:p>
    <w:p w14:paraId="1817B525">
      <w:pPr>
        <w:snapToGrid w:val="0"/>
        <w:spacing w:beforeLines="50" w:line="360" w:lineRule="auto"/>
        <w:jc w:val="center"/>
        <w:rPr>
          <w:rFonts w:hint="eastAsia" w:ascii="宋体" w:hAnsi="宋体" w:eastAsia="宋体" w:cs="宋体"/>
          <w:b/>
          <w:color w:val="auto"/>
          <w:sz w:val="30"/>
          <w:szCs w:val="72"/>
          <w:highlight w:val="none"/>
        </w:rPr>
      </w:pPr>
      <w:r>
        <w:rPr>
          <w:rFonts w:hint="eastAsia" w:ascii="宋体" w:hAnsi="宋体" w:eastAsia="宋体" w:cs="宋体"/>
          <w:b/>
          <w:color w:val="auto"/>
          <w:sz w:val="48"/>
          <w:szCs w:val="48"/>
          <w:highlight w:val="none"/>
        </w:rPr>
        <w:t>（全流程电子化采购）</w:t>
      </w:r>
    </w:p>
    <w:p w14:paraId="578C0A72">
      <w:pPr>
        <w:pStyle w:val="27"/>
        <w:snapToGrid w:val="0"/>
        <w:spacing w:line="360" w:lineRule="auto"/>
        <w:ind w:firstLine="904" w:firstLineChars="300"/>
        <w:rPr>
          <w:rFonts w:hint="eastAsia" w:ascii="宋体" w:hAnsi="宋体" w:eastAsia="宋体" w:cs="宋体"/>
          <w:b/>
          <w:bCs/>
          <w:color w:val="auto"/>
          <w:sz w:val="30"/>
          <w:szCs w:val="30"/>
          <w:highlight w:val="none"/>
        </w:rPr>
      </w:pPr>
    </w:p>
    <w:p w14:paraId="4DD32CC0">
      <w:pPr>
        <w:pStyle w:val="27"/>
        <w:snapToGrid w:val="0"/>
        <w:spacing w:line="360" w:lineRule="auto"/>
        <w:ind w:firstLine="904" w:firstLineChars="3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eastAsia="zh-CN"/>
        </w:rPr>
        <w:t>大平瑶族乡大平村人居环境整治项目</w:t>
      </w:r>
    </w:p>
    <w:p w14:paraId="1AD21EE9">
      <w:pPr>
        <w:snapToGrid w:val="0"/>
        <w:spacing w:line="360" w:lineRule="auto"/>
        <w:ind w:firstLine="859" w:firstLineChars="300"/>
        <w:rPr>
          <w:rFonts w:hint="eastAsia" w:ascii="宋体" w:hAnsi="宋体" w:eastAsia="宋体" w:cs="宋体"/>
          <w:color w:val="auto"/>
          <w:sz w:val="30"/>
          <w:szCs w:val="72"/>
          <w:highlight w:val="none"/>
          <w:u w:val="none"/>
          <w:lang w:eastAsia="zh-CN"/>
        </w:rPr>
      </w:pPr>
      <w:r>
        <w:rPr>
          <w:rFonts w:hint="eastAsia" w:ascii="宋体" w:hAnsi="宋体" w:eastAsia="宋体" w:cs="宋体"/>
          <w:b/>
          <w:bCs/>
          <w:color w:val="auto"/>
          <w:w w:val="95"/>
          <w:sz w:val="30"/>
          <w:szCs w:val="30"/>
          <w:highlight w:val="none"/>
          <w:u w:val="none"/>
        </w:rPr>
        <w:t>项目</w:t>
      </w:r>
      <w:r>
        <w:rPr>
          <w:rFonts w:hint="eastAsia" w:ascii="宋体" w:hAnsi="宋体" w:eastAsia="宋体" w:cs="宋体"/>
          <w:b/>
          <w:bCs/>
          <w:color w:val="auto"/>
          <w:sz w:val="30"/>
          <w:szCs w:val="30"/>
          <w:highlight w:val="none"/>
          <w:u w:val="none"/>
        </w:rPr>
        <w:t>编号</w:t>
      </w:r>
      <w:r>
        <w:rPr>
          <w:rFonts w:hint="eastAsia" w:ascii="宋体" w:hAnsi="宋体" w:eastAsia="宋体" w:cs="宋体"/>
          <w:b/>
          <w:bCs/>
          <w:color w:val="auto"/>
          <w:w w:val="95"/>
          <w:sz w:val="30"/>
          <w:szCs w:val="30"/>
          <w:highlight w:val="none"/>
          <w:u w:val="none"/>
        </w:rPr>
        <w:t>：HZZC2024-C2-030247-GXCJ</w:t>
      </w:r>
    </w:p>
    <w:p w14:paraId="7D23930C">
      <w:pPr>
        <w:pStyle w:val="27"/>
        <w:snapToGrid w:val="0"/>
        <w:spacing w:line="360" w:lineRule="auto"/>
        <w:ind w:firstLine="859" w:firstLineChars="3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ascii="宋体" w:hAnsi="宋体" w:eastAsia="宋体" w:cs="宋体"/>
          <w:b/>
          <w:bCs/>
          <w:color w:val="auto"/>
          <w:w w:val="95"/>
          <w:sz w:val="30"/>
          <w:szCs w:val="30"/>
          <w:highlight w:val="none"/>
          <w:lang w:eastAsia="zh-CN"/>
        </w:rPr>
        <w:t>贺州市平桂区大平瑶族乡人民政府</w:t>
      </w:r>
    </w:p>
    <w:p w14:paraId="7E330246">
      <w:pPr>
        <w:pStyle w:val="27"/>
        <w:snapToGrid w:val="0"/>
        <w:spacing w:line="360" w:lineRule="auto"/>
        <w:ind w:firstLine="859" w:firstLineChars="3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lang w:eastAsia="zh-CN"/>
        </w:rPr>
        <w:t>广西城建咨询设计有限公司</w:t>
      </w:r>
    </w:p>
    <w:p w14:paraId="72E68424">
      <w:pPr>
        <w:pStyle w:val="27"/>
        <w:snapToGrid w:val="0"/>
        <w:spacing w:line="360" w:lineRule="auto"/>
        <w:ind w:firstLine="1125" w:firstLineChars="393"/>
        <w:rPr>
          <w:rFonts w:hint="eastAsia" w:ascii="宋体" w:hAnsi="宋体" w:eastAsia="宋体" w:cs="宋体"/>
          <w:b/>
          <w:bCs/>
          <w:color w:val="auto"/>
          <w:w w:val="95"/>
          <w:sz w:val="30"/>
          <w:szCs w:val="30"/>
          <w:highlight w:val="none"/>
        </w:rPr>
      </w:pPr>
    </w:p>
    <w:p w14:paraId="1E105DFF">
      <w:pPr>
        <w:pStyle w:val="27"/>
        <w:snapToGrid w:val="0"/>
        <w:spacing w:line="360" w:lineRule="auto"/>
        <w:jc w:val="center"/>
        <w:rPr>
          <w:rFonts w:hint="eastAsia" w:ascii="宋体" w:hAnsi="宋体" w:eastAsia="宋体" w:cs="宋体"/>
          <w:color w:val="auto"/>
          <w:szCs w:val="20"/>
          <w:highlight w:val="none"/>
        </w:rPr>
      </w:pPr>
      <w:r>
        <w:rPr>
          <w:rFonts w:hint="eastAsia" w:ascii="宋体" w:hAnsi="宋体" w:eastAsia="宋体" w:cs="宋体"/>
          <w:b/>
          <w:bCs/>
          <w:color w:val="auto"/>
          <w:w w:val="95"/>
          <w:sz w:val="30"/>
          <w:szCs w:val="30"/>
          <w:highlight w:val="none"/>
        </w:rPr>
        <w:t>202</w:t>
      </w:r>
      <w:r>
        <w:rPr>
          <w:rFonts w:hint="eastAsia" w:ascii="宋体" w:hAnsi="宋体" w:eastAsia="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rPr>
        <w:t>年</w:t>
      </w:r>
      <w:r>
        <w:rPr>
          <w:rFonts w:hint="eastAsia" w:hAnsi="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rPr>
        <w:t>月</w:t>
      </w:r>
    </w:p>
    <w:p w14:paraId="15E81D5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kern w:val="0"/>
          <w:sz w:val="32"/>
          <w:szCs w:val="32"/>
          <w:highlight w:val="none"/>
        </w:rPr>
        <w:br w:type="page"/>
      </w:r>
    </w:p>
    <w:p w14:paraId="00411D97">
      <w:pPr>
        <w:spacing w:line="360" w:lineRule="auto"/>
        <w:jc w:val="center"/>
        <w:rPr>
          <w:rFonts w:hint="eastAsia" w:ascii="宋体" w:hAnsi="宋体"/>
          <w:b/>
          <w:color w:val="auto"/>
          <w:sz w:val="44"/>
          <w:szCs w:val="44"/>
          <w:highlight w:val="none"/>
        </w:rPr>
      </w:pPr>
    </w:p>
    <w:p w14:paraId="38F03376">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67E232CB">
      <w:pPr>
        <w:spacing w:line="400" w:lineRule="exact"/>
        <w:jc w:val="center"/>
        <w:rPr>
          <w:rFonts w:ascii="宋体" w:hAnsi="宋体"/>
          <w:b/>
          <w:color w:val="auto"/>
          <w:sz w:val="44"/>
          <w:szCs w:val="44"/>
          <w:highlight w:val="none"/>
        </w:rPr>
      </w:pPr>
    </w:p>
    <w:p w14:paraId="0472FB9A">
      <w:pPr>
        <w:pStyle w:val="34"/>
        <w:tabs>
          <w:tab w:val="right" w:leader="dot" w:pos="8879"/>
        </w:tabs>
        <w:spacing w:line="480" w:lineRule="auto"/>
        <w:rPr>
          <w:color w:val="auto"/>
          <w:sz w:val="30"/>
          <w:szCs w:val="30"/>
          <w:highlight w:val="none"/>
        </w:rPr>
      </w:pPr>
      <w:r>
        <w:rPr>
          <w:rFonts w:ascii="宋体" w:hAnsi="宋体"/>
          <w:b/>
          <w:color w:val="auto"/>
          <w:sz w:val="30"/>
          <w:szCs w:val="30"/>
          <w:highlight w:val="none"/>
        </w:rPr>
        <w:fldChar w:fldCharType="begin"/>
      </w:r>
      <w:r>
        <w:rPr>
          <w:rFonts w:hint="eastAsia" w:ascii="宋体" w:hAnsi="宋体"/>
          <w:b/>
          <w:color w:val="auto"/>
          <w:sz w:val="30"/>
          <w:szCs w:val="30"/>
          <w:highlight w:val="none"/>
        </w:rPr>
        <w:instrText xml:space="preserve">TOC \o "1-3" \h \z \u</w:instrText>
      </w:r>
      <w:r>
        <w:rPr>
          <w:rFonts w:ascii="宋体" w:hAnsi="宋体"/>
          <w:b/>
          <w:color w:val="auto"/>
          <w:sz w:val="30"/>
          <w:szCs w:val="30"/>
          <w:highlight w:val="none"/>
        </w:rPr>
        <w:fldChar w:fldCharType="separate"/>
      </w: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_Toc21835 </w:instrText>
      </w:r>
      <w:r>
        <w:rPr>
          <w:rFonts w:ascii="宋体" w:hAnsi="宋体"/>
          <w:color w:val="auto"/>
          <w:sz w:val="30"/>
          <w:szCs w:val="30"/>
          <w:highlight w:val="none"/>
        </w:rPr>
        <w:fldChar w:fldCharType="separate"/>
      </w:r>
      <w:r>
        <w:rPr>
          <w:rFonts w:hint="eastAsia"/>
          <w:color w:val="auto"/>
          <w:sz w:val="30"/>
          <w:szCs w:val="30"/>
          <w:highlight w:val="none"/>
        </w:rPr>
        <w:t>第一章</w:t>
      </w:r>
      <w:r>
        <w:rPr>
          <w:rFonts w:hint="eastAsia"/>
          <w:color w:val="auto"/>
          <w:sz w:val="30"/>
          <w:szCs w:val="30"/>
          <w:highlight w:val="none"/>
          <w:lang w:val="en-US" w:eastAsia="zh-CN"/>
        </w:rPr>
        <w:t xml:space="preserve"> </w:t>
      </w:r>
      <w:r>
        <w:rPr>
          <w:rFonts w:hint="eastAsia"/>
          <w:color w:val="auto"/>
          <w:sz w:val="30"/>
          <w:szCs w:val="30"/>
          <w:highlight w:val="none"/>
        </w:rPr>
        <w:t>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_Toc21835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ascii="宋体" w:hAnsi="宋体"/>
          <w:color w:val="auto"/>
          <w:sz w:val="30"/>
          <w:szCs w:val="30"/>
          <w:highlight w:val="none"/>
        </w:rPr>
        <w:fldChar w:fldCharType="end"/>
      </w:r>
    </w:p>
    <w:p w14:paraId="270C881E">
      <w:pPr>
        <w:pStyle w:val="34"/>
        <w:tabs>
          <w:tab w:val="right" w:leader="dot" w:pos="8879"/>
        </w:tabs>
        <w:spacing w:line="480" w:lineRule="auto"/>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_Toc32467 </w:instrText>
      </w:r>
      <w:r>
        <w:rPr>
          <w:rFonts w:ascii="宋体" w:hAnsi="宋体"/>
          <w:color w:val="auto"/>
          <w:sz w:val="30"/>
          <w:szCs w:val="30"/>
          <w:highlight w:val="none"/>
        </w:rPr>
        <w:fldChar w:fldCharType="separate"/>
      </w:r>
      <w:r>
        <w:rPr>
          <w:rFonts w:hint="eastAsia"/>
          <w:color w:val="auto"/>
          <w:sz w:val="30"/>
          <w:szCs w:val="30"/>
          <w:highlight w:val="none"/>
        </w:rPr>
        <w:t>第二章</w:t>
      </w:r>
      <w:r>
        <w:rPr>
          <w:rFonts w:hint="eastAsia"/>
          <w:color w:val="auto"/>
          <w:sz w:val="30"/>
          <w:szCs w:val="30"/>
          <w:highlight w:val="none"/>
          <w:lang w:val="en-US" w:eastAsia="zh-CN"/>
        </w:rPr>
        <w:t xml:space="preserve"> </w:t>
      </w:r>
      <w:r>
        <w:rPr>
          <w:rFonts w:hint="eastAsia"/>
          <w:color w:val="auto"/>
          <w:sz w:val="30"/>
          <w:szCs w:val="30"/>
          <w:highlight w:val="none"/>
        </w:rPr>
        <w:t>供应商须知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_Toc32467 \h </w:instrText>
      </w:r>
      <w:r>
        <w:rPr>
          <w:color w:val="auto"/>
          <w:sz w:val="30"/>
          <w:szCs w:val="30"/>
          <w:highlight w:val="none"/>
        </w:rPr>
        <w:fldChar w:fldCharType="separate"/>
      </w:r>
      <w:r>
        <w:rPr>
          <w:color w:val="auto"/>
          <w:sz w:val="30"/>
          <w:szCs w:val="30"/>
          <w:highlight w:val="none"/>
        </w:rPr>
        <w:t>5</w:t>
      </w:r>
      <w:r>
        <w:rPr>
          <w:color w:val="auto"/>
          <w:sz w:val="30"/>
          <w:szCs w:val="30"/>
          <w:highlight w:val="none"/>
        </w:rPr>
        <w:fldChar w:fldCharType="end"/>
      </w:r>
      <w:r>
        <w:rPr>
          <w:rFonts w:ascii="宋体" w:hAnsi="宋体"/>
          <w:color w:val="auto"/>
          <w:sz w:val="30"/>
          <w:szCs w:val="30"/>
          <w:highlight w:val="none"/>
        </w:rPr>
        <w:fldChar w:fldCharType="end"/>
      </w:r>
    </w:p>
    <w:p w14:paraId="3D656E76">
      <w:pPr>
        <w:pStyle w:val="34"/>
        <w:tabs>
          <w:tab w:val="right" w:leader="dot" w:pos="8879"/>
        </w:tabs>
        <w:spacing w:line="480" w:lineRule="auto"/>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_Toc24195 </w:instrText>
      </w:r>
      <w:r>
        <w:rPr>
          <w:rFonts w:ascii="宋体" w:hAnsi="宋体"/>
          <w:color w:val="auto"/>
          <w:sz w:val="30"/>
          <w:szCs w:val="30"/>
          <w:highlight w:val="none"/>
        </w:rPr>
        <w:fldChar w:fldCharType="separate"/>
      </w:r>
      <w:r>
        <w:rPr>
          <w:rFonts w:hint="eastAsia" w:ascii="Times New Roman" w:hAnsi="Times New Roman" w:eastAsia="宋体" w:cs="Times New Roman"/>
          <w:bCs/>
          <w:color w:val="auto"/>
          <w:kern w:val="44"/>
          <w:sz w:val="30"/>
          <w:szCs w:val="30"/>
          <w:highlight w:val="none"/>
          <w:lang w:val="en-US" w:eastAsia="zh-CN" w:bidi="ar-SA"/>
        </w:rPr>
        <w:t>第三章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_Toc24195 \h </w:instrText>
      </w:r>
      <w:r>
        <w:rPr>
          <w:color w:val="auto"/>
          <w:sz w:val="30"/>
          <w:szCs w:val="30"/>
          <w:highlight w:val="none"/>
        </w:rPr>
        <w:fldChar w:fldCharType="separate"/>
      </w:r>
      <w:r>
        <w:rPr>
          <w:color w:val="auto"/>
          <w:sz w:val="30"/>
          <w:szCs w:val="30"/>
          <w:highlight w:val="none"/>
        </w:rPr>
        <w:t>23</w:t>
      </w:r>
      <w:r>
        <w:rPr>
          <w:color w:val="auto"/>
          <w:sz w:val="30"/>
          <w:szCs w:val="30"/>
          <w:highlight w:val="none"/>
        </w:rPr>
        <w:fldChar w:fldCharType="end"/>
      </w:r>
      <w:r>
        <w:rPr>
          <w:rFonts w:ascii="宋体" w:hAnsi="宋体"/>
          <w:color w:val="auto"/>
          <w:sz w:val="30"/>
          <w:szCs w:val="30"/>
          <w:highlight w:val="none"/>
        </w:rPr>
        <w:fldChar w:fldCharType="end"/>
      </w:r>
    </w:p>
    <w:p w14:paraId="2CD3C83B">
      <w:pPr>
        <w:pStyle w:val="34"/>
        <w:tabs>
          <w:tab w:val="right" w:leader="dot" w:pos="8879"/>
        </w:tabs>
        <w:spacing w:line="480" w:lineRule="auto"/>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_Toc29831 </w:instrText>
      </w:r>
      <w:r>
        <w:rPr>
          <w:rFonts w:ascii="宋体" w:hAnsi="宋体"/>
          <w:color w:val="auto"/>
          <w:sz w:val="30"/>
          <w:szCs w:val="30"/>
          <w:highlight w:val="none"/>
        </w:rPr>
        <w:fldChar w:fldCharType="separate"/>
      </w:r>
      <w:r>
        <w:rPr>
          <w:rFonts w:hint="eastAsia"/>
          <w:color w:val="auto"/>
          <w:sz w:val="30"/>
          <w:szCs w:val="30"/>
          <w:highlight w:val="none"/>
        </w:rPr>
        <w:t>第四章 评审程序、评审方法和评审标准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_Toc29831 \h </w:instrText>
      </w:r>
      <w:r>
        <w:rPr>
          <w:color w:val="auto"/>
          <w:sz w:val="30"/>
          <w:szCs w:val="30"/>
          <w:highlight w:val="none"/>
        </w:rPr>
        <w:fldChar w:fldCharType="separate"/>
      </w:r>
      <w:r>
        <w:rPr>
          <w:color w:val="auto"/>
          <w:sz w:val="30"/>
          <w:szCs w:val="30"/>
          <w:highlight w:val="none"/>
        </w:rPr>
        <w:t>25</w:t>
      </w:r>
      <w:r>
        <w:rPr>
          <w:color w:val="auto"/>
          <w:sz w:val="30"/>
          <w:szCs w:val="30"/>
          <w:highlight w:val="none"/>
        </w:rPr>
        <w:fldChar w:fldCharType="end"/>
      </w:r>
      <w:r>
        <w:rPr>
          <w:rFonts w:ascii="宋体" w:hAnsi="宋体"/>
          <w:color w:val="auto"/>
          <w:sz w:val="30"/>
          <w:szCs w:val="30"/>
          <w:highlight w:val="none"/>
        </w:rPr>
        <w:fldChar w:fldCharType="end"/>
      </w:r>
    </w:p>
    <w:p w14:paraId="05C8714C">
      <w:pPr>
        <w:pStyle w:val="34"/>
        <w:tabs>
          <w:tab w:val="right" w:leader="dot" w:pos="8879"/>
        </w:tabs>
        <w:spacing w:line="480" w:lineRule="auto"/>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_Toc30067 </w:instrText>
      </w:r>
      <w:r>
        <w:rPr>
          <w:rFonts w:ascii="宋体" w:hAnsi="宋体"/>
          <w:color w:val="auto"/>
          <w:sz w:val="30"/>
          <w:szCs w:val="30"/>
          <w:highlight w:val="none"/>
        </w:rPr>
        <w:fldChar w:fldCharType="separate"/>
      </w:r>
      <w:r>
        <w:rPr>
          <w:rFonts w:hint="eastAsia"/>
          <w:color w:val="auto"/>
          <w:sz w:val="30"/>
          <w:szCs w:val="30"/>
          <w:highlight w:val="none"/>
        </w:rPr>
        <w:t>第五章</w:t>
      </w:r>
      <w:r>
        <w:rPr>
          <w:rFonts w:hint="eastAsia"/>
          <w:color w:val="auto"/>
          <w:sz w:val="30"/>
          <w:szCs w:val="30"/>
          <w:highlight w:val="none"/>
          <w:lang w:val="en-US" w:eastAsia="zh-CN"/>
        </w:rPr>
        <w:t xml:space="preserve"> </w:t>
      </w:r>
      <w:r>
        <w:rPr>
          <w:rFonts w:hint="eastAsia"/>
          <w:color w:val="auto"/>
          <w:sz w:val="30"/>
          <w:szCs w:val="30"/>
          <w:highlight w:val="none"/>
        </w:rPr>
        <w:t>工程量清单及图纸</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_Toc30067 \h </w:instrText>
      </w:r>
      <w:r>
        <w:rPr>
          <w:color w:val="auto"/>
          <w:sz w:val="30"/>
          <w:szCs w:val="30"/>
          <w:highlight w:val="none"/>
        </w:rPr>
        <w:fldChar w:fldCharType="separate"/>
      </w:r>
      <w:r>
        <w:rPr>
          <w:color w:val="auto"/>
          <w:sz w:val="30"/>
          <w:szCs w:val="30"/>
          <w:highlight w:val="none"/>
        </w:rPr>
        <w:t>35</w:t>
      </w:r>
      <w:r>
        <w:rPr>
          <w:color w:val="auto"/>
          <w:sz w:val="30"/>
          <w:szCs w:val="30"/>
          <w:highlight w:val="none"/>
        </w:rPr>
        <w:fldChar w:fldCharType="end"/>
      </w:r>
      <w:r>
        <w:rPr>
          <w:rFonts w:ascii="宋体" w:hAnsi="宋体"/>
          <w:color w:val="auto"/>
          <w:sz w:val="30"/>
          <w:szCs w:val="30"/>
          <w:highlight w:val="none"/>
        </w:rPr>
        <w:fldChar w:fldCharType="end"/>
      </w:r>
    </w:p>
    <w:p w14:paraId="1D6A66F0">
      <w:pPr>
        <w:pStyle w:val="34"/>
        <w:tabs>
          <w:tab w:val="right" w:leader="dot" w:pos="8879"/>
        </w:tabs>
        <w:spacing w:line="480" w:lineRule="auto"/>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_Toc17207 </w:instrText>
      </w:r>
      <w:r>
        <w:rPr>
          <w:rFonts w:ascii="宋体" w:hAnsi="宋体"/>
          <w:color w:val="auto"/>
          <w:sz w:val="30"/>
          <w:szCs w:val="30"/>
          <w:highlight w:val="none"/>
        </w:rPr>
        <w:fldChar w:fldCharType="separate"/>
      </w:r>
      <w:r>
        <w:rPr>
          <w:rFonts w:hint="eastAsia"/>
          <w:color w:val="auto"/>
          <w:sz w:val="30"/>
          <w:szCs w:val="30"/>
          <w:highlight w:val="none"/>
        </w:rPr>
        <w:t>第六章</w:t>
      </w:r>
      <w:r>
        <w:rPr>
          <w:rFonts w:hint="eastAsia"/>
          <w:color w:val="auto"/>
          <w:sz w:val="30"/>
          <w:szCs w:val="30"/>
          <w:highlight w:val="none"/>
          <w:lang w:val="en-US" w:eastAsia="zh-CN"/>
        </w:rPr>
        <w:t xml:space="preserve"> </w:t>
      </w:r>
      <w:r>
        <w:rPr>
          <w:rFonts w:hint="eastAsia"/>
          <w:color w:val="auto"/>
          <w:sz w:val="30"/>
          <w:szCs w:val="30"/>
          <w:highlight w:val="none"/>
        </w:rPr>
        <w:t>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_Toc17207 \h </w:instrText>
      </w:r>
      <w:r>
        <w:rPr>
          <w:color w:val="auto"/>
          <w:sz w:val="30"/>
          <w:szCs w:val="30"/>
          <w:highlight w:val="none"/>
        </w:rPr>
        <w:fldChar w:fldCharType="separate"/>
      </w:r>
      <w:r>
        <w:rPr>
          <w:color w:val="auto"/>
          <w:sz w:val="30"/>
          <w:szCs w:val="30"/>
          <w:highlight w:val="none"/>
        </w:rPr>
        <w:t>40</w:t>
      </w:r>
      <w:r>
        <w:rPr>
          <w:color w:val="auto"/>
          <w:sz w:val="30"/>
          <w:szCs w:val="30"/>
          <w:highlight w:val="none"/>
        </w:rPr>
        <w:fldChar w:fldCharType="end"/>
      </w:r>
      <w:r>
        <w:rPr>
          <w:rFonts w:ascii="宋体" w:hAnsi="宋体"/>
          <w:color w:val="auto"/>
          <w:sz w:val="30"/>
          <w:szCs w:val="30"/>
          <w:highlight w:val="none"/>
        </w:rPr>
        <w:fldChar w:fldCharType="end"/>
      </w:r>
    </w:p>
    <w:p w14:paraId="169763AE">
      <w:pPr>
        <w:pStyle w:val="34"/>
        <w:tabs>
          <w:tab w:val="right" w:leader="dot" w:pos="8879"/>
        </w:tabs>
        <w:spacing w:line="480" w:lineRule="auto"/>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_Toc23551 </w:instrText>
      </w:r>
      <w:r>
        <w:rPr>
          <w:rFonts w:ascii="宋体" w:hAnsi="宋体"/>
          <w:color w:val="auto"/>
          <w:sz w:val="30"/>
          <w:szCs w:val="30"/>
          <w:highlight w:val="none"/>
        </w:rPr>
        <w:fldChar w:fldCharType="separate"/>
      </w:r>
      <w:r>
        <w:rPr>
          <w:rFonts w:hint="eastAsia"/>
          <w:color w:val="auto"/>
          <w:sz w:val="30"/>
          <w:szCs w:val="30"/>
          <w:highlight w:val="none"/>
        </w:rPr>
        <w:t>第七章</w:t>
      </w:r>
      <w:r>
        <w:rPr>
          <w:rFonts w:hint="eastAsia"/>
          <w:color w:val="auto"/>
          <w:sz w:val="30"/>
          <w:szCs w:val="30"/>
          <w:highlight w:val="none"/>
          <w:lang w:val="en-US" w:eastAsia="zh-CN"/>
        </w:rPr>
        <w:t xml:space="preserve"> </w:t>
      </w:r>
      <w:r>
        <w:rPr>
          <w:rFonts w:hint="eastAsia"/>
          <w:color w:val="auto"/>
          <w:sz w:val="30"/>
          <w:szCs w:val="30"/>
          <w:highlight w:val="none"/>
        </w:rPr>
        <w:t>合同文本</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_Toc23551 \h </w:instrText>
      </w:r>
      <w:r>
        <w:rPr>
          <w:color w:val="auto"/>
          <w:sz w:val="30"/>
          <w:szCs w:val="30"/>
          <w:highlight w:val="none"/>
        </w:rPr>
        <w:fldChar w:fldCharType="separate"/>
      </w:r>
      <w:r>
        <w:rPr>
          <w:color w:val="auto"/>
          <w:sz w:val="30"/>
          <w:szCs w:val="30"/>
          <w:highlight w:val="none"/>
        </w:rPr>
        <w:t>77</w:t>
      </w:r>
      <w:r>
        <w:rPr>
          <w:color w:val="auto"/>
          <w:sz w:val="30"/>
          <w:szCs w:val="30"/>
          <w:highlight w:val="none"/>
        </w:rPr>
        <w:fldChar w:fldCharType="end"/>
      </w:r>
      <w:r>
        <w:rPr>
          <w:rFonts w:ascii="宋体" w:hAnsi="宋体"/>
          <w:color w:val="auto"/>
          <w:sz w:val="30"/>
          <w:szCs w:val="30"/>
          <w:highlight w:val="none"/>
        </w:rPr>
        <w:fldChar w:fldCharType="end"/>
      </w:r>
    </w:p>
    <w:p w14:paraId="63E09DE3">
      <w:pPr>
        <w:pStyle w:val="40"/>
        <w:tabs>
          <w:tab w:val="right" w:leader="dot" w:pos="8931"/>
          <w:tab w:val="clear" w:pos="8296"/>
        </w:tabs>
        <w:snapToGrid w:val="0"/>
        <w:spacing w:line="480" w:lineRule="auto"/>
        <w:ind w:left="0" w:leftChars="0"/>
        <w:rPr>
          <w:rFonts w:ascii="宋体" w:hAnsi="宋体"/>
          <w:b/>
          <w:color w:val="auto"/>
          <w:sz w:val="24"/>
          <w:highlight w:val="none"/>
        </w:rPr>
      </w:pPr>
      <w:r>
        <w:rPr>
          <w:rFonts w:ascii="宋体" w:hAnsi="宋体"/>
          <w:color w:val="auto"/>
          <w:sz w:val="30"/>
          <w:szCs w:val="30"/>
          <w:highlight w:val="none"/>
        </w:rPr>
        <w:fldChar w:fldCharType="end"/>
      </w:r>
    </w:p>
    <w:p w14:paraId="541641DF">
      <w:pPr>
        <w:spacing w:line="400" w:lineRule="exact"/>
        <w:jc w:val="left"/>
        <w:rPr>
          <w:rFonts w:ascii="宋体" w:hAnsi="宋体"/>
          <w:b/>
          <w:color w:val="auto"/>
          <w:sz w:val="32"/>
          <w:szCs w:val="32"/>
          <w:highlight w:val="none"/>
        </w:rPr>
      </w:pPr>
    </w:p>
    <w:p w14:paraId="1DB0851F">
      <w:pPr>
        <w:spacing w:line="400" w:lineRule="exact"/>
        <w:jc w:val="center"/>
        <w:rPr>
          <w:rFonts w:ascii="宋体" w:hAnsi="宋体"/>
          <w:b/>
          <w:color w:val="auto"/>
          <w:sz w:val="32"/>
          <w:szCs w:val="32"/>
          <w:highlight w:val="none"/>
        </w:rPr>
      </w:pPr>
    </w:p>
    <w:p w14:paraId="48397988">
      <w:pPr>
        <w:tabs>
          <w:tab w:val="left" w:pos="6483"/>
        </w:tabs>
        <w:spacing w:line="400" w:lineRule="exact"/>
        <w:jc w:val="left"/>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ab/>
      </w:r>
    </w:p>
    <w:p w14:paraId="2D220C8B">
      <w:pPr>
        <w:spacing w:line="400" w:lineRule="exact"/>
        <w:jc w:val="center"/>
        <w:rPr>
          <w:rFonts w:ascii="宋体" w:hAnsi="宋体"/>
          <w:b/>
          <w:color w:val="auto"/>
          <w:sz w:val="32"/>
          <w:szCs w:val="32"/>
          <w:highlight w:val="none"/>
        </w:rPr>
      </w:pPr>
    </w:p>
    <w:p w14:paraId="5C4449FA">
      <w:pPr>
        <w:spacing w:line="400" w:lineRule="exact"/>
        <w:jc w:val="center"/>
        <w:rPr>
          <w:rFonts w:ascii="宋体" w:hAnsi="宋体"/>
          <w:b/>
          <w:color w:val="auto"/>
          <w:sz w:val="32"/>
          <w:szCs w:val="32"/>
          <w:highlight w:val="none"/>
        </w:rPr>
      </w:pPr>
    </w:p>
    <w:p w14:paraId="102B6104">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12CCAFFB">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highlight w:val="none"/>
        </w:rPr>
      </w:pPr>
      <w:bookmarkStart w:id="0" w:name="_Toc21835"/>
      <w:r>
        <w:rPr>
          <w:rFonts w:hint="eastAsia"/>
          <w:color w:val="auto"/>
          <w:highlight w:val="none"/>
        </w:rPr>
        <w:t>第一章竞争性磋商公告</w:t>
      </w:r>
      <w:bookmarkEnd w:id="0"/>
    </w:p>
    <w:p w14:paraId="26EAFBB2">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2917743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570B2E1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大平瑶族乡大平村人居环境整治项目</w:t>
      </w:r>
      <w:r>
        <w:rPr>
          <w:rFonts w:hint="eastAsia" w:ascii="宋体" w:hAnsi="宋体"/>
          <w:color w:val="auto"/>
          <w:szCs w:val="21"/>
          <w:highlight w:val="none"/>
        </w:rPr>
        <w:t>采购项目的潜在供应商应在</w:t>
      </w:r>
      <w:r>
        <w:rPr>
          <w:rFonts w:hint="eastAsia" w:ascii="宋体" w:hAnsi="宋体"/>
          <w:color w:val="auto"/>
          <w:szCs w:val="21"/>
          <w:highlight w:val="none"/>
          <w:lang w:eastAsia="zh-CN"/>
        </w:rPr>
        <w:t>广西政府采购云平台（https://www.gcy.zfcg.gxzf.gov.cn/）</w:t>
      </w:r>
      <w:r>
        <w:rPr>
          <w:rFonts w:hint="eastAsia" w:ascii="宋体" w:hAnsi="宋体"/>
          <w:color w:val="auto"/>
          <w:szCs w:val="21"/>
          <w:highlight w:val="none"/>
        </w:rPr>
        <w:t>获取（下载）竞争性磋商文件，并于</w:t>
      </w:r>
      <w:r>
        <w:rPr>
          <w:rFonts w:ascii="宋体" w:hAnsi="宋体"/>
          <w:bCs/>
          <w:color w:val="auto"/>
          <w:szCs w:val="21"/>
          <w:highlight w:val="none"/>
          <w:u w:val="single"/>
        </w:rPr>
        <w:t>202</w:t>
      </w:r>
      <w:r>
        <w:rPr>
          <w:rFonts w:hint="eastAsia" w:ascii="宋体" w:hAnsi="宋体"/>
          <w:bCs/>
          <w:color w:val="auto"/>
          <w:szCs w:val="21"/>
          <w:highlight w:val="none"/>
          <w:u w:val="single"/>
        </w:rPr>
        <w:t>4</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 xml:space="preserve"> 8 </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 xml:space="preserve"> 5 </w:t>
      </w:r>
      <w:r>
        <w:rPr>
          <w:rFonts w:hint="eastAsia" w:ascii="宋体" w:hAnsi="宋体"/>
          <w:bCs/>
          <w:color w:val="auto"/>
          <w:szCs w:val="21"/>
          <w:highlight w:val="non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u w:val="single"/>
          <w:lang w:val="en-US" w:eastAsia="zh-CN"/>
        </w:rPr>
        <w:t xml:space="preserve"> 00 </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44DEFE1">
      <w:pPr>
        <w:spacing w:line="360" w:lineRule="auto"/>
        <w:rPr>
          <w:rFonts w:ascii="宋体" w:hAnsi="宋体"/>
          <w:color w:val="auto"/>
          <w:szCs w:val="21"/>
          <w:highlight w:val="none"/>
        </w:rPr>
      </w:pPr>
    </w:p>
    <w:p w14:paraId="6390F966">
      <w:pPr>
        <w:spacing w:line="360" w:lineRule="auto"/>
        <w:ind w:firstLine="354" w:firstLineChars="147"/>
        <w:rPr>
          <w:rFonts w:ascii="黑体" w:hAnsi="黑体" w:eastAsia="黑体"/>
          <w:b/>
          <w:color w:val="auto"/>
          <w:sz w:val="24"/>
          <w:highlight w:val="none"/>
        </w:rPr>
      </w:pPr>
      <w:bookmarkStart w:id="2" w:name="_Toc35393798"/>
      <w:bookmarkStart w:id="3" w:name="_Toc28359012"/>
      <w:bookmarkStart w:id="4" w:name="_Toc44229878"/>
      <w:bookmarkStart w:id="5" w:name="_Toc35393629"/>
      <w:bookmarkStart w:id="6" w:name="_Toc71365905"/>
      <w:bookmarkStart w:id="7" w:name="_Toc28359089"/>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0A642FA0">
      <w:pPr>
        <w:spacing w:line="360" w:lineRule="auto"/>
        <w:ind w:firstLine="420" w:firstLineChars="200"/>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rPr>
        <w:t>项目编号：HZZC2024-C2-030247-GXCJ</w:t>
      </w:r>
    </w:p>
    <w:p w14:paraId="633D555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none"/>
          <w:lang w:eastAsia="zh-CN"/>
        </w:rPr>
        <w:t>大平瑶族乡大平村人居环境整治项目</w:t>
      </w:r>
    </w:p>
    <w:p w14:paraId="7C88A6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12EF296B">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color w:val="auto"/>
          <w:szCs w:val="21"/>
          <w:highlight w:val="none"/>
        </w:rPr>
        <w:t>预算金额：</w:t>
      </w:r>
      <w:r>
        <w:rPr>
          <w:rFonts w:hint="eastAsia" w:ascii="宋体" w:hAnsi="宋体" w:cs="Times New Roman"/>
          <w:color w:val="auto"/>
          <w:szCs w:val="21"/>
          <w:highlight w:val="none"/>
          <w:lang w:val="en-US" w:eastAsia="zh-CN"/>
        </w:rPr>
        <w:t>918691.34</w:t>
      </w:r>
      <w:r>
        <w:rPr>
          <w:rFonts w:hint="eastAsia" w:ascii="宋体" w:hAnsi="宋体" w:eastAsia="宋体" w:cs="Times New Roman"/>
          <w:color w:val="auto"/>
          <w:szCs w:val="21"/>
          <w:highlight w:val="none"/>
        </w:rPr>
        <w:t>元。</w:t>
      </w:r>
    </w:p>
    <w:p w14:paraId="10674A5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w:t>
      </w:r>
      <w:r>
        <w:rPr>
          <w:rFonts w:hint="eastAsia" w:ascii="宋体" w:hAnsi="宋体"/>
          <w:color w:val="auto"/>
          <w:szCs w:val="21"/>
          <w:highlight w:val="none"/>
          <w:lang w:val="en-US" w:eastAsia="zh-CN"/>
        </w:rPr>
        <w:t>918691.34</w:t>
      </w:r>
      <w:r>
        <w:rPr>
          <w:rFonts w:hint="eastAsia" w:ascii="宋体" w:hAnsi="宋体" w:eastAsia="宋体" w:cs="Times New Roman"/>
          <w:color w:val="auto"/>
          <w:szCs w:val="21"/>
          <w:highlight w:val="none"/>
        </w:rPr>
        <w:t>元。</w:t>
      </w:r>
    </w:p>
    <w:p w14:paraId="56F7D3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4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9"/>
        <w:gridCol w:w="1784"/>
        <w:gridCol w:w="1059"/>
        <w:gridCol w:w="4569"/>
        <w:gridCol w:w="1179"/>
      </w:tblGrid>
      <w:tr w14:paraId="2D070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14:paraId="316D1FC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981" w:type="pct"/>
            <w:tcBorders>
              <w:top w:val="single" w:color="auto" w:sz="4" w:space="0"/>
              <w:left w:val="single" w:color="auto" w:sz="4" w:space="0"/>
              <w:bottom w:val="single" w:color="auto" w:sz="4" w:space="0"/>
              <w:right w:val="single" w:color="auto" w:sz="4" w:space="0"/>
            </w:tcBorders>
            <w:noWrap w:val="0"/>
            <w:vAlign w:val="center"/>
          </w:tcPr>
          <w:p w14:paraId="60B94B6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F1D828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2512" w:type="pct"/>
            <w:tcBorders>
              <w:top w:val="single" w:color="auto" w:sz="4" w:space="0"/>
              <w:left w:val="single" w:color="auto" w:sz="4" w:space="0"/>
              <w:bottom w:val="single" w:color="auto" w:sz="4" w:space="0"/>
              <w:right w:val="single" w:color="auto" w:sz="4" w:space="0"/>
            </w:tcBorders>
            <w:noWrap w:val="0"/>
            <w:vAlign w:val="center"/>
          </w:tcPr>
          <w:p w14:paraId="106A764E">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77F0276C">
            <w:pPr>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w:t>
            </w:r>
          </w:p>
        </w:tc>
      </w:tr>
      <w:tr w14:paraId="6EF70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14:paraId="41078C8D">
            <w:pPr>
              <w:snapToGrid w:val="0"/>
              <w:spacing w:line="400" w:lineRule="exact"/>
              <w:jc w:val="center"/>
              <w:rPr>
                <w:rFonts w:ascii="宋体" w:hAnsi="宋体"/>
                <w:color w:val="auto"/>
                <w:szCs w:val="21"/>
                <w:highlight w:val="none"/>
              </w:rPr>
            </w:pPr>
            <w:r>
              <w:rPr>
                <w:rFonts w:ascii="宋体" w:hAnsi="宋体"/>
                <w:color w:val="auto"/>
                <w:szCs w:val="21"/>
                <w:highlight w:val="none"/>
              </w:rPr>
              <w:t>1</w:t>
            </w:r>
          </w:p>
        </w:tc>
        <w:tc>
          <w:tcPr>
            <w:tcW w:w="981" w:type="pct"/>
            <w:tcBorders>
              <w:top w:val="single" w:color="auto" w:sz="4" w:space="0"/>
              <w:left w:val="single" w:color="auto" w:sz="4" w:space="0"/>
              <w:bottom w:val="single" w:color="auto" w:sz="4" w:space="0"/>
              <w:right w:val="single" w:color="auto" w:sz="4" w:space="0"/>
            </w:tcBorders>
            <w:noWrap w:val="0"/>
            <w:vAlign w:val="center"/>
          </w:tcPr>
          <w:p w14:paraId="7338A529">
            <w:pPr>
              <w:spacing w:line="400" w:lineRule="exact"/>
              <w:jc w:val="center"/>
              <w:rPr>
                <w:rFonts w:hint="eastAsia" w:ascii="宋体" w:hAnsi="宋体"/>
                <w:color w:val="auto"/>
                <w:szCs w:val="21"/>
                <w:highlight w:val="none"/>
              </w:rPr>
            </w:pPr>
            <w:r>
              <w:rPr>
                <w:rFonts w:hint="eastAsia" w:ascii="宋体" w:hAnsi="宋体"/>
                <w:color w:val="auto"/>
                <w:szCs w:val="21"/>
                <w:highlight w:val="none"/>
              </w:rPr>
              <w:t>大平瑶族乡大平村人居环境整治项目</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3EAEB052">
            <w:pPr>
              <w:spacing w:line="400" w:lineRule="exact"/>
              <w:jc w:val="center"/>
              <w:rPr>
                <w:rFonts w:hint="eastAsia" w:ascii="宋体" w:hAnsi="宋体"/>
                <w:color w:val="auto"/>
                <w:highlight w:val="none"/>
              </w:rPr>
            </w:pPr>
            <w:r>
              <w:rPr>
                <w:rFonts w:hint="eastAsia" w:ascii="宋体" w:hAnsi="宋体"/>
                <w:color w:val="auto"/>
                <w:highlight w:val="none"/>
              </w:rPr>
              <w:t>1项</w:t>
            </w:r>
          </w:p>
        </w:tc>
        <w:tc>
          <w:tcPr>
            <w:tcW w:w="2512" w:type="pct"/>
            <w:tcBorders>
              <w:top w:val="single" w:color="auto" w:sz="4" w:space="0"/>
              <w:left w:val="single" w:color="auto" w:sz="4" w:space="0"/>
              <w:bottom w:val="single" w:color="auto" w:sz="4" w:space="0"/>
              <w:right w:val="single" w:color="auto" w:sz="4" w:space="0"/>
            </w:tcBorders>
            <w:noWrap w:val="0"/>
            <w:vAlign w:val="center"/>
          </w:tcPr>
          <w:p w14:paraId="2A2CE3FD">
            <w:pPr>
              <w:pStyle w:val="2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b/>
                <w:color w:val="auto"/>
                <w:highlight w:val="none"/>
                <w:lang w:eastAsia="zh-CN"/>
              </w:rPr>
            </w:pPr>
            <w:r>
              <w:rPr>
                <w:rFonts w:hint="eastAsia"/>
                <w:b w:val="0"/>
                <w:bCs/>
                <w:color w:val="auto"/>
                <w:highlight w:val="none"/>
              </w:rPr>
              <w:t>本项目为大平瑶族乡大平村人居环境整治项目</w:t>
            </w:r>
            <w:r>
              <w:rPr>
                <w:rFonts w:hint="eastAsia"/>
                <w:b w:val="0"/>
                <w:bCs/>
                <w:color w:val="auto"/>
                <w:highlight w:val="none"/>
                <w:lang w:eastAsia="zh-CN"/>
              </w:rPr>
              <w:t>，</w:t>
            </w:r>
            <w:r>
              <w:rPr>
                <w:rFonts w:hint="eastAsia"/>
                <w:b w:val="0"/>
                <w:bCs/>
                <w:color w:val="auto"/>
                <w:highlight w:val="none"/>
              </w:rPr>
              <w:t>包括污水工程（其中DN400高密度聚氯乙烯双壁波纹管HDPE采用承插式胶圈接口及180°砂石基础；DN400高密度聚乙烯管道PE管采用热熔接口及定向牵引）、排水暗渠工程及化粪池（玻璃钢、钢筋混凝土）、过滤池、沉淀池等。</w:t>
            </w:r>
            <w:r>
              <w:rPr>
                <w:rFonts w:hint="eastAsia"/>
                <w:b w:val="0"/>
                <w:bCs/>
                <w:color w:val="auto"/>
                <w:highlight w:val="none"/>
                <w:lang w:eastAsia="zh-CN"/>
              </w:rPr>
              <w:t>详见施工图纸及经财政投资评审的工程量清单。</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172FF7E0">
            <w:pPr>
              <w:pStyle w:val="22"/>
              <w:jc w:val="center"/>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bl>
    <w:p w14:paraId="5F9DD45E">
      <w:pPr>
        <w:spacing w:line="360" w:lineRule="auto"/>
        <w:ind w:firstLine="420" w:firstLineChars="200"/>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合同履行期限：工程工期</w:t>
      </w:r>
      <w:r>
        <w:rPr>
          <w:rFonts w:hint="eastAsia" w:ascii="宋体" w:hAnsi="宋体" w:cs="¿¬Ìå"/>
          <w:color w:val="auto"/>
          <w:szCs w:val="21"/>
          <w:highlight w:val="none"/>
          <w:u w:val="none"/>
          <w:lang w:val="en-US" w:eastAsia="zh-CN"/>
        </w:rPr>
        <w:t>120</w:t>
      </w:r>
      <w:r>
        <w:rPr>
          <w:rFonts w:hint="eastAsia" w:ascii="宋体" w:hAnsi="宋体" w:cs="¿¬Ìå"/>
          <w:color w:val="auto"/>
          <w:szCs w:val="21"/>
          <w:highlight w:val="none"/>
          <w:lang w:eastAsia="zh-CN"/>
        </w:rPr>
        <w:t>日历天</w:t>
      </w:r>
      <w:r>
        <w:rPr>
          <w:rFonts w:hint="eastAsia" w:ascii="宋体" w:hAnsi="宋体" w:cs="¿¬Ìå"/>
          <w:color w:val="auto"/>
          <w:szCs w:val="21"/>
          <w:highlight w:val="none"/>
        </w:rPr>
        <w:t>。</w:t>
      </w:r>
    </w:p>
    <w:p w14:paraId="3026CA84">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本项目不接受联合体。</w:t>
      </w:r>
    </w:p>
    <w:p w14:paraId="6B644FEC">
      <w:pPr>
        <w:spacing w:line="360" w:lineRule="auto"/>
        <w:ind w:firstLine="354" w:firstLineChars="147"/>
        <w:rPr>
          <w:rFonts w:ascii="黑体" w:hAnsi="黑体" w:eastAsia="黑体"/>
          <w:b/>
          <w:color w:val="auto"/>
          <w:sz w:val="24"/>
          <w:highlight w:val="none"/>
        </w:rPr>
      </w:pPr>
      <w:bookmarkStart w:id="8" w:name="_Toc71365906"/>
      <w:bookmarkStart w:id="9" w:name="_Toc35393799"/>
      <w:bookmarkStart w:id="10" w:name="_Toc35393630"/>
      <w:bookmarkStart w:id="11" w:name="_Toc28359090"/>
      <w:bookmarkStart w:id="12" w:name="_Toc28359013"/>
      <w:bookmarkStart w:id="13" w:name="_Toc44229879"/>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57123EE3">
      <w:pPr>
        <w:spacing w:line="360" w:lineRule="auto"/>
        <w:ind w:firstLine="420" w:firstLineChars="200"/>
        <w:rPr>
          <w:rFonts w:ascii="宋体" w:hAnsi="宋体"/>
          <w:color w:val="auto"/>
          <w:szCs w:val="21"/>
          <w:highlight w:val="none"/>
        </w:rPr>
      </w:pPr>
      <w:bookmarkStart w:id="14" w:name="_Toc28359091"/>
      <w:bookmarkStart w:id="15" w:name="_Toc44229880"/>
      <w:bookmarkStart w:id="16" w:name="_Toc35393631"/>
      <w:bookmarkStart w:id="17" w:name="_Toc28359014"/>
      <w:bookmarkStart w:id="18" w:name="_Toc35393800"/>
      <w:r>
        <w:rPr>
          <w:rFonts w:hint="eastAsia" w:ascii="宋体" w:hAnsi="宋体"/>
          <w:color w:val="auto"/>
          <w:szCs w:val="21"/>
          <w:highlight w:val="none"/>
        </w:rPr>
        <w:t>1.满足《中华人民共和国政府采购法》第二十二条规定；</w:t>
      </w:r>
    </w:p>
    <w:p w14:paraId="0A7F7FFB">
      <w:pPr>
        <w:spacing w:line="360" w:lineRule="auto"/>
        <w:ind w:firstLine="420" w:firstLineChars="200"/>
        <w:rPr>
          <w:rStyle w:val="58"/>
          <w:color w:val="auto"/>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eastAsia="宋体" w:cs="宋体"/>
          <w:b/>
          <w:bCs/>
          <w:color w:val="auto"/>
          <w:kern w:val="0"/>
          <w:sz w:val="21"/>
          <w:szCs w:val="21"/>
          <w:highlight w:val="none"/>
          <w:lang w:val="en-US" w:eastAsia="zh-CN" w:bidi="ar-SA"/>
        </w:rPr>
        <w:t>本项目属于专门面向中小企业采购的项目（供应商应为中小微企业、监狱企业、残疾人福利性单位）</w:t>
      </w:r>
      <w:r>
        <w:rPr>
          <w:rFonts w:hint="eastAsia" w:ascii="宋体" w:hAnsi="宋体"/>
          <w:color w:val="auto"/>
          <w:szCs w:val="21"/>
          <w:highlight w:val="none"/>
        </w:rPr>
        <w:t>；</w:t>
      </w:r>
    </w:p>
    <w:p w14:paraId="05195A0B">
      <w:pPr>
        <w:spacing w:line="360" w:lineRule="auto"/>
        <w:ind w:firstLine="420" w:firstLineChars="200"/>
        <w:rPr>
          <w:color w:val="auto"/>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供应商须具备市政公用工程施工总承包三级及以上资质和有效的安全生产许可证，并在人员、设备、资金等方面具备相应的施工能力，拟派项目经理须具备市政公用工程专业二级及以上注册建造师执业资格，具备安全生产考核合格证书（B类）。</w:t>
      </w:r>
    </w:p>
    <w:p w14:paraId="241FB4FA">
      <w:pPr>
        <w:spacing w:line="360" w:lineRule="auto"/>
        <w:ind w:firstLine="354" w:firstLineChars="147"/>
        <w:rPr>
          <w:rFonts w:ascii="黑体" w:hAnsi="黑体" w:eastAsia="黑体"/>
          <w:b/>
          <w:color w:val="auto"/>
          <w:sz w:val="24"/>
          <w:highlight w:val="none"/>
        </w:rPr>
      </w:pPr>
      <w:bookmarkStart w:id="19" w:name="_Toc71365907"/>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3C1DC923">
      <w:pPr>
        <w:spacing w:line="360" w:lineRule="exact"/>
        <w:ind w:firstLine="420" w:firstLineChars="200"/>
        <w:rPr>
          <w:rFonts w:ascii="宋体" w:hAnsi="宋体" w:cs="宋体"/>
          <w:bCs/>
          <w:color w:val="auto"/>
          <w:kern w:val="0"/>
          <w:szCs w:val="21"/>
          <w:highlight w:val="none"/>
        </w:rPr>
      </w:pPr>
      <w:bookmarkStart w:id="20" w:name="_Toc35393632"/>
      <w:bookmarkStart w:id="21" w:name="_Toc28359092"/>
      <w:bookmarkStart w:id="22" w:name="_Toc44229881"/>
      <w:bookmarkStart w:id="23" w:name="_Toc71365908"/>
      <w:bookmarkStart w:id="24" w:name="_Toc35393801"/>
      <w:bookmarkStart w:id="25" w:name="_Toc28359015"/>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rPr>
        <w:t>4年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rPr>
        <w:t>4年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29</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u w:val="single"/>
        </w:rPr>
        <w:t>0</w:t>
      </w:r>
      <w:r>
        <w:rPr>
          <w:rFonts w:hint="eastAsia" w:ascii="宋体" w:hAnsi="宋体" w:cs="宋体"/>
          <w:bCs/>
          <w:color w:val="auto"/>
          <w:kern w:val="0"/>
          <w:szCs w:val="21"/>
          <w:highlight w:val="none"/>
          <w:u w:val="single"/>
        </w:rPr>
        <w:t>：</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至12:0</w:t>
      </w:r>
      <w:r>
        <w:rPr>
          <w:rFonts w:ascii="宋体" w:hAnsi="宋体" w:cs="宋体"/>
          <w:bCs/>
          <w:color w:val="auto"/>
          <w:kern w:val="0"/>
          <w:szCs w:val="21"/>
          <w:highlight w:val="none"/>
        </w:rPr>
        <w:t>0</w:t>
      </w:r>
      <w:r>
        <w:rPr>
          <w:rFonts w:hint="eastAsia" w:ascii="宋体" w:hAnsi="宋体" w:cs="宋体"/>
          <w:bCs/>
          <w:color w:val="auto"/>
          <w:kern w:val="0"/>
          <w:szCs w:val="21"/>
          <w:highlight w:val="none"/>
        </w:rPr>
        <w:t>，下午</w:t>
      </w:r>
      <w:r>
        <w:rPr>
          <w:rFonts w:ascii="宋体" w:hAnsi="宋体" w:cs="宋体"/>
          <w:bCs/>
          <w:color w:val="auto"/>
          <w:kern w:val="0"/>
          <w:szCs w:val="21"/>
          <w:highlight w:val="none"/>
        </w:rPr>
        <w:t>12</w:t>
      </w:r>
      <w:r>
        <w:rPr>
          <w:rFonts w:hint="eastAsia" w:ascii="宋体" w:hAnsi="宋体" w:cs="宋体"/>
          <w:bCs/>
          <w:color w:val="auto"/>
          <w:kern w:val="0"/>
          <w:szCs w:val="21"/>
          <w:highlight w:val="none"/>
        </w:rPr>
        <w:t>:0</w:t>
      </w:r>
      <w:r>
        <w:rPr>
          <w:rFonts w:ascii="宋体" w:hAnsi="宋体" w:cs="宋体"/>
          <w:bCs/>
          <w:color w:val="auto"/>
          <w:kern w:val="0"/>
          <w:szCs w:val="21"/>
          <w:highlight w:val="none"/>
        </w:rPr>
        <w:t>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23</w:t>
      </w:r>
      <w:r>
        <w:rPr>
          <w:rFonts w:hint="eastAsia" w:ascii="宋体" w:hAnsi="宋体" w:cs="宋体"/>
          <w:bCs/>
          <w:color w:val="auto"/>
          <w:kern w:val="0"/>
          <w:szCs w:val="21"/>
          <w:highlight w:val="none"/>
        </w:rPr>
        <w:t>:</w:t>
      </w:r>
      <w:r>
        <w:rPr>
          <w:rFonts w:ascii="宋体" w:hAnsi="宋体" w:cs="宋体"/>
          <w:bCs/>
          <w:color w:val="auto"/>
          <w:kern w:val="0"/>
          <w:szCs w:val="21"/>
          <w:highlight w:val="none"/>
        </w:rPr>
        <w:t>59</w:t>
      </w:r>
      <w:r>
        <w:rPr>
          <w:rFonts w:hint="eastAsia" w:ascii="宋体" w:hAnsi="宋体" w:cs="宋体"/>
          <w:bCs/>
          <w:color w:val="auto"/>
          <w:kern w:val="0"/>
          <w:szCs w:val="21"/>
          <w:highlight w:val="none"/>
        </w:rPr>
        <w:t>（北京时间）</w:t>
      </w:r>
    </w:p>
    <w:p w14:paraId="3B775B2C">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2F0DBA30">
      <w:pPr>
        <w:spacing w:line="360" w:lineRule="exact"/>
        <w:ind w:firstLine="420" w:firstLineChars="200"/>
        <w:rPr>
          <w:rFonts w:ascii="Arial" w:hAnsi="Arial" w:cs="Arial"/>
          <w:color w:val="auto"/>
          <w:kern w:val="0"/>
          <w:szCs w:val="21"/>
          <w:highlight w:val="none"/>
        </w:rPr>
      </w:pPr>
      <w:r>
        <w:rPr>
          <w:rFonts w:hint="eastAsia" w:ascii="宋体" w:hAnsi="宋体"/>
          <w:color w:val="auto"/>
          <w:szCs w:val="21"/>
          <w:highlight w:val="none"/>
        </w:rPr>
        <w:t>获取方式:网上下载。本项目不发放纸质采购文件，供应商登录广西政府采购云平台https://www.gcy.zfcg.gxzf.gov.cn/在线申请获取采购文件（进入“项目采购”应用，在获取采购文件菜单中选择项目，申请获取采购文件）。</w:t>
      </w:r>
    </w:p>
    <w:p w14:paraId="1E084F2B">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ascii="宋体" w:hAnsi="宋体"/>
          <w:color w:val="auto"/>
          <w:szCs w:val="21"/>
          <w:highlight w:val="none"/>
        </w:rPr>
        <w:t>0</w:t>
      </w:r>
      <w:r>
        <w:rPr>
          <w:rFonts w:hint="eastAsia" w:ascii="宋体" w:hAnsi="宋体"/>
          <w:color w:val="auto"/>
          <w:szCs w:val="21"/>
          <w:highlight w:val="none"/>
        </w:rPr>
        <w:t>元。</w:t>
      </w:r>
    </w:p>
    <w:p w14:paraId="6466901E">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183CB104">
      <w:pPr>
        <w:spacing w:line="360" w:lineRule="exact"/>
        <w:ind w:firstLine="420" w:firstLineChars="200"/>
        <w:rPr>
          <w:rFonts w:ascii="宋体" w:hAnsi="宋体"/>
          <w:bCs/>
          <w:color w:val="auto"/>
          <w:szCs w:val="21"/>
          <w:highlight w:val="none"/>
        </w:rPr>
      </w:pPr>
      <w:bookmarkStart w:id="26" w:name="_Toc35393633"/>
      <w:bookmarkStart w:id="27" w:name="_Toc44229882"/>
      <w:bookmarkStart w:id="28" w:name="_Toc28359093"/>
      <w:bookmarkStart w:id="29" w:name="_Toc35393802"/>
      <w:bookmarkStart w:id="30" w:name="_Toc71365909"/>
      <w:bookmarkStart w:id="31" w:name="_Toc28359016"/>
      <w:r>
        <w:rPr>
          <w:rFonts w:hint="eastAsia" w:ascii="宋体" w:hAnsi="宋体"/>
          <w:color w:val="auto"/>
          <w:szCs w:val="21"/>
          <w:highlight w:val="none"/>
        </w:rPr>
        <w:t>截止时间：</w:t>
      </w:r>
      <w:r>
        <w:rPr>
          <w:rFonts w:hint="eastAsia" w:ascii="宋体" w:hAnsi="宋体"/>
          <w:color w:val="auto"/>
          <w:szCs w:val="21"/>
          <w:highlight w:val="none"/>
          <w:u w:val="single"/>
          <w:lang w:eastAsia="zh-CN"/>
        </w:rPr>
        <w:t>2024年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lang w:eastAsia="zh-CN"/>
        </w:rPr>
        <w:t>月</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lang w:eastAsia="zh-CN"/>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lang w:eastAsia="zh-CN"/>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lang w:eastAsia="zh-CN"/>
        </w:rPr>
        <w:t>分</w:t>
      </w:r>
      <w:r>
        <w:rPr>
          <w:rFonts w:hint="eastAsia" w:ascii="宋体" w:hAnsi="宋体"/>
          <w:bCs/>
          <w:color w:val="auto"/>
          <w:szCs w:val="21"/>
          <w:highlight w:val="none"/>
        </w:rPr>
        <w:t>（北京时间）</w:t>
      </w:r>
    </w:p>
    <w:p w14:paraId="21F42E6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地点：通过广西政府采购云平台https：//www.gcy.zfcg.gxzf.gov.cn/实行在线竞标。</w:t>
      </w:r>
    </w:p>
    <w:p w14:paraId="7C027C16">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bookmarkEnd w:id="26"/>
      <w:bookmarkEnd w:id="27"/>
      <w:bookmarkEnd w:id="28"/>
      <w:bookmarkEnd w:id="29"/>
      <w:bookmarkEnd w:id="30"/>
      <w:bookmarkEnd w:id="31"/>
    </w:p>
    <w:p w14:paraId="3250551B">
      <w:pPr>
        <w:spacing w:line="360" w:lineRule="exact"/>
        <w:ind w:firstLine="420" w:firstLineChars="200"/>
        <w:rPr>
          <w:rFonts w:ascii="宋体" w:hAnsi="宋体"/>
          <w:bCs/>
          <w:color w:val="auto"/>
          <w:szCs w:val="21"/>
          <w:highlight w:val="none"/>
          <w:u w:val="single"/>
        </w:rPr>
      </w:pPr>
      <w:bookmarkStart w:id="32" w:name="_Toc44229883"/>
      <w:bookmarkStart w:id="33" w:name="_Toc28359094"/>
      <w:bookmarkStart w:id="34" w:name="_Toc71365910"/>
      <w:bookmarkStart w:id="35" w:name="_Toc35393803"/>
      <w:bookmarkStart w:id="36" w:name="_Toc28359017"/>
      <w:bookmarkStart w:id="37" w:name="_Toc35393634"/>
      <w:r>
        <w:rPr>
          <w:rFonts w:hint="eastAsia" w:ascii="宋体" w:hAnsi="宋体"/>
          <w:color w:val="auto"/>
          <w:szCs w:val="21"/>
          <w:highlight w:val="none"/>
        </w:rPr>
        <w:t>时间：</w:t>
      </w:r>
      <w:r>
        <w:rPr>
          <w:rFonts w:hint="eastAsia" w:ascii="宋体" w:hAnsi="宋体"/>
          <w:color w:val="auto"/>
          <w:szCs w:val="21"/>
          <w:highlight w:val="none"/>
          <w:u w:val="single"/>
          <w:lang w:eastAsia="zh-CN"/>
        </w:rPr>
        <w:t>2024年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lang w:eastAsia="zh-CN"/>
        </w:rPr>
        <w:t>月</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lang w:eastAsia="zh-CN"/>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lang w:eastAsia="zh-CN"/>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lang w:eastAsia="zh-CN"/>
        </w:rPr>
        <w:t>分</w:t>
      </w:r>
      <w:r>
        <w:rPr>
          <w:rFonts w:hint="eastAsia" w:ascii="宋体" w:hAnsi="宋体"/>
          <w:bCs/>
          <w:color w:val="auto"/>
          <w:szCs w:val="21"/>
          <w:highlight w:val="none"/>
        </w:rPr>
        <w:t>（北京时间）</w:t>
      </w:r>
    </w:p>
    <w:p w14:paraId="2F091669">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地点：通过广西政府采购云平台https：//www.gcy.zfcg.gxzf.gov.cn/实行在线解密开启。</w:t>
      </w:r>
    </w:p>
    <w:p w14:paraId="5739E06A">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2398F6C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4DA95DF0">
      <w:pPr>
        <w:spacing w:line="360" w:lineRule="auto"/>
        <w:ind w:firstLine="354" w:firstLineChars="147"/>
        <w:rPr>
          <w:rFonts w:ascii="黑体" w:hAnsi="黑体" w:eastAsia="黑体"/>
          <w:b/>
          <w:color w:val="auto"/>
          <w:sz w:val="24"/>
          <w:highlight w:val="none"/>
        </w:rPr>
      </w:pPr>
      <w:bookmarkStart w:id="38" w:name="_Toc35393635"/>
      <w:bookmarkStart w:id="39" w:name="_Toc71365911"/>
      <w:bookmarkStart w:id="40" w:name="_Toc44229884"/>
      <w:bookmarkStart w:id="41" w:name="_Toc35393804"/>
      <w:r>
        <w:rPr>
          <w:rFonts w:hint="eastAsia" w:ascii="黑体" w:hAnsi="黑体" w:eastAsia="黑体"/>
          <w:b/>
          <w:color w:val="auto"/>
          <w:sz w:val="24"/>
          <w:highlight w:val="none"/>
        </w:rPr>
        <w:t>七、其他补充事宜</w:t>
      </w:r>
      <w:bookmarkEnd w:id="38"/>
      <w:bookmarkEnd w:id="39"/>
      <w:bookmarkEnd w:id="40"/>
      <w:bookmarkEnd w:id="41"/>
    </w:p>
    <w:p w14:paraId="67D3EEB3">
      <w:pPr>
        <w:pStyle w:val="245"/>
        <w:spacing w:line="400" w:lineRule="exact"/>
        <w:ind w:firstLine="422" w:firstLineChars="200"/>
        <w:outlineLvl w:val="9"/>
        <w:rPr>
          <w:rFonts w:hint="eastAsia" w:ascii="宋体" w:hAnsi="宋体" w:eastAsia="宋体" w:cs="¿¬Ìå"/>
          <w:b/>
          <w:bCs/>
          <w:color w:val="auto"/>
          <w:kern w:val="2"/>
          <w:szCs w:val="21"/>
          <w:highlight w:val="none"/>
          <w:lang w:val="en-US" w:eastAsia="zh-CN"/>
        </w:rPr>
      </w:pPr>
      <w:bookmarkStart w:id="42" w:name="_Toc28359095"/>
      <w:bookmarkStart w:id="43" w:name="_Toc35393636"/>
      <w:bookmarkStart w:id="44" w:name="_Toc44229885"/>
      <w:bookmarkStart w:id="45" w:name="_Toc28359018"/>
      <w:bookmarkStart w:id="46" w:name="_Toc35393805"/>
      <w:r>
        <w:rPr>
          <w:rFonts w:hint="eastAsia" w:ascii="宋体" w:hAnsi="宋体" w:cs="¿¬Ìå"/>
          <w:b/>
          <w:bCs/>
          <w:color w:val="auto"/>
          <w:kern w:val="2"/>
          <w:szCs w:val="21"/>
          <w:highlight w:val="none"/>
          <w:lang w:val="en-US" w:eastAsia="zh-CN"/>
        </w:rPr>
        <w:t>1.</w:t>
      </w:r>
      <w:r>
        <w:rPr>
          <w:rFonts w:hint="eastAsia" w:ascii="宋体" w:hAnsi="宋体" w:eastAsia="宋体" w:cs="¿¬Ìå"/>
          <w:b/>
          <w:bCs/>
          <w:color w:val="auto"/>
          <w:kern w:val="2"/>
          <w:szCs w:val="21"/>
          <w:highlight w:val="none"/>
          <w:lang w:val="en-US" w:eastAsia="zh-CN"/>
        </w:rPr>
        <w:t>磋商保证金：本项目不收取磋商保证金</w:t>
      </w:r>
      <w:r>
        <w:rPr>
          <w:rFonts w:hint="eastAsia" w:ascii="宋体" w:hAnsi="宋体" w:eastAsia="宋体" w:cs="¿¬Ìå"/>
          <w:b/>
          <w:bCs/>
          <w:color w:val="auto"/>
          <w:kern w:val="2"/>
          <w:szCs w:val="21"/>
          <w:highlight w:val="none"/>
          <w:lang w:val="en-US"/>
        </w:rPr>
        <w:t>。</w:t>
      </w:r>
    </w:p>
    <w:p w14:paraId="3B775343">
      <w:pPr>
        <w:pStyle w:val="245"/>
        <w:spacing w:line="400" w:lineRule="exact"/>
        <w:ind w:firstLineChars="200"/>
        <w:outlineLvl w:val="9"/>
        <w:rPr>
          <w:rFonts w:hint="eastAsia" w:ascii="宋体" w:hAnsi="宋体" w:eastAsia="宋体" w:cs="¿¬Ìå"/>
          <w:color w:val="auto"/>
          <w:kern w:val="2"/>
          <w:szCs w:val="21"/>
          <w:highlight w:val="none"/>
          <w:lang w:val="en-US" w:eastAsia="zh-CN"/>
        </w:rPr>
      </w:pPr>
      <w:r>
        <w:rPr>
          <w:rFonts w:hint="eastAsia" w:ascii="宋体" w:hAnsi="宋体" w:eastAsia="宋体" w:cs="¿¬Ìå"/>
          <w:color w:val="auto"/>
          <w:kern w:val="2"/>
          <w:szCs w:val="21"/>
          <w:highlight w:val="none"/>
          <w:lang w:val="en-US" w:eastAsia="zh-CN"/>
        </w:rPr>
        <w:t>2.</w:t>
      </w:r>
      <w:r>
        <w:rPr>
          <w:rFonts w:hint="eastAsia" w:ascii="宋体" w:hAnsi="宋体" w:eastAsia="宋体" w:cs="¿¬Ìå"/>
          <w:color w:val="auto"/>
          <w:kern w:val="2"/>
          <w:szCs w:val="21"/>
          <w:highlight w:val="none"/>
          <w:lang w:val="en-US"/>
        </w:rPr>
        <w:t>本项目需要落实的政府采购政策：</w:t>
      </w:r>
    </w:p>
    <w:p w14:paraId="773358BE">
      <w:pPr>
        <w:pStyle w:val="245"/>
        <w:spacing w:line="360" w:lineRule="auto"/>
        <w:ind w:firstLineChars="200"/>
        <w:jc w:val="both"/>
        <w:outlineLvl w:val="9"/>
        <w:rPr>
          <w:rFonts w:hint="eastAsia" w:ascii="宋体" w:hAnsi="宋体" w:eastAsia="宋体" w:cs="¿¬Ìå"/>
          <w:color w:val="auto"/>
          <w:kern w:val="2"/>
          <w:szCs w:val="21"/>
          <w:highlight w:val="none"/>
          <w:lang w:val="en-US"/>
        </w:rPr>
      </w:pPr>
      <w:r>
        <w:rPr>
          <w:rFonts w:hint="eastAsia" w:ascii="宋体" w:hAnsi="宋体" w:eastAsia="宋体" w:cs="¿¬Ìå"/>
          <w:color w:val="auto"/>
          <w:kern w:val="2"/>
          <w:szCs w:val="21"/>
          <w:highlight w:val="none"/>
          <w:lang w:val="en-US"/>
        </w:rPr>
        <w:t>（1）</w:t>
      </w:r>
      <w:r>
        <w:rPr>
          <w:rFonts w:hint="eastAsia" w:ascii="宋体" w:hAnsi="宋体" w:eastAsia="宋体" w:cs="¿¬Ìå"/>
          <w:b w:val="0"/>
          <w:bCs w:val="0"/>
          <w:color w:val="auto"/>
          <w:kern w:val="2"/>
          <w:szCs w:val="21"/>
          <w:highlight w:val="none"/>
          <w:lang w:val="en-US"/>
        </w:rPr>
        <w:t>政府采购促进中小企业发展</w:t>
      </w:r>
      <w:r>
        <w:rPr>
          <w:rFonts w:hint="eastAsia" w:ascii="宋体" w:hAnsi="宋体" w:eastAsia="宋体" w:cs="¿¬Ìå"/>
          <w:color w:val="auto"/>
          <w:kern w:val="2"/>
          <w:szCs w:val="21"/>
          <w:highlight w:val="none"/>
          <w:lang w:val="en-US"/>
        </w:rPr>
        <w:t>。</w:t>
      </w:r>
    </w:p>
    <w:p w14:paraId="56B31F5D">
      <w:pPr>
        <w:pStyle w:val="245"/>
        <w:spacing w:before="20" w:after="20" w:line="360" w:lineRule="auto"/>
        <w:ind w:firstLineChars="200"/>
        <w:outlineLvl w:val="9"/>
        <w:rPr>
          <w:rFonts w:hint="eastAsia" w:ascii="宋体" w:hAnsi="宋体" w:eastAsia="宋体" w:cs="¿¬Ìå"/>
          <w:color w:val="auto"/>
          <w:kern w:val="2"/>
          <w:szCs w:val="21"/>
          <w:highlight w:val="none"/>
          <w:lang w:val="en-US"/>
        </w:rPr>
      </w:pPr>
      <w:r>
        <w:rPr>
          <w:rFonts w:hint="eastAsia" w:ascii="宋体" w:hAnsi="宋体" w:eastAsia="宋体" w:cs="¿¬Ìå"/>
          <w:color w:val="auto"/>
          <w:kern w:val="2"/>
          <w:szCs w:val="21"/>
          <w:highlight w:val="none"/>
          <w:lang w:val="en-US"/>
        </w:rPr>
        <w:t>（2）政府采购支持采用本国产品的政策。</w:t>
      </w:r>
    </w:p>
    <w:p w14:paraId="6C400094">
      <w:pPr>
        <w:pStyle w:val="245"/>
        <w:spacing w:before="20" w:after="20" w:line="360" w:lineRule="auto"/>
        <w:ind w:firstLineChars="200"/>
        <w:outlineLvl w:val="9"/>
        <w:rPr>
          <w:rFonts w:hint="eastAsia" w:ascii="宋体" w:hAnsi="宋体" w:eastAsia="宋体" w:cs="¿¬Ìå"/>
          <w:color w:val="auto"/>
          <w:kern w:val="2"/>
          <w:szCs w:val="21"/>
          <w:highlight w:val="none"/>
          <w:lang w:val="en-US"/>
        </w:rPr>
      </w:pPr>
      <w:r>
        <w:rPr>
          <w:rFonts w:hint="eastAsia" w:ascii="宋体" w:hAnsi="宋体" w:eastAsia="宋体" w:cs="¿¬Ìå"/>
          <w:color w:val="auto"/>
          <w:kern w:val="2"/>
          <w:szCs w:val="21"/>
          <w:highlight w:val="none"/>
          <w:lang w:val="en-US"/>
        </w:rPr>
        <w:t>（3）强制采购节能产品；优先采购节能产品、环境标志产品。</w:t>
      </w:r>
    </w:p>
    <w:p w14:paraId="4B42F776">
      <w:pPr>
        <w:pStyle w:val="245"/>
        <w:spacing w:before="20" w:after="20" w:line="360" w:lineRule="auto"/>
        <w:ind w:firstLineChars="200"/>
        <w:outlineLvl w:val="9"/>
        <w:rPr>
          <w:rFonts w:hint="eastAsia" w:ascii="宋体" w:hAnsi="宋体" w:eastAsia="宋体" w:cs="¿¬Ìå"/>
          <w:color w:val="auto"/>
          <w:kern w:val="2"/>
          <w:szCs w:val="21"/>
          <w:highlight w:val="none"/>
          <w:lang w:val="en-US"/>
        </w:rPr>
      </w:pPr>
      <w:r>
        <w:rPr>
          <w:rFonts w:hint="eastAsia" w:ascii="宋体" w:hAnsi="宋体" w:eastAsia="宋体" w:cs="¿¬Ìå"/>
          <w:color w:val="auto"/>
          <w:kern w:val="2"/>
          <w:szCs w:val="21"/>
          <w:highlight w:val="none"/>
          <w:lang w:val="en-US"/>
        </w:rPr>
        <w:t>（4）政府采购促进残疾人就业政策。</w:t>
      </w:r>
    </w:p>
    <w:p w14:paraId="38D819EC">
      <w:pPr>
        <w:pStyle w:val="245"/>
        <w:spacing w:before="20" w:after="20" w:line="360" w:lineRule="auto"/>
        <w:ind w:firstLineChars="200"/>
        <w:outlineLvl w:val="9"/>
        <w:rPr>
          <w:rFonts w:hint="eastAsia" w:ascii="宋体" w:hAnsi="宋体" w:eastAsia="宋体" w:cs="¿¬Ìå"/>
          <w:color w:val="auto"/>
          <w:kern w:val="2"/>
          <w:szCs w:val="21"/>
          <w:highlight w:val="none"/>
          <w:lang w:val="en-US"/>
        </w:rPr>
      </w:pPr>
      <w:r>
        <w:rPr>
          <w:rFonts w:hint="eastAsia" w:ascii="宋体" w:hAnsi="宋体" w:eastAsia="宋体" w:cs="¿¬Ìå"/>
          <w:color w:val="auto"/>
          <w:kern w:val="2"/>
          <w:szCs w:val="21"/>
          <w:highlight w:val="none"/>
          <w:lang w:val="en-US"/>
        </w:rPr>
        <w:t>（5）政府采购支持监狱企业发展。</w:t>
      </w:r>
    </w:p>
    <w:p w14:paraId="3E482E71">
      <w:pPr>
        <w:pStyle w:val="245"/>
        <w:spacing w:before="20" w:after="20" w:line="360" w:lineRule="auto"/>
        <w:ind w:firstLineChars="200"/>
        <w:outlineLvl w:val="9"/>
        <w:rPr>
          <w:rFonts w:hint="eastAsia" w:ascii="宋体" w:hAnsi="宋体" w:eastAsia="宋体" w:cs="¿¬Ìå"/>
          <w:color w:val="auto"/>
          <w:kern w:val="2"/>
          <w:szCs w:val="21"/>
          <w:highlight w:val="none"/>
          <w:lang w:val="en-US"/>
        </w:rPr>
      </w:pPr>
      <w:r>
        <w:rPr>
          <w:rFonts w:hint="eastAsia" w:ascii="宋体" w:hAnsi="宋体" w:eastAsia="宋体" w:cs="¿¬Ìå"/>
          <w:color w:val="auto"/>
          <w:kern w:val="2"/>
          <w:szCs w:val="21"/>
          <w:highlight w:val="none"/>
          <w:lang w:val="en-US"/>
        </w:rPr>
        <w:t>（6）扶持不发达地区和少数民族地区政策。</w:t>
      </w:r>
    </w:p>
    <w:p w14:paraId="42DB0FEE">
      <w:pPr>
        <w:pStyle w:val="245"/>
        <w:ind w:firstLine="420"/>
        <w:outlineLvl w:val="9"/>
        <w:rPr>
          <w:rFonts w:hint="eastAsia" w:ascii="宋体" w:hAnsi="宋体" w:eastAsia="宋体" w:cs="¿¬Ìå"/>
          <w:color w:val="auto"/>
          <w:kern w:val="2"/>
          <w:szCs w:val="21"/>
          <w:highlight w:val="none"/>
          <w:lang w:val="en-US" w:eastAsia="zh-CN"/>
        </w:rPr>
      </w:pPr>
      <w:r>
        <w:rPr>
          <w:rFonts w:hint="eastAsia" w:ascii="宋体" w:hAnsi="宋体" w:eastAsia="宋体" w:cs="¿¬Ìå"/>
          <w:color w:val="auto"/>
          <w:kern w:val="2"/>
          <w:szCs w:val="21"/>
          <w:highlight w:val="none"/>
          <w:lang w:val="en-US" w:eastAsia="zh-CN"/>
        </w:rPr>
        <w:t>3</w:t>
      </w:r>
      <w:r>
        <w:rPr>
          <w:rFonts w:hint="eastAsia" w:ascii="宋体" w:hAnsi="宋体" w:eastAsia="宋体" w:cs="¿¬Ìå"/>
          <w:color w:val="auto"/>
          <w:kern w:val="2"/>
          <w:szCs w:val="21"/>
          <w:highlight w:val="none"/>
          <w:lang w:val="en-US"/>
        </w:rPr>
        <w:t>.监督部门：</w:t>
      </w:r>
      <w:r>
        <w:rPr>
          <w:rFonts w:hint="eastAsia" w:ascii="宋体" w:hAnsi="宋体" w:eastAsia="宋体" w:cs="¿¬Ìå"/>
          <w:color w:val="auto"/>
          <w:kern w:val="2"/>
          <w:szCs w:val="21"/>
          <w:highlight w:val="none"/>
          <w:lang w:val="en-US" w:eastAsia="zh-CN"/>
        </w:rPr>
        <w:t>贺州市平桂区政府采购管理办公室</w:t>
      </w:r>
      <w:r>
        <w:rPr>
          <w:rFonts w:hint="eastAsia" w:ascii="宋体" w:hAnsi="宋体" w:eastAsia="宋体" w:cs="¿¬Ìå"/>
          <w:color w:val="auto"/>
          <w:kern w:val="2"/>
          <w:szCs w:val="21"/>
          <w:highlight w:val="none"/>
          <w:lang w:val="en-US"/>
        </w:rPr>
        <w:t>，电话：</w:t>
      </w:r>
      <w:r>
        <w:rPr>
          <w:rFonts w:hint="eastAsia" w:ascii="宋体" w:hAnsi="宋体" w:eastAsia="宋体" w:cs="¿¬Ìå"/>
          <w:color w:val="auto"/>
          <w:kern w:val="2"/>
          <w:szCs w:val="21"/>
          <w:highlight w:val="none"/>
          <w:lang w:val="en-US" w:eastAsia="zh-CN"/>
        </w:rPr>
        <w:t>0774-8832896。</w:t>
      </w:r>
    </w:p>
    <w:p w14:paraId="766105AF">
      <w:pPr>
        <w:pStyle w:val="245"/>
        <w:ind w:firstLine="420"/>
        <w:outlineLvl w:val="9"/>
        <w:rPr>
          <w:rFonts w:hint="eastAsia" w:ascii="宋体" w:hAnsi="宋体" w:eastAsia="宋体" w:cs="¿¬Ìå"/>
          <w:color w:val="auto"/>
          <w:kern w:val="2"/>
          <w:szCs w:val="21"/>
          <w:highlight w:val="none"/>
          <w:lang w:val="en-US" w:eastAsia="zh-CN"/>
        </w:rPr>
      </w:pPr>
      <w:r>
        <w:rPr>
          <w:rFonts w:hint="eastAsia" w:ascii="宋体" w:hAnsi="宋体" w:eastAsia="宋体" w:cs="¿¬Ìå"/>
          <w:color w:val="auto"/>
          <w:kern w:val="2"/>
          <w:szCs w:val="21"/>
          <w:highlight w:val="none"/>
          <w:lang w:val="en-US" w:eastAsia="zh-CN"/>
        </w:rPr>
        <w:t>4.采购意向公开链接：http://zfcg.gxzf.gov.cn/site/detail?parentId=66601&amp;articleId=p5lmNRAkSflRI+X3WnU14A==</w:t>
      </w:r>
    </w:p>
    <w:p w14:paraId="0E05D08D">
      <w:pPr>
        <w:pStyle w:val="245"/>
        <w:ind w:firstLine="420"/>
        <w:jc w:val="both"/>
        <w:outlineLvl w:val="9"/>
        <w:rPr>
          <w:rFonts w:hint="eastAsia" w:ascii="宋体" w:hAnsi="宋体" w:eastAsia="宋体" w:cs="¿¬Ìå"/>
          <w:b w:val="0"/>
          <w:bCs w:val="0"/>
          <w:color w:val="auto"/>
          <w:kern w:val="2"/>
          <w:sz w:val="21"/>
          <w:szCs w:val="21"/>
          <w:highlight w:val="none"/>
          <w:lang w:val="en-US" w:eastAsia="zh-CN"/>
        </w:rPr>
      </w:pPr>
      <w:r>
        <w:rPr>
          <w:rFonts w:hint="eastAsia" w:ascii="宋体" w:hAnsi="宋体" w:eastAsia="宋体" w:cs="¿¬Ìå"/>
          <w:b w:val="0"/>
          <w:bCs w:val="0"/>
          <w:color w:val="auto"/>
          <w:kern w:val="2"/>
          <w:sz w:val="21"/>
          <w:szCs w:val="21"/>
          <w:highlight w:val="none"/>
          <w:lang w:val="en-US" w:eastAsia="zh-CN"/>
        </w:rPr>
        <w:t>5</w:t>
      </w:r>
      <w:r>
        <w:rPr>
          <w:rFonts w:hint="eastAsia" w:ascii="宋体" w:hAnsi="宋体" w:eastAsia="宋体" w:cs="¿¬Ìå"/>
          <w:b w:val="0"/>
          <w:bCs w:val="0"/>
          <w:color w:val="auto"/>
          <w:kern w:val="2"/>
          <w:sz w:val="21"/>
          <w:szCs w:val="21"/>
          <w:highlight w:val="none"/>
          <w:lang w:val="en-US"/>
        </w:rPr>
        <w:t>.网上查询地址：中国政府采购网（www.ccgp.gov.cn）、广西壮族自治区政府采购网（zfcg.gxzf.gov.cn）、广西城建咨询设计有限公司网（http://www.gxchengjian.com/index.aspx）</w:t>
      </w:r>
      <w:r>
        <w:rPr>
          <w:rFonts w:hint="eastAsia" w:ascii="宋体" w:hAnsi="宋体" w:eastAsia="宋体" w:cs="¿¬Ìå"/>
          <w:b w:val="0"/>
          <w:bCs w:val="0"/>
          <w:color w:val="auto"/>
          <w:kern w:val="2"/>
          <w:sz w:val="21"/>
          <w:szCs w:val="21"/>
          <w:highlight w:val="none"/>
          <w:lang w:val="en-US" w:eastAsia="zh-CN"/>
        </w:rPr>
        <w:t>。</w:t>
      </w:r>
    </w:p>
    <w:p w14:paraId="04E9876B">
      <w:pPr>
        <w:pStyle w:val="245"/>
        <w:ind w:firstLine="420"/>
        <w:jc w:val="both"/>
        <w:outlineLvl w:val="9"/>
        <w:rPr>
          <w:rFonts w:hint="eastAsia" w:ascii="宋体" w:hAnsi="宋体" w:eastAsia="宋体" w:cs="¿¬Ìå"/>
          <w:b w:val="0"/>
          <w:bCs w:val="0"/>
          <w:color w:val="auto"/>
          <w:kern w:val="2"/>
          <w:sz w:val="21"/>
          <w:szCs w:val="21"/>
          <w:highlight w:val="none"/>
          <w:lang w:val="en-US" w:eastAsia="zh-CN"/>
        </w:rPr>
      </w:pPr>
      <w:r>
        <w:rPr>
          <w:rFonts w:hint="eastAsia" w:ascii="宋体" w:hAnsi="宋体" w:eastAsia="宋体" w:cs="¿¬Ìå"/>
          <w:b w:val="0"/>
          <w:bCs w:val="0"/>
          <w:color w:val="auto"/>
          <w:kern w:val="2"/>
          <w:sz w:val="21"/>
          <w:szCs w:val="21"/>
          <w:highlight w:val="none"/>
          <w:lang w:val="en-US" w:eastAsia="zh-CN"/>
        </w:rPr>
        <w:t>6.申请人的资格要求的补充说明：</w:t>
      </w:r>
    </w:p>
    <w:p w14:paraId="73DE19D8">
      <w:pPr>
        <w:pStyle w:val="245"/>
        <w:ind w:firstLine="420"/>
        <w:jc w:val="both"/>
        <w:outlineLvl w:val="9"/>
        <w:rPr>
          <w:rFonts w:hint="eastAsia" w:ascii="宋体" w:hAnsi="宋体" w:eastAsia="宋体" w:cs="¿¬Ìå"/>
          <w:b w:val="0"/>
          <w:bCs w:val="0"/>
          <w:color w:val="auto"/>
          <w:kern w:val="2"/>
          <w:sz w:val="21"/>
          <w:szCs w:val="21"/>
          <w:highlight w:val="none"/>
          <w:lang w:val="en-US" w:eastAsia="zh-CN"/>
        </w:rPr>
      </w:pPr>
      <w:r>
        <w:rPr>
          <w:rFonts w:hint="eastAsia" w:ascii="宋体" w:hAnsi="宋体" w:eastAsia="宋体" w:cs="¿¬Ìå"/>
          <w:b w:val="0"/>
          <w:bCs w:val="0"/>
          <w:color w:val="auto"/>
          <w:kern w:val="2"/>
          <w:sz w:val="21"/>
          <w:szCs w:val="21"/>
          <w:highlight w:val="none"/>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84849AD">
      <w:pPr>
        <w:pStyle w:val="245"/>
        <w:ind w:firstLine="420"/>
        <w:jc w:val="both"/>
        <w:outlineLvl w:val="9"/>
        <w:rPr>
          <w:rFonts w:hint="eastAsia" w:ascii="宋体" w:hAnsi="宋体" w:eastAsia="宋体" w:cs="¿¬Ìå"/>
          <w:b w:val="0"/>
          <w:bCs w:val="0"/>
          <w:color w:val="auto"/>
          <w:kern w:val="2"/>
          <w:sz w:val="21"/>
          <w:szCs w:val="21"/>
          <w:highlight w:val="none"/>
          <w:lang w:val="en-US" w:eastAsia="zh-CN"/>
        </w:rPr>
      </w:pPr>
      <w:r>
        <w:rPr>
          <w:rFonts w:hint="eastAsia" w:ascii="宋体" w:hAnsi="宋体" w:eastAsia="宋体" w:cs="¿¬Ìå"/>
          <w:b w:val="0"/>
          <w:bCs w:val="0"/>
          <w:color w:val="auto"/>
          <w:kern w:val="2"/>
          <w:sz w:val="21"/>
          <w:szCs w:val="21"/>
          <w:highlight w:val="none"/>
          <w:lang w:val="en-US" w:eastAsia="zh-CN"/>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60A3EA7">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7.“政采贷”政策</w:t>
      </w:r>
    </w:p>
    <w:p w14:paraId="4A2287B4">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1）根据《贺州市财政局关于进一步推行“政采贷”工作的通知》(贺财采(2024)3号)文件，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w:t>
      </w:r>
    </w:p>
    <w:p w14:paraId="5EC4A249">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（2）“政采贷”操作流程</w:t>
      </w:r>
    </w:p>
    <w:p w14:paraId="31CAEA70">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进入“广西政府采购网”（http：//zfcg.gxzf.gov.cn/）“办事指南”专栏找到“金融融资”板块，进入“广西政府采购金融服务平台”登录，选择试点银行机构进行合同融资预申请。（详情请按照《贺州市财政局关于进一步推行“政采贷”工作的通知》（贺财采〔2024〕3号）文件执行）</w:t>
      </w:r>
    </w:p>
    <w:p w14:paraId="321668B1">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8.本项目采用远程异地评标，评标主会场地址：</w:t>
      </w:r>
      <w:r>
        <w:rPr>
          <w:rFonts w:hint="eastAsia" w:ascii="宋体" w:hAnsi="宋体" w:cs="¿¬Ìå"/>
          <w:b w:val="0"/>
          <w:bCs w:val="0"/>
          <w:color w:val="auto"/>
          <w:kern w:val="2"/>
          <w:sz w:val="21"/>
          <w:szCs w:val="21"/>
          <w:highlight w:val="none"/>
          <w:u w:val="none"/>
          <w:lang w:val="en-US" w:eastAsia="zh-CN"/>
        </w:rPr>
        <w:t>广西城建咨询设计有限公司贺州分公司【贺州市八步区太白社区新风街128号】</w:t>
      </w:r>
      <w:r>
        <w:rPr>
          <w:rFonts w:hint="eastAsia" w:ascii="宋体" w:hAnsi="宋体" w:eastAsia="宋体" w:cs="¿¬Ìå"/>
          <w:b w:val="0"/>
          <w:bCs w:val="0"/>
          <w:color w:val="auto"/>
          <w:kern w:val="2"/>
          <w:sz w:val="21"/>
          <w:szCs w:val="21"/>
          <w:highlight w:val="none"/>
          <w:lang w:eastAsia="zh-CN"/>
        </w:rPr>
        <w:t>；评标副会场地址：</w:t>
      </w:r>
      <w:r>
        <w:rPr>
          <w:rFonts w:hint="eastAsia" w:ascii="宋体" w:hAnsi="宋体" w:eastAsia="宋体" w:cs="¿¬Ìå"/>
          <w:b w:val="0"/>
          <w:bCs w:val="0"/>
          <w:color w:val="auto"/>
          <w:kern w:val="2"/>
          <w:sz w:val="21"/>
          <w:szCs w:val="21"/>
          <w:highlight w:val="none"/>
          <w:u w:val="none"/>
          <w:lang w:eastAsia="zh-CN"/>
        </w:rPr>
        <w:t>广西城建咨询设计有限公司【广西南宁市青秀区金湖路58号广西建设大厦三楼】</w:t>
      </w:r>
      <w:r>
        <w:rPr>
          <w:rFonts w:hint="eastAsia" w:ascii="宋体" w:hAnsi="宋体" w:eastAsia="宋体" w:cs="¿¬Ìå"/>
          <w:b w:val="0"/>
          <w:bCs w:val="0"/>
          <w:color w:val="auto"/>
          <w:kern w:val="2"/>
          <w:sz w:val="21"/>
          <w:szCs w:val="21"/>
          <w:highlight w:val="none"/>
          <w:lang w:eastAsia="zh-CN"/>
        </w:rPr>
        <w:t>。</w:t>
      </w:r>
    </w:p>
    <w:p w14:paraId="6080C2AD">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9.供应商竞标注意事项</w:t>
      </w:r>
    </w:p>
    <w:p w14:paraId="3D200491">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1）本项目为全流程电子化采购项目，通过广西政府采购云平台https：//www.gcy.zfcg.gxzf.gov.cn/实行在线电子竞标，供应商应先安装“广西政府采购云平台电子交易客户端”（请自行前往“广西政府采购云平台”平台进行下载），并按照本项目竞争性谈判文件和“广西政府采购云平台”平台的要求编制、加密后在提交响应文件截止时间前通过网络上传至“广西政府采购云平台”（加密的电子响应文件是指后缀名为“jmbs”的文件），供应商在“广西政府采购云平台”平台提交电子响应文件时，请填写参加远程采购活动经办人联系方式。供应商登录“广西政府采购云平台”平台，依次进入“服务中心-项目采购-操作流程-电子招投标-政府采购项目电子交易管理操作指南-供应商”查看电子竞标具体操作流程。</w:t>
      </w:r>
    </w:p>
    <w:p w14:paraId="68F7EF8B">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平台，依次进入“服务中心-入驻与配置”中查看CA数字证书办理操作流程。如在操作过程中遇到问题或者需要技术支持，请致电广西政府采购云平台客服热线：95763）。</w:t>
      </w:r>
    </w:p>
    <w:p w14:paraId="4CD2E29F">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（3）CA证书在线解密：首次响应文件开启时，需携带制作响应文件时用来加密的有效数字证书（CA认证）登录“广西政府采购云平台”平台电子开标大厅按规定时间对加密的响应文件进行解密，否则后果自负。</w:t>
      </w:r>
    </w:p>
    <w:p w14:paraId="07B60FAF">
      <w:pPr>
        <w:pStyle w:val="245"/>
        <w:ind w:firstLine="420"/>
        <w:jc w:val="both"/>
        <w:outlineLvl w:val="9"/>
        <w:rPr>
          <w:rFonts w:hint="eastAsia" w:ascii="宋体" w:hAnsi="宋体" w:eastAsia="宋体" w:cs="¿¬Ìå"/>
          <w:b w:val="0"/>
          <w:bCs w:val="0"/>
          <w:color w:val="auto"/>
          <w:kern w:val="2"/>
          <w:sz w:val="21"/>
          <w:szCs w:val="21"/>
          <w:highlight w:val="none"/>
          <w:lang w:eastAsia="zh-CN"/>
        </w:rPr>
      </w:pPr>
      <w:r>
        <w:rPr>
          <w:rFonts w:hint="eastAsia" w:ascii="宋体" w:hAnsi="宋体" w:eastAsia="宋体" w:cs="¿¬Ìå"/>
          <w:b w:val="0"/>
          <w:bCs w:val="0"/>
          <w:color w:val="auto"/>
          <w:kern w:val="2"/>
          <w:sz w:val="21"/>
          <w:szCs w:val="21"/>
          <w:highlight w:val="none"/>
          <w:lang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平台将予以拒收。</w:t>
      </w:r>
    </w:p>
    <w:p w14:paraId="5EDE44E2">
      <w:pPr>
        <w:spacing w:line="360" w:lineRule="exact"/>
        <w:ind w:firstLine="420" w:firstLineChars="200"/>
        <w:rPr>
          <w:rFonts w:ascii="宋体" w:hAnsi="宋体"/>
          <w:color w:val="auto"/>
          <w:szCs w:val="21"/>
          <w:highlight w:val="none"/>
        </w:rPr>
      </w:pPr>
      <w:r>
        <w:rPr>
          <w:rFonts w:hint="eastAsia" w:ascii="宋体" w:hAnsi="宋体" w:eastAsia="宋体" w:cs="¿¬Ìå"/>
          <w:b w:val="0"/>
          <w:bCs w:val="0"/>
          <w:color w:val="auto"/>
          <w:kern w:val="2"/>
          <w:sz w:val="21"/>
          <w:szCs w:val="21"/>
          <w:highlight w:val="none"/>
          <w:lang w:eastAsia="zh-CN"/>
        </w:rPr>
        <w:t>（4）供应商需要在具备有摄像头及语音功能且互联网网络状况良好的电脑登录“广西政府采购云平台”平台远程开标大厅参与本次谈判，否则后果自负。</w:t>
      </w:r>
    </w:p>
    <w:p w14:paraId="6AD979C1">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p w14:paraId="697F3596">
      <w:pPr>
        <w:spacing w:line="360" w:lineRule="auto"/>
        <w:ind w:firstLine="420" w:firstLineChars="200"/>
        <w:rPr>
          <w:rFonts w:ascii="宋体" w:hAnsi="宋体" w:cs="宋体"/>
          <w:color w:val="auto"/>
          <w:kern w:val="0"/>
          <w:szCs w:val="21"/>
          <w:highlight w:val="none"/>
        </w:rPr>
      </w:pPr>
      <w:bookmarkStart w:id="47" w:name="_Toc28359019"/>
      <w:bookmarkStart w:id="48" w:name="_Toc35393637"/>
      <w:bookmarkStart w:id="49" w:name="_Toc35393806"/>
      <w:bookmarkStart w:id="50" w:name="_Toc28359096"/>
      <w:r>
        <w:rPr>
          <w:rFonts w:hint="eastAsia" w:ascii="宋体" w:hAnsi="宋体" w:cs="宋体"/>
          <w:color w:val="auto"/>
          <w:kern w:val="0"/>
          <w:szCs w:val="21"/>
          <w:highlight w:val="none"/>
        </w:rPr>
        <w:t>1.采购人信息</w:t>
      </w:r>
      <w:bookmarkEnd w:id="47"/>
      <w:bookmarkEnd w:id="48"/>
      <w:bookmarkEnd w:id="49"/>
      <w:bookmarkEnd w:id="50"/>
    </w:p>
    <w:p w14:paraId="74B114B3">
      <w:pPr>
        <w:spacing w:line="360" w:lineRule="auto"/>
        <w:ind w:firstLine="420" w:firstLineChars="200"/>
        <w:jc w:val="left"/>
        <w:rPr>
          <w:rFonts w:hint="eastAsia" w:ascii="宋体" w:hAnsi="宋体" w:eastAsia="宋体" w:cs="Arial"/>
          <w:color w:val="auto"/>
          <w:szCs w:val="21"/>
          <w:highlight w:val="none"/>
          <w:lang w:eastAsia="zh-CN"/>
        </w:rPr>
      </w:pPr>
      <w:r>
        <w:rPr>
          <w:rFonts w:hint="eastAsia" w:ascii="宋体" w:hAnsi="宋体"/>
          <w:color w:val="auto"/>
          <w:szCs w:val="21"/>
          <w:highlight w:val="none"/>
        </w:rPr>
        <w:t>名    称：</w:t>
      </w:r>
      <w:r>
        <w:rPr>
          <w:rFonts w:hint="eastAsia" w:ascii="宋体" w:hAnsi="宋体" w:cs="Arial"/>
          <w:color w:val="auto"/>
          <w:szCs w:val="21"/>
          <w:highlight w:val="none"/>
          <w:lang w:eastAsia="zh-CN"/>
        </w:rPr>
        <w:t>贺州市平桂区大平瑶族乡人民政府</w:t>
      </w:r>
    </w:p>
    <w:p w14:paraId="08EA7064">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地    址：广西壮族自治区贺州市平桂区大平街1号</w:t>
      </w:r>
    </w:p>
    <w:p w14:paraId="5FA9FAE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联系方式：赵元修</w:t>
      </w:r>
    </w:p>
    <w:p w14:paraId="42442F33">
      <w:pPr>
        <w:spacing w:line="360" w:lineRule="auto"/>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19197787682</w:t>
      </w:r>
    </w:p>
    <w:p w14:paraId="779EE820">
      <w:pPr>
        <w:spacing w:line="360" w:lineRule="auto"/>
        <w:ind w:firstLine="420" w:firstLineChars="200"/>
        <w:rPr>
          <w:rFonts w:ascii="宋体" w:hAnsi="宋体" w:cs="宋体"/>
          <w:color w:val="auto"/>
          <w:kern w:val="0"/>
          <w:szCs w:val="21"/>
          <w:highlight w:val="none"/>
        </w:rPr>
      </w:pPr>
      <w:bookmarkStart w:id="51" w:name="_Toc35393638"/>
      <w:bookmarkStart w:id="52" w:name="_Toc28359097"/>
      <w:bookmarkStart w:id="53" w:name="_Toc28359020"/>
      <w:bookmarkStart w:id="54" w:name="_Toc35393807"/>
      <w:r>
        <w:rPr>
          <w:rFonts w:hint="eastAsia" w:ascii="宋体" w:hAnsi="宋体" w:cs="宋体"/>
          <w:color w:val="auto"/>
          <w:kern w:val="0"/>
          <w:szCs w:val="21"/>
          <w:highlight w:val="none"/>
        </w:rPr>
        <w:t>2.采购代理机构信息</w:t>
      </w:r>
      <w:bookmarkEnd w:id="51"/>
      <w:bookmarkEnd w:id="52"/>
      <w:bookmarkEnd w:id="53"/>
      <w:bookmarkEnd w:id="54"/>
    </w:p>
    <w:p w14:paraId="75E8A926">
      <w:pPr>
        <w:snapToGrid w:val="0"/>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olor w:val="auto"/>
          <w:szCs w:val="21"/>
          <w:highlight w:val="none"/>
        </w:rPr>
        <w:t>名    称：</w:t>
      </w:r>
      <w:r>
        <w:rPr>
          <w:rFonts w:hint="eastAsia" w:ascii="宋体" w:hAnsi="宋体" w:cs="Arial"/>
          <w:color w:val="auto"/>
          <w:szCs w:val="21"/>
          <w:highlight w:val="none"/>
          <w:lang w:eastAsia="zh-CN"/>
        </w:rPr>
        <w:t>广西城建咨询设计有限公司</w:t>
      </w:r>
    </w:p>
    <w:p w14:paraId="36176868">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贺州市八步区太白社区新风街128号（贺州分公司）</w:t>
      </w:r>
    </w:p>
    <w:p w14:paraId="00EC423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联系方式：</w:t>
      </w:r>
      <w:bookmarkStart w:id="55" w:name="_Toc35393808"/>
      <w:bookmarkStart w:id="56" w:name="_Toc28359021"/>
      <w:bookmarkStart w:id="57" w:name="_Toc35393639"/>
      <w:bookmarkStart w:id="58" w:name="_Toc28359098"/>
      <w:r>
        <w:rPr>
          <w:rFonts w:hint="eastAsia" w:ascii="宋体" w:hAnsi="宋体"/>
          <w:color w:val="auto"/>
          <w:szCs w:val="21"/>
          <w:highlight w:val="none"/>
        </w:rPr>
        <w:t>蓝展英</w:t>
      </w:r>
    </w:p>
    <w:p w14:paraId="5E49B035">
      <w:pPr>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olor w:val="auto"/>
          <w:szCs w:val="21"/>
          <w:highlight w:val="none"/>
        </w:rPr>
        <w:t>联系电话：0774-5122998</w:t>
      </w:r>
    </w:p>
    <w:p w14:paraId="746239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5"/>
      <w:bookmarkEnd w:id="56"/>
      <w:bookmarkEnd w:id="57"/>
      <w:bookmarkEnd w:id="58"/>
    </w:p>
    <w:bookmarkEnd w:id="1"/>
    <w:p w14:paraId="08CF43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联系方式：蓝展英</w:t>
      </w:r>
    </w:p>
    <w:p w14:paraId="209754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联系电话：0774-5122998</w:t>
      </w:r>
    </w:p>
    <w:p w14:paraId="36189DFE">
      <w:pPr>
        <w:spacing w:line="360" w:lineRule="auto"/>
        <w:ind w:firstLine="420" w:firstLineChars="200"/>
        <w:rPr>
          <w:rFonts w:ascii="方正小标宋简体" w:eastAsia="方正小标宋简体"/>
          <w:color w:val="auto"/>
          <w:sz w:val="32"/>
          <w:szCs w:val="32"/>
          <w:highlight w:val="none"/>
        </w:rPr>
      </w:pPr>
      <w:r>
        <w:rPr>
          <w:rFonts w:hint="eastAsia" w:ascii="宋体" w:hAnsi="宋体"/>
          <w:color w:val="auto"/>
          <w:szCs w:val="21"/>
          <w:highlight w:val="none"/>
          <w:lang w:val="en-US" w:eastAsia="zh-CN"/>
        </w:rPr>
        <w:t>2024年7月22日</w:t>
      </w:r>
      <w:r>
        <w:rPr>
          <w:rFonts w:ascii="宋体" w:hAnsi="宋体" w:cs="Arial"/>
          <w:color w:val="auto"/>
          <w:szCs w:val="21"/>
          <w:highlight w:val="none"/>
        </w:rPr>
        <w:br w:type="page"/>
      </w:r>
    </w:p>
    <w:p w14:paraId="213482BE">
      <w:pPr>
        <w:pStyle w:val="2"/>
        <w:spacing w:before="300" w:after="300" w:line="360" w:lineRule="auto"/>
        <w:jc w:val="center"/>
        <w:rPr>
          <w:color w:val="auto"/>
          <w:highlight w:val="none"/>
        </w:rPr>
      </w:pPr>
      <w:bookmarkStart w:id="59" w:name="_Toc32467"/>
      <w:r>
        <w:rPr>
          <w:rFonts w:hint="eastAsia"/>
          <w:color w:val="auto"/>
          <w:highlight w:val="none"/>
        </w:rPr>
        <w:t>第二章供应商须知</w:t>
      </w:r>
      <w:bookmarkEnd w:id="59"/>
    </w:p>
    <w:p w14:paraId="79BD93B9">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729CE72F">
      <w:pPr>
        <w:spacing w:line="400" w:lineRule="exact"/>
        <w:jc w:val="center"/>
        <w:rPr>
          <w:rFonts w:ascii="宋体" w:hAnsi="宋体"/>
          <w:b/>
          <w:color w:val="auto"/>
          <w:sz w:val="32"/>
          <w:szCs w:val="32"/>
          <w:highlight w:val="none"/>
        </w:rPr>
      </w:pP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E977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2B7AF3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CD45F9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79E3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CE9A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2EFCF572">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5752126C">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3C9DC17B">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22DACE">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7BB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DF3B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6823A4F">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34CA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B482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46843364">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58821A55">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618696D5">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6C7D6DE2">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032439D8">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09104E36">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206F510C">
            <w:pPr>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20F146F9">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400EC76C">
            <w:pPr>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330C5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8224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43471CF9">
            <w:pPr>
              <w:pStyle w:val="9"/>
              <w:spacing w:line="360" w:lineRule="auto"/>
              <w:rPr>
                <w:rFonts w:ascii="宋体" w:hAnsi="宋体"/>
                <w:color w:val="auto"/>
                <w:szCs w:val="21"/>
                <w:highlight w:val="none"/>
              </w:rPr>
            </w:pPr>
            <w:r>
              <w:rPr>
                <w:rFonts w:ascii="仿宋_GB2312" w:hAnsi="仿宋" w:eastAsia="仿宋_GB2312"/>
                <w:color w:val="auto"/>
                <w:szCs w:val="21"/>
                <w:highlight w:val="none"/>
              </w:rPr>
              <w:sym w:font="Wingdings 2" w:char="F052"/>
            </w:r>
            <w:r>
              <w:rPr>
                <w:rFonts w:hint="eastAsia" w:ascii="宋体" w:hAnsi="宋体"/>
                <w:color w:val="auto"/>
                <w:szCs w:val="21"/>
                <w:highlight w:val="none"/>
              </w:rPr>
              <w:t>不允许分包</w:t>
            </w:r>
          </w:p>
          <w:p w14:paraId="4AECB7DB">
            <w:pPr>
              <w:pStyle w:val="9"/>
              <w:spacing w:line="360" w:lineRule="auto"/>
              <w:rPr>
                <w:rFonts w:ascii="宋体" w:hAnsi="宋体"/>
                <w:color w:val="auto"/>
                <w:szCs w:val="21"/>
                <w:highlight w:val="none"/>
              </w:rPr>
            </w:pPr>
            <w:r>
              <w:rPr>
                <w:rFonts w:hint="eastAsia" w:ascii="宋体" w:hAnsi="宋体"/>
                <w:color w:val="auto"/>
                <w:szCs w:val="21"/>
                <w:highlight w:val="none"/>
              </w:rPr>
              <w:t>□允许分包</w:t>
            </w:r>
          </w:p>
          <w:p w14:paraId="44351900">
            <w:pPr>
              <w:pStyle w:val="9"/>
              <w:spacing w:line="360" w:lineRule="auto"/>
              <w:rPr>
                <w:rFonts w:ascii="宋体" w:hAnsi="宋体"/>
                <w:color w:val="auto"/>
                <w:szCs w:val="21"/>
                <w:highlight w:val="none"/>
                <w:u w:val="single"/>
              </w:rPr>
            </w:pPr>
            <w:r>
              <w:rPr>
                <w:rFonts w:hint="eastAsia" w:ascii="宋体" w:hAnsi="宋体"/>
                <w:color w:val="auto"/>
                <w:szCs w:val="21"/>
                <w:highlight w:val="none"/>
              </w:rPr>
              <w:t>分包内容：/。</w:t>
            </w:r>
          </w:p>
          <w:p w14:paraId="43590EE9">
            <w:pPr>
              <w:pStyle w:val="9"/>
              <w:spacing w:line="360" w:lineRule="auto"/>
              <w:rPr>
                <w:rFonts w:ascii="宋体" w:hAnsi="宋体"/>
                <w:color w:val="auto"/>
                <w:szCs w:val="21"/>
                <w:highlight w:val="none"/>
                <w:u w:val="single"/>
              </w:rPr>
            </w:pPr>
            <w:r>
              <w:rPr>
                <w:rFonts w:hint="eastAsia" w:ascii="宋体" w:hAnsi="宋体"/>
                <w:color w:val="auto"/>
                <w:szCs w:val="21"/>
                <w:highlight w:val="none"/>
              </w:rPr>
              <w:t>分包金额或者比例：/。</w:t>
            </w:r>
          </w:p>
          <w:p w14:paraId="749EBCCB">
            <w:pPr>
              <w:pStyle w:val="9"/>
              <w:spacing w:line="360" w:lineRule="auto"/>
              <w:rPr>
                <w:rFonts w:ascii="宋体" w:hAnsi="宋体" w:cs="宋体"/>
                <w:color w:val="auto"/>
                <w:szCs w:val="21"/>
                <w:highlight w:val="none"/>
              </w:rPr>
            </w:pPr>
            <w:r>
              <w:rPr>
                <w:rFonts w:hint="eastAsia" w:ascii="宋体" w:hAnsi="宋体"/>
                <w:color w:val="auto"/>
                <w:szCs w:val="21"/>
                <w:highlight w:val="none"/>
              </w:rPr>
              <w:t>分包供应商必须具备的资质：/。</w:t>
            </w:r>
          </w:p>
        </w:tc>
      </w:tr>
      <w:tr w14:paraId="77DE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C525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5359923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082851DE">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ascii="宋体" w:hAnsi="宋体" w:cs="宋体"/>
                <w:b/>
                <w:color w:val="auto"/>
                <w:szCs w:val="21"/>
                <w:highlight w:val="none"/>
              </w:rPr>
            </w:pPr>
            <w:r>
              <w:rPr>
                <w:rFonts w:hint="eastAsia" w:ascii="宋体" w:hAnsi="宋体" w:cs="宋体"/>
                <w:color w:val="auto"/>
                <w:szCs w:val="21"/>
                <w:highlight w:val="none"/>
              </w:rPr>
              <w:t>1.贺州市</w:t>
            </w:r>
            <w:r>
              <w:rPr>
                <w:rFonts w:hint="eastAsia" w:ascii="宋体" w:hAnsi="宋体" w:cs="宋体"/>
                <w:color w:val="auto"/>
                <w:szCs w:val="21"/>
                <w:highlight w:val="none"/>
                <w:lang w:eastAsia="zh-CN"/>
              </w:rPr>
              <w:t>平桂区</w:t>
            </w:r>
            <w:r>
              <w:rPr>
                <w:rFonts w:hint="eastAsia" w:ascii="宋体" w:hAnsi="宋体" w:cs="宋体"/>
                <w:color w:val="auto"/>
                <w:szCs w:val="21"/>
                <w:highlight w:val="none"/>
              </w:rPr>
              <w:t>政府采购供应商信用承诺函（格式后附）；</w:t>
            </w:r>
            <w:r>
              <w:rPr>
                <w:rFonts w:hint="eastAsia" w:ascii="宋体" w:hAnsi="宋体" w:cs="宋体"/>
                <w:b/>
                <w:bCs/>
                <w:color w:val="auto"/>
                <w:szCs w:val="21"/>
                <w:highlight w:val="none"/>
              </w:rPr>
              <w:t>（必须提供，否则响应文件按无效响应处理）</w:t>
            </w:r>
          </w:p>
          <w:p w14:paraId="0959B1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962AF3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4B379B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olor w:val="auto"/>
                <w:szCs w:val="21"/>
                <w:highlight w:val="none"/>
              </w:rPr>
              <w:t>供应商《中小企业声明函》或《残疾人福利性单位声明函》或监狱企业证明（由省级以上监狱管理局、戒毒管理局（含新疆生产建设兵团）出具的属于监狱企业的证明文件）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1C5C88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b/>
                <w:color w:val="auto"/>
                <w:szCs w:val="21"/>
                <w:highlight w:val="none"/>
              </w:rPr>
            </w:pPr>
            <w:r>
              <w:rPr>
                <w:rFonts w:hint="eastAsia" w:ascii="宋体" w:hAnsi="宋体"/>
                <w:color w:val="auto"/>
                <w:szCs w:val="21"/>
                <w:highlight w:val="none"/>
                <w:lang w:val="en-US" w:eastAsia="zh-CN"/>
              </w:rPr>
              <w:t>5.</w:t>
            </w:r>
            <w:r>
              <w:rPr>
                <w:rFonts w:hint="eastAsia" w:ascii="宋体" w:hAnsi="宋体" w:cs="宋体"/>
                <w:b w:val="0"/>
                <w:bCs/>
                <w:color w:val="auto"/>
                <w:szCs w:val="21"/>
                <w:highlight w:val="none"/>
              </w:rPr>
              <w:t>特定</w:t>
            </w:r>
            <w:r>
              <w:rPr>
                <w:rFonts w:ascii="宋体" w:hAnsi="宋体" w:cs="宋体"/>
                <w:b w:val="0"/>
                <w:bCs/>
                <w:color w:val="auto"/>
                <w:szCs w:val="21"/>
                <w:highlight w:val="none"/>
              </w:rPr>
              <w:t>资格</w:t>
            </w:r>
            <w:r>
              <w:rPr>
                <w:rFonts w:hint="eastAsia" w:ascii="宋体" w:hAnsi="宋体" w:cs="宋体"/>
                <w:b w:val="0"/>
                <w:bCs/>
                <w:color w:val="auto"/>
                <w:szCs w:val="21"/>
                <w:highlight w:val="none"/>
              </w:rPr>
              <w:t>要求</w:t>
            </w:r>
            <w:r>
              <w:rPr>
                <w:rFonts w:ascii="宋体" w:hAnsi="宋体" w:cs="宋体"/>
                <w:b w:val="0"/>
                <w:bCs/>
                <w:color w:val="auto"/>
                <w:szCs w:val="21"/>
                <w:highlight w:val="none"/>
              </w:rPr>
              <w:t>：</w:t>
            </w:r>
            <w:r>
              <w:rPr>
                <w:rFonts w:hint="eastAsia" w:ascii="宋体" w:hAnsi="宋体" w:cs="宋体"/>
                <w:b w:val="0"/>
                <w:bCs/>
                <w:color w:val="auto"/>
                <w:szCs w:val="21"/>
                <w:highlight w:val="none"/>
              </w:rPr>
              <w:t>供应商须具备市政公用工程施工总承包三级及以上资质和有效的安全生产许可证，并在人员、设备、资金等方面具备相应的施工能力，拟派项目经理须具备市政公用工程专业二级及以上注册建造师执业资格，具备安全生产考核合格证书（B类）</w:t>
            </w:r>
            <w:r>
              <w:rPr>
                <w:rFonts w:hint="eastAsia" w:ascii="宋体" w:hAnsi="宋体" w:cs="宋体"/>
                <w:b w:val="0"/>
                <w:bCs/>
                <w:color w:val="auto"/>
                <w:szCs w:val="21"/>
                <w:highlight w:val="none"/>
                <w:lang w:eastAsia="zh-CN"/>
              </w:rPr>
              <w:t>；</w:t>
            </w:r>
            <w:r>
              <w:rPr>
                <w:rFonts w:hint="eastAsia" w:ascii="宋体" w:hAnsi="宋体"/>
                <w:b/>
                <w:color w:val="auto"/>
                <w:szCs w:val="21"/>
                <w:highlight w:val="none"/>
              </w:rPr>
              <w:t>【必须提供，否则响应文件按无效处理】</w:t>
            </w:r>
          </w:p>
          <w:p w14:paraId="142A756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s="宋体"/>
                <w:color w:val="auto"/>
                <w:szCs w:val="21"/>
                <w:highlight w:val="none"/>
              </w:rPr>
              <w:t>除磋商文件规定必须提供以外，供应商认为需要提供的其他证明材料；</w:t>
            </w:r>
          </w:p>
          <w:p w14:paraId="51637EE6">
            <w:pPr>
              <w:pStyle w:val="9"/>
              <w:numPr>
                <w:ilvl w:val="0"/>
                <w:numId w:val="0"/>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注：以上标明“必须提供”的材料属于扫描件的，必须加盖供应商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17075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8D5A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2BF59BC2">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558DB947">
            <w:pPr>
              <w:spacing w:line="360" w:lineRule="auto"/>
              <w:rPr>
                <w:rFonts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9EA3515">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776CE90">
            <w:pPr>
              <w:spacing w:line="360" w:lineRule="auto"/>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CF45C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4.供应商认为需要提供的其他有关资料。</w:t>
            </w:r>
          </w:p>
          <w:p w14:paraId="0EC12859">
            <w:pPr>
              <w:pStyle w:val="34"/>
              <w:rPr>
                <w:color w:val="auto"/>
                <w:highlight w:val="none"/>
              </w:rPr>
            </w:pPr>
            <w:r>
              <w:rPr>
                <w:rFonts w:hint="eastAsia" w:ascii="宋体" w:hAnsi="宋体" w:cs="宋体"/>
                <w:b/>
                <w:color w:val="auto"/>
                <w:szCs w:val="21"/>
                <w:highlight w:val="none"/>
              </w:rPr>
              <w:t>注：以上标明“必须提供”的材料属于扫描件的，必须加盖供应商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15742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1372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68A570BE">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4A41C5EA">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DDD1E6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2.法定代表人身份证明书及法定代表人有效身份证正反面扫描件（格式后附）；（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4D28039">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3.授权委托书及委托代理人有效身份证正反面扫描件（格式后附）；（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2E27048B">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如要求提交磋商保证金的则必须提供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5571230A">
            <w:pPr>
              <w:spacing w:line="360" w:lineRule="auto"/>
              <w:rPr>
                <w:rFonts w:ascii="宋体" w:hAnsi="宋体" w:cs="宋体"/>
                <w:color w:val="auto"/>
                <w:szCs w:val="21"/>
                <w:highlight w:val="none"/>
              </w:rPr>
            </w:pPr>
            <w:r>
              <w:rPr>
                <w:rFonts w:hint="eastAsia" w:ascii="宋体" w:hAnsi="宋体" w:cs="宋体"/>
                <w:color w:val="auto"/>
                <w:szCs w:val="21"/>
                <w:highlight w:val="none"/>
              </w:rPr>
              <w:t>5.施工组织设计（格式自拟）；（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CB27306">
            <w:pPr>
              <w:spacing w:line="360" w:lineRule="auto"/>
              <w:rPr>
                <w:rFonts w:ascii="宋体" w:hAnsi="宋体" w:cs="宋体"/>
                <w:color w:val="auto"/>
                <w:szCs w:val="21"/>
                <w:highlight w:val="none"/>
              </w:rPr>
            </w:pPr>
            <w:r>
              <w:rPr>
                <w:rFonts w:hint="eastAsia" w:ascii="宋体" w:hAnsi="宋体" w:cs="宋体"/>
                <w:color w:val="auto"/>
                <w:szCs w:val="21"/>
                <w:highlight w:val="none"/>
              </w:rPr>
              <w:t>6.项目管理机构配备情况表及主要人员简历表（格式后附）；（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4C89569A">
            <w:pPr>
              <w:spacing w:line="360" w:lineRule="auto"/>
              <w:rPr>
                <w:rFonts w:ascii="宋体" w:hAnsi="宋体" w:cs="宋体"/>
                <w:color w:val="auto"/>
                <w:szCs w:val="21"/>
                <w:highlight w:val="none"/>
              </w:rPr>
            </w:pPr>
            <w:r>
              <w:rPr>
                <w:rFonts w:hint="eastAsia" w:ascii="宋体" w:hAnsi="宋体" w:cs="宋体"/>
                <w:color w:val="auto"/>
                <w:szCs w:val="21"/>
                <w:highlight w:val="none"/>
              </w:rPr>
              <w:t>7.拟分包项目情况表（格式后附）；（如有）</w:t>
            </w:r>
          </w:p>
          <w:p w14:paraId="5FDFF740">
            <w:pPr>
              <w:spacing w:line="360" w:lineRule="auto"/>
              <w:rPr>
                <w:rFonts w:ascii="宋体" w:hAnsi="宋体" w:cs="宋体"/>
                <w:color w:val="auto"/>
                <w:szCs w:val="21"/>
                <w:highlight w:val="none"/>
              </w:rPr>
            </w:pPr>
            <w:r>
              <w:rPr>
                <w:rFonts w:hint="eastAsia" w:ascii="宋体" w:hAnsi="宋体" w:cs="宋体"/>
                <w:color w:val="auto"/>
                <w:szCs w:val="21"/>
                <w:highlight w:val="none"/>
              </w:rPr>
              <w:t>8.供应商认为需要提供的其他有关资料。</w:t>
            </w:r>
          </w:p>
          <w:p w14:paraId="625866BD">
            <w:pPr>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注：以上标明“必须提供”的材料属于扫描件的，必须加盖供应商电子签章，否则响应文件按无效处理。</w:t>
            </w:r>
          </w:p>
        </w:tc>
      </w:tr>
      <w:tr w14:paraId="541ED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D375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912" w:type="dxa"/>
            <w:vAlign w:val="center"/>
          </w:tcPr>
          <w:p w14:paraId="2138A956">
            <w:pPr>
              <w:spacing w:line="360" w:lineRule="auto"/>
              <w:contextualSpacing/>
              <w:jc w:val="left"/>
              <w:rPr>
                <w:rFonts w:ascii="宋体" w:hAnsi="宋体"/>
                <w:color w:val="auto"/>
                <w:szCs w:val="21"/>
                <w:highlight w:val="none"/>
              </w:rPr>
            </w:pPr>
            <w:r>
              <w:rPr>
                <w:rFonts w:hint="eastAsia" w:ascii="宋体" w:hAnsi="宋体"/>
                <w:color w:val="auto"/>
                <w:szCs w:val="21"/>
                <w:highlight w:val="none"/>
              </w:rPr>
              <w:t>竞标报价应按磋商文件中“竞标报价表”及“已标价工程量清单”格式填写。</w:t>
            </w:r>
          </w:p>
        </w:tc>
      </w:tr>
      <w:tr w14:paraId="27566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21E2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613B6BB3">
            <w:pPr>
              <w:spacing w:line="360" w:lineRule="auto"/>
              <w:contextualSpacing/>
              <w:jc w:val="left"/>
              <w:rPr>
                <w:rFonts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14:paraId="395AE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22FB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233EED06">
            <w:pPr>
              <w:spacing w:line="360" w:lineRule="auto"/>
              <w:contextualSpacing/>
              <w:jc w:val="left"/>
              <w:rPr>
                <w:rFonts w:ascii="宋体" w:hAnsi="宋体"/>
                <w:color w:val="auto"/>
                <w:szCs w:val="21"/>
                <w:highlight w:val="none"/>
              </w:rPr>
            </w:pPr>
            <w:r>
              <w:rPr>
                <w:rFonts w:hint="eastAsia" w:cs="宋体"/>
                <w:color w:val="auto"/>
                <w:highlight w:val="none"/>
              </w:rPr>
              <w:t>本工程增值税计税方法：</w:t>
            </w:r>
            <w:r>
              <w:rPr>
                <w:rFonts w:ascii="仿宋_GB2312" w:hAnsi="仿宋" w:eastAsia="仿宋_GB2312"/>
                <w:color w:val="auto"/>
                <w:szCs w:val="21"/>
                <w:highlight w:val="none"/>
              </w:rPr>
              <w:sym w:font="Wingdings 2" w:char="F052"/>
            </w:r>
            <w:r>
              <w:rPr>
                <w:rFonts w:hint="eastAsia" w:cs="宋体"/>
                <w:color w:val="auto"/>
                <w:highlight w:val="none"/>
              </w:rPr>
              <w:t>一般计税法；□简易计税法</w:t>
            </w:r>
          </w:p>
        </w:tc>
      </w:tr>
      <w:tr w14:paraId="0226E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F278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658FD03B">
            <w:pPr>
              <w:pStyle w:val="18"/>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3317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239C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02441C41">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p w14:paraId="20D4169B">
            <w:pPr>
              <w:snapToGrid w:val="0"/>
              <w:spacing w:line="360" w:lineRule="auto"/>
              <w:rPr>
                <w:rFonts w:ascii="宋体" w:hAnsi="宋体" w:cs="宋体"/>
                <w:color w:val="auto"/>
                <w:szCs w:val="21"/>
                <w:highlight w:val="none"/>
              </w:rPr>
            </w:pPr>
            <w:r>
              <w:rPr>
                <w:rFonts w:ascii="仿宋_GB2312" w:hAnsi="仿宋" w:eastAsia="仿宋_GB2312"/>
                <w:color w:val="auto"/>
                <w:szCs w:val="21"/>
                <w:highlight w:val="none"/>
              </w:rPr>
              <w:sym w:font="Wingdings 2" w:char="00A3"/>
            </w:r>
            <w:r>
              <w:rPr>
                <w:rFonts w:hint="eastAsia" w:ascii="宋体" w:hAnsi="宋体"/>
                <w:color w:val="auto"/>
                <w:szCs w:val="21"/>
                <w:highlight w:val="none"/>
              </w:rPr>
              <w:t>本项目收取磋商保证金，具体规定如下：</w:t>
            </w:r>
            <w:r>
              <w:rPr>
                <w:rFonts w:hint="eastAsia" w:ascii="宋体" w:hAnsi="宋体" w:cs="宋体"/>
                <w:b/>
                <w:color w:val="auto"/>
                <w:szCs w:val="21"/>
                <w:highlight w:val="none"/>
                <w:u w:val="single"/>
                <w:lang w:val="en-US" w:eastAsia="zh-CN"/>
              </w:rPr>
              <w:t xml:space="preserve"> </w:t>
            </w:r>
            <w:r>
              <w:rPr>
                <w:rFonts w:hint="eastAsia" w:ascii="宋体" w:hAnsi="宋体" w:cs="宋体"/>
                <w:b w:val="0"/>
                <w:bCs/>
                <w:color w:val="auto"/>
                <w:szCs w:val="21"/>
                <w:highlight w:val="none"/>
                <w:u w:val="single"/>
                <w:lang w:val="en-US" w:eastAsia="zh-CN"/>
              </w:rPr>
              <w:t xml:space="preserve"> /  </w:t>
            </w:r>
          </w:p>
        </w:tc>
      </w:tr>
      <w:tr w14:paraId="3644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2C4154">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5590863A">
            <w:pPr>
              <w:spacing w:line="360" w:lineRule="auto"/>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5FE4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6A3D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41AC1DC3">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4BFA8DA0">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6E09D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8D1D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5A91325A">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u w:val="single"/>
              </w:rPr>
              <w:t>3</w:t>
            </w:r>
            <w:r>
              <w:rPr>
                <w:rFonts w:hint="eastAsia" w:ascii="宋体" w:hAnsi="宋体" w:cs="宋体"/>
                <w:color w:val="auto"/>
                <w:szCs w:val="21"/>
                <w:highlight w:val="none"/>
              </w:rPr>
              <w:t>人。</w:t>
            </w:r>
          </w:p>
        </w:tc>
      </w:tr>
      <w:tr w14:paraId="35DC9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9914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2EC0FC9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596F8DD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60</w:t>
            </w:r>
            <w:r>
              <w:rPr>
                <w:rFonts w:hint="eastAsia" w:hAnsi="宋体"/>
                <w:color w:val="auto"/>
                <w:highlight w:val="none"/>
              </w:rPr>
              <w:t>分钟</w:t>
            </w:r>
          </w:p>
        </w:tc>
      </w:tr>
      <w:tr w14:paraId="4C335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2C68FA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45F4A7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p>
          <w:p w14:paraId="0A2749E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p>
        </w:tc>
      </w:tr>
      <w:tr w14:paraId="15692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F612D8">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4635BA79">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32A32D24">
            <w:pPr>
              <w:spacing w:line="360" w:lineRule="auto"/>
              <w:contextualSpacing/>
              <w:rPr>
                <w:rFonts w:hint="eastAsia" w:ascii="宋体" w:hAnsi="宋体" w:eastAsia="宋体" w:cs="宋体"/>
                <w:color w:val="auto"/>
                <w:szCs w:val="21"/>
                <w:highlight w:val="none"/>
                <w:lang w:eastAsia="zh-CN"/>
              </w:rPr>
            </w:pPr>
            <w:r>
              <w:rPr>
                <w:rFonts w:ascii="仿宋_GB2312" w:hAnsi="仿宋" w:eastAsia="仿宋_GB2312"/>
                <w:color w:val="auto"/>
                <w:szCs w:val="21"/>
                <w:highlight w:val="none"/>
              </w:rPr>
              <w:sym w:font="Wingdings 2" w:char="00A3"/>
            </w:r>
            <w:r>
              <w:rPr>
                <w:rFonts w:hint="eastAsia" w:ascii="宋体" w:hAnsi="宋体"/>
                <w:color w:val="auto"/>
                <w:szCs w:val="21"/>
                <w:highlight w:val="none"/>
              </w:rPr>
              <w:t>本项目收取履约保证金，具体规定如下：</w:t>
            </w:r>
            <w:r>
              <w:rPr>
                <w:rFonts w:hint="eastAsia" w:ascii="宋体" w:hAnsi="宋体" w:cs="宋体"/>
                <w:b/>
                <w:color w:val="auto"/>
                <w:szCs w:val="21"/>
                <w:highlight w:val="none"/>
                <w:u w:val="single"/>
                <w:lang w:val="en-US" w:eastAsia="zh-CN"/>
              </w:rPr>
              <w:t xml:space="preserve"> </w:t>
            </w:r>
            <w:r>
              <w:rPr>
                <w:rFonts w:hint="eastAsia" w:ascii="宋体" w:hAnsi="宋体" w:cs="宋体"/>
                <w:b w:val="0"/>
                <w:bCs/>
                <w:color w:val="auto"/>
                <w:szCs w:val="21"/>
                <w:highlight w:val="none"/>
                <w:u w:val="single"/>
                <w:lang w:val="en-US" w:eastAsia="zh-CN"/>
              </w:rPr>
              <w:t xml:space="preserve"> /  </w:t>
            </w:r>
          </w:p>
        </w:tc>
      </w:tr>
      <w:tr w14:paraId="1A4A9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FB5DDD">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45B8AE0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5E1ADD7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1598F80">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620B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5946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31A0937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接收质疑函方式：书面形式</w:t>
            </w:r>
          </w:p>
          <w:p w14:paraId="17CD7F15">
            <w:pPr>
              <w:pStyle w:val="27"/>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Courier New"/>
                <w:color w:val="auto"/>
                <w:kern w:val="2"/>
                <w:sz w:val="21"/>
                <w:highlight w:val="none"/>
                <w:lang w:eastAsia="zh-CN"/>
              </w:rPr>
              <w:t>广西城建咨询设计有限公司</w:t>
            </w:r>
            <w:r>
              <w:rPr>
                <w:rFonts w:hint="eastAsia" w:hAnsi="宋体" w:cs="Courier New"/>
                <w:color w:val="auto"/>
                <w:kern w:val="2"/>
                <w:sz w:val="21"/>
                <w:highlight w:val="none"/>
              </w:rPr>
              <w:t>，联系电话：0774-5122998，通讯地址：</w:t>
            </w:r>
            <w:r>
              <w:rPr>
                <w:rFonts w:hint="eastAsia" w:hAnsi="宋体"/>
                <w:bCs/>
                <w:color w:val="auto"/>
                <w:sz w:val="21"/>
                <w:highlight w:val="none"/>
                <w:u w:val="single"/>
                <w:lang w:val="en-US" w:eastAsia="zh-CN"/>
              </w:rPr>
              <w:t xml:space="preserve"> 贺州市八步区太白社区新风街128号（贺州分公司）</w:t>
            </w:r>
            <w:r>
              <w:rPr>
                <w:rFonts w:hint="eastAsia" w:hAnsi="宋体"/>
                <w:bCs/>
                <w:color w:val="auto"/>
                <w:sz w:val="21"/>
                <w:highlight w:val="none"/>
              </w:rPr>
              <w:t>。</w:t>
            </w:r>
          </w:p>
          <w:p w14:paraId="0D215995">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kern w:val="0"/>
                <w:highlight w:val="none"/>
              </w:rPr>
              <w:t>业</w:t>
            </w:r>
            <w:r>
              <w:rPr>
                <w:rFonts w:hint="eastAsia" w:ascii="宋体" w:hAnsi="宋体" w:cs="宋体"/>
                <w:color w:val="auto"/>
                <w:kern w:val="0"/>
                <w:highlight w:val="none"/>
              </w:rPr>
              <w:t>务时间：工作日每天上午</w:t>
            </w:r>
            <w:r>
              <w:rPr>
                <w:rFonts w:ascii="宋体" w:hAnsi="宋体" w:cs="宋体"/>
                <w:color w:val="auto"/>
                <w:kern w:val="0"/>
                <w:highlight w:val="none"/>
              </w:rPr>
              <w:t>8</w:t>
            </w:r>
            <w:r>
              <w:rPr>
                <w:rFonts w:hint="eastAsia" w:ascii="宋体" w:hAnsi="宋体" w:cs="宋体"/>
                <w:color w:val="auto"/>
                <w:kern w:val="0"/>
                <w:highlight w:val="none"/>
              </w:rPr>
              <w:t>时</w:t>
            </w:r>
            <w:r>
              <w:rPr>
                <w:rFonts w:hint="eastAsia" w:ascii="宋体" w:hAnsi="宋体" w:cs="宋体"/>
                <w:color w:val="auto"/>
                <w:kern w:val="0"/>
                <w:highlight w:val="none"/>
                <w:lang w:val="en-US" w:eastAsia="zh-CN"/>
              </w:rPr>
              <w:t>3</w:t>
            </w:r>
            <w:r>
              <w:rPr>
                <w:rFonts w:ascii="宋体" w:hAnsi="宋体" w:cs="宋体"/>
                <w:color w:val="auto"/>
                <w:kern w:val="0"/>
                <w:highlight w:val="none"/>
              </w:rPr>
              <w:t>0</w:t>
            </w:r>
            <w:r>
              <w:rPr>
                <w:rFonts w:hint="eastAsia" w:ascii="宋体" w:hAnsi="宋体" w:cs="宋体"/>
                <w:color w:val="auto"/>
                <w:kern w:val="0"/>
                <w:highlight w:val="none"/>
              </w:rPr>
              <w:t>分到</w:t>
            </w:r>
            <w:r>
              <w:rPr>
                <w:rFonts w:ascii="宋体" w:hAnsi="宋体" w:cs="宋体"/>
                <w:color w:val="auto"/>
                <w:kern w:val="0"/>
                <w:highlight w:val="none"/>
              </w:rPr>
              <w:t>12</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分，下午</w:t>
            </w:r>
            <w:r>
              <w:rPr>
                <w:rFonts w:ascii="宋体" w:hAnsi="宋体" w:cs="宋体"/>
                <w:color w:val="auto"/>
                <w:kern w:val="0"/>
                <w:highlight w:val="none"/>
              </w:rPr>
              <w:t>3</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6</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w:t>
            </w:r>
          </w:p>
        </w:tc>
      </w:tr>
      <w:tr w14:paraId="0B769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633032">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6A8524BB">
            <w:pPr>
              <w:pStyle w:val="27"/>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0A1D79A3">
            <w:pPr>
              <w:pStyle w:val="27"/>
              <w:snapToGrid w:val="0"/>
              <w:spacing w:line="360" w:lineRule="auto"/>
              <w:rPr>
                <w:rFonts w:hint="eastAsia" w:ascii="新宋体" w:hAnsi="新宋体" w:eastAsia="新宋体" w:cs="Times New Roman"/>
                <w:color w:val="auto"/>
                <w:sz w:val="21"/>
                <w:highlight w:val="none"/>
                <w:lang w:val="en-US" w:eastAsia="zh-CN"/>
              </w:rPr>
            </w:pPr>
            <w:r>
              <w:rPr>
                <w:rFonts w:hint="eastAsia" w:ascii="新宋体" w:hAnsi="新宋体" w:eastAsia="新宋体" w:cs="Times New Roman"/>
                <w:color w:val="auto"/>
                <w:sz w:val="21"/>
                <w:highlight w:val="none"/>
                <w:lang w:val="en-US" w:eastAsia="zh-CN"/>
              </w:rPr>
              <w:t>☑本项目代理服务费由</w:t>
            </w:r>
            <w:r>
              <w:rPr>
                <w:rFonts w:hint="eastAsia" w:ascii="新宋体" w:hAnsi="新宋体" w:eastAsia="新宋体" w:cs="Times New Roman"/>
                <w:color w:val="auto"/>
                <w:sz w:val="21"/>
                <w:highlight w:val="none"/>
                <w:u w:val="none"/>
                <w:lang w:val="en-US" w:eastAsia="zh-CN"/>
              </w:rPr>
              <w:t>成交供应商</w:t>
            </w:r>
            <w:r>
              <w:rPr>
                <w:rFonts w:hint="eastAsia" w:ascii="新宋体" w:hAnsi="新宋体" w:eastAsia="新宋体" w:cs="Times New Roman"/>
                <w:color w:val="auto"/>
                <w:sz w:val="21"/>
                <w:highlight w:val="none"/>
                <w:lang w:val="en-US" w:eastAsia="zh-CN"/>
              </w:rPr>
              <w:t>领取成交通知书前，一次性向采购代理机构支付。</w:t>
            </w:r>
          </w:p>
          <w:p w14:paraId="3D2EE9BE">
            <w:pPr>
              <w:pStyle w:val="27"/>
              <w:snapToGrid w:val="0"/>
              <w:spacing w:line="360" w:lineRule="auto"/>
              <w:rPr>
                <w:rFonts w:hint="eastAsia" w:ascii="新宋体" w:hAnsi="新宋体" w:eastAsia="新宋体" w:cs="Times New Roman"/>
                <w:color w:val="auto"/>
                <w:sz w:val="21"/>
                <w:highlight w:val="none"/>
                <w:lang w:val="en-US" w:eastAsia="zh-CN"/>
              </w:rPr>
            </w:pPr>
            <w:r>
              <w:rPr>
                <w:rFonts w:hint="eastAsia" w:ascii="新宋体" w:hAnsi="新宋体" w:eastAsia="新宋体" w:cs="Times New Roman"/>
                <w:color w:val="auto"/>
                <w:sz w:val="21"/>
                <w:highlight w:val="none"/>
                <w:lang w:val="en-US" w:eastAsia="zh-CN"/>
              </w:rPr>
              <w:t>2.采购代理费收取标准：</w:t>
            </w:r>
          </w:p>
          <w:p w14:paraId="6BE32476">
            <w:pPr>
              <w:pStyle w:val="27"/>
              <w:snapToGrid w:val="0"/>
              <w:spacing w:line="360" w:lineRule="auto"/>
              <w:rPr>
                <w:rFonts w:hint="eastAsia" w:hAnsi="宋体" w:eastAsia="宋体" w:cs="宋体"/>
                <w:color w:val="auto"/>
                <w:sz w:val="21"/>
                <w:highlight w:val="none"/>
                <w:lang w:eastAsia="zh-CN"/>
              </w:rPr>
            </w:pPr>
            <w:r>
              <w:rPr>
                <w:rFonts w:hint="eastAsia" w:ascii="新宋体" w:hAnsi="新宋体" w:eastAsia="新宋体" w:cs="Times New Roman"/>
                <w:color w:val="auto"/>
                <w:sz w:val="21"/>
                <w:highlight w:val="none"/>
                <w:lang w:val="en-US" w:eastAsia="zh-CN"/>
              </w:rPr>
              <w:t>☑参考国家发展计划委员会文件关于印发《招标代理服务收费管理暂行办法》的通知（计价格〔2002〕1980号）和《国家发展改革委关于降低部分建设项目收费标准规范收费行为等有关问题的通知》（发改价格〔2011〕534号）收费标准收取采购代理服务费。</w:t>
            </w:r>
          </w:p>
        </w:tc>
      </w:tr>
      <w:tr w14:paraId="63E35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C58E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0AAE6544">
            <w:pPr>
              <w:pStyle w:val="27"/>
              <w:snapToGrid w:val="0"/>
              <w:spacing w:line="360" w:lineRule="auto"/>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4528F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B67B3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2CADFC38">
            <w:pPr>
              <w:pStyle w:val="27"/>
              <w:snapToGrid w:val="0"/>
              <w:spacing w:line="360" w:lineRule="auto"/>
              <w:rPr>
                <w:rFonts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3119B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F5E4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4813D260">
            <w:pPr>
              <w:pStyle w:val="27"/>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E7F8135">
            <w:pPr>
              <w:pStyle w:val="27"/>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2C7E0F3C">
            <w:pPr>
              <w:pStyle w:val="27"/>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.供应商为其他组织时，本磋商文件规定的法定代表人指负责人。本磋商文件所称负责人是指参加竞标的其他组织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w:t>
            </w:r>
            <w:r>
              <w:rPr>
                <w:rFonts w:hint="eastAsia" w:hAnsi="宋体" w:cs="宋体"/>
                <w:bCs/>
                <w:color w:val="auto"/>
                <w:sz w:val="21"/>
                <w:highlight w:val="none"/>
              </w:rPr>
              <w:t>。</w:t>
            </w:r>
          </w:p>
          <w:p w14:paraId="68C79642">
            <w:pPr>
              <w:pStyle w:val="27"/>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59A6A16B">
            <w:pPr>
              <w:pStyle w:val="27"/>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2696D6E8">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FA7CA7F">
      <w:pPr>
        <w:spacing w:line="400" w:lineRule="exact"/>
        <w:jc w:val="center"/>
        <w:rPr>
          <w:rFonts w:ascii="宋体" w:hAnsi="宋体"/>
          <w:b/>
          <w:color w:val="auto"/>
          <w:sz w:val="32"/>
          <w:szCs w:val="32"/>
          <w:highlight w:val="none"/>
        </w:rPr>
      </w:pPr>
    </w:p>
    <w:p w14:paraId="1633BD3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0B85CC2">
      <w:pPr>
        <w:spacing w:line="400" w:lineRule="exact"/>
        <w:rPr>
          <w:rFonts w:ascii="宋体" w:hAnsi="宋体"/>
          <w:color w:val="auto"/>
          <w:szCs w:val="21"/>
          <w:highlight w:val="none"/>
        </w:rPr>
      </w:pPr>
    </w:p>
    <w:p w14:paraId="1BD5204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1A559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4DA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79B8A91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6D7436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B2FC26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690116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9D3131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48ABA4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1A36F34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4A07663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58A51DA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14:paraId="57EAC75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3246F20F">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69CE802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D6C3D2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04BCD5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11A84D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726BAE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C6E1A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6A40C73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2C0B2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9EAD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1361C5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0" w:name="_Hlk66782192"/>
      <w:r>
        <w:rPr>
          <w:rFonts w:hint="eastAsia" w:ascii="宋体" w:hAnsi="宋体"/>
          <w:color w:val="auto"/>
          <w:szCs w:val="21"/>
          <w:highlight w:val="none"/>
        </w:rPr>
        <w:t>根据《政府采购促进中小企业发展管理办法》（财库〔2020〕46号）第九条第二款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60"/>
    </w:p>
    <w:p w14:paraId="6A07BD6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A2C593C">
      <w:pPr>
        <w:pStyle w:val="6"/>
        <w:keepNext w:val="0"/>
        <w:keepLines w:val="0"/>
        <w:spacing w:before="0" w:after="0" w:line="360" w:lineRule="auto"/>
        <w:ind w:left="420" w:leftChars="200"/>
        <w:rPr>
          <w:rFonts w:ascii="宋体" w:hAnsi="宋体"/>
          <w:b w:val="0"/>
          <w:color w:val="auto"/>
          <w:sz w:val="21"/>
          <w:szCs w:val="21"/>
          <w:highlight w:val="none"/>
        </w:rPr>
      </w:pPr>
      <w:bookmarkStart w:id="61" w:name="_Toc254970532"/>
      <w:bookmarkStart w:id="62" w:name="_Toc254970673"/>
      <w:r>
        <w:rPr>
          <w:rFonts w:hint="eastAsia" w:ascii="宋体" w:hAnsi="宋体"/>
          <w:b w:val="0"/>
          <w:color w:val="auto"/>
          <w:sz w:val="21"/>
          <w:szCs w:val="21"/>
          <w:highlight w:val="none"/>
        </w:rPr>
        <w:t>6.1本项目不允许转包。</w:t>
      </w:r>
    </w:p>
    <w:p w14:paraId="010846DE">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3A19BD39">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36B8DE3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1"/>
      <w:bookmarkEnd w:id="62"/>
    </w:p>
    <w:p w14:paraId="504B6629">
      <w:pPr>
        <w:spacing w:line="360" w:lineRule="auto"/>
        <w:ind w:firstLine="420" w:firstLineChars="200"/>
        <w:rPr>
          <w:rFonts w:ascii="宋体" w:hAnsi="宋体" w:cs="宋体"/>
          <w:color w:val="auto"/>
          <w:szCs w:val="21"/>
          <w:highlight w:val="none"/>
        </w:rPr>
      </w:pPr>
      <w:bookmarkStart w:id="63" w:name="_8.1提供相同品牌产品且通过资格审查、符合性审查的不同投标人参加同一合"/>
      <w:bookmarkEnd w:id="63"/>
      <w:r>
        <w:rPr>
          <w:rFonts w:hint="eastAsia" w:ascii="宋体" w:hAnsi="宋体" w:cs="宋体"/>
          <w:color w:val="auto"/>
          <w:szCs w:val="21"/>
          <w:highlight w:val="none"/>
        </w:rPr>
        <w:t>7.</w:t>
      </w:r>
      <w:r>
        <w:rPr>
          <w:rFonts w:ascii="宋体" w:hAnsi="宋体" w:cs="宋体"/>
          <w:color w:val="auto"/>
          <w:szCs w:val="21"/>
          <w:highlight w:val="none"/>
        </w:rPr>
        <w:t>1</w:t>
      </w:r>
      <w:bookmarkStart w:id="64"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4"/>
    <w:p w14:paraId="283BC0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478A1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3E3E63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F590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31AD8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C7BC0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A005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0E9D5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E976F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35080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6D3D2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FBA3C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DE58A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D4BFE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B3BB0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F72D92C">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9AAF7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0D5984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66F42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593F7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72B02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BC729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A3C32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1513CF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06EC487">
      <w:pPr>
        <w:spacing w:line="360" w:lineRule="auto"/>
        <w:ind w:firstLine="420" w:firstLineChars="200"/>
        <w:rPr>
          <w:rFonts w:ascii="宋体" w:hAnsi="宋体" w:cs="宋体"/>
          <w:color w:val="auto"/>
          <w:szCs w:val="21"/>
          <w:highlight w:val="none"/>
        </w:rPr>
      </w:pPr>
    </w:p>
    <w:p w14:paraId="489ED78C">
      <w:pPr>
        <w:spacing w:line="360" w:lineRule="auto"/>
        <w:ind w:left="1" w:firstLine="417" w:firstLineChars="199"/>
        <w:jc w:val="center"/>
        <w:rPr>
          <w:rFonts w:ascii="宋体" w:hAnsi="宋体"/>
          <w:color w:val="auto"/>
          <w:highlight w:val="none"/>
        </w:rPr>
      </w:pPr>
      <w:bookmarkStart w:id="65" w:name="_Toc254970675"/>
      <w:bookmarkStart w:id="66" w:name="_Toc254970534"/>
    </w:p>
    <w:p w14:paraId="7AF9B6F7">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5"/>
      <w:bookmarkEnd w:id="66"/>
    </w:p>
    <w:p w14:paraId="630A95A6">
      <w:pPr>
        <w:spacing w:line="360" w:lineRule="auto"/>
        <w:rPr>
          <w:rFonts w:ascii="宋体" w:hAnsi="宋体"/>
          <w:color w:val="auto"/>
          <w:szCs w:val="21"/>
          <w:highlight w:val="none"/>
        </w:rPr>
      </w:pPr>
    </w:p>
    <w:p w14:paraId="5FE1F0B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C2899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第一章  竞争性磋商公告；</w:t>
      </w:r>
    </w:p>
    <w:p w14:paraId="4BFCEF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第二章  供应商须知； </w:t>
      </w:r>
    </w:p>
    <w:p w14:paraId="562077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第三章  采购需求；</w:t>
      </w:r>
    </w:p>
    <w:p w14:paraId="6B7C6E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第四章  评审程序、评审方法和评审标准；</w:t>
      </w:r>
    </w:p>
    <w:p w14:paraId="09763A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第五章  工程量清单及图纸；</w:t>
      </w:r>
    </w:p>
    <w:p w14:paraId="04B58C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第六章  响应文件格式；</w:t>
      </w:r>
    </w:p>
    <w:p w14:paraId="45ECAE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第七章  合同文本。</w:t>
      </w:r>
    </w:p>
    <w:p w14:paraId="2EB86C4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0EB61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55E9E42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39888AE6">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264386D5">
      <w:pPr>
        <w:spacing w:line="360" w:lineRule="auto"/>
        <w:rPr>
          <w:rFonts w:ascii="宋体" w:hAnsi="宋体"/>
          <w:color w:val="auto"/>
          <w:szCs w:val="21"/>
          <w:highlight w:val="none"/>
        </w:rPr>
      </w:pPr>
    </w:p>
    <w:p w14:paraId="63272167">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4CFC02F1">
      <w:pPr>
        <w:spacing w:line="360" w:lineRule="auto"/>
        <w:rPr>
          <w:rFonts w:ascii="宋体" w:hAnsi="宋体"/>
          <w:color w:val="auto"/>
          <w:szCs w:val="21"/>
          <w:highlight w:val="none"/>
        </w:rPr>
      </w:pPr>
    </w:p>
    <w:p w14:paraId="61A9A40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5503C9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3E6454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B3F90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2024130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5FD114C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35031D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1767797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9632A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783E19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76D9F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49AC29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3EB4863A">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15.1竞标报价应按磋商文件中“竞标报价表”及</w:t>
      </w:r>
      <w:r>
        <w:rPr>
          <w:rFonts w:ascii="宋体" w:hAnsi="宋体" w:cs="宋体"/>
          <w:color w:val="auto"/>
          <w:szCs w:val="21"/>
          <w:highlight w:val="none"/>
        </w:rPr>
        <w:t>“</w:t>
      </w:r>
      <w:r>
        <w:rPr>
          <w:rFonts w:hint="eastAsia" w:ascii="宋体" w:hAnsi="宋体" w:cs="宋体"/>
          <w:color w:val="auto"/>
          <w:szCs w:val="21"/>
          <w:highlight w:val="none"/>
        </w:rPr>
        <w:t>已标价工程量清单</w:t>
      </w:r>
      <w:r>
        <w:rPr>
          <w:rFonts w:ascii="宋体" w:hAnsi="宋体" w:cs="宋体"/>
          <w:color w:val="auto"/>
          <w:szCs w:val="21"/>
          <w:highlight w:val="none"/>
        </w:rPr>
        <w:t>”</w:t>
      </w:r>
      <w:r>
        <w:rPr>
          <w:rFonts w:hint="eastAsia" w:ascii="宋体" w:hAnsi="宋体" w:cs="宋体"/>
          <w:color w:val="auto"/>
          <w:szCs w:val="21"/>
          <w:highlight w:val="none"/>
        </w:rPr>
        <w:t>格式填写。</w:t>
      </w:r>
    </w:p>
    <w:p w14:paraId="1AA8B590">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16A6A1FD">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56573AE9">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15.4竞标报价要求</w:t>
      </w:r>
    </w:p>
    <w:p w14:paraId="404C02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14:paraId="7BB22EC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w:t>
      </w:r>
      <w:r>
        <w:rPr>
          <w:rFonts w:hint="eastAsia" w:ascii="宋体" w:hAnsi="宋体" w:cs="宋体"/>
          <w:color w:val="auto"/>
          <w:szCs w:val="21"/>
          <w:highlight w:val="none"/>
          <w:lang w:val="en-US" w:eastAsia="zh-CN"/>
        </w:rPr>
        <w:t>建设内容一、建设内容二</w:t>
      </w:r>
      <w:r>
        <w:rPr>
          <w:rFonts w:hint="eastAsia" w:ascii="宋体" w:hAnsi="宋体" w:cs="宋体"/>
          <w:color w:val="auto"/>
          <w:szCs w:val="21"/>
          <w:highlight w:val="none"/>
        </w:rPr>
        <w:t>的全部内容分别作完整唯一总价报价，</w:t>
      </w:r>
    </w:p>
    <w:p w14:paraId="58F452B0">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326695D6">
      <w:pPr>
        <w:numPr>
          <w:ilvl w:val="0"/>
          <w:numId w:val="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供应商必须就所竞标的</w:t>
      </w:r>
      <w:r>
        <w:rPr>
          <w:rFonts w:hint="eastAsia" w:ascii="宋体" w:hAnsi="宋体" w:cs="宋体"/>
          <w:color w:val="auto"/>
          <w:szCs w:val="21"/>
          <w:highlight w:val="none"/>
          <w:lang w:val="en-US" w:eastAsia="zh-CN"/>
        </w:rPr>
        <w:t>建设内容一、建设内容二</w:t>
      </w:r>
      <w:r>
        <w:rPr>
          <w:rFonts w:hint="eastAsia" w:ascii="宋体" w:hAnsi="宋体" w:cs="宋体"/>
          <w:color w:val="auto"/>
          <w:szCs w:val="21"/>
          <w:highlight w:val="none"/>
        </w:rPr>
        <w:t>的单项内容作唯一报价。</w:t>
      </w:r>
    </w:p>
    <w:p w14:paraId="5246D9F6">
      <w:pPr>
        <w:numPr>
          <w:ilvl w:val="0"/>
          <w:numId w:val="1"/>
        </w:num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供应商竞标报价（含总报价和单项报价）如明显低于其他通过符合性审查供应商的报价，有可能不能诚信履约的，磋商</w:t>
      </w:r>
      <w:r>
        <w:rPr>
          <w:rFonts w:ascii="宋体" w:hAnsi="宋体" w:cs="宋体"/>
          <w:color w:val="auto"/>
          <w:szCs w:val="21"/>
          <w:highlight w:val="none"/>
        </w:rPr>
        <w:t>小组可</w:t>
      </w:r>
      <w:r>
        <w:rPr>
          <w:rFonts w:ascii="ˎ̥" w:hAnsi="ˎ̥"/>
          <w:color w:val="auto"/>
          <w:sz w:val="22"/>
          <w:szCs w:val="22"/>
          <w:highlight w:val="none"/>
        </w:rPr>
        <w:t>要求其在评标现场合理的时间内提供书面说明</w:t>
      </w:r>
      <w:r>
        <w:rPr>
          <w:rFonts w:hint="eastAsia" w:ascii="宋体" w:hAnsi="宋体" w:cs="宋体"/>
          <w:color w:val="auto"/>
          <w:szCs w:val="21"/>
          <w:highlight w:val="none"/>
        </w:rPr>
        <w:t>。如无法提供说明，或者说明不足以证明合理性的，经磋商小组评定，响应文件按无效处理。</w:t>
      </w:r>
    </w:p>
    <w:p w14:paraId="7B2277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w:t>
      </w:r>
      <w:r>
        <w:rPr>
          <w:rFonts w:hint="eastAsia" w:ascii="宋体" w:hAnsi="宋体" w:cs="宋体"/>
          <w:color w:val="auto"/>
          <w:szCs w:val="21"/>
          <w:highlight w:val="none"/>
          <w:lang w:val="en-US" w:eastAsia="zh-CN"/>
        </w:rPr>
        <w:t>建设内容一、建设内容二</w:t>
      </w:r>
      <w:r>
        <w:rPr>
          <w:rFonts w:hint="eastAsia" w:ascii="宋体" w:hAnsi="宋体" w:cs="宋体"/>
          <w:color w:val="auto"/>
          <w:szCs w:val="21"/>
          <w:highlight w:val="none"/>
        </w:rPr>
        <w:t>规定的采购预算金额或者最高限价的，其响应文件将按无效处理。</w:t>
      </w:r>
    </w:p>
    <w:p w14:paraId="0B6903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7"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14:paraId="751348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67"/>
    <w:p w14:paraId="24FC1D9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95F5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650E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1E4C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694AF7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6D36371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675E40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2BDCA4C8">
      <w:pPr>
        <w:spacing w:line="360" w:lineRule="auto"/>
        <w:ind w:firstLine="420" w:firstLineChars="200"/>
        <w:rPr>
          <w:rFonts w:ascii="宋体" w:hAnsi="宋体" w:cs="宋体"/>
          <w:color w:val="auto"/>
          <w:szCs w:val="21"/>
          <w:highlight w:val="none"/>
        </w:rPr>
      </w:pPr>
      <w:bookmarkStart w:id="68" w:name="_Hlk66782243"/>
      <w:r>
        <w:rPr>
          <w:rFonts w:hint="eastAsia" w:ascii="宋体" w:hAnsi="宋体" w:cs="宋体"/>
          <w:color w:val="auto"/>
          <w:szCs w:val="21"/>
          <w:highlight w:val="none"/>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bookmarkEnd w:id="68"/>
    </w:p>
    <w:p w14:paraId="73B5B4A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4F86F5F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175F923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D00778D">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供应商在响应文件中提供虚假材料的；</w:t>
      </w:r>
    </w:p>
    <w:p w14:paraId="6EB4E2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）除因不可抗力或者磋商文件认可的情形以外，成交供应商不与采购人签订合同的；</w:t>
      </w:r>
    </w:p>
    <w:p w14:paraId="3F6B580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）供应商与采购人、其他供应商或者采购代理机构恶意串通的；</w:t>
      </w:r>
    </w:p>
    <w:p w14:paraId="295C679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）法律法规规定的其他情形。</w:t>
      </w:r>
    </w:p>
    <w:p w14:paraId="50DE053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42E8E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270195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77C186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4A92F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21861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0C5E1A7">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04EE4048">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广西政府采购云平台新版客户端</w:t>
      </w:r>
      <w:r>
        <w:rPr>
          <w:rFonts w:hint="eastAsia"/>
          <w:color w:val="auto"/>
          <w:highlight w:val="none"/>
        </w:rPr>
        <w:t>”在线编制生成且后缀名为“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44132CD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7B933662">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49FB883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平台将拒收。</w:t>
      </w:r>
    </w:p>
    <w:p w14:paraId="7C1123D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52C774FB">
      <w:pPr>
        <w:spacing w:line="360" w:lineRule="auto"/>
        <w:ind w:firstLine="420" w:firstLineChars="200"/>
        <w:rPr>
          <w:rFonts w:hAnsi="宋体"/>
          <w:bCs/>
          <w:color w:val="auto"/>
          <w:szCs w:val="21"/>
          <w:highlight w:val="none"/>
        </w:rPr>
      </w:pPr>
      <w:bookmarkStart w:id="69" w:name="_Toc254970543"/>
      <w:bookmarkStart w:id="70" w:name="_Toc254970684"/>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w:t>
      </w:r>
      <w:r>
        <w:rPr>
          <w:rFonts w:hint="eastAsia" w:hAnsi="宋体"/>
          <w:bCs/>
          <w:color w:val="auto"/>
          <w:szCs w:val="21"/>
          <w:highlight w:val="none"/>
          <w:lang w:eastAsia="zh-CN"/>
        </w:rPr>
        <w:t>广西政府采购云平台</w:t>
      </w:r>
      <w:r>
        <w:rPr>
          <w:rFonts w:hint="eastAsia" w:hAnsi="宋体"/>
          <w:bCs/>
          <w:color w:val="auto"/>
          <w:szCs w:val="21"/>
          <w:highlight w:val="none"/>
        </w:rPr>
        <w:t>平台将予以拒收。（注：补充、修改或者撤回方式可登陆</w:t>
      </w:r>
      <w:r>
        <w:rPr>
          <w:rFonts w:hint="eastAsia" w:hAnsi="宋体"/>
          <w:bCs/>
          <w:color w:val="auto"/>
          <w:szCs w:val="21"/>
          <w:highlight w:val="none"/>
          <w:lang w:eastAsia="zh-CN"/>
        </w:rPr>
        <w:t>广西政府采购云平台</w:t>
      </w:r>
      <w:r>
        <w:rPr>
          <w:rFonts w:hint="eastAsia" w:hAnsi="宋体"/>
          <w:bCs/>
          <w:color w:val="auto"/>
          <w:szCs w:val="21"/>
          <w:highlight w:val="none"/>
        </w:rPr>
        <w:t>平台，进入“服务中心”中查看“电子投标文件制作与投送教程”）</w:t>
      </w:r>
    </w:p>
    <w:bookmarkEnd w:id="69"/>
    <w:bookmarkEnd w:id="70"/>
    <w:p w14:paraId="63B7A351">
      <w:pPr>
        <w:pStyle w:val="159"/>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66311851">
      <w:pPr>
        <w:spacing w:line="360" w:lineRule="auto"/>
        <w:ind w:firstLine="482" w:firstLineChars="200"/>
        <w:rPr>
          <w:rFonts w:ascii="黑体" w:hAnsi="黑体" w:eastAsia="黑体" w:cs="宋体"/>
          <w:b/>
          <w:bCs/>
          <w:color w:val="auto"/>
          <w:sz w:val="24"/>
          <w:highlight w:val="none"/>
        </w:rPr>
      </w:pPr>
      <w:bookmarkStart w:id="71" w:name="_Hlk45702405"/>
      <w:r>
        <w:rPr>
          <w:rFonts w:hint="eastAsia" w:ascii="黑体" w:hAnsi="黑体" w:eastAsia="黑体" w:cs="宋体"/>
          <w:b/>
          <w:bCs/>
          <w:color w:val="auto"/>
          <w:sz w:val="24"/>
          <w:highlight w:val="none"/>
        </w:rPr>
        <w:t>22.响应文件的退回</w:t>
      </w:r>
    </w:p>
    <w:p w14:paraId="284194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7F02F3A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7D3E1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71"/>
    <w:p w14:paraId="26459FA8">
      <w:pPr>
        <w:spacing w:line="360" w:lineRule="auto"/>
        <w:rPr>
          <w:rFonts w:ascii="宋体" w:hAnsi="宋体"/>
          <w:color w:val="auto"/>
          <w:szCs w:val="21"/>
          <w:highlight w:val="none"/>
        </w:rPr>
      </w:pPr>
    </w:p>
    <w:p w14:paraId="2889B793">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1E42FD0F">
      <w:pPr>
        <w:spacing w:line="360" w:lineRule="auto"/>
        <w:ind w:left="420" w:firstLine="420"/>
        <w:rPr>
          <w:rFonts w:ascii="宋体" w:hAnsi="宋体"/>
          <w:color w:val="auto"/>
          <w:szCs w:val="21"/>
          <w:highlight w:val="none"/>
        </w:rPr>
      </w:pPr>
    </w:p>
    <w:p w14:paraId="288FAD2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A6F88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6CD4CC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7993C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hAnsi="宋体"/>
          <w:bCs/>
          <w:color w:val="auto"/>
          <w:szCs w:val="21"/>
          <w:highlight w:val="none"/>
          <w:lang w:eastAsia="zh-CN"/>
        </w:rPr>
        <w:t>广西政府采购云平台</w:t>
      </w:r>
      <w:r>
        <w:rPr>
          <w:rFonts w:hint="eastAsia" w:hAnsi="宋体"/>
          <w:bCs/>
          <w:color w:val="auto"/>
          <w:szCs w:val="21"/>
          <w:highlight w:val="none"/>
        </w:rPr>
        <w:t>平台</w:t>
      </w:r>
      <w:r>
        <w:rPr>
          <w:rFonts w:hint="eastAsia" w:hAnsi="宋体"/>
          <w:bCs/>
          <w:color w:val="auto"/>
          <w:highlight w:val="none"/>
        </w:rPr>
        <w:t>抽（选）取</w:t>
      </w:r>
      <w:r>
        <w:rPr>
          <w:rFonts w:hint="eastAsia" w:hAnsi="宋体"/>
          <w:bCs/>
          <w:color w:val="auto"/>
          <w:szCs w:val="21"/>
          <w:highlight w:val="none"/>
        </w:rPr>
        <w:t>评审专家。</w:t>
      </w:r>
    </w:p>
    <w:p w14:paraId="69E7ECD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2F7B7F9A">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hAnsi="宋体"/>
          <w:color w:val="auto"/>
          <w:highlight w:val="none"/>
          <w:lang w:eastAsia="zh-CN"/>
        </w:rPr>
        <w:t>广西政府采购云平台</w:t>
      </w:r>
      <w:r>
        <w:rPr>
          <w:rFonts w:hint="eastAsia" w:hAnsi="宋体"/>
          <w:color w:val="auto"/>
          <w:highlight w:val="none"/>
        </w:rPr>
        <w:t>平台电子开标大厅签到，</w:t>
      </w:r>
      <w:r>
        <w:rPr>
          <w:rFonts w:hint="eastAsia"/>
          <w:color w:val="auto"/>
          <w:highlight w:val="none"/>
        </w:rPr>
        <w:t>采购代理机构依托</w:t>
      </w:r>
      <w:r>
        <w:rPr>
          <w:rFonts w:hint="eastAsia"/>
          <w:color w:val="auto"/>
          <w:highlight w:val="none"/>
          <w:lang w:eastAsia="zh-CN"/>
        </w:rPr>
        <w:t>广西政府采购云平台</w:t>
      </w:r>
      <w:r>
        <w:rPr>
          <w:rFonts w:hint="eastAsia"/>
          <w:color w:val="auto"/>
          <w:highlight w:val="none"/>
        </w:rPr>
        <w:t>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16010D6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70626A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7021A66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662E5A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725F311E">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FEB6B1E">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053E18D2">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6EAC820C">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51879501">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72F30CD6">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334B1921">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383405A7">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3122E6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62D135C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36A907">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2"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2"/>
    </w:p>
    <w:p w14:paraId="708B494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5ADFB36D">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AE6F60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10DED3B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0511DDCF">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03EBA8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6BABC3F">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182B29C5">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0B56F41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965014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5E3138E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0294B30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C7BEDD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207832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CE0161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F0DBCB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8F6FD7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D080B9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3DAA7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2DEC6F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28B7E6DD">
      <w:pPr>
        <w:pStyle w:val="7"/>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2150C6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749001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322787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E640BA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05ED2F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DD3C3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091C50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BAD0E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48B03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51959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DB3B4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07A0EA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8FB0B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409BB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3E1031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8AC63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5018C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5172D97C">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68DC3B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6025B89E">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3FBACE6F">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7B3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8C3E78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123A42E9">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7C353215">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252DAE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54A512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4942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661828">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F6E0FA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7309B13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48955DF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E59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A31637">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1B98593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8A1CAA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0D472A3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521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5812E5">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1AF73FE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133EC8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08D6FD8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4C6E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6DD272">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140BB01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4D586D8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1A85F06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CAA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8CE356">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70537B5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7A8975A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76AF706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B24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5B4FEB1">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3903C30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1BA5D85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0A53FD3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BF4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6F414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4956837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29DFBCD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4C94FFF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2019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23720B">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E8475B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BAA03F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0AF2527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38C8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264329">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0B58518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2B79F2D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3B1104E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6C7A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2230AB">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9E5396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77096EC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E8AF88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16257DF3">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1DE50E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0AE23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7761D69">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工程项目采购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023E7321">
      <w:pPr>
        <w:spacing w:line="360" w:lineRule="auto"/>
        <w:ind w:firstLine="420" w:firstLineChars="200"/>
        <w:rPr>
          <w:rFonts w:ascii="宋体" w:hAnsi="宋体" w:cs="宋体"/>
          <w:color w:val="auto"/>
          <w:highlight w:val="none"/>
        </w:rPr>
      </w:pPr>
      <w:r>
        <w:rPr>
          <w:rFonts w:ascii="宋体" w:hAnsi="宋体" w:cs="宋体"/>
          <w:color w:val="auto"/>
          <w:highlight w:val="none"/>
        </w:rPr>
        <w:t>100 万元 ×l.</w:t>
      </w:r>
      <w:r>
        <w:rPr>
          <w:rFonts w:hint="eastAsia" w:ascii="宋体" w:hAnsi="宋体" w:cs="宋体"/>
          <w:color w:val="auto"/>
          <w:highlight w:val="none"/>
        </w:rPr>
        <w:t>0</w:t>
      </w:r>
      <w:r>
        <w:rPr>
          <w:rFonts w:ascii="宋体" w:hAnsi="宋体" w:cs="宋体"/>
          <w:color w:val="auto"/>
          <w:highlight w:val="none"/>
        </w:rPr>
        <w:t xml:space="preserve"> %＝ 1.</w:t>
      </w:r>
      <w:r>
        <w:rPr>
          <w:rFonts w:hint="eastAsia" w:ascii="宋体" w:hAnsi="宋体" w:cs="宋体"/>
          <w:color w:val="auto"/>
          <w:highlight w:val="none"/>
        </w:rPr>
        <w:t>0</w:t>
      </w:r>
      <w:r>
        <w:rPr>
          <w:rFonts w:ascii="宋体" w:hAnsi="宋体" w:cs="宋体"/>
          <w:color w:val="auto"/>
          <w:highlight w:val="none"/>
        </w:rPr>
        <w:t>万元</w:t>
      </w:r>
    </w:p>
    <w:p w14:paraId="689A993D">
      <w:pPr>
        <w:spacing w:line="360" w:lineRule="auto"/>
        <w:ind w:firstLine="420" w:firstLineChars="200"/>
        <w:rPr>
          <w:rFonts w:ascii="宋体" w:hAnsi="宋体" w:cs="宋体"/>
          <w:color w:val="auto"/>
          <w:highlight w:val="none"/>
        </w:rPr>
      </w:pPr>
      <w:r>
        <w:rPr>
          <w:rFonts w:ascii="宋体" w:hAnsi="宋体" w:cs="宋体"/>
          <w:color w:val="auto"/>
          <w:highlight w:val="none"/>
        </w:rPr>
        <w:t>（ 150</w:t>
      </w:r>
      <w:r>
        <w:rPr>
          <w:rFonts w:hint="eastAsia" w:ascii="宋体" w:hAnsi="宋体" w:cs="宋体"/>
          <w:color w:val="auto"/>
          <w:highlight w:val="none"/>
        </w:rPr>
        <w:t>-</w:t>
      </w:r>
      <w:r>
        <w:rPr>
          <w:rFonts w:ascii="宋体" w:hAnsi="宋体" w:cs="宋体"/>
          <w:color w:val="auto"/>
          <w:highlight w:val="none"/>
        </w:rPr>
        <w:t>100 ）万元 ×0.</w:t>
      </w:r>
      <w:r>
        <w:rPr>
          <w:rFonts w:hint="eastAsia" w:ascii="宋体" w:hAnsi="宋体" w:cs="宋体"/>
          <w:color w:val="auto"/>
          <w:highlight w:val="none"/>
        </w:rPr>
        <w:t>7</w:t>
      </w:r>
      <w:r>
        <w:rPr>
          <w:rFonts w:ascii="宋体" w:hAnsi="宋体" w:cs="宋体"/>
          <w:color w:val="auto"/>
          <w:highlight w:val="none"/>
        </w:rPr>
        <w:t>%＝ 0.</w:t>
      </w:r>
      <w:r>
        <w:rPr>
          <w:rFonts w:hint="eastAsia" w:ascii="宋体" w:hAnsi="宋体" w:cs="宋体"/>
          <w:color w:val="auto"/>
          <w:highlight w:val="none"/>
        </w:rPr>
        <w:t>35</w:t>
      </w:r>
      <w:r>
        <w:rPr>
          <w:rFonts w:ascii="宋体" w:hAnsi="宋体" w:cs="宋体"/>
          <w:color w:val="auto"/>
          <w:highlight w:val="none"/>
        </w:rPr>
        <w:t>万元</w:t>
      </w:r>
    </w:p>
    <w:p w14:paraId="73CD10C4">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w:t>
      </w:r>
      <w:r>
        <w:rPr>
          <w:rFonts w:hint="eastAsia" w:ascii="宋体" w:hAnsi="宋体" w:cs="宋体"/>
          <w:color w:val="auto"/>
          <w:highlight w:val="none"/>
        </w:rPr>
        <w:t xml:space="preserve">0 + </w:t>
      </w:r>
      <w:r>
        <w:rPr>
          <w:rFonts w:ascii="宋体" w:hAnsi="宋体" w:cs="宋体"/>
          <w:color w:val="auto"/>
          <w:highlight w:val="none"/>
        </w:rPr>
        <w:t>0.</w:t>
      </w:r>
      <w:r>
        <w:rPr>
          <w:rFonts w:hint="eastAsia" w:ascii="宋体" w:hAnsi="宋体" w:cs="宋体"/>
          <w:color w:val="auto"/>
          <w:highlight w:val="none"/>
        </w:rPr>
        <w:t xml:space="preserve">35 </w:t>
      </w:r>
      <w:r>
        <w:rPr>
          <w:rFonts w:ascii="宋体" w:hAnsi="宋体" w:cs="宋体"/>
          <w:color w:val="auto"/>
          <w:highlight w:val="none"/>
        </w:rPr>
        <w:t>＝ 1.</w:t>
      </w:r>
      <w:r>
        <w:rPr>
          <w:rFonts w:hint="eastAsia" w:ascii="宋体" w:hAnsi="宋体" w:cs="宋体"/>
          <w:color w:val="auto"/>
          <w:highlight w:val="none"/>
        </w:rPr>
        <w:t>35</w:t>
      </w:r>
      <w:r>
        <w:rPr>
          <w:rFonts w:ascii="宋体" w:hAnsi="宋体" w:cs="宋体"/>
          <w:color w:val="auto"/>
          <w:highlight w:val="none"/>
        </w:rPr>
        <w:t xml:space="preserve"> 万元</w:t>
      </w:r>
    </w:p>
    <w:p w14:paraId="2D34040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393A010A">
      <w:pPr>
        <w:pStyle w:val="2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43F3387C">
      <w:pPr>
        <w:pStyle w:val="2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4AE641A0">
      <w:pPr>
        <w:pStyle w:val="27"/>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6AE97E14">
      <w:pPr>
        <w:pStyle w:val="2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8B667D3">
      <w:pPr>
        <w:pStyle w:val="27"/>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5960850">
      <w:pPr>
        <w:pStyle w:val="27"/>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5F4B1468">
      <w:pPr>
        <w:pStyle w:val="27"/>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8C554B3">
      <w:pPr>
        <w:pStyle w:val="27"/>
        <w:spacing w:line="360" w:lineRule="auto"/>
        <w:ind w:firstLine="420" w:firstLineChars="200"/>
        <w:contextualSpacing/>
        <w:rPr>
          <w:rFonts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highlight w:val="none"/>
        </w:rPr>
        <w:t>中小企业的，联合体视同中小企业。其中，联合体各方均为小微企业的，联合体视同小微企业。</w:t>
      </w:r>
    </w:p>
    <w:p w14:paraId="3F24720C">
      <w:pPr>
        <w:pStyle w:val="27"/>
        <w:spacing w:line="360" w:lineRule="auto"/>
        <w:ind w:firstLine="420" w:firstLineChars="200"/>
        <w:contextualSpacing/>
        <w:rPr>
          <w:rFonts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5EF65FEF">
      <w:pPr>
        <w:pStyle w:val="27"/>
        <w:keepNext w:val="0"/>
        <w:keepLines w:val="0"/>
        <w:pageBreakBefore w:val="0"/>
        <w:widowControl w:val="0"/>
        <w:kinsoku/>
        <w:wordWrap/>
        <w:overflowPunct/>
        <w:topLinePunct w:val="0"/>
        <w:autoSpaceDE/>
        <w:autoSpaceDN/>
        <w:bidi w:val="0"/>
        <w:adjustRightInd/>
        <w:snapToGrid/>
        <w:spacing w:before="340" w:after="340" w:line="360" w:lineRule="auto"/>
        <w:ind w:firstLine="402" w:firstLineChars="200"/>
        <w:jc w:val="center"/>
        <w:textAlignment w:val="center"/>
        <w:outlineLvl w:val="0"/>
        <w:rPr>
          <w:rFonts w:hint="eastAsia" w:ascii="Times New Roman" w:hAnsi="Times New Roman" w:eastAsia="宋体" w:cs="Times New Roman"/>
          <w:b/>
          <w:bCs/>
          <w:color w:val="auto"/>
          <w:kern w:val="44"/>
          <w:sz w:val="44"/>
          <w:szCs w:val="44"/>
          <w:highlight w:val="none"/>
          <w:lang w:val="en-US" w:eastAsia="zh-CN" w:bidi="ar-SA"/>
        </w:rPr>
      </w:pPr>
      <w:r>
        <w:rPr>
          <w:rFonts w:hAnsi="宋体"/>
          <w:b/>
          <w:color w:val="auto"/>
          <w:highlight w:val="none"/>
        </w:rPr>
        <w:br w:type="page"/>
      </w:r>
      <w:bookmarkStart w:id="73" w:name="_Toc24195"/>
      <w:r>
        <w:rPr>
          <w:rFonts w:hint="eastAsia" w:ascii="Times New Roman" w:hAnsi="Times New Roman" w:eastAsia="宋体" w:cs="Times New Roman"/>
          <w:b/>
          <w:bCs/>
          <w:color w:val="auto"/>
          <w:kern w:val="44"/>
          <w:sz w:val="44"/>
          <w:szCs w:val="44"/>
          <w:highlight w:val="none"/>
          <w:lang w:val="en-US" w:eastAsia="zh-CN" w:bidi="ar-SA"/>
        </w:rPr>
        <w:t>第三章 采购需求</w:t>
      </w:r>
      <w:bookmarkEnd w:id="73"/>
    </w:p>
    <w:p w14:paraId="5ABD403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29B03782">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r>
        <w:rPr>
          <w:rFonts w:hint="eastAsia" w:ascii="宋体" w:hAnsi="宋体" w:cs="宋体"/>
          <w:color w:val="auto"/>
          <w:szCs w:val="21"/>
          <w:highlight w:val="none"/>
        </w:rPr>
        <w:t>：</w:t>
      </w:r>
    </w:p>
    <w:p w14:paraId="69E701D5">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A1F5A00">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29B3B6F">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67F42F5">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959AF46">
      <w:pPr>
        <w:spacing w:line="360" w:lineRule="auto"/>
        <w:ind w:firstLine="424" w:firstLineChars="202"/>
        <w:rPr>
          <w:rFonts w:ascii="宋体" w:hAnsi="宋体" w:cs="宋体"/>
          <w:color w:val="auto"/>
          <w:szCs w:val="21"/>
          <w:highlight w:val="none"/>
        </w:rPr>
      </w:pPr>
      <w:r>
        <w:rPr>
          <w:rFonts w:hint="eastAsia" w:ascii="宋体" w:hAnsi="宋体" w:cs="宋体"/>
          <w:color w:val="auto"/>
          <w:kern w:val="0"/>
          <w:szCs w:val="21"/>
          <w:highlight w:val="none"/>
        </w:rPr>
        <w:t>（5）政府采购支持监狱企业发展。</w:t>
      </w:r>
    </w:p>
    <w:p w14:paraId="0675105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6D8C770C">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p w14:paraId="50F8F159">
      <w:pPr>
        <w:spacing w:line="360" w:lineRule="auto"/>
        <w:ind w:firstLine="426" w:firstLineChars="202"/>
        <w:jc w:val="lef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4.本项目采购标的所属行业：</w:t>
      </w:r>
      <w:r>
        <w:rPr>
          <w:rFonts w:hint="eastAsia" w:ascii="宋体" w:hAnsi="宋体" w:eastAsia="宋体" w:cs="宋体"/>
          <w:b/>
          <w:bCs/>
          <w:color w:val="auto"/>
          <w:szCs w:val="21"/>
          <w:highlight w:val="none"/>
          <w:u w:val="single"/>
          <w:lang w:val="en-US" w:eastAsia="zh-CN"/>
        </w:rPr>
        <w:t>建筑业</w:t>
      </w:r>
      <w:r>
        <w:rPr>
          <w:rFonts w:hint="eastAsia" w:ascii="宋体" w:hAnsi="宋体" w:eastAsia="宋体" w:cs="宋体"/>
          <w:b/>
          <w:bCs/>
          <w:color w:val="auto"/>
          <w:szCs w:val="21"/>
          <w:highlight w:val="none"/>
          <w:lang w:val="en-US" w:eastAsia="zh-CN"/>
        </w:rPr>
        <w:t>。</w:t>
      </w:r>
    </w:p>
    <w:tbl>
      <w:tblPr>
        <w:tblStyle w:val="4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0"/>
        <w:gridCol w:w="6705"/>
      </w:tblGrid>
      <w:tr w14:paraId="0DB4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2"/>
            <w:tcBorders>
              <w:top w:val="single" w:color="auto" w:sz="4" w:space="0"/>
              <w:left w:val="single" w:color="auto" w:sz="4" w:space="0"/>
              <w:bottom w:val="single" w:color="auto" w:sz="4" w:space="0"/>
              <w:right w:val="single" w:color="auto" w:sz="4" w:space="0"/>
            </w:tcBorders>
          </w:tcPr>
          <w:p w14:paraId="794BD734">
            <w:pPr>
              <w:spacing w:line="360" w:lineRule="auto"/>
              <w:ind w:firstLine="310" w:firstLineChars="147"/>
              <w:jc w:val="left"/>
              <w:rPr>
                <w:rFonts w:hint="default" w:ascii="宋体" w:hAnsi="宋体" w:eastAsia="宋体" w:cs="Arial"/>
                <w:b/>
                <w:bCs w:val="0"/>
                <w:color w:val="auto"/>
                <w:szCs w:val="21"/>
                <w:highlight w:val="none"/>
                <w:u w:val="single"/>
                <w:lang w:val="en-US" w:eastAsia="zh-CN"/>
              </w:rPr>
            </w:pPr>
            <w:bookmarkStart w:id="74" w:name="OLE_LINK3"/>
            <w:r>
              <w:rPr>
                <w:rFonts w:hint="eastAsia" w:ascii="宋体" w:hAnsi="宋体" w:cs="Arial"/>
                <w:b/>
                <w:bCs w:val="0"/>
                <w:color w:val="auto"/>
                <w:szCs w:val="21"/>
                <w:highlight w:val="none"/>
                <w:u w:val="single"/>
              </w:rPr>
              <w:t>最高限价：</w:t>
            </w:r>
            <w:r>
              <w:rPr>
                <w:rFonts w:hint="eastAsia" w:ascii="宋体" w:hAnsi="宋体" w:cs="Arial"/>
                <w:b/>
                <w:bCs w:val="0"/>
                <w:color w:val="auto"/>
                <w:szCs w:val="21"/>
                <w:highlight w:val="none"/>
                <w:u w:val="single"/>
                <w:lang w:val="en-US" w:eastAsia="zh-CN"/>
              </w:rPr>
              <w:t>918691.34</w:t>
            </w:r>
            <w:r>
              <w:rPr>
                <w:rFonts w:hint="eastAsia" w:ascii="宋体" w:hAnsi="宋体" w:cs="Arial"/>
                <w:b/>
                <w:bCs w:val="0"/>
                <w:color w:val="auto"/>
                <w:szCs w:val="21"/>
                <w:highlight w:val="none"/>
                <w:u w:val="single"/>
              </w:rPr>
              <w:t>元</w:t>
            </w:r>
          </w:p>
          <w:bookmarkEnd w:id="74"/>
          <w:tbl>
            <w:tblPr>
              <w:tblStyle w:val="4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728"/>
              <w:gridCol w:w="992"/>
              <w:gridCol w:w="709"/>
              <w:gridCol w:w="4721"/>
            </w:tblGrid>
            <w:tr w14:paraId="3C212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5DD9C9D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28" w:type="dxa"/>
                  <w:vAlign w:val="center"/>
                </w:tcPr>
                <w:p w14:paraId="60DF815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92" w:type="dxa"/>
                  <w:vAlign w:val="center"/>
                </w:tcPr>
                <w:p w14:paraId="3CFE1DF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09" w:type="dxa"/>
                  <w:vAlign w:val="center"/>
                </w:tcPr>
                <w:p w14:paraId="6D6E0B2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4721" w:type="dxa"/>
                  <w:vAlign w:val="center"/>
                </w:tcPr>
                <w:p w14:paraId="6322FD7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7540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655" w:type="dxa"/>
                  <w:vAlign w:val="center"/>
                </w:tcPr>
                <w:p w14:paraId="666EBB5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8" w:type="dxa"/>
                  <w:vAlign w:val="center"/>
                </w:tcPr>
                <w:p w14:paraId="5B915238">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大平瑶族乡大平村人居环境整治项目</w:t>
                  </w:r>
                </w:p>
              </w:tc>
              <w:tc>
                <w:tcPr>
                  <w:tcW w:w="992" w:type="dxa"/>
                  <w:vAlign w:val="center"/>
                </w:tcPr>
                <w:p w14:paraId="25DEC41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09" w:type="dxa"/>
                  <w:vAlign w:val="center"/>
                </w:tcPr>
                <w:p w14:paraId="1171D25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建筑业</w:t>
                  </w:r>
                </w:p>
              </w:tc>
              <w:tc>
                <w:tcPr>
                  <w:tcW w:w="4721" w:type="dxa"/>
                  <w:vAlign w:val="center"/>
                </w:tcPr>
                <w:p w14:paraId="79BB0AA4">
                  <w:pPr>
                    <w:spacing w:line="360" w:lineRule="auto"/>
                    <w:rPr>
                      <w:rFonts w:hint="eastAsia" w:ascii="宋体" w:hAnsi="宋体" w:eastAsia="宋体" w:cs="Times New Roman"/>
                      <w:color w:val="auto"/>
                      <w:szCs w:val="21"/>
                      <w:highlight w:val="none"/>
                    </w:rPr>
                  </w:pPr>
                  <w:r>
                    <w:rPr>
                      <w:rFonts w:hint="eastAsia" w:ascii="宋体" w:hAnsi="宋体"/>
                      <w:color w:val="auto"/>
                      <w:szCs w:val="21"/>
                      <w:highlight w:val="none"/>
                    </w:rPr>
                    <w:t>1.项目概况</w:t>
                  </w:r>
                  <w:r>
                    <w:rPr>
                      <w:rFonts w:ascii="宋体" w:hAnsi="宋体"/>
                      <w:color w:val="auto"/>
                      <w:szCs w:val="21"/>
                      <w:highlight w:val="none"/>
                    </w:rPr>
                    <w:t>：</w:t>
                  </w:r>
                  <w:r>
                    <w:rPr>
                      <w:rFonts w:hint="eastAsia"/>
                      <w:b w:val="0"/>
                      <w:bCs/>
                      <w:color w:val="auto"/>
                      <w:highlight w:val="none"/>
                    </w:rPr>
                    <w:t>本项目为大平瑶族乡大平村人居环境整治项目</w:t>
                  </w:r>
                  <w:r>
                    <w:rPr>
                      <w:rFonts w:hint="eastAsia"/>
                      <w:b w:val="0"/>
                      <w:bCs/>
                      <w:color w:val="auto"/>
                      <w:highlight w:val="none"/>
                      <w:lang w:eastAsia="zh-CN"/>
                    </w:rPr>
                    <w:t>，</w:t>
                  </w:r>
                  <w:r>
                    <w:rPr>
                      <w:rFonts w:hint="eastAsia"/>
                      <w:b w:val="0"/>
                      <w:bCs/>
                      <w:color w:val="auto"/>
                      <w:highlight w:val="none"/>
                    </w:rPr>
                    <w:t>包括污水工程（其中DN400高密度聚氯乙烯双壁波纹管HDPE采用承插式胶圈接口及180°砂石基础；DN400高密度聚乙烯管道PE管采用热熔接口及定向牵引）、排水暗渠工程及化粪池（玻璃钢、钢筋混凝土）、过滤池、沉淀池等</w:t>
                  </w:r>
                  <w:r>
                    <w:rPr>
                      <w:rFonts w:hint="eastAsia" w:ascii="宋体" w:hAnsi="宋体"/>
                      <w:color w:val="auto"/>
                      <w:szCs w:val="21"/>
                      <w:highlight w:val="none"/>
                    </w:rPr>
                    <w:t>。</w:t>
                  </w:r>
                </w:p>
                <w:p w14:paraId="658C5F43">
                  <w:pPr>
                    <w:pStyle w:val="9"/>
                    <w:spacing w:line="360" w:lineRule="auto"/>
                    <w:rPr>
                      <w:rFonts w:hint="eastAsia" w:ascii="宋体" w:hAnsi="宋体" w:eastAsia="宋体" w:cs="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rPr>
                    <w:t>.采购范围：</w:t>
                  </w:r>
                  <w:r>
                    <w:rPr>
                      <w:rFonts w:hint="eastAsia" w:ascii="宋体" w:hAnsi="宋体"/>
                      <w:color w:val="auto"/>
                      <w:szCs w:val="21"/>
                      <w:highlight w:val="none"/>
                      <w:lang w:eastAsia="zh-CN"/>
                    </w:rPr>
                    <w:t>详见施工图纸及经财政投资评审的工程量清单。</w:t>
                  </w:r>
                </w:p>
                <w:p w14:paraId="70B6E78A">
                  <w:pPr>
                    <w:pStyle w:val="9"/>
                    <w:spacing w:line="360" w:lineRule="auto"/>
                    <w:rPr>
                      <w:rFonts w:ascii="宋体" w:hAnsi="宋体" w:cs="宋体"/>
                      <w:color w:val="auto"/>
                      <w:szCs w:val="21"/>
                      <w:highlight w:val="none"/>
                      <w:lang w:val="en-US" w:eastAsia="zh-CN"/>
                    </w:rPr>
                  </w:pPr>
                  <w:r>
                    <w:rPr>
                      <w:rFonts w:ascii="宋体" w:hAnsi="宋体" w:cs="宋体"/>
                      <w:color w:val="auto"/>
                      <w:szCs w:val="21"/>
                      <w:highlight w:val="none"/>
                      <w:lang w:val="en-US" w:eastAsia="zh-CN"/>
                    </w:rPr>
                    <w:t>4.</w:t>
                  </w:r>
                  <w:r>
                    <w:rPr>
                      <w:rFonts w:hint="eastAsia" w:ascii="宋体" w:hAnsi="宋体" w:cs="宋体"/>
                      <w:color w:val="auto"/>
                      <w:szCs w:val="21"/>
                      <w:highlight w:val="none"/>
                      <w:lang w:val="en-US" w:eastAsia="zh-CN"/>
                    </w:rPr>
                    <w:t>质量</w:t>
                  </w:r>
                  <w:r>
                    <w:rPr>
                      <w:rFonts w:ascii="宋体" w:hAnsi="宋体" w:cs="宋体"/>
                      <w:color w:val="auto"/>
                      <w:szCs w:val="21"/>
                      <w:highlight w:val="none"/>
                      <w:lang w:val="en-US" w:eastAsia="zh-CN"/>
                    </w:rPr>
                    <w:t>标准</w:t>
                  </w:r>
                  <w:r>
                    <w:rPr>
                      <w:rFonts w:hint="eastAsia" w:ascii="宋体" w:hAnsi="宋体" w:cs="宋体"/>
                      <w:color w:val="auto"/>
                      <w:szCs w:val="21"/>
                      <w:highlight w:val="none"/>
                      <w:lang w:val="en-US" w:eastAsia="zh-CN"/>
                    </w:rPr>
                    <w:t>：</w:t>
                  </w:r>
                  <w:r>
                    <w:rPr>
                      <w:rFonts w:ascii="宋体" w:hAnsi="宋体" w:cs="宋体"/>
                      <w:color w:val="auto"/>
                      <w:szCs w:val="21"/>
                      <w:highlight w:val="none"/>
                      <w:lang w:val="en-US" w:eastAsia="zh-CN"/>
                    </w:rPr>
                    <w:t>合格。</w:t>
                  </w:r>
                </w:p>
                <w:p w14:paraId="3E144C3D">
                  <w:pPr>
                    <w:pStyle w:val="9"/>
                    <w:spacing w:line="360" w:lineRule="auto"/>
                    <w:rPr>
                      <w:rFonts w:ascii="宋体" w:hAnsi="宋体" w:cs="宋体"/>
                      <w:color w:val="auto"/>
                      <w:szCs w:val="21"/>
                      <w:highlight w:val="none"/>
                      <w:lang w:val="en-US" w:eastAsia="zh-CN"/>
                    </w:rPr>
                  </w:pPr>
                  <w:r>
                    <w:rPr>
                      <w:rFonts w:ascii="宋体" w:hAnsi="宋体" w:cs="宋体"/>
                      <w:color w:val="auto"/>
                      <w:szCs w:val="21"/>
                      <w:highlight w:val="none"/>
                      <w:lang w:val="en-US" w:eastAsia="zh-CN"/>
                    </w:rPr>
                    <w:t>5</w:t>
                  </w:r>
                  <w:r>
                    <w:rPr>
                      <w:rFonts w:hint="eastAsia" w:ascii="宋体" w:hAnsi="宋体" w:cs="宋体"/>
                      <w:color w:val="auto"/>
                      <w:szCs w:val="21"/>
                      <w:highlight w:val="none"/>
                      <w:lang w:val="en-US" w:eastAsia="zh-CN"/>
                    </w:rPr>
                    <w:t>.报价</w:t>
                  </w:r>
                  <w:r>
                    <w:rPr>
                      <w:rFonts w:ascii="宋体" w:hAnsi="宋体" w:cs="宋体"/>
                      <w:color w:val="auto"/>
                      <w:szCs w:val="21"/>
                      <w:highlight w:val="none"/>
                      <w:lang w:val="en-US" w:eastAsia="zh-CN"/>
                    </w:rPr>
                    <w:t>方式：</w:t>
                  </w:r>
                  <w:r>
                    <w:rPr>
                      <w:rFonts w:hint="eastAsia" w:ascii="宋体" w:hAnsi="宋体" w:cs="宋体"/>
                      <w:color w:val="auto"/>
                      <w:szCs w:val="21"/>
                      <w:highlight w:val="none"/>
                      <w:lang w:val="en-US" w:eastAsia="zh-CN"/>
                    </w:rPr>
                    <w:t>工程量</w:t>
                  </w:r>
                  <w:r>
                    <w:rPr>
                      <w:rFonts w:ascii="宋体" w:hAnsi="宋体" w:cs="宋体"/>
                      <w:color w:val="auto"/>
                      <w:szCs w:val="21"/>
                      <w:highlight w:val="none"/>
                      <w:lang w:val="en-US" w:eastAsia="zh-CN"/>
                    </w:rPr>
                    <w:t>清单报价。</w:t>
                  </w:r>
                </w:p>
                <w:p w14:paraId="708A977D">
                  <w:pPr>
                    <w:pStyle w:val="9"/>
                    <w:spacing w:line="360" w:lineRule="auto"/>
                    <w:rPr>
                      <w:color w:val="auto"/>
                      <w:highlight w:val="none"/>
                    </w:rPr>
                  </w:pPr>
                  <w:r>
                    <w:rPr>
                      <w:rFonts w:ascii="宋体" w:hAnsi="宋体" w:cs="宋体"/>
                      <w:color w:val="auto"/>
                      <w:szCs w:val="21"/>
                      <w:highlight w:val="none"/>
                      <w:lang w:val="en-US" w:eastAsia="zh-CN"/>
                    </w:rPr>
                    <w:t>6</w:t>
                  </w:r>
                  <w:r>
                    <w:rPr>
                      <w:rFonts w:hint="eastAsia" w:ascii="宋体" w:hAnsi="宋体" w:cs="宋体"/>
                      <w:color w:val="auto"/>
                      <w:szCs w:val="21"/>
                      <w:highlight w:val="none"/>
                      <w:lang w:val="en-US" w:eastAsia="zh-CN"/>
                    </w:rPr>
                    <w:t>.承包方式</w:t>
                  </w:r>
                  <w:r>
                    <w:rPr>
                      <w:rFonts w:ascii="宋体" w:hAnsi="宋体" w:cs="宋体"/>
                      <w:color w:val="auto"/>
                      <w:szCs w:val="21"/>
                      <w:highlight w:val="none"/>
                      <w:lang w:val="en-US" w:eastAsia="zh-CN"/>
                    </w:rPr>
                    <w:t>：</w:t>
                  </w:r>
                  <w:r>
                    <w:rPr>
                      <w:rFonts w:hint="eastAsia" w:ascii="宋体" w:hAnsi="宋体" w:cs="宋体"/>
                      <w:color w:val="auto"/>
                      <w:szCs w:val="21"/>
                      <w:highlight w:val="none"/>
                      <w:lang w:val="en-US" w:eastAsia="zh-CN"/>
                    </w:rPr>
                    <w:t>固定</w:t>
                  </w:r>
                  <w:r>
                    <w:rPr>
                      <w:rFonts w:ascii="宋体" w:hAnsi="宋体" w:cs="宋体"/>
                      <w:color w:val="auto"/>
                      <w:szCs w:val="21"/>
                      <w:highlight w:val="none"/>
                      <w:lang w:val="en-US" w:eastAsia="zh-CN"/>
                    </w:rPr>
                    <w:t>综合单价。</w:t>
                  </w:r>
                </w:p>
              </w:tc>
            </w:tr>
          </w:tbl>
          <w:p w14:paraId="3DB16E42">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商务要求</w:t>
            </w:r>
          </w:p>
        </w:tc>
      </w:tr>
      <w:tr w14:paraId="0C5BC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313A67B3">
            <w:pPr>
              <w:spacing w:line="360" w:lineRule="auto"/>
              <w:rPr>
                <w:rFonts w:ascii="宋体" w:hAnsi="宋体"/>
                <w:b/>
                <w:color w:val="auto"/>
                <w:szCs w:val="21"/>
                <w:highlight w:val="none"/>
              </w:rPr>
            </w:pPr>
            <w:r>
              <w:rPr>
                <w:rFonts w:hint="eastAsia" w:ascii="宋体" w:hAnsi="宋体" w:eastAsia="宋体" w:cs="Times New Roman"/>
                <w:color w:val="auto"/>
                <w:szCs w:val="21"/>
                <w:highlight w:val="none"/>
                <w:lang w:val="en-US" w:eastAsia="zh-CN"/>
              </w:rPr>
              <w:t>合同履行期限</w:t>
            </w:r>
          </w:p>
        </w:tc>
        <w:tc>
          <w:tcPr>
            <w:tcW w:w="6705" w:type="dxa"/>
            <w:tcBorders>
              <w:top w:val="single" w:color="auto" w:sz="4" w:space="0"/>
              <w:left w:val="single" w:color="auto" w:sz="4" w:space="0"/>
              <w:bottom w:val="single" w:color="auto" w:sz="4" w:space="0"/>
              <w:right w:val="single" w:color="auto" w:sz="4" w:space="0"/>
            </w:tcBorders>
            <w:vAlign w:val="center"/>
          </w:tcPr>
          <w:p w14:paraId="78384326">
            <w:pPr>
              <w:rPr>
                <w:rFonts w:hint="default"/>
                <w:color w:val="auto"/>
                <w:highlight w:val="none"/>
                <w:lang w:val="en-US"/>
              </w:rPr>
            </w:pPr>
            <w:r>
              <w:rPr>
                <w:rFonts w:hint="eastAsia"/>
                <w:color w:val="auto"/>
                <w:highlight w:val="none"/>
                <w:lang w:val="en-US" w:eastAsia="zh-CN"/>
              </w:rPr>
              <w:t>工程工期120日历日。</w:t>
            </w:r>
          </w:p>
        </w:tc>
      </w:tr>
      <w:tr w14:paraId="2ECB0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6740F3F3">
            <w:pPr>
              <w:spacing w:line="360" w:lineRule="auto"/>
              <w:rPr>
                <w:rFonts w:ascii="宋体" w:hAnsi="宋体"/>
                <w:color w:val="auto"/>
                <w:szCs w:val="21"/>
                <w:highlight w:val="none"/>
              </w:rPr>
            </w:pPr>
            <w:r>
              <w:rPr>
                <w:rFonts w:hint="eastAsia" w:ascii="宋体" w:hAnsi="宋体"/>
                <w:color w:val="auto"/>
                <w:szCs w:val="21"/>
                <w:highlight w:val="none"/>
              </w:rPr>
              <w:t>建设地点</w:t>
            </w:r>
          </w:p>
        </w:tc>
        <w:tc>
          <w:tcPr>
            <w:tcW w:w="6705" w:type="dxa"/>
            <w:tcBorders>
              <w:top w:val="single" w:color="auto" w:sz="4" w:space="0"/>
              <w:left w:val="single" w:color="auto" w:sz="4" w:space="0"/>
              <w:bottom w:val="single" w:color="auto" w:sz="4" w:space="0"/>
              <w:right w:val="single" w:color="auto" w:sz="4" w:space="0"/>
            </w:tcBorders>
            <w:vAlign w:val="center"/>
          </w:tcPr>
          <w:p w14:paraId="43F107CA">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广西贺州平桂区。</w:t>
            </w:r>
          </w:p>
        </w:tc>
      </w:tr>
      <w:tr w14:paraId="3DA31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5347D54B">
            <w:pPr>
              <w:spacing w:line="360" w:lineRule="auto"/>
              <w:rPr>
                <w:rFonts w:ascii="宋体" w:hAnsi="宋体"/>
                <w:b/>
                <w:color w:val="auto"/>
                <w:szCs w:val="21"/>
                <w:highlight w:val="none"/>
              </w:rPr>
            </w:pPr>
            <w:r>
              <w:rPr>
                <w:rFonts w:hint="eastAsia" w:ascii="宋体" w:hAnsi="宋体"/>
                <w:color w:val="auto"/>
                <w:szCs w:val="21"/>
                <w:highlight w:val="none"/>
              </w:rPr>
              <w:t>合同签订时间</w:t>
            </w:r>
          </w:p>
        </w:tc>
        <w:tc>
          <w:tcPr>
            <w:tcW w:w="6705" w:type="dxa"/>
            <w:tcBorders>
              <w:top w:val="single" w:color="auto" w:sz="4" w:space="0"/>
              <w:left w:val="single" w:color="auto" w:sz="4" w:space="0"/>
              <w:bottom w:val="single" w:color="auto" w:sz="4" w:space="0"/>
              <w:right w:val="single" w:color="auto" w:sz="4" w:space="0"/>
            </w:tcBorders>
            <w:vAlign w:val="center"/>
          </w:tcPr>
          <w:p w14:paraId="5444161C">
            <w:pPr>
              <w:spacing w:line="360" w:lineRule="auto"/>
              <w:rPr>
                <w:rFonts w:hint="eastAsia" w:ascii="宋体" w:hAnsi="宋体" w:eastAsia="宋体"/>
                <w:b/>
                <w:color w:val="auto"/>
                <w:szCs w:val="21"/>
                <w:highlight w:val="none"/>
                <w:lang w:eastAsia="zh-CN"/>
              </w:rPr>
            </w:pPr>
            <w:r>
              <w:rPr>
                <w:rFonts w:hint="eastAsia" w:ascii="宋体" w:hAnsi="宋体"/>
                <w:color w:val="auto"/>
                <w:szCs w:val="21"/>
                <w:highlight w:val="none"/>
              </w:rPr>
              <w:t>自成交通知书发出之日起</w:t>
            </w:r>
            <w:r>
              <w:rPr>
                <w:rFonts w:ascii="宋体" w:hAnsi="宋体"/>
                <w:color w:val="auto"/>
                <w:szCs w:val="21"/>
                <w:highlight w:val="none"/>
                <w:u w:val="none"/>
              </w:rPr>
              <w:t>25</w:t>
            </w:r>
            <w:r>
              <w:rPr>
                <w:rFonts w:hint="eastAsia" w:ascii="宋体" w:hAnsi="宋体"/>
                <w:color w:val="auto"/>
                <w:szCs w:val="21"/>
                <w:highlight w:val="none"/>
              </w:rPr>
              <w:t>日内</w:t>
            </w:r>
            <w:r>
              <w:rPr>
                <w:rFonts w:hint="eastAsia" w:ascii="宋体" w:hAnsi="宋体"/>
                <w:color w:val="auto"/>
                <w:szCs w:val="21"/>
                <w:highlight w:val="none"/>
                <w:lang w:eastAsia="zh-CN"/>
              </w:rPr>
              <w:t>。</w:t>
            </w:r>
          </w:p>
        </w:tc>
      </w:tr>
      <w:tr w14:paraId="082F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06354D7C">
            <w:pPr>
              <w:spacing w:line="360" w:lineRule="auto"/>
              <w:rPr>
                <w:rFonts w:ascii="宋体" w:hAnsi="宋体"/>
                <w:color w:val="auto"/>
                <w:szCs w:val="21"/>
                <w:highlight w:val="none"/>
              </w:rPr>
            </w:pPr>
            <w:r>
              <w:rPr>
                <w:rFonts w:hint="eastAsia" w:ascii="宋体" w:hAnsi="宋体"/>
                <w:color w:val="auto"/>
                <w:szCs w:val="21"/>
                <w:highlight w:val="none"/>
              </w:rPr>
              <w:t>验收标准</w:t>
            </w:r>
          </w:p>
        </w:tc>
        <w:tc>
          <w:tcPr>
            <w:tcW w:w="6705" w:type="dxa"/>
            <w:tcBorders>
              <w:top w:val="single" w:color="auto" w:sz="4" w:space="0"/>
              <w:left w:val="single" w:color="auto" w:sz="4" w:space="0"/>
              <w:bottom w:val="single" w:color="auto" w:sz="4" w:space="0"/>
              <w:right w:val="single" w:color="auto" w:sz="4" w:space="0"/>
            </w:tcBorders>
            <w:vAlign w:val="center"/>
          </w:tcPr>
          <w:p w14:paraId="72F87319">
            <w:pPr>
              <w:spacing w:line="360" w:lineRule="auto"/>
              <w:rPr>
                <w:rFonts w:ascii="宋体" w:hAnsi="宋体"/>
                <w:color w:val="auto"/>
                <w:szCs w:val="21"/>
                <w:highlight w:val="none"/>
              </w:rPr>
            </w:pPr>
            <w:r>
              <w:rPr>
                <w:rFonts w:hint="eastAsia" w:ascii="宋体" w:hAnsi="宋体"/>
                <w:color w:val="auto"/>
                <w:szCs w:val="21"/>
                <w:highlight w:val="none"/>
              </w:rPr>
              <w:t>按国家现行规范合格标准执行。</w:t>
            </w:r>
          </w:p>
        </w:tc>
      </w:tr>
      <w:tr w14:paraId="449B2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14:paraId="6E28DFFF">
            <w:pPr>
              <w:spacing w:line="360" w:lineRule="auto"/>
              <w:rPr>
                <w:rFonts w:ascii="宋体" w:hAnsi="宋体"/>
                <w:b/>
                <w:color w:val="auto"/>
                <w:szCs w:val="21"/>
                <w:highlight w:val="none"/>
              </w:rPr>
            </w:pPr>
            <w:r>
              <w:rPr>
                <w:rFonts w:hint="eastAsia" w:ascii="宋体" w:hAnsi="宋体"/>
                <w:color w:val="auto"/>
                <w:szCs w:val="21"/>
                <w:highlight w:val="none"/>
              </w:rPr>
              <w:t>付款条件（进度和方式）</w:t>
            </w:r>
          </w:p>
        </w:tc>
        <w:tc>
          <w:tcPr>
            <w:tcW w:w="6705" w:type="dxa"/>
            <w:tcBorders>
              <w:top w:val="single" w:color="auto" w:sz="4" w:space="0"/>
              <w:left w:val="single" w:color="auto" w:sz="4" w:space="0"/>
              <w:bottom w:val="single" w:color="auto" w:sz="4" w:space="0"/>
              <w:right w:val="single" w:color="auto" w:sz="4" w:space="0"/>
            </w:tcBorders>
            <w:vAlign w:val="center"/>
          </w:tcPr>
          <w:p w14:paraId="619ED308">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1.工程款原则上按月支付，合同内进度款支付额为已完成工程量的80%，合同外进度款支付额为已完成工程量的60%；工程完工验收达到质量要求，结算经有关部门审定后，采购人在收到成交供应商付款申请之日起10个工作日内，工程款支付至结算总价的 97%；采购人按工程价款结算总额的3%预留工程质量保修金，待工程缺陷责任期满后返还(无息)。成交供应商每一次在申请付款时必须开具项目所在地正式的增值税发票给采购人，采购人在收到发票后10个工作日内支付到成交供应商账户</w:t>
            </w:r>
            <w:r>
              <w:rPr>
                <w:rFonts w:hint="eastAsia" w:ascii="宋体" w:hAnsi="宋体"/>
                <w:color w:val="auto"/>
                <w:szCs w:val="21"/>
                <w:highlight w:val="none"/>
              </w:rPr>
              <w:t>。</w:t>
            </w:r>
          </w:p>
          <w:p w14:paraId="5557DE6D">
            <w:pPr>
              <w:spacing w:line="360" w:lineRule="auto"/>
              <w:rPr>
                <w:rFonts w:ascii="宋体" w:hAnsi="宋体"/>
                <w:color w:val="auto"/>
                <w:szCs w:val="21"/>
                <w:highlight w:val="none"/>
              </w:rPr>
            </w:pPr>
            <w:r>
              <w:rPr>
                <w:rFonts w:hint="eastAsia" w:ascii="宋体" w:hAnsi="宋体"/>
                <w:color w:val="auto"/>
                <w:szCs w:val="21"/>
                <w:highlight w:val="none"/>
                <w:lang w:val="en-US" w:eastAsia="zh-CN"/>
              </w:rPr>
              <w:t>2.本项目提供预付款。采购人与成交供应商签订合同后的15个工作日内，采购人支付项目成交金额的30%预付款，预付款在第一次进度款支付时全额扣除。</w:t>
            </w:r>
          </w:p>
        </w:tc>
      </w:tr>
    </w:tbl>
    <w:p w14:paraId="70D6DC06">
      <w:pPr>
        <w:tabs>
          <w:tab w:val="left" w:pos="180"/>
          <w:tab w:val="left" w:pos="1620"/>
        </w:tabs>
        <w:spacing w:line="360" w:lineRule="auto"/>
        <w:ind w:firstLine="422" w:firstLineChars="200"/>
        <w:rPr>
          <w:rFonts w:ascii="宋体" w:hAnsi="宋体" w:cs="宋体"/>
          <w:b/>
          <w:bCs/>
          <w:color w:val="auto"/>
          <w:szCs w:val="21"/>
          <w:highlight w:val="none"/>
        </w:rPr>
      </w:pPr>
    </w:p>
    <w:p w14:paraId="420F2876">
      <w:pPr>
        <w:tabs>
          <w:tab w:val="left" w:pos="180"/>
          <w:tab w:val="left" w:pos="1620"/>
        </w:tabs>
        <w:spacing w:line="360" w:lineRule="auto"/>
        <w:ind w:firstLine="422" w:firstLineChars="200"/>
        <w:rPr>
          <w:rFonts w:ascii="宋体" w:hAnsi="宋体" w:cs="宋体"/>
          <w:b/>
          <w:bCs/>
          <w:color w:val="auto"/>
          <w:szCs w:val="21"/>
          <w:highlight w:val="none"/>
        </w:rPr>
      </w:pPr>
    </w:p>
    <w:p w14:paraId="4FD13AD4">
      <w:pPr>
        <w:pStyle w:val="27"/>
        <w:keepNext w:val="0"/>
        <w:keepLines w:val="0"/>
        <w:pageBreakBefore w:val="0"/>
        <w:widowControl w:val="0"/>
        <w:kinsoku/>
        <w:wordWrap/>
        <w:overflowPunct/>
        <w:topLinePunct w:val="0"/>
        <w:autoSpaceDE/>
        <w:autoSpaceDN/>
        <w:bidi w:val="0"/>
        <w:adjustRightInd/>
        <w:snapToGrid/>
        <w:spacing w:before="340" w:after="340" w:line="360" w:lineRule="auto"/>
        <w:ind w:firstLine="402" w:firstLineChars="200"/>
        <w:jc w:val="center"/>
        <w:textAlignment w:val="center"/>
        <w:outlineLvl w:val="0"/>
        <w:rPr>
          <w:color w:val="auto"/>
          <w:highlight w:val="none"/>
        </w:rPr>
      </w:pPr>
      <w:r>
        <w:rPr>
          <w:rFonts w:hAnsi="宋体" w:cs="宋体"/>
          <w:b/>
          <w:bCs/>
          <w:color w:val="auto"/>
          <w:highlight w:val="none"/>
        </w:rPr>
        <w:br w:type="page"/>
      </w:r>
      <w:bookmarkStart w:id="75" w:name="_Toc29831"/>
      <w:r>
        <w:rPr>
          <w:rFonts w:hint="eastAsia"/>
          <w:b/>
          <w:color w:val="auto"/>
          <w:sz w:val="44"/>
          <w:szCs w:val="44"/>
          <w:highlight w:val="none"/>
        </w:rPr>
        <w:t>第四章  评审程序、评审方法和评审标准</w:t>
      </w:r>
      <w:bookmarkEnd w:id="75"/>
    </w:p>
    <w:p w14:paraId="427936C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217D438B">
      <w:pPr>
        <w:spacing w:line="360" w:lineRule="auto"/>
        <w:ind w:firstLine="354" w:firstLineChars="147"/>
        <w:jc w:val="left"/>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5026307">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24692D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15795A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平台“信用中国”网站（www.creditchina.gov.cn）、中国政府采购网（www.ccgp.gov.cn）链接入口。</w:t>
      </w:r>
    </w:p>
    <w:p w14:paraId="08112F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AD862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0364C8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80AFE1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4A5592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1978B0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BFCC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74936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5D4FF3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9480F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55B1AC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135B73F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2DA5003">
      <w:pPr>
        <w:spacing w:line="360" w:lineRule="auto"/>
        <w:ind w:firstLine="420" w:firstLineChars="200"/>
        <w:rPr>
          <w:rFonts w:ascii="宋体" w:hAnsi="宋体" w:cs="宋体"/>
          <w:color w:val="auto"/>
          <w:szCs w:val="21"/>
          <w:highlight w:val="none"/>
        </w:rPr>
      </w:pPr>
      <w:bookmarkStart w:id="76"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6"/>
    <w:p w14:paraId="68D8C27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890F30">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163E0FAB">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E77A520">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51BF37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5A396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DFCC7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10F2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832D7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1547193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10C3BBE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2ED97CC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（1）商务技术评审</w:t>
      </w:r>
    </w:p>
    <w:p w14:paraId="226A18D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6B1BEAB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707358D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2CCF0F3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206B75C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263F0E9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6）未对竞标有效期作出响应或者响应文件承诺的竞标有效期不满足磋商文件要求的；</w:t>
      </w:r>
    </w:p>
    <w:p w14:paraId="69C2AC5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7）响应文件的实质性内容未使用中文表述、使用计量单位不符合磋商文件要求的；</w:t>
      </w:r>
    </w:p>
    <w:p w14:paraId="640EF26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8）响应文件中的文件资料因填写不齐全或者内容虚假或者出现其他情形而导致被磋商小组认定无效的；</w:t>
      </w:r>
    </w:p>
    <w:p w14:paraId="4223237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9）响应文件含有采购人不能接受的附加条件的；</w:t>
      </w:r>
    </w:p>
    <w:p w14:paraId="39C8259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309526A4">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1）技术要求允许负偏离的条款数超过“供应商须知前附表”规定项数的；</w:t>
      </w:r>
    </w:p>
    <w:p w14:paraId="0A467C94">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2）虚假竞标，或者出现其他情形而导致被磋商小组认定无效的；</w:t>
      </w:r>
    </w:p>
    <w:p w14:paraId="290CE21D">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3）</w:t>
      </w:r>
      <w:bookmarkStart w:id="77"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7"/>
    </w:p>
    <w:p w14:paraId="7E277B66">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4）响应文件标注的项目名称或者项目编号与磋商文件标注的项目名称或者项目编号不一致的；</w:t>
      </w:r>
    </w:p>
    <w:p w14:paraId="1C3A7D5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b/>
          <w:color w:val="auto"/>
          <w:szCs w:val="21"/>
          <w:highlight w:val="none"/>
        </w:rPr>
        <w:t>竞争性磋商文件明确不允许分包，响应文件拟分包的；</w:t>
      </w:r>
    </w:p>
    <w:p w14:paraId="46E48A2B">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6）未响应磋商文件实质性要求的；</w:t>
      </w:r>
    </w:p>
    <w:p w14:paraId="005D44D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17）法律、法规和磋商文件规定的其他无效情形。</w:t>
      </w:r>
    </w:p>
    <w:p w14:paraId="2BD6FBD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0FF9A79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1）响应文件未提供“供应商须知前附表” 报价文件中规定的“竞标报价表”的；</w:t>
      </w:r>
    </w:p>
    <w:p w14:paraId="5B7F271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2）未采用人民币报价或者未按照磋商文件标明的币种报价的；</w:t>
      </w:r>
    </w:p>
    <w:p w14:paraId="36E972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3）供应商未就所竞标</w:t>
      </w:r>
      <w:r>
        <w:rPr>
          <w:rFonts w:hint="eastAsia" w:ascii="宋体" w:hAnsi="宋体" w:cs="宋体"/>
          <w:b/>
          <w:color w:val="auto"/>
          <w:szCs w:val="21"/>
          <w:highlight w:val="none"/>
          <w:lang w:val="en-US" w:eastAsia="zh-CN"/>
        </w:rPr>
        <w:t>建设内容一、建设内容二</w:t>
      </w:r>
      <w:r>
        <w:rPr>
          <w:rFonts w:hint="eastAsia" w:ascii="宋体" w:hAnsi="宋体" w:cs="宋体"/>
          <w:b/>
          <w:color w:val="auto"/>
          <w:szCs w:val="21"/>
          <w:highlight w:val="none"/>
        </w:rPr>
        <w:t>进行报价或者存在漏项报价；供应商未就所竞标</w:t>
      </w:r>
      <w:r>
        <w:rPr>
          <w:rFonts w:hint="eastAsia" w:ascii="宋体" w:hAnsi="宋体" w:cs="宋体"/>
          <w:b/>
          <w:color w:val="auto"/>
          <w:szCs w:val="21"/>
          <w:highlight w:val="none"/>
          <w:lang w:val="en-US" w:eastAsia="zh-CN"/>
        </w:rPr>
        <w:t>建设内容一、建设内容二</w:t>
      </w:r>
      <w:r>
        <w:rPr>
          <w:rFonts w:hint="eastAsia" w:ascii="宋体" w:hAnsi="宋体" w:cs="宋体"/>
          <w:b/>
          <w:color w:val="auto"/>
          <w:szCs w:val="21"/>
          <w:highlight w:val="none"/>
        </w:rPr>
        <w:t>的单项内容作唯一报价；供应商未就所竞标</w:t>
      </w:r>
      <w:r>
        <w:rPr>
          <w:rFonts w:hint="eastAsia" w:ascii="宋体" w:hAnsi="宋体" w:cs="宋体"/>
          <w:b/>
          <w:color w:val="auto"/>
          <w:szCs w:val="21"/>
          <w:highlight w:val="none"/>
          <w:lang w:val="en-US" w:eastAsia="zh-CN"/>
        </w:rPr>
        <w:t>建设内容一、建设内容二</w:t>
      </w:r>
      <w:r>
        <w:rPr>
          <w:rFonts w:hint="eastAsia" w:ascii="宋体" w:hAnsi="宋体" w:cs="宋体"/>
          <w:b/>
          <w:color w:val="auto"/>
          <w:szCs w:val="21"/>
          <w:highlight w:val="none"/>
        </w:rPr>
        <w:t>的全部内容作完整唯一总价报价；供应商响应文件中存在有选择、有条件报价的（磋商文件允许有备选方案或者其他约定的除外）；</w:t>
      </w:r>
    </w:p>
    <w:p w14:paraId="52B87F8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4）竞标报价（包含首次报价、最后报价）超过所竞标</w:t>
      </w:r>
      <w:r>
        <w:rPr>
          <w:rFonts w:hint="eastAsia" w:ascii="宋体" w:hAnsi="宋体" w:cs="宋体"/>
          <w:b/>
          <w:color w:val="auto"/>
          <w:szCs w:val="21"/>
          <w:highlight w:val="none"/>
          <w:lang w:val="en-US" w:eastAsia="zh-CN"/>
        </w:rPr>
        <w:t>建设内容一、建设内容二</w:t>
      </w:r>
      <w:r>
        <w:rPr>
          <w:rFonts w:hint="eastAsia" w:ascii="宋体" w:hAnsi="宋体" w:cs="宋体"/>
          <w:b/>
          <w:color w:val="auto"/>
          <w:szCs w:val="21"/>
          <w:highlight w:val="none"/>
        </w:rPr>
        <w:t>规定的采购预算金额或者最高限价的（如本项目公布了最高限价）；</w:t>
      </w:r>
      <w:bookmarkStart w:id="78" w:name="_Hlk42596405"/>
      <w:r>
        <w:rPr>
          <w:rFonts w:hint="eastAsia" w:ascii="宋体" w:hAnsi="宋体" w:cs="宋体"/>
          <w:b/>
          <w:color w:val="auto"/>
          <w:szCs w:val="21"/>
          <w:highlight w:val="none"/>
        </w:rPr>
        <w:t>竞标报价（包含首次报价、最后报价）</w:t>
      </w:r>
      <w:bookmarkEnd w:id="78"/>
      <w:bookmarkStart w:id="79" w:name="_Hlk42596276"/>
      <w:r>
        <w:rPr>
          <w:rFonts w:hint="eastAsia" w:ascii="宋体" w:hAnsi="宋体" w:cs="宋体"/>
          <w:b/>
          <w:color w:val="auto"/>
          <w:szCs w:val="21"/>
          <w:highlight w:val="none"/>
        </w:rPr>
        <w:t>超过磋商文件分项采购预算金额或者最高限价的</w:t>
      </w:r>
      <w:bookmarkEnd w:id="79"/>
      <w:r>
        <w:rPr>
          <w:rFonts w:hint="eastAsia" w:ascii="宋体" w:hAnsi="宋体" w:cs="宋体"/>
          <w:b/>
          <w:color w:val="auto"/>
          <w:szCs w:val="21"/>
          <w:highlight w:val="none"/>
        </w:rPr>
        <w:t>（如本项目有要求并公布了分项采购预算金额或者最高限价）；</w:t>
      </w:r>
    </w:p>
    <w:p w14:paraId="3D9B1C2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5）修正后的报价，供应商不确认的；或者经供应商确认修正后的竞标报价（包含首次报价、最后报价）超过所竞标</w:t>
      </w:r>
      <w:r>
        <w:rPr>
          <w:rFonts w:hint="eastAsia" w:ascii="宋体" w:hAnsi="宋体" w:cs="宋体"/>
          <w:b/>
          <w:color w:val="auto"/>
          <w:szCs w:val="21"/>
          <w:highlight w:val="none"/>
          <w:lang w:val="en-US" w:eastAsia="zh-CN"/>
        </w:rPr>
        <w:t>建设内容一、建设内容二</w:t>
      </w:r>
      <w:r>
        <w:rPr>
          <w:rFonts w:hint="eastAsia" w:ascii="宋体" w:hAnsi="宋体" w:cs="宋体"/>
          <w:b/>
          <w:color w:val="auto"/>
          <w:szCs w:val="21"/>
          <w:highlight w:val="none"/>
        </w:rPr>
        <w:t>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4B47140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6）在单价合同工程中供应商采用总价优惠或以总价百分比优惠的方式进行竞标报价的；</w:t>
      </w:r>
    </w:p>
    <w:p w14:paraId="589EAAE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7）竞标总报价与已标价工程量清单汇总表不一致的；</w:t>
      </w:r>
    </w:p>
    <w:p w14:paraId="67EC603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8）安全文明施工费和规费、增值税不按广西区费用定额及造价管理相关文件规定报价的（园林绿化及仿古建筑工程除外）；（适用于房屋建筑和市政工程项目）</w:t>
      </w:r>
    </w:p>
    <w:p w14:paraId="5C5D505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9）供应商已标价工程量清单的项目编码（12位）、计量单位、工程量任何一处与工程量清单不一致的； </w:t>
      </w:r>
    </w:p>
    <w:p w14:paraId="41EA48E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10）供应商已标价工程量清单的项目名称或项目特征与工程量清单不一致，评标委员会要求澄清、说明或补正，但供应商拒绝澄清、说明或补正的；（适用于房屋建筑和市政工程项目）</w:t>
      </w:r>
    </w:p>
    <w:p w14:paraId="01E00A8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11）设有暂估价、暂列金额的，竞标时未按工程量清单给出的暂估价总价、暂列金额总价计入竞标总报价中的；</w:t>
      </w:r>
    </w:p>
    <w:p w14:paraId="5183F48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12）供应商对工程量清单内容进行增减或对竞标范围进行调整的；</w:t>
      </w:r>
    </w:p>
    <w:p w14:paraId="476B3936">
      <w:pPr>
        <w:spacing w:line="360" w:lineRule="auto"/>
        <w:ind w:firstLine="422" w:firstLineChars="200"/>
        <w:rPr>
          <w:rFonts w:ascii="宋体" w:hAnsi="宋体"/>
          <w:b/>
          <w:color w:val="auto"/>
          <w:szCs w:val="21"/>
          <w:highlight w:val="none"/>
        </w:rPr>
      </w:pPr>
      <w:r>
        <w:rPr>
          <w:rFonts w:hint="eastAsia" w:ascii="宋体" w:hAnsi="宋体" w:cs="宋体"/>
          <w:b/>
          <w:color w:val="auto"/>
          <w:szCs w:val="21"/>
          <w:highlight w:val="none"/>
        </w:rPr>
        <w:t>13）</w:t>
      </w:r>
      <w:r>
        <w:rPr>
          <w:rFonts w:hint="eastAsia" w:ascii="宋体" w:hAnsi="宋体"/>
          <w:b/>
          <w:color w:val="auto"/>
          <w:szCs w:val="21"/>
          <w:highlight w:val="none"/>
        </w:rPr>
        <w:t>响应文件响应的标的数量及单位与竞争性磋商采购文件要求实质性不一致的；</w:t>
      </w:r>
    </w:p>
    <w:p w14:paraId="43C1A9A4">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4）未响应磋商文件实质性要求的。</w:t>
      </w:r>
    </w:p>
    <w:p w14:paraId="7BBD59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02B9612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6EB153C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1D67EF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12E6EC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0D9D8A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0544032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6E22DF7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43D8E500">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0F07220E">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79F3779">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155B627A">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1BF226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470C8C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平台开标大厅提交最后报价。</w:t>
      </w:r>
      <w:r>
        <w:rPr>
          <w:rFonts w:hint="eastAsia" w:ascii="宋体" w:hAnsi="宋体" w:cs="宋体"/>
          <w:b/>
          <w:color w:val="auto"/>
          <w:szCs w:val="21"/>
          <w:highlight w:val="none"/>
        </w:rPr>
        <w:t>如果供应商的最后报价与首次报价不一致的，不能只报竞标总报价，必须同时提供“已标价工程量清单”，否则做无效响应处理。</w:t>
      </w:r>
    </w:p>
    <w:p w14:paraId="095F88E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1C0F84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5F8357F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478D088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7DB6E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52E7138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5517292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616969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5B5F0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w:t>
      </w:r>
      <w:r>
        <w:rPr>
          <w:rFonts w:hint="eastAsia" w:ascii="宋体" w:hAnsi="宋体" w:cs="宋体"/>
          <w:b/>
          <w:color w:val="auto"/>
          <w:szCs w:val="21"/>
          <w:highlight w:val="none"/>
          <w:lang w:val="en-US" w:eastAsia="zh-CN"/>
        </w:rPr>
        <w:t>建设内容一、建设内容二</w:t>
      </w:r>
      <w:r>
        <w:rPr>
          <w:rFonts w:hint="eastAsia" w:ascii="宋体" w:hAnsi="宋体" w:cs="宋体"/>
          <w:color w:val="auto"/>
          <w:szCs w:val="21"/>
          <w:highlight w:val="none"/>
        </w:rPr>
        <w:t>规定的采购预算金额或者最高限价的（如本项目公布了最高限价）；</w:t>
      </w:r>
    </w:p>
    <w:p w14:paraId="38F78D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4028FED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2482B9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0C00D3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6883BC8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A8329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7DE315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7A693CE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5FDBE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124E5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12AB583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D2A9C0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 成交供应商荐原则</w:t>
      </w:r>
    </w:p>
    <w:p w14:paraId="7F4F34DA">
      <w:pPr>
        <w:spacing w:line="360" w:lineRule="auto"/>
        <w:ind w:firstLine="420" w:firstLineChars="200"/>
        <w:rPr>
          <w:rFonts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highlight w:val="none"/>
        </w:rPr>
        <w:t>。</w:t>
      </w:r>
    </w:p>
    <w:p w14:paraId="570DCCD9">
      <w:pPr>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AE11D8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0E96C4E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523"/>
        <w:gridCol w:w="1024"/>
        <w:gridCol w:w="7055"/>
        <w:gridCol w:w="836"/>
      </w:tblGrid>
      <w:tr w14:paraId="57D5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noWrap w:val="0"/>
            <w:vAlign w:val="center"/>
          </w:tcPr>
          <w:p w14:paraId="0EC58098">
            <w:pPr>
              <w:keepNext w:val="0"/>
              <w:keepLines w:val="0"/>
              <w:pageBreakBefore w:val="0"/>
              <w:widowControl/>
              <w:kinsoku/>
              <w:wordWrap/>
              <w:overflowPunct/>
              <w:topLinePunct w:val="0"/>
              <w:bidi w:val="0"/>
              <w:snapToGrid/>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547" w:type="dxa"/>
            <w:gridSpan w:val="2"/>
            <w:noWrap w:val="0"/>
            <w:vAlign w:val="center"/>
          </w:tcPr>
          <w:p w14:paraId="103146AD">
            <w:pPr>
              <w:keepNext w:val="0"/>
              <w:keepLines w:val="0"/>
              <w:pageBreakBefore w:val="0"/>
              <w:widowControl/>
              <w:kinsoku/>
              <w:wordWrap/>
              <w:overflowPunct/>
              <w:topLinePunct w:val="0"/>
              <w:bidi w:val="0"/>
              <w:snapToGrid/>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7055" w:type="dxa"/>
            <w:noWrap w:val="0"/>
            <w:vAlign w:val="center"/>
          </w:tcPr>
          <w:p w14:paraId="59CAA688">
            <w:pPr>
              <w:keepNext w:val="0"/>
              <w:keepLines w:val="0"/>
              <w:pageBreakBefore w:val="0"/>
              <w:widowControl/>
              <w:kinsoku/>
              <w:wordWrap/>
              <w:overflowPunct/>
              <w:topLinePunct w:val="0"/>
              <w:bidi w:val="0"/>
              <w:snapToGrid/>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评审标准</w:t>
            </w:r>
          </w:p>
        </w:tc>
        <w:tc>
          <w:tcPr>
            <w:tcW w:w="836" w:type="dxa"/>
            <w:noWrap w:val="0"/>
            <w:vAlign w:val="center"/>
          </w:tcPr>
          <w:p w14:paraId="41B998C6">
            <w:pPr>
              <w:keepNext w:val="0"/>
              <w:keepLines w:val="0"/>
              <w:pageBreakBefore w:val="0"/>
              <w:widowControl/>
              <w:kinsoku/>
              <w:wordWrap/>
              <w:overflowPunct/>
              <w:topLinePunct w:val="0"/>
              <w:bidi w:val="0"/>
              <w:snapToGrid/>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7126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shd w:val="clear" w:color="auto" w:fill="D7D7D7" w:themeFill="background1" w:themeFillShade="D8"/>
            <w:noWrap w:val="0"/>
            <w:vAlign w:val="center"/>
          </w:tcPr>
          <w:p w14:paraId="6AF1B267">
            <w:pPr>
              <w:keepNext w:val="0"/>
              <w:keepLines w:val="0"/>
              <w:pageBreakBefore w:val="0"/>
              <w:kinsoku/>
              <w:wordWrap/>
              <w:overflowPunct/>
              <w:topLinePunct w:val="0"/>
              <w:bidi w:val="0"/>
              <w:snapToGrid/>
              <w:spacing w:line="360" w:lineRule="exact"/>
              <w:jc w:val="center"/>
              <w:rPr>
                <w:rFonts w:hint="eastAsia"/>
                <w:color w:val="auto"/>
                <w:highlight w:val="none"/>
                <w:lang w:val="en-US" w:eastAsia="zh-CN"/>
              </w:rPr>
            </w:pPr>
            <w:r>
              <w:rPr>
                <w:rFonts w:hint="eastAsia"/>
                <w:color w:val="auto"/>
                <w:highlight w:val="none"/>
                <w:lang w:val="en-US" w:eastAsia="zh-CN"/>
              </w:rPr>
              <w:t>1</w:t>
            </w:r>
          </w:p>
        </w:tc>
        <w:tc>
          <w:tcPr>
            <w:tcW w:w="1547" w:type="dxa"/>
            <w:gridSpan w:val="2"/>
            <w:shd w:val="clear" w:color="auto" w:fill="D7D7D7" w:themeFill="background1" w:themeFillShade="D8"/>
            <w:noWrap w:val="0"/>
            <w:vAlign w:val="center"/>
          </w:tcPr>
          <w:p w14:paraId="67562B35">
            <w:pPr>
              <w:keepNext w:val="0"/>
              <w:keepLines w:val="0"/>
              <w:pageBreakBefore w:val="0"/>
              <w:kinsoku/>
              <w:wordWrap/>
              <w:overflowPunct/>
              <w:topLinePunct w:val="0"/>
              <w:bidi w:val="0"/>
              <w:snapToGrid/>
              <w:spacing w:line="360" w:lineRule="exact"/>
              <w:jc w:val="center"/>
              <w:rPr>
                <w:rFonts w:hint="eastAsia"/>
                <w:color w:val="auto"/>
                <w:highlight w:val="none"/>
                <w:lang w:val="en-US" w:eastAsia="zh-CN"/>
              </w:rPr>
            </w:pPr>
            <w:r>
              <w:rPr>
                <w:rFonts w:hint="eastAsia"/>
                <w:color w:val="auto"/>
                <w:highlight w:val="none"/>
                <w:lang w:val="en-US" w:eastAsia="zh-CN"/>
              </w:rPr>
              <w:t>价格</w:t>
            </w:r>
            <w:r>
              <w:rPr>
                <w:rFonts w:hint="eastAsia"/>
                <w:color w:val="auto"/>
                <w:highlight w:val="none"/>
              </w:rPr>
              <w:t>分</w:t>
            </w:r>
          </w:p>
        </w:tc>
        <w:tc>
          <w:tcPr>
            <w:tcW w:w="7055" w:type="dxa"/>
            <w:shd w:val="clear" w:color="auto" w:fill="D7D7D7" w:themeFill="background1" w:themeFillShade="D8"/>
            <w:noWrap w:val="0"/>
            <w:vAlign w:val="center"/>
          </w:tcPr>
          <w:p w14:paraId="7A3C515D">
            <w:pPr>
              <w:keepNext w:val="0"/>
              <w:keepLines w:val="0"/>
              <w:pageBreakBefore w:val="0"/>
              <w:kinsoku/>
              <w:wordWrap/>
              <w:overflowPunct/>
              <w:topLinePunct w:val="0"/>
              <w:bidi w:val="0"/>
              <w:snapToGrid/>
              <w:spacing w:line="360" w:lineRule="exact"/>
              <w:jc w:val="center"/>
              <w:rPr>
                <w:rFonts w:hint="eastAsia"/>
                <w:color w:val="auto"/>
                <w:highlight w:val="none"/>
                <w:lang w:val="en-US" w:eastAsia="zh-CN"/>
              </w:rPr>
            </w:pPr>
            <w:r>
              <w:rPr>
                <w:rFonts w:hint="eastAsia"/>
                <w:color w:val="auto"/>
                <w:highlight w:val="none"/>
              </w:rPr>
              <w:t>评审标准</w:t>
            </w:r>
          </w:p>
        </w:tc>
        <w:tc>
          <w:tcPr>
            <w:tcW w:w="836" w:type="dxa"/>
            <w:shd w:val="clear" w:color="auto" w:fill="D7D7D7" w:themeFill="background1" w:themeFillShade="D8"/>
            <w:noWrap w:val="0"/>
            <w:vAlign w:val="center"/>
          </w:tcPr>
          <w:p w14:paraId="1456CD45">
            <w:pPr>
              <w:keepNext w:val="0"/>
              <w:keepLines w:val="0"/>
              <w:pageBreakBefore w:val="0"/>
              <w:kinsoku/>
              <w:wordWrap/>
              <w:overflowPunct/>
              <w:topLinePunct w:val="0"/>
              <w:bidi w:val="0"/>
              <w:snapToGrid/>
              <w:spacing w:line="360" w:lineRule="exact"/>
              <w:jc w:val="center"/>
              <w:rPr>
                <w:rFonts w:hint="eastAsia"/>
                <w:color w:val="auto"/>
                <w:highlight w:val="none"/>
                <w:lang w:val="en-US" w:eastAsia="zh-CN"/>
              </w:rPr>
            </w:pPr>
            <w:r>
              <w:rPr>
                <w:rFonts w:hint="eastAsia"/>
                <w:color w:val="auto"/>
                <w:highlight w:val="none"/>
                <w:lang w:val="en-US" w:eastAsia="zh-CN"/>
              </w:rPr>
              <w:t>20</w:t>
            </w:r>
            <w:r>
              <w:rPr>
                <w:rFonts w:hint="eastAsia"/>
                <w:color w:val="auto"/>
                <w:highlight w:val="none"/>
              </w:rPr>
              <w:t>分</w:t>
            </w:r>
          </w:p>
        </w:tc>
      </w:tr>
      <w:tr w14:paraId="2D42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noWrap w:val="0"/>
            <w:vAlign w:val="center"/>
          </w:tcPr>
          <w:p w14:paraId="39D7A38E">
            <w:pPr>
              <w:keepNext w:val="0"/>
              <w:keepLines w:val="0"/>
              <w:pageBreakBefore w:val="0"/>
              <w:widowControl/>
              <w:kinsoku/>
              <w:wordWrap/>
              <w:overflowPunct/>
              <w:topLinePunct w:val="0"/>
              <w:bidi w:val="0"/>
              <w:snapToGrid/>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547" w:type="dxa"/>
            <w:gridSpan w:val="2"/>
            <w:noWrap w:val="0"/>
            <w:vAlign w:val="center"/>
          </w:tcPr>
          <w:p w14:paraId="65A57F66">
            <w:pPr>
              <w:keepNext w:val="0"/>
              <w:keepLines w:val="0"/>
              <w:pageBreakBefore w:val="0"/>
              <w:widowControl/>
              <w:kinsoku/>
              <w:wordWrap/>
              <w:overflowPunct/>
              <w:topLinePunct w:val="0"/>
              <w:bidi w:val="0"/>
              <w:snapToGrid/>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价格分</w:t>
            </w:r>
          </w:p>
        </w:tc>
        <w:tc>
          <w:tcPr>
            <w:tcW w:w="7055" w:type="dxa"/>
            <w:noWrap w:val="0"/>
            <w:vAlign w:val="top"/>
          </w:tcPr>
          <w:p w14:paraId="560A2F20">
            <w:pPr>
              <w:pStyle w:val="27"/>
              <w:keepNext w:val="0"/>
              <w:keepLines w:val="0"/>
              <w:pageBreakBefore w:val="0"/>
              <w:kinsoku/>
              <w:wordWrap/>
              <w:overflowPunct/>
              <w:topLinePunct w:val="0"/>
              <w:bidi w:val="0"/>
              <w:snapToGrid/>
              <w:spacing w:line="360" w:lineRule="exact"/>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1.评审价为供应商的最后报价。</w:t>
            </w:r>
          </w:p>
          <w:p w14:paraId="3388C52C">
            <w:pPr>
              <w:pStyle w:val="27"/>
              <w:keepNext w:val="0"/>
              <w:keepLines w:val="0"/>
              <w:pageBreakBefore w:val="0"/>
              <w:kinsoku/>
              <w:wordWrap/>
              <w:overflowPunct/>
              <w:topLinePunct w:val="0"/>
              <w:bidi w:val="0"/>
              <w:snapToGrid/>
              <w:spacing w:line="360" w:lineRule="exact"/>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2.本项目属于专门面向中小企业采购的项目（供应商应为中小微企业、监狱企业、残疾人福利性单位）不再进行政府采购政策性扣除计算。</w:t>
            </w:r>
          </w:p>
          <w:p w14:paraId="5E0FBFC1">
            <w:pPr>
              <w:pStyle w:val="27"/>
              <w:keepNext w:val="0"/>
              <w:keepLines w:val="0"/>
              <w:pageBreakBefore w:val="0"/>
              <w:kinsoku/>
              <w:wordWrap/>
              <w:overflowPunct/>
              <w:topLinePunct w:val="0"/>
              <w:bidi w:val="0"/>
              <w:snapToGrid/>
              <w:spacing w:line="360" w:lineRule="exact"/>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3.以进入比较与评价环节的最低的评审价为基准价，基准价得分</w:t>
            </w:r>
            <w:r>
              <w:rPr>
                <w:rFonts w:hint="eastAsia" w:hAnsi="宋体" w:cs="Courier New"/>
                <w:bCs/>
                <w:color w:val="auto"/>
                <w:kern w:val="2"/>
                <w:sz w:val="21"/>
                <w:highlight w:val="none"/>
                <w:lang w:val="en-US" w:eastAsia="zh-CN"/>
              </w:rPr>
              <w:t>20</w:t>
            </w:r>
            <w:r>
              <w:rPr>
                <w:rFonts w:hint="eastAsia" w:hAnsi="宋体" w:cs="Courier New"/>
                <w:bCs/>
                <w:color w:val="auto"/>
                <w:kern w:val="2"/>
                <w:sz w:val="21"/>
                <w:highlight w:val="none"/>
              </w:rPr>
              <w:t>分。</w:t>
            </w:r>
          </w:p>
          <w:p w14:paraId="1BE37C3F">
            <w:pPr>
              <w:pStyle w:val="27"/>
              <w:keepNext w:val="0"/>
              <w:keepLines w:val="0"/>
              <w:pageBreakBefore w:val="0"/>
              <w:kinsoku/>
              <w:wordWrap/>
              <w:overflowPunct/>
              <w:topLinePunct w:val="0"/>
              <w:bidi w:val="0"/>
              <w:snapToGrid/>
              <w:spacing w:line="360" w:lineRule="exact"/>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4.价格分计算公式：磋商总报价得分=（基准价/评审价）×</w:t>
            </w:r>
            <w:r>
              <w:rPr>
                <w:rFonts w:hint="eastAsia" w:hAnsi="宋体" w:cs="Courier New"/>
                <w:bCs/>
                <w:color w:val="auto"/>
                <w:kern w:val="2"/>
                <w:sz w:val="21"/>
                <w:highlight w:val="none"/>
                <w:lang w:val="en-US" w:eastAsia="zh-CN"/>
              </w:rPr>
              <w:t>20</w:t>
            </w:r>
            <w:r>
              <w:rPr>
                <w:rFonts w:hint="eastAsia" w:hAnsi="宋体" w:cs="Courier New"/>
                <w:bCs/>
                <w:color w:val="auto"/>
                <w:kern w:val="2"/>
                <w:sz w:val="21"/>
                <w:highlight w:val="none"/>
              </w:rPr>
              <w:t>分</w:t>
            </w:r>
          </w:p>
        </w:tc>
        <w:tc>
          <w:tcPr>
            <w:tcW w:w="836" w:type="dxa"/>
            <w:noWrap w:val="0"/>
            <w:vAlign w:val="center"/>
          </w:tcPr>
          <w:p w14:paraId="6510B612">
            <w:pPr>
              <w:keepNext w:val="0"/>
              <w:keepLines w:val="0"/>
              <w:pageBreakBefore w:val="0"/>
              <w:widowControl/>
              <w:kinsoku/>
              <w:wordWrap/>
              <w:overflowPunct/>
              <w:topLinePunct w:val="0"/>
              <w:bidi w:val="0"/>
              <w:snapToGrid/>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20</w:t>
            </w:r>
            <w:r>
              <w:rPr>
                <w:rFonts w:hint="eastAsia" w:ascii="宋体" w:hAnsi="宋体" w:cs="Tahoma"/>
                <w:color w:val="auto"/>
                <w:kern w:val="0"/>
                <w:szCs w:val="21"/>
                <w:highlight w:val="none"/>
              </w:rPr>
              <w:t>分</w:t>
            </w:r>
          </w:p>
        </w:tc>
      </w:tr>
      <w:tr w14:paraId="2B68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shd w:val="clear" w:color="auto" w:fill="D7D7D7" w:themeFill="background1" w:themeFillShade="D8"/>
            <w:noWrap w:val="0"/>
            <w:vAlign w:val="center"/>
          </w:tcPr>
          <w:p w14:paraId="782DF854">
            <w:pPr>
              <w:keepNext w:val="0"/>
              <w:keepLines w:val="0"/>
              <w:pageBreakBefore w:val="0"/>
              <w:kinsoku/>
              <w:wordWrap/>
              <w:overflowPunct/>
              <w:topLinePunct w:val="0"/>
              <w:bidi w:val="0"/>
              <w:snapToGrid/>
              <w:spacing w:line="360" w:lineRule="exact"/>
              <w:jc w:val="center"/>
              <w:rPr>
                <w:rFonts w:hint="eastAsia"/>
                <w:color w:val="auto"/>
                <w:highlight w:val="none"/>
              </w:rPr>
            </w:pPr>
            <w:r>
              <w:rPr>
                <w:rFonts w:hint="eastAsia"/>
                <w:color w:val="auto"/>
                <w:highlight w:val="none"/>
              </w:rPr>
              <w:t>2</w:t>
            </w:r>
          </w:p>
        </w:tc>
        <w:tc>
          <w:tcPr>
            <w:tcW w:w="1547" w:type="dxa"/>
            <w:gridSpan w:val="2"/>
            <w:shd w:val="clear" w:color="auto" w:fill="D7D7D7" w:themeFill="background1" w:themeFillShade="D8"/>
            <w:noWrap w:val="0"/>
            <w:vAlign w:val="center"/>
          </w:tcPr>
          <w:p w14:paraId="6C7BA3F3">
            <w:pPr>
              <w:keepNext w:val="0"/>
              <w:keepLines w:val="0"/>
              <w:pageBreakBefore w:val="0"/>
              <w:kinsoku/>
              <w:wordWrap/>
              <w:overflowPunct/>
              <w:topLinePunct w:val="0"/>
              <w:bidi w:val="0"/>
              <w:snapToGrid/>
              <w:spacing w:line="360" w:lineRule="exact"/>
              <w:jc w:val="center"/>
              <w:rPr>
                <w:rFonts w:hint="eastAsia"/>
                <w:color w:val="auto"/>
                <w:highlight w:val="none"/>
              </w:rPr>
            </w:pPr>
            <w:r>
              <w:rPr>
                <w:rFonts w:hint="eastAsia"/>
                <w:color w:val="auto"/>
                <w:highlight w:val="none"/>
              </w:rPr>
              <w:t>技术分</w:t>
            </w:r>
          </w:p>
        </w:tc>
        <w:tc>
          <w:tcPr>
            <w:tcW w:w="7055" w:type="dxa"/>
            <w:shd w:val="clear" w:color="auto" w:fill="D7D7D7" w:themeFill="background1" w:themeFillShade="D8"/>
            <w:noWrap w:val="0"/>
            <w:vAlign w:val="center"/>
          </w:tcPr>
          <w:p w14:paraId="7BA67B05">
            <w:pPr>
              <w:keepNext w:val="0"/>
              <w:keepLines w:val="0"/>
              <w:pageBreakBefore w:val="0"/>
              <w:kinsoku/>
              <w:wordWrap/>
              <w:overflowPunct/>
              <w:topLinePunct w:val="0"/>
              <w:bidi w:val="0"/>
              <w:snapToGrid/>
              <w:spacing w:line="360" w:lineRule="exact"/>
              <w:jc w:val="center"/>
              <w:rPr>
                <w:rFonts w:hint="eastAsia"/>
                <w:color w:val="auto"/>
                <w:highlight w:val="none"/>
              </w:rPr>
            </w:pPr>
            <w:r>
              <w:rPr>
                <w:rFonts w:hint="eastAsia"/>
                <w:color w:val="auto"/>
                <w:highlight w:val="none"/>
              </w:rPr>
              <w:t>评审标准</w:t>
            </w:r>
          </w:p>
        </w:tc>
        <w:tc>
          <w:tcPr>
            <w:tcW w:w="836" w:type="dxa"/>
            <w:shd w:val="clear" w:color="auto" w:fill="D7D7D7" w:themeFill="background1" w:themeFillShade="D8"/>
            <w:noWrap w:val="0"/>
            <w:vAlign w:val="center"/>
          </w:tcPr>
          <w:p w14:paraId="5B1CCDC7">
            <w:pPr>
              <w:keepNext w:val="0"/>
              <w:keepLines w:val="0"/>
              <w:pageBreakBefore w:val="0"/>
              <w:kinsoku/>
              <w:wordWrap/>
              <w:overflowPunct/>
              <w:topLinePunct w:val="0"/>
              <w:bidi w:val="0"/>
              <w:snapToGrid/>
              <w:spacing w:line="360" w:lineRule="exact"/>
              <w:jc w:val="center"/>
              <w:rPr>
                <w:rFonts w:hint="eastAsia"/>
                <w:color w:val="auto"/>
                <w:highlight w:val="none"/>
              </w:rPr>
            </w:pPr>
            <w:r>
              <w:rPr>
                <w:rFonts w:hint="eastAsia"/>
                <w:color w:val="auto"/>
                <w:highlight w:val="none"/>
                <w:lang w:val="en-US" w:eastAsia="zh-CN"/>
              </w:rPr>
              <w:t>74</w:t>
            </w:r>
            <w:r>
              <w:rPr>
                <w:rFonts w:hint="eastAsia"/>
                <w:color w:val="auto"/>
                <w:highlight w:val="none"/>
              </w:rPr>
              <w:t>分</w:t>
            </w:r>
          </w:p>
        </w:tc>
      </w:tr>
      <w:tr w14:paraId="5C1A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restart"/>
            <w:noWrap w:val="0"/>
            <w:vAlign w:val="center"/>
          </w:tcPr>
          <w:p w14:paraId="15D0AEC5">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default" w:ascii="宋体" w:hAnsi="宋体" w:eastAsia="宋体"/>
                <w:bCs/>
                <w:color w:val="auto"/>
                <w:kern w:val="0"/>
                <w:szCs w:val="21"/>
                <w:highlight w:val="none"/>
                <w:lang w:val="en-US" w:eastAsia="zh-CN"/>
              </w:rPr>
            </w:pPr>
            <w:r>
              <w:rPr>
                <w:rFonts w:hint="eastAsia" w:ascii="宋体" w:hAnsi="宋体"/>
                <w:bCs/>
                <w:color w:val="auto"/>
                <w:kern w:val="0"/>
                <w:szCs w:val="21"/>
                <w:highlight w:val="none"/>
                <w:lang w:val="en-US" w:eastAsia="zh-CN"/>
              </w:rPr>
              <w:t>2.1</w:t>
            </w:r>
          </w:p>
        </w:tc>
        <w:tc>
          <w:tcPr>
            <w:tcW w:w="523" w:type="dxa"/>
            <w:vMerge w:val="restart"/>
            <w:noWrap w:val="0"/>
            <w:vAlign w:val="center"/>
          </w:tcPr>
          <w:p w14:paraId="50974249">
            <w:pPr>
              <w:keepNext w:val="0"/>
              <w:keepLines w:val="0"/>
              <w:pageBreakBefore w:val="0"/>
              <w:kinsoku/>
              <w:wordWrap/>
              <w:overflowPunct/>
              <w:topLinePunct w:val="0"/>
              <w:bidi w:val="0"/>
              <w:snapToGrid/>
              <w:spacing w:line="360" w:lineRule="exact"/>
              <w:jc w:val="left"/>
              <w:rPr>
                <w:rFonts w:hint="eastAsia" w:cs="宋体"/>
                <w:color w:val="auto"/>
                <w:highlight w:val="none"/>
              </w:rPr>
            </w:pPr>
            <w:r>
              <w:rPr>
                <w:rFonts w:hint="eastAsia" w:cs="宋体"/>
                <w:color w:val="auto"/>
                <w:highlight w:val="none"/>
              </w:rPr>
              <w:t>施工组织方案分</w:t>
            </w:r>
          </w:p>
        </w:tc>
        <w:tc>
          <w:tcPr>
            <w:tcW w:w="1024" w:type="dxa"/>
            <w:noWrap w:val="0"/>
            <w:vAlign w:val="center"/>
          </w:tcPr>
          <w:p w14:paraId="0153A99D">
            <w:pPr>
              <w:keepNext w:val="0"/>
              <w:keepLines w:val="0"/>
              <w:pageBreakBefore w:val="0"/>
              <w:kinsoku/>
              <w:wordWrap/>
              <w:overflowPunct/>
              <w:topLinePunct w:val="0"/>
              <w:bidi w:val="0"/>
              <w:snapToGrid/>
              <w:spacing w:line="360" w:lineRule="exact"/>
              <w:jc w:val="left"/>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（1）总体施工组织布置及规划</w:t>
            </w:r>
          </w:p>
        </w:tc>
        <w:tc>
          <w:tcPr>
            <w:tcW w:w="7055" w:type="dxa"/>
            <w:noWrap w:val="0"/>
            <w:vAlign w:val="center"/>
          </w:tcPr>
          <w:p w14:paraId="1B4D72F2">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6分）：有项目总体概述，表述清晰、完整、合理；有分部分项工程描述，各主要分部施工方法符合项目实际，须有详尽的施工方案，工艺先进，方法理、可行，能指导具体施工并确保安全；施工段划分呼应总体表述，划分清晰、合理，符合规范要求；有施工总平面布置图，安排科学合理，符合本项目施工实际要求，方案周全，有针对性。</w:t>
            </w:r>
          </w:p>
          <w:p w14:paraId="1EA73FCB">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4分）：有项目总体概述，表述清晰、完整、合理；有分部分项工程描述，各主要分部施工方法、施工段划分、施工总平面布置图符合项目实际，有完整的施工方案、施工段划分清晰、施工总平面布置图安排合理，能指导具体施工并确保安全。</w:t>
            </w:r>
          </w:p>
          <w:p w14:paraId="785DDDF4">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三档（2分）：有施工总平面布置图，安排基本科学合理，基本符合本项目施工实际要求。</w:t>
            </w:r>
          </w:p>
          <w:p w14:paraId="38740F72">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四档（0分）：无施工总平面布置图，或安排不合理，不符合本项目施工实际要求或不符合安全、文明生产要求。</w:t>
            </w:r>
          </w:p>
        </w:tc>
        <w:tc>
          <w:tcPr>
            <w:tcW w:w="836" w:type="dxa"/>
            <w:noWrap w:val="0"/>
            <w:vAlign w:val="center"/>
          </w:tcPr>
          <w:p w14:paraId="735F7BB9">
            <w:pPr>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6分</w:t>
            </w:r>
          </w:p>
        </w:tc>
      </w:tr>
      <w:tr w14:paraId="6F1D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71ADF1C6">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lang w:val="en-US" w:eastAsia="zh-CN"/>
              </w:rPr>
            </w:pPr>
          </w:p>
        </w:tc>
        <w:tc>
          <w:tcPr>
            <w:tcW w:w="523" w:type="dxa"/>
            <w:vMerge w:val="continue"/>
            <w:noWrap w:val="0"/>
            <w:vAlign w:val="center"/>
          </w:tcPr>
          <w:p w14:paraId="72675151">
            <w:pPr>
              <w:keepNext w:val="0"/>
              <w:keepLines w:val="0"/>
              <w:pageBreakBefore w:val="0"/>
              <w:kinsoku/>
              <w:wordWrap/>
              <w:overflowPunct/>
              <w:topLinePunct w:val="0"/>
              <w:bidi w:val="0"/>
              <w:snapToGrid/>
              <w:spacing w:line="360" w:lineRule="exact"/>
              <w:jc w:val="left"/>
              <w:rPr>
                <w:rFonts w:hint="eastAsia" w:ascii="宋体" w:hAnsi="宋体"/>
                <w:bCs/>
                <w:color w:val="auto"/>
                <w:kern w:val="0"/>
                <w:szCs w:val="21"/>
                <w:highlight w:val="none"/>
              </w:rPr>
            </w:pPr>
          </w:p>
        </w:tc>
        <w:tc>
          <w:tcPr>
            <w:tcW w:w="1024" w:type="dxa"/>
            <w:noWrap w:val="0"/>
            <w:vAlign w:val="center"/>
          </w:tcPr>
          <w:p w14:paraId="1D83CC8D">
            <w:pPr>
              <w:keepNext w:val="0"/>
              <w:keepLines w:val="0"/>
              <w:pageBreakBefore w:val="0"/>
              <w:kinsoku/>
              <w:wordWrap/>
              <w:overflowPunct/>
              <w:topLinePunct w:val="0"/>
              <w:bidi w:val="0"/>
              <w:snapToGrid/>
              <w:spacing w:line="360" w:lineRule="exact"/>
              <w:jc w:val="left"/>
              <w:rPr>
                <w:rFonts w:hint="eastAsia"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（2）施工技术方案及施工方法工艺</w:t>
            </w:r>
          </w:p>
        </w:tc>
        <w:tc>
          <w:tcPr>
            <w:tcW w:w="7055" w:type="dxa"/>
            <w:noWrap w:val="0"/>
            <w:vAlign w:val="center"/>
          </w:tcPr>
          <w:p w14:paraId="3AA4EE9D">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9分）：施工技术方案中有各主要分部施工及关键施工节点方法、工艺符合项目需求且针对性强，施工技术方案内容完整且论述详尽，对项目关键方法、工艺有深入的理解，施工工艺先进、方法科学且对重点、难点有先进合理的施工措施方法并有切实可行的安全措施，能指导具体施工并同时保障项目安全性、经济性、时效性。</w:t>
            </w:r>
          </w:p>
          <w:p w14:paraId="0AFE3381">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二档（6分）：施工技术方案中有各主要分部施工及关键施工节点方法、工艺符合项目实际且合理，施工技术方案齐全，工艺成熟、方法合理、可行，能指导具体施工并确保安全。</w:t>
            </w:r>
          </w:p>
          <w:p w14:paraId="34D4080B">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三档（3分）：施工技术方案中各主要分部施工方法基本满足项目需求，施工技术方案基本齐全，方法工艺基本合理、但未提供保障和解决措施或措施不合理，基本能指导具体施工并确保安全。</w:t>
            </w:r>
          </w:p>
          <w:p w14:paraId="44B67783">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四档（0分）：施工技术方案中各主要分部施工方法内容不齐全，施工技术方案及施工方法差，工艺落后、方法不合理，不能指导具体施工和确保安全。</w:t>
            </w:r>
          </w:p>
        </w:tc>
        <w:tc>
          <w:tcPr>
            <w:tcW w:w="836" w:type="dxa"/>
            <w:noWrap w:val="0"/>
            <w:vAlign w:val="center"/>
          </w:tcPr>
          <w:p w14:paraId="6E447E60">
            <w:pPr>
              <w:keepNext w:val="0"/>
              <w:keepLines w:val="0"/>
              <w:pageBreakBefore w:val="0"/>
              <w:kinsoku/>
              <w:wordWrap/>
              <w:overflowPunct/>
              <w:topLinePunct w:val="0"/>
              <w:bidi w:val="0"/>
              <w:snapToGrid/>
              <w:spacing w:line="360" w:lineRule="exact"/>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9分</w:t>
            </w:r>
          </w:p>
        </w:tc>
      </w:tr>
      <w:tr w14:paraId="3412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179DA314">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rPr>
            </w:pPr>
          </w:p>
        </w:tc>
        <w:tc>
          <w:tcPr>
            <w:tcW w:w="523" w:type="dxa"/>
            <w:vMerge w:val="continue"/>
            <w:noWrap w:val="0"/>
            <w:vAlign w:val="center"/>
          </w:tcPr>
          <w:p w14:paraId="31862B62">
            <w:pPr>
              <w:keepNext w:val="0"/>
              <w:keepLines w:val="0"/>
              <w:pageBreakBefore w:val="0"/>
              <w:kinsoku/>
              <w:wordWrap/>
              <w:overflowPunct/>
              <w:topLinePunct w:val="0"/>
              <w:bidi w:val="0"/>
              <w:snapToGrid/>
              <w:spacing w:line="360" w:lineRule="exact"/>
              <w:jc w:val="left"/>
              <w:rPr>
                <w:rFonts w:hint="eastAsia" w:cs="宋体"/>
                <w:color w:val="auto"/>
                <w:highlight w:val="none"/>
              </w:rPr>
            </w:pPr>
          </w:p>
        </w:tc>
        <w:tc>
          <w:tcPr>
            <w:tcW w:w="1024" w:type="dxa"/>
            <w:noWrap w:val="0"/>
            <w:vAlign w:val="center"/>
          </w:tcPr>
          <w:p w14:paraId="2D9FBBAE">
            <w:pPr>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（3）拟投入的工程配套设备计划</w:t>
            </w:r>
          </w:p>
        </w:tc>
        <w:tc>
          <w:tcPr>
            <w:tcW w:w="7055" w:type="dxa"/>
            <w:noWrap w:val="0"/>
            <w:vAlign w:val="center"/>
          </w:tcPr>
          <w:p w14:paraId="45AEC579">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8分）：针对投入的工程配套设备制定有详细的组织计划，能明确反应设备数量、选型配置、进场时间，设备进场时间安排合理周密并工期进度计划紧密呼应，主要工程配套设备投入计划能满足施工需要的同时还能有效保证工期进度和实现工程功能性。</w:t>
            </w:r>
          </w:p>
          <w:p w14:paraId="36E27AC7">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二档（5分）：针对投入的工程配套设备制定有组织计划，设备数量、选型配置、设备进场时间安排合理，设备进场投入计划能满足施工需要。</w:t>
            </w:r>
          </w:p>
          <w:p w14:paraId="2B1E2997">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三档（2分）：针对投入的工程配套设备有组织计划，组织计划内容较为简单，基本满足施工需要。</w:t>
            </w:r>
          </w:p>
          <w:p w14:paraId="37796A1D">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四档（0分）：未提供工程配套设备计划或工程配套设备计划不可行。</w:t>
            </w:r>
          </w:p>
        </w:tc>
        <w:tc>
          <w:tcPr>
            <w:tcW w:w="836" w:type="dxa"/>
            <w:noWrap w:val="0"/>
            <w:vAlign w:val="center"/>
          </w:tcPr>
          <w:p w14:paraId="3318858D">
            <w:pPr>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8分</w:t>
            </w:r>
          </w:p>
        </w:tc>
      </w:tr>
      <w:tr w14:paraId="667A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64895FA7">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rPr>
            </w:pPr>
          </w:p>
        </w:tc>
        <w:tc>
          <w:tcPr>
            <w:tcW w:w="523" w:type="dxa"/>
            <w:vMerge w:val="continue"/>
            <w:noWrap w:val="0"/>
            <w:vAlign w:val="center"/>
          </w:tcPr>
          <w:p w14:paraId="44463464">
            <w:pPr>
              <w:keepNext w:val="0"/>
              <w:keepLines w:val="0"/>
              <w:pageBreakBefore w:val="0"/>
              <w:kinsoku/>
              <w:wordWrap/>
              <w:overflowPunct/>
              <w:topLinePunct w:val="0"/>
              <w:bidi w:val="0"/>
              <w:snapToGrid/>
              <w:spacing w:line="360" w:lineRule="exact"/>
              <w:jc w:val="left"/>
              <w:rPr>
                <w:rFonts w:hint="eastAsia" w:cs="宋体"/>
                <w:color w:val="auto"/>
                <w:highlight w:val="none"/>
              </w:rPr>
            </w:pPr>
          </w:p>
        </w:tc>
        <w:tc>
          <w:tcPr>
            <w:tcW w:w="1024" w:type="dxa"/>
            <w:noWrap w:val="0"/>
            <w:vAlign w:val="center"/>
          </w:tcPr>
          <w:p w14:paraId="1C7EF3A3">
            <w:pPr>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（4）工期保证、工程质量管理体系及保证措施</w:t>
            </w:r>
          </w:p>
        </w:tc>
        <w:tc>
          <w:tcPr>
            <w:tcW w:w="7055" w:type="dxa"/>
            <w:noWrap w:val="0"/>
            <w:vAlign w:val="center"/>
          </w:tcPr>
          <w:p w14:paraId="5CF3FA21">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9分）：有专门的技术质量管理班子和管理制度，且人员配备合理，制度健全；主要工序有质量技术保证措施和手段，自控体系非常完整，能科学有效保证技术质量；有施工质量检验制度，施工质量教育培训制度，达到承诺的质量标准；有控制工期的施工进度计划，有施工总进度表，各项计划图表编制完善，安排科学合理，符合本项目施工实际要求。</w:t>
            </w:r>
          </w:p>
          <w:p w14:paraId="3D16614E">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6分）：有技术质量管理班子和管理制度；主要工序有质量技术保证措施和手段，自控体系完整，能有效保证技术质量；有施工质量检验制度，施工质量教育培训制度，达到承诺的质量标准；有控制工期的施工进度计划，有施工总进度表，各项计划图表编制较完善，安排较合理，符合本项目施工实际要求。</w:t>
            </w:r>
          </w:p>
          <w:p w14:paraId="00E12DEC">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3分）：主要工序有质量技术保证措施和手段，自控体系基本完整，基本能有效保证技术质量，达到承诺的质量标准；有控制工期的施工进度计划，有施工总进度表，各项计划图表编制基本完善，安排基本合理，基本符合本项目施工实际要求。</w:t>
            </w:r>
          </w:p>
          <w:p w14:paraId="18A23EDF">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主要工序无质量技术保证措施和手段，自控体系不完整，或不能有效保证技术质量达到承诺的质量标准；有控制工期的施工进度计划，各项计划图表编制不完善，安排不合理，不符合本项目施工实际要求。</w:t>
            </w:r>
          </w:p>
        </w:tc>
        <w:tc>
          <w:tcPr>
            <w:tcW w:w="836" w:type="dxa"/>
            <w:noWrap w:val="0"/>
            <w:vAlign w:val="center"/>
          </w:tcPr>
          <w:p w14:paraId="072349A2">
            <w:pPr>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9分</w:t>
            </w:r>
          </w:p>
        </w:tc>
      </w:tr>
      <w:tr w14:paraId="671A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7119F612">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rPr>
            </w:pPr>
          </w:p>
        </w:tc>
        <w:tc>
          <w:tcPr>
            <w:tcW w:w="523" w:type="dxa"/>
            <w:vMerge w:val="continue"/>
            <w:noWrap w:val="0"/>
            <w:vAlign w:val="center"/>
          </w:tcPr>
          <w:p w14:paraId="3C41AB21">
            <w:pPr>
              <w:keepNext w:val="0"/>
              <w:keepLines w:val="0"/>
              <w:pageBreakBefore w:val="0"/>
              <w:kinsoku/>
              <w:wordWrap/>
              <w:overflowPunct/>
              <w:topLinePunct w:val="0"/>
              <w:bidi w:val="0"/>
              <w:snapToGrid/>
              <w:spacing w:line="360" w:lineRule="exact"/>
              <w:jc w:val="left"/>
              <w:rPr>
                <w:rFonts w:hint="eastAsia" w:cs="宋体"/>
                <w:color w:val="auto"/>
                <w:highlight w:val="none"/>
              </w:rPr>
            </w:pPr>
          </w:p>
        </w:tc>
        <w:tc>
          <w:tcPr>
            <w:tcW w:w="1024" w:type="dxa"/>
            <w:noWrap w:val="0"/>
            <w:vAlign w:val="center"/>
          </w:tcPr>
          <w:p w14:paraId="3158C2FF">
            <w:pPr>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（5）工程施工的重点和难点及保证措施</w:t>
            </w:r>
          </w:p>
        </w:tc>
        <w:tc>
          <w:tcPr>
            <w:tcW w:w="7055" w:type="dxa"/>
            <w:noWrap w:val="0"/>
            <w:vAlign w:val="center"/>
          </w:tcPr>
          <w:p w14:paraId="0E272216">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一档（8分）：有采用新技术、新设备、新工艺、新材料的论述；针对本工程的特点，阐述本工程的重点和难点，解决重点和难点问题的方法非常详细具体、科学合理、可行性强。</w:t>
            </w:r>
          </w:p>
          <w:p w14:paraId="3FC1A6E6">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二档（5分）：有采用新技术、新设备、新工艺、新材料的论述。针对本工程的特点，阐述本工程的重点和难点，解决重点和难点问题的方法合理、可行；</w:t>
            </w:r>
          </w:p>
          <w:p w14:paraId="03E78338">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三档（2分）：针对本工程的特点，阐述本工程的重点和难点，解决重点和难点问题的方法基本合理、基本可行；</w:t>
            </w:r>
          </w:p>
          <w:p w14:paraId="58D9820A">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四档（0分）：主要工序无质量技术保证措施和手段，自控体系不完整，不能有效保证技术质量，达到承诺的质量标准。</w:t>
            </w:r>
          </w:p>
        </w:tc>
        <w:tc>
          <w:tcPr>
            <w:tcW w:w="836" w:type="dxa"/>
            <w:noWrap w:val="0"/>
            <w:vAlign w:val="center"/>
          </w:tcPr>
          <w:p w14:paraId="10C4F930">
            <w:pPr>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8分</w:t>
            </w:r>
          </w:p>
        </w:tc>
      </w:tr>
      <w:tr w14:paraId="79F9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5EFF397A">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rPr>
            </w:pPr>
          </w:p>
        </w:tc>
        <w:tc>
          <w:tcPr>
            <w:tcW w:w="523" w:type="dxa"/>
            <w:vMerge w:val="continue"/>
            <w:noWrap w:val="0"/>
            <w:vAlign w:val="center"/>
          </w:tcPr>
          <w:p w14:paraId="1830450A">
            <w:pPr>
              <w:keepNext w:val="0"/>
              <w:keepLines w:val="0"/>
              <w:pageBreakBefore w:val="0"/>
              <w:kinsoku/>
              <w:wordWrap/>
              <w:overflowPunct/>
              <w:topLinePunct w:val="0"/>
              <w:bidi w:val="0"/>
              <w:adjustRightInd w:val="0"/>
              <w:snapToGrid/>
              <w:spacing w:line="360" w:lineRule="exact"/>
              <w:jc w:val="center"/>
              <w:textAlignment w:val="baseline"/>
              <w:rPr>
                <w:rFonts w:hint="eastAsia" w:ascii="宋体" w:hAnsi="宋体"/>
                <w:bCs/>
                <w:color w:val="auto"/>
                <w:kern w:val="0"/>
                <w:szCs w:val="21"/>
                <w:highlight w:val="none"/>
              </w:rPr>
            </w:pPr>
          </w:p>
        </w:tc>
        <w:tc>
          <w:tcPr>
            <w:tcW w:w="1024" w:type="dxa"/>
            <w:noWrap w:val="0"/>
            <w:vAlign w:val="center"/>
          </w:tcPr>
          <w:p w14:paraId="691D405B">
            <w:pPr>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（6）安全生产管理体系及保证措施</w:t>
            </w:r>
          </w:p>
        </w:tc>
        <w:tc>
          <w:tcPr>
            <w:tcW w:w="7055" w:type="dxa"/>
            <w:noWrap w:val="0"/>
            <w:vAlign w:val="center"/>
          </w:tcPr>
          <w:p w14:paraId="0F4849B6">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7分）：有专门的安全管理人员和制度，且人员配备科学合理，制度健全完善，各道工序安全技术措施针对性强，符合实际且满足有关安全技术标准要求；有安全生产责任制度、安全生产教育培训制度、安全技术措施、施工现场临时用电方案等；现场防火、应急救援、社会治安安全措施得力。</w:t>
            </w:r>
          </w:p>
          <w:p w14:paraId="3ED6988E">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4分）：有专门的安全管理人员和制度，且人员配备合理，制度基本健全，各道工序安全技术措施有一定的针对性，符合实际且基本满足有关安全技术标准要求；现场防火、应急救援、社会治安安全措施可行。</w:t>
            </w:r>
          </w:p>
          <w:p w14:paraId="25FED152">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2分）：有专门的安全管理人员和制度，且人员配备基本合理，制度基本健全，各道工序安全技术措施有一定的针对性，符合实际且基本满足有关安全技术标准要求。现场防火、应急救援、社会治安安全措施基本可行。</w:t>
            </w:r>
          </w:p>
          <w:p w14:paraId="179A7AD4">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四档（0分）：无专门的安全管理人员或制度，人员配备不合理，制度不健全，各道工序安全技术措施无针对性，不符合实际不满足有关安全技术标准要求。现场防火、应急救援、社会治安安全措施不可行。</w:t>
            </w:r>
          </w:p>
        </w:tc>
        <w:tc>
          <w:tcPr>
            <w:tcW w:w="836" w:type="dxa"/>
            <w:noWrap w:val="0"/>
            <w:vAlign w:val="center"/>
          </w:tcPr>
          <w:p w14:paraId="21422760">
            <w:pPr>
              <w:keepNext w:val="0"/>
              <w:keepLines w:val="0"/>
              <w:pageBreakBefore w:val="0"/>
              <w:kinsoku/>
              <w:wordWrap/>
              <w:overflowPunct/>
              <w:topLinePunct w:val="0"/>
              <w:bidi w:val="0"/>
              <w:snapToGrid/>
              <w:spacing w:line="360" w:lineRule="exact"/>
              <w:jc w:val="center"/>
              <w:rPr>
                <w:rFonts w:hint="eastAsia" w:eastAsia="宋体"/>
                <w:color w:val="auto"/>
                <w:highlight w:val="none"/>
                <w:lang w:val="en-US" w:eastAsia="zh-CN"/>
              </w:rPr>
            </w:pPr>
            <w:r>
              <w:rPr>
                <w:rFonts w:hint="eastAsia"/>
                <w:color w:val="auto"/>
                <w:highlight w:val="none"/>
                <w:lang w:val="en-US" w:eastAsia="zh-CN"/>
              </w:rPr>
              <w:t>7分</w:t>
            </w:r>
          </w:p>
        </w:tc>
      </w:tr>
      <w:tr w14:paraId="19D7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75DF3E4B">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rPr>
            </w:pPr>
          </w:p>
        </w:tc>
        <w:tc>
          <w:tcPr>
            <w:tcW w:w="523" w:type="dxa"/>
            <w:vMerge w:val="continue"/>
            <w:noWrap w:val="0"/>
            <w:vAlign w:val="center"/>
          </w:tcPr>
          <w:p w14:paraId="7E0680C2">
            <w:pPr>
              <w:keepNext w:val="0"/>
              <w:keepLines w:val="0"/>
              <w:pageBreakBefore w:val="0"/>
              <w:kinsoku/>
              <w:wordWrap/>
              <w:overflowPunct/>
              <w:topLinePunct w:val="0"/>
              <w:bidi w:val="0"/>
              <w:adjustRightInd w:val="0"/>
              <w:snapToGrid/>
              <w:spacing w:line="360" w:lineRule="exact"/>
              <w:jc w:val="center"/>
              <w:textAlignment w:val="baseline"/>
              <w:rPr>
                <w:rFonts w:hint="eastAsia" w:ascii="宋体" w:hAnsi="宋体"/>
                <w:bCs/>
                <w:color w:val="auto"/>
                <w:kern w:val="0"/>
                <w:szCs w:val="21"/>
                <w:highlight w:val="none"/>
              </w:rPr>
            </w:pPr>
          </w:p>
        </w:tc>
        <w:tc>
          <w:tcPr>
            <w:tcW w:w="1024" w:type="dxa"/>
            <w:noWrap w:val="0"/>
            <w:vAlign w:val="center"/>
          </w:tcPr>
          <w:p w14:paraId="73BE7232">
            <w:pPr>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（7）文明施工、环境保护保证体系及保证措施</w:t>
            </w:r>
          </w:p>
        </w:tc>
        <w:tc>
          <w:tcPr>
            <w:tcW w:w="7055" w:type="dxa"/>
            <w:noWrap w:val="0"/>
            <w:vAlign w:val="center"/>
          </w:tcPr>
          <w:p w14:paraId="02EB3157">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一档（6分）：针对本工程项目特点，有现场文明施工、环境保护措施，且各项措施内容非常周全、具体、有效；有具体实现现场文明施工目标的承诺。</w:t>
            </w:r>
          </w:p>
          <w:p w14:paraId="49DBFAC4">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二档（4分）：有现场文明施工、环境保护措施，且各项措施内容具体、可行；有具体实现现场文明施工目标的承诺。</w:t>
            </w:r>
          </w:p>
          <w:p w14:paraId="404A9BCB">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三档（2分）：有现场文明施工、环境保护措施，且各项措施内容具体、基本可行。</w:t>
            </w:r>
          </w:p>
          <w:p w14:paraId="1AAEA835">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四档（0分）：无现场文明施工、环境保护措施或措施内容达不到要求或各项措施不行。</w:t>
            </w:r>
          </w:p>
        </w:tc>
        <w:tc>
          <w:tcPr>
            <w:tcW w:w="836" w:type="dxa"/>
            <w:noWrap w:val="0"/>
            <w:vAlign w:val="center"/>
          </w:tcPr>
          <w:p w14:paraId="3FF84B46">
            <w:pPr>
              <w:keepNext w:val="0"/>
              <w:keepLines w:val="0"/>
              <w:pageBreakBefore w:val="0"/>
              <w:kinsoku/>
              <w:wordWrap/>
              <w:overflowPunct/>
              <w:topLinePunct w:val="0"/>
              <w:bidi w:val="0"/>
              <w:snapToGrid/>
              <w:spacing w:line="360" w:lineRule="exact"/>
              <w:jc w:val="center"/>
              <w:rPr>
                <w:rFonts w:hint="eastAsia" w:eastAsia="宋体"/>
                <w:color w:val="auto"/>
                <w:highlight w:val="none"/>
                <w:lang w:val="en-US" w:eastAsia="zh-CN"/>
              </w:rPr>
            </w:pPr>
            <w:r>
              <w:rPr>
                <w:rFonts w:hint="eastAsia"/>
                <w:color w:val="auto"/>
                <w:highlight w:val="none"/>
                <w:lang w:val="en-US" w:eastAsia="zh-CN"/>
              </w:rPr>
              <w:t>6分</w:t>
            </w:r>
          </w:p>
        </w:tc>
      </w:tr>
      <w:tr w14:paraId="3ACF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68600B84">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rPr>
            </w:pPr>
          </w:p>
        </w:tc>
        <w:tc>
          <w:tcPr>
            <w:tcW w:w="523" w:type="dxa"/>
            <w:vMerge w:val="continue"/>
            <w:noWrap w:val="0"/>
            <w:vAlign w:val="center"/>
          </w:tcPr>
          <w:p w14:paraId="1093A5B1">
            <w:pPr>
              <w:keepNext w:val="0"/>
              <w:keepLines w:val="0"/>
              <w:pageBreakBefore w:val="0"/>
              <w:kinsoku/>
              <w:wordWrap/>
              <w:overflowPunct/>
              <w:topLinePunct w:val="0"/>
              <w:bidi w:val="0"/>
              <w:adjustRightInd w:val="0"/>
              <w:snapToGrid/>
              <w:spacing w:line="360" w:lineRule="exact"/>
              <w:jc w:val="center"/>
              <w:textAlignment w:val="baseline"/>
              <w:rPr>
                <w:rFonts w:hint="eastAsia" w:ascii="宋体" w:hAnsi="宋体"/>
                <w:bCs/>
                <w:color w:val="auto"/>
                <w:kern w:val="0"/>
                <w:szCs w:val="21"/>
                <w:highlight w:val="none"/>
              </w:rPr>
            </w:pPr>
          </w:p>
        </w:tc>
        <w:tc>
          <w:tcPr>
            <w:tcW w:w="1024" w:type="dxa"/>
            <w:noWrap w:val="0"/>
            <w:vAlign w:val="center"/>
          </w:tcPr>
          <w:p w14:paraId="0FF29C08">
            <w:pPr>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（8）项目风险预测与防范，事故应急预案</w:t>
            </w:r>
          </w:p>
        </w:tc>
        <w:tc>
          <w:tcPr>
            <w:tcW w:w="7055" w:type="dxa"/>
            <w:noWrap w:val="0"/>
            <w:vAlign w:val="center"/>
          </w:tcPr>
          <w:p w14:paraId="33E07FE3">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一档（6分）：针对本工程项目特点，防范风险事故及风险事故发生后的应急处置措施考虑周全、具体，并确保在事故发生时能指导项目实施人员安全、及时、有针对性的处理事故。</w:t>
            </w:r>
          </w:p>
          <w:p w14:paraId="61E7CBD2">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二档（4分）：针对本工程项目特点，对风险预测、应急预案及防范风险事故措施有描述，且内容描述具体，符合项目实际情况，能有效防范风险事故发生及风险事故处理。</w:t>
            </w:r>
          </w:p>
          <w:p w14:paraId="35BCA85D">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三档（2分）：针对本工程项目特点，对风险预测及应对预案有清晰描述且合理可行，但未提供具体防范风险事故的措施及风险事故发生后的应对处置措施。</w:t>
            </w:r>
          </w:p>
          <w:p w14:paraId="3A290110">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四档（0分）：针对本工程项目特点，无风险预测和应急预案及防范风险事故措施不周全，不可行。</w:t>
            </w:r>
          </w:p>
        </w:tc>
        <w:tc>
          <w:tcPr>
            <w:tcW w:w="836" w:type="dxa"/>
            <w:noWrap w:val="0"/>
            <w:vAlign w:val="center"/>
          </w:tcPr>
          <w:p w14:paraId="5AEE8931">
            <w:pPr>
              <w:keepNext w:val="0"/>
              <w:keepLines w:val="0"/>
              <w:pageBreakBefore w:val="0"/>
              <w:kinsoku/>
              <w:wordWrap/>
              <w:overflowPunct/>
              <w:topLinePunct w:val="0"/>
              <w:bidi w:val="0"/>
              <w:snapToGrid/>
              <w:spacing w:line="360" w:lineRule="exact"/>
              <w:jc w:val="center"/>
              <w:rPr>
                <w:rFonts w:hint="eastAsia"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6分</w:t>
            </w:r>
          </w:p>
        </w:tc>
      </w:tr>
      <w:tr w14:paraId="1A81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restart"/>
            <w:noWrap w:val="0"/>
            <w:vAlign w:val="center"/>
          </w:tcPr>
          <w:p w14:paraId="73056C58">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eastAsia="宋体" w:cs="Times New Roman"/>
                <w:bCs/>
                <w:color w:val="auto"/>
                <w:kern w:val="0"/>
                <w:sz w:val="21"/>
                <w:szCs w:val="21"/>
                <w:highlight w:val="none"/>
                <w:lang w:val="en-US" w:eastAsia="zh-CN" w:bidi="ar-SA"/>
              </w:rPr>
            </w:pPr>
            <w:r>
              <w:rPr>
                <w:rFonts w:hint="eastAsia" w:ascii="宋体" w:hAnsi="宋体"/>
                <w:bCs/>
                <w:color w:val="auto"/>
                <w:kern w:val="0"/>
                <w:szCs w:val="21"/>
                <w:highlight w:val="none"/>
              </w:rPr>
              <w:t>2.</w:t>
            </w:r>
            <w:r>
              <w:rPr>
                <w:rFonts w:hint="eastAsia" w:ascii="宋体" w:hAnsi="宋体"/>
                <w:bCs/>
                <w:color w:val="auto"/>
                <w:kern w:val="0"/>
                <w:szCs w:val="21"/>
                <w:highlight w:val="none"/>
                <w:lang w:val="en-US" w:eastAsia="zh-CN"/>
              </w:rPr>
              <w:t>2</w:t>
            </w:r>
          </w:p>
        </w:tc>
        <w:tc>
          <w:tcPr>
            <w:tcW w:w="523" w:type="dxa"/>
            <w:vMerge w:val="restart"/>
            <w:noWrap w:val="0"/>
            <w:vAlign w:val="center"/>
          </w:tcPr>
          <w:p w14:paraId="37D5E42B">
            <w:pPr>
              <w:keepNext w:val="0"/>
              <w:keepLines w:val="0"/>
              <w:pageBreakBefore w:val="0"/>
              <w:kinsoku/>
              <w:wordWrap/>
              <w:overflowPunct/>
              <w:topLinePunct w:val="0"/>
              <w:bidi w:val="0"/>
              <w:snapToGrid/>
              <w:spacing w:line="36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cs="宋体"/>
                <w:color w:val="auto"/>
                <w:highlight w:val="none"/>
              </w:rPr>
              <w:t>项目管理机构</w:t>
            </w:r>
          </w:p>
        </w:tc>
        <w:tc>
          <w:tcPr>
            <w:tcW w:w="1024" w:type="dxa"/>
            <w:noWrap w:val="0"/>
            <w:vAlign w:val="center"/>
          </w:tcPr>
          <w:p w14:paraId="4506C94A">
            <w:pPr>
              <w:pStyle w:val="257"/>
              <w:jc w:val="left"/>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（1）拟投入项目管理人员</w:t>
            </w:r>
          </w:p>
        </w:tc>
        <w:tc>
          <w:tcPr>
            <w:tcW w:w="7055" w:type="dxa"/>
            <w:noWrap w:val="0"/>
            <w:vAlign w:val="center"/>
          </w:tcPr>
          <w:p w14:paraId="20630F66">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w:t>
            </w:r>
            <w:r>
              <w:rPr>
                <w:rFonts w:hint="eastAsia" w:ascii="宋体" w:hAnsi="宋体" w:eastAsia="宋体" w:cs="Courier New"/>
                <w:bCs/>
                <w:color w:val="auto"/>
                <w:kern w:val="2"/>
                <w:sz w:val="21"/>
                <w:highlight w:val="none"/>
                <w:lang w:val="en-US" w:eastAsia="zh-CN"/>
              </w:rPr>
              <w:t>项目经理执业资格：拟派往本项目的项目经理具备市政公用工程专业二级以上（含本级）注册建造师执业资格的，得5分。</w:t>
            </w:r>
          </w:p>
          <w:p w14:paraId="03D9E45F">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w:t>
            </w:r>
            <w:r>
              <w:rPr>
                <w:rFonts w:hint="eastAsia" w:ascii="宋体" w:hAnsi="宋体" w:eastAsia="宋体" w:cs="Courier New"/>
                <w:bCs/>
                <w:color w:val="auto"/>
                <w:kern w:val="2"/>
                <w:sz w:val="21"/>
                <w:highlight w:val="none"/>
                <w:lang w:val="en-US" w:eastAsia="zh-CN"/>
              </w:rPr>
              <w:t>项目经理职称：拟派往本项目的项目经理具备工程类中级及以上职称的，得5分。</w:t>
            </w:r>
          </w:p>
          <w:p w14:paraId="2AA451D0">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（提供项目经理</w:t>
            </w:r>
            <w:r>
              <w:rPr>
                <w:rFonts w:hint="eastAsia" w:hAnsi="宋体" w:cs="Courier New"/>
                <w:bCs/>
                <w:color w:val="auto"/>
                <w:kern w:val="2"/>
                <w:sz w:val="21"/>
                <w:highlight w:val="none"/>
                <w:lang w:val="en-US" w:eastAsia="zh-CN"/>
              </w:rPr>
              <w:t>执业资格及</w:t>
            </w:r>
            <w:r>
              <w:rPr>
                <w:rFonts w:hint="eastAsia" w:ascii="宋体" w:hAnsi="宋体" w:eastAsia="宋体" w:cs="Courier New"/>
                <w:bCs/>
                <w:color w:val="auto"/>
                <w:kern w:val="2"/>
                <w:sz w:val="21"/>
                <w:highlight w:val="none"/>
                <w:lang w:val="en-US" w:eastAsia="zh-CN"/>
              </w:rPr>
              <w:t>职称证书扫描件或电子职称证书网页截图并加盖CA证书签章，否则不予计分）</w:t>
            </w:r>
          </w:p>
        </w:tc>
        <w:tc>
          <w:tcPr>
            <w:tcW w:w="836" w:type="dxa"/>
            <w:noWrap w:val="0"/>
            <w:vAlign w:val="center"/>
          </w:tcPr>
          <w:p w14:paraId="1189FA22">
            <w:pPr>
              <w:keepNext w:val="0"/>
              <w:keepLines w:val="0"/>
              <w:pageBreakBefore w:val="0"/>
              <w:kinsoku/>
              <w:wordWrap/>
              <w:overflowPunct/>
              <w:topLinePunct w:val="0"/>
              <w:bidi w:val="0"/>
              <w:snapToGrid/>
              <w:spacing w:line="36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 w:val="21"/>
                <w:szCs w:val="21"/>
                <w:highlight w:val="none"/>
                <w:lang w:val="en-US" w:eastAsia="zh-CN" w:bidi="ar-SA"/>
              </w:rPr>
              <w:t>10分</w:t>
            </w:r>
          </w:p>
        </w:tc>
      </w:tr>
      <w:tr w14:paraId="5E16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vMerge w:val="continue"/>
            <w:noWrap w:val="0"/>
            <w:vAlign w:val="center"/>
          </w:tcPr>
          <w:p w14:paraId="003D4765">
            <w:pPr>
              <w:keepNext w:val="0"/>
              <w:keepLines w:val="0"/>
              <w:pageBreakBefore w:val="0"/>
              <w:kinsoku/>
              <w:wordWrap/>
              <w:overflowPunct/>
              <w:topLinePunct w:val="0"/>
              <w:bidi w:val="0"/>
              <w:adjustRightInd w:val="0"/>
              <w:snapToGrid/>
              <w:spacing w:line="360" w:lineRule="exact"/>
              <w:ind w:left="-105" w:leftChars="-50" w:right="-105" w:rightChars="-50"/>
              <w:jc w:val="center"/>
              <w:textAlignment w:val="baseline"/>
              <w:rPr>
                <w:rFonts w:hint="eastAsia" w:ascii="宋体" w:hAnsi="宋体"/>
                <w:bCs/>
                <w:color w:val="auto"/>
                <w:kern w:val="0"/>
                <w:szCs w:val="21"/>
                <w:highlight w:val="none"/>
              </w:rPr>
            </w:pPr>
          </w:p>
        </w:tc>
        <w:tc>
          <w:tcPr>
            <w:tcW w:w="523" w:type="dxa"/>
            <w:vMerge w:val="continue"/>
            <w:noWrap w:val="0"/>
            <w:vAlign w:val="center"/>
          </w:tcPr>
          <w:p w14:paraId="40B48797">
            <w:pPr>
              <w:keepNext w:val="0"/>
              <w:keepLines w:val="0"/>
              <w:pageBreakBefore w:val="0"/>
              <w:kinsoku/>
              <w:wordWrap/>
              <w:overflowPunct/>
              <w:topLinePunct w:val="0"/>
              <w:bidi w:val="0"/>
              <w:adjustRightInd w:val="0"/>
              <w:snapToGrid/>
              <w:spacing w:line="360" w:lineRule="exact"/>
              <w:jc w:val="center"/>
              <w:textAlignment w:val="baseline"/>
              <w:rPr>
                <w:rFonts w:hint="eastAsia" w:ascii="宋体" w:hAnsi="宋体"/>
                <w:bCs/>
                <w:color w:val="auto"/>
                <w:kern w:val="0"/>
                <w:szCs w:val="21"/>
                <w:highlight w:val="none"/>
              </w:rPr>
            </w:pPr>
          </w:p>
        </w:tc>
        <w:tc>
          <w:tcPr>
            <w:tcW w:w="1024" w:type="dxa"/>
            <w:noWrap w:val="0"/>
            <w:vAlign w:val="center"/>
          </w:tcPr>
          <w:p w14:paraId="114EAD49">
            <w:pPr>
              <w:pStyle w:val="257"/>
              <w:jc w:val="left"/>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项目班子配备</w:t>
            </w:r>
          </w:p>
        </w:tc>
        <w:tc>
          <w:tcPr>
            <w:tcW w:w="7055" w:type="dxa"/>
            <w:noWrap w:val="0"/>
            <w:vAlign w:val="center"/>
          </w:tcPr>
          <w:p w14:paraId="764E9905">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1.拟投入技术负责人如具备高级工程师及以上职称的得</w:t>
            </w:r>
            <w:r>
              <w:rPr>
                <w:rFonts w:hint="eastAsia" w:hAnsi="宋体" w:cs="Courier New"/>
                <w:bCs/>
                <w:color w:val="auto"/>
                <w:kern w:val="2"/>
                <w:sz w:val="21"/>
                <w:highlight w:val="none"/>
                <w:lang w:val="en-US" w:eastAsia="zh-CN"/>
              </w:rPr>
              <w:t>3</w:t>
            </w:r>
            <w:r>
              <w:rPr>
                <w:rFonts w:hint="eastAsia" w:ascii="宋体" w:hAnsi="宋体" w:eastAsia="宋体" w:cs="Courier New"/>
                <w:bCs/>
                <w:color w:val="auto"/>
                <w:kern w:val="2"/>
                <w:sz w:val="21"/>
                <w:highlight w:val="none"/>
                <w:lang w:val="en-US" w:eastAsia="zh-CN"/>
              </w:rPr>
              <w:t>分，具备工程师的得</w:t>
            </w:r>
            <w:r>
              <w:rPr>
                <w:rFonts w:hint="eastAsia" w:hAnsi="宋体" w:cs="Courier New"/>
                <w:bCs/>
                <w:color w:val="auto"/>
                <w:kern w:val="2"/>
                <w:sz w:val="21"/>
                <w:highlight w:val="none"/>
                <w:lang w:val="en-US" w:eastAsia="zh-CN"/>
              </w:rPr>
              <w:t>1.5</w:t>
            </w:r>
            <w:r>
              <w:rPr>
                <w:rFonts w:hint="eastAsia" w:ascii="宋体" w:hAnsi="宋体" w:eastAsia="宋体" w:cs="Courier New"/>
                <w:bCs/>
                <w:color w:val="auto"/>
                <w:kern w:val="2"/>
                <w:sz w:val="21"/>
                <w:highlight w:val="none"/>
                <w:lang w:val="en-US" w:eastAsia="zh-CN"/>
              </w:rPr>
              <w:t>分。</w:t>
            </w:r>
          </w:p>
          <w:p w14:paraId="4391B01E">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2.安全员、施工员、质量员、材料员均具备工程类初级及以上职称（以其职称证上载明专业为准）的得2分。</w:t>
            </w:r>
          </w:p>
          <w:p w14:paraId="3D26E740">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（提供以上人员职称证书扫描件或电子职称证书网页截图并加盖CA证书签章，否则不予计分）</w:t>
            </w:r>
          </w:p>
        </w:tc>
        <w:tc>
          <w:tcPr>
            <w:tcW w:w="836" w:type="dxa"/>
            <w:noWrap w:val="0"/>
            <w:vAlign w:val="center"/>
          </w:tcPr>
          <w:p w14:paraId="775CA255">
            <w:pPr>
              <w:keepNext w:val="0"/>
              <w:keepLines w:val="0"/>
              <w:pageBreakBefore w:val="0"/>
              <w:kinsoku/>
              <w:wordWrap/>
              <w:overflowPunct/>
              <w:topLinePunct w:val="0"/>
              <w:bidi w:val="0"/>
              <w:snapToGrid/>
              <w:spacing w:line="36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 w:val="21"/>
                <w:szCs w:val="21"/>
                <w:highlight w:val="none"/>
                <w:lang w:val="en-US" w:eastAsia="zh-CN" w:bidi="ar-SA"/>
              </w:rPr>
              <w:t>5分</w:t>
            </w:r>
          </w:p>
        </w:tc>
      </w:tr>
      <w:tr w14:paraId="1BAC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shd w:val="clear" w:color="auto" w:fill="D7D7D7" w:themeFill="background1" w:themeFillShade="D8"/>
            <w:noWrap w:val="0"/>
            <w:vAlign w:val="center"/>
          </w:tcPr>
          <w:p w14:paraId="2728DD5A">
            <w:pPr>
              <w:keepNext w:val="0"/>
              <w:keepLines w:val="0"/>
              <w:pageBreakBefore w:val="0"/>
              <w:widowControl/>
              <w:kinsoku/>
              <w:wordWrap/>
              <w:overflowPunct/>
              <w:topLinePunct w:val="0"/>
              <w:bidi w:val="0"/>
              <w:snapToGrid/>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3</w:t>
            </w:r>
          </w:p>
        </w:tc>
        <w:tc>
          <w:tcPr>
            <w:tcW w:w="1547" w:type="dxa"/>
            <w:gridSpan w:val="2"/>
            <w:shd w:val="clear" w:color="auto" w:fill="D7D7D7" w:themeFill="background1" w:themeFillShade="D8"/>
            <w:noWrap w:val="0"/>
            <w:vAlign w:val="center"/>
          </w:tcPr>
          <w:p w14:paraId="42B1BC76">
            <w:pPr>
              <w:keepNext w:val="0"/>
              <w:keepLines w:val="0"/>
              <w:pageBreakBefore w:val="0"/>
              <w:widowControl/>
              <w:kinsoku/>
              <w:wordWrap/>
              <w:overflowPunct/>
              <w:topLinePunct w:val="0"/>
              <w:bidi w:val="0"/>
              <w:snapToGrid/>
              <w:spacing w:line="360" w:lineRule="exact"/>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商务分</w:t>
            </w:r>
          </w:p>
        </w:tc>
        <w:tc>
          <w:tcPr>
            <w:tcW w:w="7055" w:type="dxa"/>
            <w:shd w:val="clear" w:color="auto" w:fill="D7D7D7" w:themeFill="background1" w:themeFillShade="D8"/>
            <w:noWrap w:val="0"/>
            <w:vAlign w:val="center"/>
          </w:tcPr>
          <w:p w14:paraId="020E5D68">
            <w:pPr>
              <w:keepNext w:val="0"/>
              <w:keepLines w:val="0"/>
              <w:pageBreakBefore w:val="0"/>
              <w:widowControl/>
              <w:kinsoku/>
              <w:wordWrap/>
              <w:overflowPunct/>
              <w:topLinePunct w:val="0"/>
              <w:bidi w:val="0"/>
              <w:snapToGrid/>
              <w:spacing w:line="360" w:lineRule="exact"/>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评审标准</w:t>
            </w:r>
          </w:p>
        </w:tc>
        <w:tc>
          <w:tcPr>
            <w:tcW w:w="836" w:type="dxa"/>
            <w:shd w:val="clear" w:color="auto" w:fill="D7D7D7" w:themeFill="background1" w:themeFillShade="D8"/>
            <w:noWrap w:val="0"/>
            <w:vAlign w:val="center"/>
          </w:tcPr>
          <w:p w14:paraId="4B66D3E0">
            <w:pPr>
              <w:keepNext w:val="0"/>
              <w:keepLines w:val="0"/>
              <w:pageBreakBefore w:val="0"/>
              <w:widowControl/>
              <w:kinsoku/>
              <w:wordWrap/>
              <w:overflowPunct/>
              <w:topLinePunct w:val="0"/>
              <w:bidi w:val="0"/>
              <w:snapToGrid/>
              <w:spacing w:line="360" w:lineRule="exact"/>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6</w:t>
            </w:r>
            <w:r>
              <w:rPr>
                <w:rFonts w:hint="eastAsia" w:ascii="宋体" w:hAnsi="宋体" w:cs="Tahoma"/>
                <w:color w:val="auto"/>
                <w:kern w:val="0"/>
                <w:szCs w:val="21"/>
                <w:highlight w:val="none"/>
              </w:rPr>
              <w:t>分</w:t>
            </w:r>
          </w:p>
        </w:tc>
      </w:tr>
      <w:tr w14:paraId="38FA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noWrap w:val="0"/>
            <w:vAlign w:val="center"/>
          </w:tcPr>
          <w:p w14:paraId="38D7E2FC">
            <w:pPr>
              <w:keepNext w:val="0"/>
              <w:keepLines w:val="0"/>
              <w:pageBreakBefore w:val="0"/>
              <w:widowControl/>
              <w:kinsoku/>
              <w:wordWrap/>
              <w:overflowPunct/>
              <w:topLinePunct w:val="0"/>
              <w:bidi w:val="0"/>
              <w:snapToGrid/>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3.1</w:t>
            </w:r>
          </w:p>
        </w:tc>
        <w:tc>
          <w:tcPr>
            <w:tcW w:w="1547" w:type="dxa"/>
            <w:gridSpan w:val="2"/>
            <w:noWrap w:val="0"/>
            <w:vAlign w:val="center"/>
          </w:tcPr>
          <w:p w14:paraId="2E08EB3C">
            <w:pPr>
              <w:keepNext w:val="0"/>
              <w:keepLines w:val="0"/>
              <w:pageBreakBefore w:val="0"/>
              <w:kinsoku/>
              <w:wordWrap/>
              <w:overflowPunct/>
              <w:topLinePunct w:val="0"/>
              <w:bidi w:val="0"/>
              <w:snapToGrid/>
              <w:spacing w:line="360" w:lineRule="exact"/>
              <w:jc w:val="center"/>
              <w:rPr>
                <w:rFonts w:hint="eastAsia" w:ascii="宋体" w:hAnsi="宋体"/>
                <w:color w:val="auto"/>
                <w:szCs w:val="21"/>
                <w:highlight w:val="none"/>
              </w:rPr>
            </w:pPr>
            <w:r>
              <w:rPr>
                <w:rFonts w:hint="eastAsia" w:ascii="宋体" w:hAnsi="宋体"/>
                <w:color w:val="auto"/>
                <w:szCs w:val="21"/>
                <w:highlight w:val="none"/>
              </w:rPr>
              <w:t>业绩</w:t>
            </w:r>
            <w:r>
              <w:rPr>
                <w:rFonts w:ascii="宋体" w:hAnsi="宋体"/>
                <w:color w:val="auto"/>
                <w:szCs w:val="21"/>
                <w:highlight w:val="none"/>
              </w:rPr>
              <w:t>分</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055" w:type="dxa"/>
            <w:noWrap w:val="0"/>
            <w:vAlign w:val="center"/>
          </w:tcPr>
          <w:p w14:paraId="3E7E7961">
            <w:pPr>
              <w:keepNext w:val="0"/>
              <w:keepLines w:val="0"/>
              <w:pageBreakBefore w:val="0"/>
              <w:kinsoku/>
              <w:wordWrap/>
              <w:overflowPunct/>
              <w:topLinePunct w:val="0"/>
              <w:autoSpaceDE w:val="0"/>
              <w:autoSpaceDN w:val="0"/>
              <w:bidi w:val="0"/>
              <w:adjustRightInd w:val="0"/>
              <w:snapToGrid/>
              <w:spacing w:line="360" w:lineRule="exact"/>
              <w:ind w:firstLine="306" w:firstLineChars="146"/>
              <w:rPr>
                <w:rFonts w:hint="eastAsia" w:ascii="宋体" w:hAnsi="宋体"/>
                <w:color w:val="auto"/>
                <w:kern w:val="0"/>
                <w:szCs w:val="21"/>
                <w:highlight w:val="none"/>
              </w:rPr>
            </w:pPr>
            <w:r>
              <w:rPr>
                <w:rFonts w:hint="eastAsia" w:ascii="宋体" w:hAnsi="宋体"/>
                <w:color w:val="auto"/>
                <w:kern w:val="0"/>
                <w:szCs w:val="21"/>
                <w:highlight w:val="none"/>
              </w:rPr>
              <w:t>供应商</w:t>
            </w:r>
            <w:r>
              <w:rPr>
                <w:rFonts w:hint="eastAsia" w:ascii="宋体" w:hAnsi="宋体"/>
                <w:color w:val="auto"/>
                <w:kern w:val="0"/>
                <w:szCs w:val="21"/>
                <w:highlight w:val="none"/>
                <w:lang w:val="en-US" w:eastAsia="zh-CN"/>
              </w:rPr>
              <w:t>近三年来（2021年1月以来）</w:t>
            </w:r>
            <w:r>
              <w:rPr>
                <w:rFonts w:hint="eastAsia" w:ascii="宋体" w:hAnsi="宋体"/>
                <w:color w:val="auto"/>
                <w:kern w:val="0"/>
                <w:szCs w:val="21"/>
                <w:highlight w:val="none"/>
              </w:rPr>
              <w:t>完成</w:t>
            </w:r>
            <w:r>
              <w:rPr>
                <w:rFonts w:hint="eastAsia" w:ascii="宋体" w:hAnsi="宋体"/>
                <w:color w:val="auto"/>
                <w:kern w:val="0"/>
                <w:szCs w:val="21"/>
                <w:highlight w:val="none"/>
                <w:lang w:val="en-US" w:eastAsia="zh-CN"/>
              </w:rPr>
              <w:t>或正在实施的类似</w:t>
            </w:r>
            <w:r>
              <w:rPr>
                <w:rFonts w:hint="eastAsia" w:ascii="宋体" w:hAnsi="宋体"/>
                <w:color w:val="auto"/>
                <w:kern w:val="0"/>
                <w:szCs w:val="21"/>
                <w:highlight w:val="none"/>
                <w:lang w:eastAsia="zh-CN"/>
              </w:rPr>
              <w:t>业绩的</w:t>
            </w:r>
            <w:r>
              <w:rPr>
                <w:rFonts w:hint="eastAsia" w:ascii="宋体" w:hAnsi="宋体"/>
                <w:color w:val="auto"/>
                <w:kern w:val="0"/>
                <w:szCs w:val="21"/>
                <w:highlight w:val="none"/>
              </w:rPr>
              <w:t>，每提供1个</w:t>
            </w:r>
            <w:r>
              <w:rPr>
                <w:rFonts w:hint="eastAsia" w:ascii="宋体" w:hAnsi="宋体"/>
                <w:color w:val="auto"/>
                <w:kern w:val="0"/>
                <w:szCs w:val="21"/>
                <w:highlight w:val="none"/>
                <w:lang w:val="en-US" w:eastAsia="zh-CN"/>
              </w:rPr>
              <w:t>业绩得2</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此项满分</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分。</w:t>
            </w:r>
          </w:p>
          <w:p w14:paraId="1A46B755">
            <w:pPr>
              <w:keepNext w:val="0"/>
              <w:keepLines w:val="0"/>
              <w:pageBreakBefore w:val="0"/>
              <w:kinsoku/>
              <w:wordWrap/>
              <w:overflowPunct/>
              <w:topLinePunct w:val="0"/>
              <w:autoSpaceDE w:val="0"/>
              <w:autoSpaceDN w:val="0"/>
              <w:bidi w:val="0"/>
              <w:adjustRightInd w:val="0"/>
              <w:snapToGrid/>
              <w:spacing w:line="360" w:lineRule="exact"/>
              <w:rPr>
                <w:rFonts w:ascii="宋体" w:hAnsi="宋体" w:cs="宋体"/>
                <w:color w:val="auto"/>
                <w:szCs w:val="21"/>
                <w:highlight w:val="none"/>
              </w:rPr>
            </w:pPr>
            <w:r>
              <w:rPr>
                <w:rFonts w:hint="eastAsia" w:ascii="宋体" w:hAnsi="宋体"/>
                <w:color w:val="auto"/>
                <w:kern w:val="0"/>
                <w:szCs w:val="21"/>
                <w:highlight w:val="none"/>
              </w:rPr>
              <w:t>（以上均须在响应</w:t>
            </w:r>
            <w:r>
              <w:rPr>
                <w:rFonts w:ascii="宋体" w:hAnsi="宋体"/>
                <w:color w:val="auto"/>
                <w:kern w:val="0"/>
                <w:szCs w:val="21"/>
                <w:highlight w:val="none"/>
              </w:rPr>
              <w:t>文件中</w:t>
            </w:r>
            <w:r>
              <w:rPr>
                <w:rFonts w:hint="eastAsia" w:ascii="宋体" w:hAnsi="宋体"/>
                <w:color w:val="auto"/>
                <w:kern w:val="0"/>
                <w:szCs w:val="21"/>
                <w:highlight w:val="none"/>
              </w:rPr>
              <w:t>提供合同书复印件，复印件加盖供应商公章）</w:t>
            </w:r>
          </w:p>
        </w:tc>
        <w:tc>
          <w:tcPr>
            <w:tcW w:w="836" w:type="dxa"/>
            <w:noWrap w:val="0"/>
            <w:vAlign w:val="center"/>
          </w:tcPr>
          <w:p w14:paraId="3D7122DF">
            <w:pPr>
              <w:keepNext w:val="0"/>
              <w:keepLines w:val="0"/>
              <w:pageBreakBefore w:val="0"/>
              <w:widowControl/>
              <w:kinsoku/>
              <w:wordWrap/>
              <w:overflowPunct/>
              <w:topLinePunct w:val="0"/>
              <w:bidi w:val="0"/>
              <w:snapToGrid/>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6</w:t>
            </w:r>
            <w:r>
              <w:rPr>
                <w:rFonts w:hint="eastAsia" w:ascii="宋体" w:hAnsi="宋体" w:cs="Tahoma"/>
                <w:color w:val="auto"/>
                <w:kern w:val="0"/>
                <w:szCs w:val="21"/>
                <w:highlight w:val="none"/>
              </w:rPr>
              <w:t>分</w:t>
            </w:r>
          </w:p>
        </w:tc>
      </w:tr>
      <w:tr w14:paraId="4C7A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83" w:type="dxa"/>
            <w:gridSpan w:val="4"/>
            <w:noWrap w:val="0"/>
            <w:vAlign w:val="top"/>
          </w:tcPr>
          <w:p w14:paraId="32896078">
            <w:pPr>
              <w:pStyle w:val="27"/>
              <w:keepNext w:val="0"/>
              <w:keepLines w:val="0"/>
              <w:pageBreakBefore w:val="0"/>
              <w:kinsoku/>
              <w:wordWrap/>
              <w:overflowPunct/>
              <w:topLinePunct w:val="0"/>
              <w:bidi w:val="0"/>
              <w:snapToGrid/>
              <w:spacing w:line="360" w:lineRule="exact"/>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总得分＝1＋2＋3</w:t>
            </w:r>
          </w:p>
        </w:tc>
        <w:tc>
          <w:tcPr>
            <w:tcW w:w="836" w:type="dxa"/>
            <w:noWrap w:val="0"/>
            <w:vAlign w:val="center"/>
          </w:tcPr>
          <w:p w14:paraId="22DE9A5F">
            <w:pPr>
              <w:keepNext w:val="0"/>
              <w:keepLines w:val="0"/>
              <w:pageBreakBefore w:val="0"/>
              <w:widowControl/>
              <w:kinsoku/>
              <w:wordWrap/>
              <w:overflowPunct/>
              <w:topLinePunct w:val="0"/>
              <w:bidi w:val="0"/>
              <w:snapToGrid/>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100分</w:t>
            </w:r>
          </w:p>
        </w:tc>
      </w:tr>
    </w:tbl>
    <w:p w14:paraId="763443E3">
      <w:pPr>
        <w:pStyle w:val="2"/>
        <w:jc w:val="center"/>
        <w:rPr>
          <w:color w:val="auto"/>
          <w:highlight w:val="none"/>
        </w:rPr>
      </w:pPr>
      <w:r>
        <w:rPr>
          <w:rFonts w:ascii="宋体" w:hAnsi="宋体" w:cs="宋体"/>
          <w:color w:val="auto"/>
          <w:highlight w:val="none"/>
        </w:rPr>
        <w:br w:type="page"/>
      </w:r>
      <w:bookmarkStart w:id="80" w:name="_Toc30067"/>
      <w:r>
        <w:rPr>
          <w:rFonts w:hint="eastAsia"/>
          <w:color w:val="auto"/>
          <w:highlight w:val="none"/>
        </w:rPr>
        <w:t>第五章工程量清单及图纸</w:t>
      </w:r>
      <w:bookmarkEnd w:id="80"/>
    </w:p>
    <w:p w14:paraId="2696D894">
      <w:pPr>
        <w:pStyle w:val="3"/>
        <w:spacing w:before="0" w:after="0" w:line="360" w:lineRule="auto"/>
        <w:rPr>
          <w:color w:val="auto"/>
          <w:kern w:val="44"/>
          <w:highlight w:val="none"/>
        </w:rPr>
      </w:pPr>
      <w:bookmarkStart w:id="81" w:name="_Toc1386396751"/>
      <w:bookmarkStart w:id="82" w:name="_Toc78449869"/>
      <w:bookmarkStart w:id="83" w:name="_Toc1392571603"/>
      <w:bookmarkStart w:id="84" w:name="_Toc407135284"/>
      <w:r>
        <w:rPr>
          <w:color w:val="auto"/>
          <w:highlight w:val="none"/>
        </w:rPr>
        <w:t>1</w:t>
      </w:r>
      <w:r>
        <w:rPr>
          <w:rFonts w:hint="eastAsia"/>
          <w:color w:val="auto"/>
          <w:highlight w:val="none"/>
        </w:rPr>
        <w:t>.</w:t>
      </w:r>
      <w:r>
        <w:rPr>
          <w:rFonts w:hint="eastAsia" w:cs="黑体"/>
          <w:color w:val="auto"/>
          <w:highlight w:val="none"/>
        </w:rPr>
        <w:t>工程量清单编制说明</w:t>
      </w:r>
      <w:bookmarkEnd w:id="81"/>
      <w:bookmarkEnd w:id="82"/>
      <w:bookmarkEnd w:id="83"/>
      <w:bookmarkEnd w:id="84"/>
    </w:p>
    <w:p w14:paraId="274A4E60">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本工程量清单依据建设工程工程量清单计价规范》(GB50500-2013)（修订本）、《建设工程量清单计价规范》（GB50854～50862-2013）广西壮族自治区实施细则（修订本）</w:t>
      </w:r>
      <w:r>
        <w:rPr>
          <w:rFonts w:hint="eastAsia" w:hAnsi="宋体" w:cs="宋体"/>
          <w:color w:val="auto"/>
          <w:kern w:val="0"/>
          <w:highlight w:val="none"/>
        </w:rPr>
        <w:t>、磋商文件</w:t>
      </w:r>
      <w:r>
        <w:rPr>
          <w:rFonts w:hint="eastAsia" w:hAnsi="宋体" w:cs="宋体"/>
          <w:color w:val="auto"/>
          <w:highlight w:val="none"/>
        </w:rPr>
        <w:t>、施工图等编制。计算规范中没有的清单项目，应在本章第</w:t>
      </w:r>
      <w:r>
        <w:rPr>
          <w:color w:val="auto"/>
          <w:highlight w:val="none"/>
        </w:rPr>
        <w:t>1.4</w:t>
      </w:r>
      <w:r>
        <w:rPr>
          <w:rFonts w:hint="eastAsia" w:hAnsi="宋体" w:cs="宋体"/>
          <w:color w:val="auto"/>
          <w:highlight w:val="none"/>
        </w:rPr>
        <w:t>款约定。</w:t>
      </w:r>
    </w:p>
    <w:p w14:paraId="660AF019">
      <w:pPr>
        <w:spacing w:line="360" w:lineRule="auto"/>
        <w:ind w:firstLine="420" w:firstLineChars="200"/>
        <w:rPr>
          <w:color w:val="auto"/>
          <w:highlight w:val="none"/>
        </w:rPr>
      </w:pPr>
      <w:r>
        <w:rPr>
          <w:color w:val="auto"/>
          <w:highlight w:val="none"/>
        </w:rPr>
        <w:t xml:space="preserve">1.2 </w:t>
      </w:r>
      <w:r>
        <w:rPr>
          <w:rFonts w:hint="eastAsia"/>
          <w:color w:val="auto"/>
          <w:highlight w:val="none"/>
        </w:rPr>
        <w:t>工程量清单应与供应商须知、合同协议条款、合同的通用条款、合同专用条款、技术规范及图纸等文件一起结合使用。</w:t>
      </w:r>
    </w:p>
    <w:p w14:paraId="728D3EE5">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工程量清单是磋商文件的组成部分，是工程量清单计价的基础，作为编制招标控制价、竞标报价、计算或调整工程量、索赔等的依据之一。</w:t>
      </w:r>
    </w:p>
    <w:p w14:paraId="32D90940">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rFonts w:hint="eastAsia"/>
          <w:color w:val="auto"/>
          <w:highlight w:val="none"/>
        </w:rPr>
        <w:t>无</w:t>
      </w:r>
      <w:r>
        <w:rPr>
          <w:rFonts w:hint="eastAsia" w:hAnsi="宋体" w:cs="宋体"/>
          <w:color w:val="auto"/>
          <w:highlight w:val="none"/>
        </w:rPr>
        <w:t>。</w:t>
      </w:r>
    </w:p>
    <w:p w14:paraId="0B0E6AD5">
      <w:pPr>
        <w:pStyle w:val="27"/>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1.5 </w:t>
      </w:r>
      <w:r>
        <w:rPr>
          <w:rFonts w:hint="eastAsia" w:ascii="Times New Roman" w:hAnsi="Times New Roman"/>
          <w:color w:val="auto"/>
          <w:sz w:val="21"/>
          <w:highlight w:val="none"/>
        </w:rPr>
        <w:t>《允许调整主要材料和工程设备一览表》（表</w:t>
      </w:r>
      <w:r>
        <w:rPr>
          <w:rFonts w:ascii="Times New Roman" w:hAnsi="Times New Roman"/>
          <w:color w:val="auto"/>
          <w:sz w:val="21"/>
          <w:highlight w:val="none"/>
        </w:rPr>
        <w:t>-22</w:t>
      </w:r>
      <w:r>
        <w:rPr>
          <w:rFonts w:hint="eastAsia" w:ascii="Times New Roman" w:hAnsi="Times New Roman"/>
          <w:color w:val="auto"/>
          <w:sz w:val="21"/>
          <w:highlight w:val="none"/>
        </w:rPr>
        <w:t>，表格编号为计价规范相应表格编号，下同）作为项目实施过程中材料和设备价格风险调整依据。</w:t>
      </w:r>
    </w:p>
    <w:p w14:paraId="7AD28A98">
      <w:pPr>
        <w:pStyle w:val="27"/>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1.6 </w:t>
      </w:r>
      <w:r>
        <w:rPr>
          <w:rFonts w:hint="eastAsia" w:ascii="Times New Roman" w:hAnsi="Times New Roman"/>
          <w:color w:val="auto"/>
          <w:sz w:val="21"/>
          <w:highlight w:val="none"/>
        </w:rPr>
        <w:t>本工程暂列金额（约按合同造价</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u w:val="single"/>
        </w:rPr>
        <w:t>/</w:t>
      </w:r>
      <w:r>
        <w:rPr>
          <w:rFonts w:ascii="Times New Roman" w:hAnsi="Times New Roman"/>
          <w:color w:val="auto"/>
          <w:sz w:val="21"/>
          <w:highlight w:val="none"/>
          <w:u w:val="single"/>
        </w:rPr>
        <w:t xml:space="preserve">  </w:t>
      </w:r>
      <w:r>
        <w:rPr>
          <w:rFonts w:ascii="Times New Roman" w:hAnsi="Times New Roman"/>
          <w:color w:val="auto"/>
          <w:sz w:val="21"/>
          <w:highlight w:val="none"/>
        </w:rPr>
        <w:t>%</w:t>
      </w:r>
      <w:r>
        <w:rPr>
          <w:rFonts w:hint="eastAsia" w:ascii="Times New Roman" w:hAnsi="Times New Roman"/>
          <w:color w:val="auto"/>
          <w:sz w:val="21"/>
          <w:highlight w:val="none"/>
        </w:rPr>
        <w:t>计算），共</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rPr>
        <w:t>元，作为合同签订时尚未确定或者不可预见但施工中可能发生的费用。</w:t>
      </w:r>
    </w:p>
    <w:p w14:paraId="38A058AD">
      <w:pPr>
        <w:pStyle w:val="27"/>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1.7 </w:t>
      </w:r>
      <w:r>
        <w:rPr>
          <w:rFonts w:hint="eastAsia" w:ascii="Times New Roman" w:hAnsi="Times New Roman"/>
          <w:color w:val="auto"/>
          <w:sz w:val="21"/>
          <w:highlight w:val="none"/>
        </w:rPr>
        <w:t>本工程发包人提供的材料和设备详见《发包人提供的主要材料和工程设备一览表》（表</w:t>
      </w:r>
      <w:r>
        <w:rPr>
          <w:rFonts w:ascii="Times New Roman" w:hAnsi="Times New Roman"/>
          <w:color w:val="auto"/>
          <w:sz w:val="21"/>
          <w:highlight w:val="none"/>
        </w:rPr>
        <w:t>-21</w:t>
      </w:r>
      <w:r>
        <w:rPr>
          <w:rFonts w:hint="eastAsia" w:ascii="Times New Roman" w:hAnsi="Times New Roman"/>
          <w:color w:val="auto"/>
          <w:sz w:val="21"/>
          <w:highlight w:val="none"/>
        </w:rPr>
        <w:t>）。</w:t>
      </w:r>
    </w:p>
    <w:p w14:paraId="4A5DDA72">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28B25456">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561F48E2">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号的清单项目作为主要清单项目，需要供应商提供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1A1B7520">
      <w:pPr>
        <w:spacing w:line="360" w:lineRule="auto"/>
        <w:ind w:firstLine="420" w:firstLineChars="200"/>
        <w:rPr>
          <w:color w:val="auto"/>
          <w:highlight w:val="none"/>
        </w:rPr>
      </w:pPr>
      <w:r>
        <w:rPr>
          <w:color w:val="auto"/>
          <w:highlight w:val="none"/>
        </w:rPr>
        <w:t xml:space="preserve">1.11 </w:t>
      </w:r>
      <w:r>
        <w:rPr>
          <w:rFonts w:hint="eastAsia" w:cs="宋体"/>
          <w:color w:val="auto"/>
          <w:highlight w:val="none"/>
        </w:rPr>
        <w:t>其它需要说明的问题：</w:t>
      </w:r>
      <w:r>
        <w:rPr>
          <w:rFonts w:hint="eastAsia"/>
          <w:color w:val="auto"/>
          <w:highlight w:val="none"/>
          <w:u w:val="single"/>
        </w:rPr>
        <w:t>无</w:t>
      </w:r>
      <w:r>
        <w:rPr>
          <w:rFonts w:hint="eastAsia" w:cs="宋体"/>
          <w:color w:val="auto"/>
          <w:highlight w:val="none"/>
        </w:rPr>
        <w:t>。</w:t>
      </w:r>
    </w:p>
    <w:p w14:paraId="70360EF0">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工程量清单与磋商文件同时发布。</w:t>
      </w:r>
      <w:r>
        <w:rPr>
          <w:color w:val="auto"/>
          <w:highlight w:val="none"/>
        </w:rPr>
        <w:t xml:space="preserve"> </w:t>
      </w:r>
      <w:r>
        <w:rPr>
          <w:rFonts w:hint="eastAsia"/>
          <w:color w:val="auto"/>
          <w:highlight w:val="none"/>
        </w:rPr>
        <w:t>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w:t>
      </w:r>
      <w:r>
        <w:rPr>
          <w:rFonts w:hint="eastAsia" w:ascii="宋体" w:hAnsi="宋体" w:cs="宋体"/>
          <w:color w:val="auto"/>
          <w:highlight w:val="none"/>
        </w:rPr>
        <w:t>具体</w:t>
      </w:r>
      <w:r>
        <w:rPr>
          <w:rFonts w:hint="eastAsia" w:cs="宋体"/>
          <w:color w:val="auto"/>
          <w:highlight w:val="none"/>
        </w:rPr>
        <w:t>包括：</w:t>
      </w:r>
    </w:p>
    <w:p w14:paraId="23FDD7ED">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6E73B1C4">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06CA21BA">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44A7C9FB">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2FB5EA49">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A58BB50">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264EA42B">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1DB61516">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06A94D28">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1B646DC3">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1B7A7324">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7B2FBAE0">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57387BE0">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61A46B39">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2861D195">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0EAD8CD3">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2531E5A7">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2887D181">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w:t>
      </w:r>
    </w:p>
    <w:p w14:paraId="35417F29">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3003F1CE">
      <w:pPr>
        <w:spacing w:line="360" w:lineRule="auto"/>
        <w:ind w:firstLine="630" w:firstLineChars="300"/>
        <w:jc w:val="left"/>
        <w:rPr>
          <w:rFonts w:hint="eastAsia" w:cs="宋体"/>
          <w:color w:val="auto"/>
          <w:highlight w:val="none"/>
        </w:rPr>
      </w:pPr>
      <w:r>
        <w:rPr>
          <w:rFonts w:hint="eastAsia" w:cs="宋体"/>
          <w:color w:val="auto"/>
          <w:highlight w:val="none"/>
        </w:rPr>
        <w:t>1.20本工程</w:t>
      </w:r>
      <w:r>
        <w:rPr>
          <w:rFonts w:cs="宋体"/>
          <w:color w:val="auto"/>
          <w:highlight w:val="none"/>
          <w:lang w:val="en"/>
        </w:rPr>
        <w:t>材料和工程设备</w:t>
      </w:r>
      <w:r>
        <w:rPr>
          <w:rFonts w:hint="eastAsia" w:cs="宋体"/>
          <w:color w:val="auto"/>
          <w:highlight w:val="none"/>
        </w:rPr>
        <w:t>一览表（表-24）</w:t>
      </w:r>
    </w:p>
    <w:p w14:paraId="23288C4F">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cs="宋体"/>
          <w:color w:val="auto"/>
          <w:highlight w:val="none"/>
          <w:lang w:val="e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）载明的主要材料和工程设备为本工程允许调整材料和工程设备，工程量清单必须提供该表格，并应载明允许调整材料和工程设备名称型号规格、单位、风险系数、基准单价等内容，且不能提供空白表。</w:t>
      </w:r>
    </w:p>
    <w:p w14:paraId="779F5633">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以下表格视工程实际需要选用，如该工程不发生如下表格相关项目和费用，所编制工程量清单则不需列入相应表格：</w:t>
      </w:r>
    </w:p>
    <w:p w14:paraId="784E3E29">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664DFB9C">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31E31221">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3322DDC2">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0101A068">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41E87395">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4973C9E1">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4D88DBC9">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723CE3D3">
      <w:pPr>
        <w:pStyle w:val="3"/>
        <w:spacing w:before="0" w:after="0" w:line="360" w:lineRule="auto"/>
        <w:rPr>
          <w:color w:val="auto"/>
          <w:highlight w:val="none"/>
        </w:rPr>
      </w:pPr>
      <w:bookmarkStart w:id="85" w:name="_Toc78449870"/>
      <w:bookmarkStart w:id="86" w:name="_Toc407135285"/>
      <w:bookmarkStart w:id="87" w:name="_Toc990933621"/>
      <w:bookmarkStart w:id="88" w:name="_Toc347872619"/>
      <w:r>
        <w:rPr>
          <w:color w:val="auto"/>
          <w:highlight w:val="none"/>
        </w:rPr>
        <w:t>2</w:t>
      </w:r>
      <w:r>
        <w:rPr>
          <w:rFonts w:hint="eastAsia"/>
          <w:color w:val="auto"/>
          <w:highlight w:val="none"/>
        </w:rPr>
        <w:t>.</w:t>
      </w:r>
      <w:r>
        <w:rPr>
          <w:rFonts w:hint="eastAsia" w:cs="黑体"/>
          <w:color w:val="auto"/>
          <w:highlight w:val="none"/>
        </w:rPr>
        <w:t>招标控制价编制说明</w:t>
      </w:r>
      <w:bookmarkEnd w:id="85"/>
      <w:bookmarkEnd w:id="86"/>
      <w:bookmarkEnd w:id="87"/>
      <w:bookmarkEnd w:id="88"/>
    </w:p>
    <w:p w14:paraId="2E45B8DC">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53CE970B">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016F1D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highlight w:val="none"/>
        </w:rPr>
      </w:pPr>
      <w:r>
        <w:rPr>
          <w:rFonts w:hint="eastAsia" w:eastAsia="宋体" w:cs="宋体"/>
          <w:color w:val="auto"/>
          <w:highlight w:val="none"/>
        </w:rPr>
        <w:t>（2）自治区住房城乡建设行政主管部门颁发的计价定额及有关规定：</w:t>
      </w:r>
      <w:r>
        <w:rPr>
          <w:rFonts w:hint="eastAsia" w:eastAsia="宋体" w:cs="宋体"/>
          <w:color w:val="auto"/>
          <w:highlight w:val="none"/>
          <w:u w:val="single"/>
        </w:rPr>
        <w:t>按现行有关规定</w:t>
      </w:r>
      <w:r>
        <w:rPr>
          <w:rFonts w:hint="eastAsia" w:eastAsia="宋体" w:cs="宋体"/>
          <w:color w:val="auto"/>
          <w:highlight w:val="none"/>
        </w:rPr>
        <w:t>。</w:t>
      </w:r>
    </w:p>
    <w:p w14:paraId="70119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rFonts w:hint="eastAsia" w:eastAsia="宋体" w:cs="宋体"/>
          <w:color w:val="auto"/>
          <w:highlight w:val="none"/>
        </w:rPr>
        <w:t>（3）建设工程设计文件及相关资料：</w:t>
      </w:r>
      <w:r>
        <w:rPr>
          <w:rFonts w:hint="eastAsia" w:eastAsia="宋体" w:cs="宋体"/>
          <w:color w:val="auto"/>
          <w:highlight w:val="none"/>
          <w:u w:val="single"/>
        </w:rPr>
        <w:t>按现行有关规定</w:t>
      </w:r>
      <w:r>
        <w:rPr>
          <w:rFonts w:hint="eastAsia" w:eastAsia="宋体" w:cs="宋体"/>
          <w:color w:val="auto"/>
          <w:highlight w:val="none"/>
        </w:rPr>
        <w:t xml:space="preserve">。 </w:t>
      </w:r>
    </w:p>
    <w:p w14:paraId="6475370D">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）本工程磋商文件及工程量清单；</w:t>
      </w:r>
    </w:p>
    <w:p w14:paraId="62D3841A">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6A7772C2">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78A92FD2">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rFonts w:hint="eastAsia"/>
          <w:color w:val="auto"/>
          <w:highlight w:val="none"/>
          <w:u w:val="single"/>
          <w:lang w:eastAsia="zh-CN"/>
        </w:rPr>
        <w:t>贺州</w:t>
      </w:r>
      <w:r>
        <w:rPr>
          <w:rFonts w:hint="eastAsia" w:cs="宋体"/>
          <w:color w:val="auto"/>
          <w:highlight w:val="none"/>
        </w:rPr>
        <w:t>市建设工程造价管理机构发布的工程造价信息</w:t>
      </w:r>
      <w:r>
        <w:rPr>
          <w:rFonts w:cs="宋体"/>
          <w:color w:val="auto"/>
          <w:highlight w:val="none"/>
        </w:rPr>
        <w:t>价</w:t>
      </w:r>
      <w:r>
        <w:rPr>
          <w:rFonts w:hint="eastAsia" w:cs="宋体"/>
          <w:color w:val="auto"/>
          <w:highlight w:val="none"/>
          <w:u w:val="single"/>
          <w:lang w:val="en-US" w:eastAsia="zh-CN"/>
        </w:rPr>
        <w:t>2024年第5期</w:t>
      </w:r>
      <w:r>
        <w:rPr>
          <w:rFonts w:hint="eastAsia" w:cs="宋体"/>
          <w:color w:val="auto"/>
          <w:highlight w:val="none"/>
        </w:rPr>
        <w:t>，不足部分参考市场定价</w:t>
      </w:r>
      <w:r>
        <w:rPr>
          <w:rFonts w:hint="eastAsia" w:hAnsi="宋体" w:cs="宋体"/>
          <w:color w:val="auto"/>
          <w:highlight w:val="none"/>
        </w:rPr>
        <w:t>。</w:t>
      </w:r>
    </w:p>
    <w:p w14:paraId="1D37DE8B">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分部分项及单价措施项目综合单价应包括磋商文件中采购人要求供应商所承担的风险内容及其范围（幅度）产生的风险费用。</w:t>
      </w:r>
    </w:p>
    <w:p w14:paraId="4898CAF6">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总价措施项目应根据拟定的磋商文件和常规施工方案按《计价规范》和《计算规范》规定编制。</w:t>
      </w:r>
    </w:p>
    <w:p w14:paraId="256DC002">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1BF13E9E">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47A35B7E">
      <w:pPr>
        <w:pStyle w:val="198"/>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39273426">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p>
    <w:p w14:paraId="5CEB164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p>
    <w:p w14:paraId="0B1CDCEC">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2D7F2D9A">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（6）对建设单位创建优质工程的，鼓励在招标控制价和预算中按广西区工程建设定额规定计列工程优质费，并明确工程优质费不可竞争。</w:t>
      </w:r>
    </w:p>
    <w:p w14:paraId="5FD3EEA9">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2D534A70">
      <w:pPr>
        <w:spacing w:line="360" w:lineRule="auto"/>
        <w:ind w:firstLine="42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rFonts w:hint="eastAsia"/>
          <w:color w:val="auto"/>
          <w:highlight w:val="none"/>
          <w:u w:val="single"/>
        </w:rPr>
        <w:t>无</w:t>
      </w:r>
      <w:r>
        <w:rPr>
          <w:rFonts w:hint="eastAsia" w:hAnsi="宋体" w:cs="宋体"/>
          <w:color w:val="auto"/>
          <w:highlight w:val="none"/>
        </w:rPr>
        <w:t>。</w:t>
      </w:r>
    </w:p>
    <w:p w14:paraId="60CADE2F">
      <w:pPr>
        <w:pStyle w:val="3"/>
        <w:spacing w:before="0" w:after="0" w:line="360" w:lineRule="auto"/>
        <w:rPr>
          <w:color w:val="auto"/>
          <w:highlight w:val="none"/>
        </w:rPr>
      </w:pPr>
      <w:bookmarkStart w:id="89" w:name="_Toc78449871"/>
      <w:bookmarkStart w:id="90" w:name="_Toc378483916"/>
      <w:bookmarkStart w:id="91" w:name="_Toc407135286"/>
      <w:bookmarkStart w:id="92" w:name="_Toc879821176"/>
      <w:r>
        <w:rPr>
          <w:color w:val="auto"/>
          <w:highlight w:val="none"/>
        </w:rPr>
        <w:t>3</w:t>
      </w:r>
      <w:r>
        <w:rPr>
          <w:rFonts w:hint="eastAsia"/>
          <w:color w:val="auto"/>
          <w:highlight w:val="none"/>
        </w:rPr>
        <w:t>.</w:t>
      </w:r>
      <w:r>
        <w:rPr>
          <w:rFonts w:hint="eastAsia" w:cs="黑体"/>
          <w:color w:val="auto"/>
          <w:highlight w:val="none"/>
        </w:rPr>
        <w:t>竞标报价（已标价工程量清单）编制说明</w:t>
      </w:r>
      <w:bookmarkEnd w:id="89"/>
      <w:bookmarkEnd w:id="90"/>
      <w:bookmarkEnd w:id="91"/>
      <w:bookmarkEnd w:id="92"/>
    </w:p>
    <w:p w14:paraId="41C52684">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供应商应依据磋商文件、工程量清单以及《计价规范》、《计算规范》自主报价，自主报价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06EE7452">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供应商应按工程量清单填报价格。项目编码、项目名称、项目特征、计量单位、工程量必须与工程量清单一致，</w:t>
      </w:r>
      <w:r>
        <w:rPr>
          <w:rFonts w:hint="eastAsia" w:hAnsi="宋体" w:cs="宋体"/>
          <w:color w:val="auto"/>
          <w:highlight w:val="none"/>
        </w:rPr>
        <w:t>供应商不得对工程量清单项目进行增减调整。</w:t>
      </w:r>
    </w:p>
    <w:p w14:paraId="6BDF55F4">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综合单价中应包含磋商文件中划分的应由供应商承担的风险范围及其费用。</w:t>
      </w:r>
    </w:p>
    <w:p w14:paraId="060C6B6C">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2CDE86F4">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总价措施项目的金额应根据磋商文件及竞标时拟定的施工组织设计或施工方案，按计价规范的规定自主确定。但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245C2EF0">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044985D3">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3E93CA9B">
      <w:pPr>
        <w:pStyle w:val="198"/>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46257FC4">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p>
    <w:p w14:paraId="29D57ED9">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）计日工应按工程量清单中列出的项目和估算数量，自主确定综合单价并计算计日工总额；计日工单价均不含规费和税金；</w:t>
      </w:r>
    </w:p>
    <w:p w14:paraId="22A8AADC">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）总承包服务费应根据工程量清单中列出的内容</w:t>
      </w:r>
      <w:r>
        <w:rPr>
          <w:rFonts w:hint="eastAsia" w:hAnsi="宋体" w:cs="宋体"/>
          <w:color w:val="auto"/>
          <w:highlight w:val="none"/>
        </w:rPr>
        <w:t>和供应材料、设备情况，按照采购人提出的协调、配合与服务要求和施工现场管理需要</w:t>
      </w:r>
      <w:r>
        <w:rPr>
          <w:rFonts w:hint="eastAsia" w:cs="宋体"/>
          <w:color w:val="auto"/>
          <w:highlight w:val="none"/>
        </w:rPr>
        <w:t>自主确定。</w:t>
      </w:r>
    </w:p>
    <w:p w14:paraId="1E731D2B">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176E0F25">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29B687B5">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655CE745">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6169E379">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供应商应按《允许调整主要材料和工程设备一览表》的内容填报，不得擅自调整材料和设备名称型号规格、单位、风险系数、基准单价。</w:t>
      </w:r>
    </w:p>
    <w:p w14:paraId="5EC76F4B">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竞标报价</w:t>
      </w:r>
      <w:r>
        <w:rPr>
          <w:rFonts w:hint="eastAsia" w:cs="宋体"/>
          <w:color w:val="auto"/>
          <w:highlight w:val="none"/>
        </w:rPr>
        <w:t>表格按本工程工程量清单表格要求填写，并</w:t>
      </w:r>
      <w:r>
        <w:rPr>
          <w:rFonts w:hint="eastAsia" w:hAnsi="宋体" w:cs="宋体"/>
          <w:color w:val="auto"/>
          <w:highlight w:val="none"/>
        </w:rPr>
        <w:t>应按磋商文件的要求，附上《工程量清单综合单价分析表》（表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4C697732">
      <w:pPr>
        <w:spacing w:line="360" w:lineRule="auto"/>
        <w:ind w:firstLine="420" w:firstLineChars="200"/>
        <w:rPr>
          <w:color w:val="auto"/>
          <w:highlight w:val="none"/>
          <w:u w:val="single"/>
        </w:rPr>
      </w:pPr>
      <w:r>
        <w:rPr>
          <w:rFonts w:hint="eastAsia" w:cs="宋体"/>
          <w:color w:val="auto"/>
          <w:highlight w:val="none"/>
        </w:rPr>
        <w:t>未尽事宜详见本工程工程量清单、招标控制价编制说明以及现行《计价规范》等有关规定执行。</w:t>
      </w:r>
    </w:p>
    <w:p w14:paraId="6F6BF8D3">
      <w:pPr>
        <w:spacing w:line="360" w:lineRule="auto"/>
        <w:ind w:firstLine="420" w:firstLineChars="200"/>
        <w:rPr>
          <w:rFonts w:hint="eastAsia" w:cs="宋体"/>
          <w:color w:val="auto"/>
          <w:highlight w:val="none"/>
        </w:rPr>
      </w:pPr>
      <w:r>
        <w:rPr>
          <w:rFonts w:hint="eastAsia" w:cs="宋体"/>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0A60308B">
      <w:pPr>
        <w:pStyle w:val="3"/>
        <w:spacing w:before="0" w:after="0" w:line="360" w:lineRule="auto"/>
        <w:rPr>
          <w:rFonts w:hint="eastAsia" w:cs="黑体"/>
          <w:color w:val="auto"/>
          <w:highlight w:val="none"/>
        </w:rPr>
      </w:pPr>
      <w:r>
        <w:rPr>
          <w:rFonts w:hint="eastAsia" w:cs="黑体"/>
          <w:color w:val="auto"/>
          <w:highlight w:val="none"/>
        </w:rPr>
        <w:t>4.工程量</w:t>
      </w:r>
      <w:r>
        <w:rPr>
          <w:rFonts w:cs="黑体"/>
          <w:color w:val="auto"/>
          <w:highlight w:val="none"/>
        </w:rPr>
        <w:t>清单和</w:t>
      </w:r>
      <w:r>
        <w:rPr>
          <w:rFonts w:hint="eastAsia" w:cs="黑体"/>
          <w:color w:val="auto"/>
          <w:highlight w:val="none"/>
        </w:rPr>
        <w:t>图纸（另册）</w:t>
      </w:r>
    </w:p>
    <w:p w14:paraId="771074D4">
      <w:pPr>
        <w:pStyle w:val="2"/>
        <w:spacing w:before="0" w:after="0" w:line="360" w:lineRule="auto"/>
        <w:jc w:val="center"/>
        <w:rPr>
          <w:rFonts w:ascii="宋体" w:hAnsi="宋体" w:cs="宋体"/>
          <w:color w:val="auto"/>
          <w:sz w:val="32"/>
          <w:szCs w:val="32"/>
          <w:highlight w:val="none"/>
        </w:rPr>
      </w:pPr>
      <w:r>
        <w:rPr>
          <w:color w:val="auto"/>
          <w:highlight w:val="none"/>
        </w:rPr>
        <w:br w:type="page"/>
      </w:r>
    </w:p>
    <w:p w14:paraId="27419BD6">
      <w:pPr>
        <w:pStyle w:val="4"/>
        <w:spacing w:before="0" w:after="0" w:line="360" w:lineRule="auto"/>
        <w:rPr>
          <w:color w:val="auto"/>
          <w:highlight w:val="none"/>
        </w:rPr>
      </w:pPr>
    </w:p>
    <w:p w14:paraId="0949BEA9">
      <w:pPr>
        <w:rPr>
          <w:color w:val="auto"/>
          <w:highlight w:val="none"/>
        </w:rPr>
      </w:pPr>
    </w:p>
    <w:p w14:paraId="2D3B252C">
      <w:pPr>
        <w:rPr>
          <w:color w:val="auto"/>
          <w:highlight w:val="none"/>
        </w:rPr>
      </w:pPr>
    </w:p>
    <w:p w14:paraId="259CF1E8">
      <w:pPr>
        <w:rPr>
          <w:color w:val="auto"/>
          <w:highlight w:val="none"/>
        </w:rPr>
      </w:pPr>
    </w:p>
    <w:p w14:paraId="1DC80FEE">
      <w:pPr>
        <w:rPr>
          <w:color w:val="auto"/>
          <w:highlight w:val="none"/>
        </w:rPr>
      </w:pPr>
    </w:p>
    <w:p w14:paraId="0EBD0F4D">
      <w:pPr>
        <w:rPr>
          <w:color w:val="auto"/>
          <w:highlight w:val="none"/>
        </w:rPr>
      </w:pPr>
    </w:p>
    <w:p w14:paraId="33CCD1E0">
      <w:pPr>
        <w:rPr>
          <w:color w:val="auto"/>
          <w:highlight w:val="none"/>
        </w:rPr>
      </w:pPr>
    </w:p>
    <w:p w14:paraId="05B8284B">
      <w:pPr>
        <w:rPr>
          <w:color w:val="auto"/>
          <w:highlight w:val="none"/>
        </w:rPr>
      </w:pPr>
    </w:p>
    <w:p w14:paraId="7C290873">
      <w:pPr>
        <w:rPr>
          <w:color w:val="auto"/>
          <w:highlight w:val="none"/>
        </w:rPr>
      </w:pPr>
    </w:p>
    <w:p w14:paraId="00DB1522">
      <w:pPr>
        <w:rPr>
          <w:color w:val="auto"/>
          <w:highlight w:val="none"/>
        </w:rPr>
      </w:pPr>
    </w:p>
    <w:p w14:paraId="770EBBF3">
      <w:pPr>
        <w:rPr>
          <w:color w:val="auto"/>
          <w:highlight w:val="none"/>
        </w:rPr>
      </w:pPr>
    </w:p>
    <w:p w14:paraId="35B672DD">
      <w:pPr>
        <w:rPr>
          <w:color w:val="auto"/>
          <w:highlight w:val="none"/>
        </w:rPr>
      </w:pPr>
    </w:p>
    <w:p w14:paraId="27211EDF">
      <w:pPr>
        <w:rPr>
          <w:color w:val="auto"/>
          <w:highlight w:val="none"/>
        </w:rPr>
      </w:pPr>
    </w:p>
    <w:p w14:paraId="38CABB8D">
      <w:pPr>
        <w:rPr>
          <w:color w:val="auto"/>
          <w:highlight w:val="none"/>
        </w:rPr>
      </w:pPr>
    </w:p>
    <w:p w14:paraId="5D8AE224">
      <w:pPr>
        <w:pStyle w:val="2"/>
        <w:jc w:val="center"/>
        <w:rPr>
          <w:color w:val="auto"/>
          <w:highlight w:val="none"/>
        </w:rPr>
      </w:pPr>
      <w:bookmarkStart w:id="93" w:name="_Toc17207"/>
      <w:r>
        <w:rPr>
          <w:rFonts w:hint="eastAsia"/>
          <w:color w:val="auto"/>
          <w:highlight w:val="none"/>
        </w:rPr>
        <w:t>第六章响应文件格式</w:t>
      </w:r>
      <w:bookmarkEnd w:id="93"/>
    </w:p>
    <w:p w14:paraId="6CD73590">
      <w:pPr>
        <w:spacing w:line="240" w:lineRule="atLeast"/>
        <w:rPr>
          <w:rFonts w:ascii="宋体" w:hAnsi="宋体"/>
          <w:b/>
          <w:color w:val="auto"/>
          <w:sz w:val="32"/>
          <w:szCs w:val="32"/>
          <w:highlight w:val="none"/>
        </w:rPr>
      </w:pPr>
    </w:p>
    <w:p w14:paraId="6BF79EA1">
      <w:pPr>
        <w:spacing w:line="240" w:lineRule="atLeast"/>
        <w:rPr>
          <w:rFonts w:ascii="宋体" w:hAnsi="宋体"/>
          <w:b/>
          <w:color w:val="auto"/>
          <w:sz w:val="32"/>
          <w:szCs w:val="32"/>
          <w:highlight w:val="none"/>
        </w:rPr>
      </w:pPr>
    </w:p>
    <w:p w14:paraId="077DCFDC">
      <w:pPr>
        <w:spacing w:line="240" w:lineRule="atLeast"/>
        <w:rPr>
          <w:rFonts w:ascii="宋体" w:hAnsi="宋体"/>
          <w:b/>
          <w:color w:val="auto"/>
          <w:sz w:val="32"/>
          <w:szCs w:val="32"/>
          <w:highlight w:val="none"/>
        </w:rPr>
      </w:pPr>
    </w:p>
    <w:p w14:paraId="03C0E147">
      <w:pPr>
        <w:spacing w:line="240" w:lineRule="atLeast"/>
        <w:rPr>
          <w:rFonts w:ascii="宋体" w:hAnsi="宋体"/>
          <w:b/>
          <w:color w:val="auto"/>
          <w:sz w:val="32"/>
          <w:szCs w:val="32"/>
          <w:highlight w:val="none"/>
        </w:rPr>
      </w:pPr>
    </w:p>
    <w:p w14:paraId="26AE31EA">
      <w:pPr>
        <w:spacing w:line="240" w:lineRule="atLeast"/>
        <w:rPr>
          <w:rFonts w:ascii="宋体" w:hAnsi="宋体"/>
          <w:b/>
          <w:color w:val="auto"/>
          <w:sz w:val="32"/>
          <w:szCs w:val="32"/>
          <w:highlight w:val="none"/>
        </w:rPr>
      </w:pPr>
    </w:p>
    <w:p w14:paraId="0209E276">
      <w:pPr>
        <w:spacing w:line="240" w:lineRule="atLeast"/>
        <w:rPr>
          <w:rFonts w:ascii="宋体" w:hAnsi="宋体"/>
          <w:b/>
          <w:color w:val="auto"/>
          <w:sz w:val="32"/>
          <w:szCs w:val="32"/>
          <w:highlight w:val="none"/>
        </w:rPr>
      </w:pPr>
    </w:p>
    <w:p w14:paraId="48A86B0F">
      <w:pPr>
        <w:spacing w:line="240" w:lineRule="atLeast"/>
        <w:rPr>
          <w:rFonts w:ascii="宋体" w:hAnsi="宋体"/>
          <w:b/>
          <w:color w:val="auto"/>
          <w:sz w:val="32"/>
          <w:szCs w:val="32"/>
          <w:highlight w:val="none"/>
        </w:rPr>
      </w:pPr>
    </w:p>
    <w:p w14:paraId="6A429F79">
      <w:pPr>
        <w:spacing w:line="240" w:lineRule="atLeast"/>
        <w:rPr>
          <w:rFonts w:ascii="宋体" w:hAnsi="宋体"/>
          <w:b/>
          <w:color w:val="auto"/>
          <w:sz w:val="32"/>
          <w:szCs w:val="32"/>
          <w:highlight w:val="none"/>
        </w:rPr>
      </w:pPr>
    </w:p>
    <w:p w14:paraId="1864F943">
      <w:pPr>
        <w:spacing w:line="240" w:lineRule="atLeast"/>
        <w:rPr>
          <w:rFonts w:ascii="宋体" w:hAnsi="宋体"/>
          <w:b/>
          <w:color w:val="auto"/>
          <w:sz w:val="32"/>
          <w:szCs w:val="32"/>
          <w:highlight w:val="none"/>
        </w:rPr>
      </w:pPr>
    </w:p>
    <w:p w14:paraId="072FB3CC">
      <w:pPr>
        <w:spacing w:line="240" w:lineRule="atLeast"/>
        <w:rPr>
          <w:rFonts w:ascii="宋体" w:hAnsi="宋体"/>
          <w:b/>
          <w:color w:val="auto"/>
          <w:sz w:val="32"/>
          <w:szCs w:val="32"/>
          <w:highlight w:val="none"/>
        </w:rPr>
      </w:pPr>
    </w:p>
    <w:p w14:paraId="03C30F54">
      <w:pPr>
        <w:spacing w:line="240" w:lineRule="atLeast"/>
        <w:rPr>
          <w:rFonts w:ascii="宋体" w:hAnsi="宋体"/>
          <w:b/>
          <w:color w:val="auto"/>
          <w:sz w:val="32"/>
          <w:szCs w:val="32"/>
          <w:highlight w:val="none"/>
        </w:rPr>
      </w:pPr>
    </w:p>
    <w:p w14:paraId="04C26285">
      <w:pPr>
        <w:snapToGrid w:val="0"/>
        <w:spacing w:before="50" w:after="50"/>
        <w:outlineLvl w:val="1"/>
        <w:rPr>
          <w:rFonts w:ascii="宋体" w:hAnsi="宋体"/>
          <w:b/>
          <w:bCs/>
          <w:color w:val="auto"/>
          <w:sz w:val="24"/>
          <w:highlight w:val="none"/>
        </w:rPr>
      </w:pPr>
    </w:p>
    <w:p w14:paraId="1AF72F68">
      <w:pPr>
        <w:snapToGrid w:val="0"/>
        <w:spacing w:beforeLines="50" w:after="50"/>
        <w:jc w:val="center"/>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br w:type="page"/>
      </w:r>
    </w:p>
    <w:p w14:paraId="180481B7">
      <w:pPr>
        <w:rPr>
          <w:b/>
          <w:color w:val="auto"/>
          <w:sz w:val="32"/>
          <w:szCs w:val="32"/>
          <w:highlight w:val="none"/>
        </w:rPr>
      </w:pPr>
      <w:bookmarkStart w:id="94" w:name="_Toc71366186"/>
      <w:bookmarkStart w:id="95" w:name="_Toc35611438"/>
      <w:bookmarkStart w:id="96" w:name="_Toc31723070"/>
      <w:bookmarkStart w:id="97" w:name="_Toc31728084"/>
      <w:bookmarkStart w:id="98" w:name="_Toc44229899"/>
      <w:bookmarkStart w:id="99" w:name="_Toc35611516"/>
      <w:r>
        <w:rPr>
          <w:rFonts w:hint="eastAsia"/>
          <w:b/>
          <w:color w:val="auto"/>
          <w:sz w:val="32"/>
          <w:szCs w:val="32"/>
          <w:highlight w:val="none"/>
        </w:rPr>
        <w:t>一、资格证明文件格式</w:t>
      </w:r>
      <w:bookmarkEnd w:id="94"/>
      <w:bookmarkEnd w:id="95"/>
      <w:bookmarkEnd w:id="96"/>
      <w:bookmarkEnd w:id="97"/>
      <w:bookmarkEnd w:id="98"/>
      <w:bookmarkEnd w:id="99"/>
    </w:p>
    <w:p w14:paraId="32659BA7">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41859FCD">
      <w:pPr>
        <w:snapToGrid w:val="0"/>
        <w:spacing w:beforeLines="50" w:after="50"/>
        <w:jc w:val="center"/>
        <w:rPr>
          <w:rFonts w:ascii="宋体" w:hAnsi="宋体"/>
          <w:color w:val="auto"/>
          <w:sz w:val="44"/>
          <w:szCs w:val="44"/>
          <w:highlight w:val="none"/>
        </w:rPr>
      </w:pPr>
    </w:p>
    <w:p w14:paraId="6332AAEB">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1661393E">
      <w:pPr>
        <w:snapToGrid w:val="0"/>
        <w:spacing w:beforeLines="50" w:after="50"/>
        <w:rPr>
          <w:rFonts w:ascii="宋体" w:hAnsi="宋体"/>
          <w:color w:val="auto"/>
          <w:sz w:val="24"/>
          <w:szCs w:val="20"/>
          <w:highlight w:val="none"/>
        </w:rPr>
      </w:pPr>
    </w:p>
    <w:p w14:paraId="4BFCD187">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5F3DE1F3">
      <w:pPr>
        <w:snapToGrid w:val="0"/>
        <w:spacing w:beforeLines="50" w:after="50"/>
        <w:rPr>
          <w:rFonts w:ascii="宋体" w:hAnsi="宋体"/>
          <w:bCs/>
          <w:color w:val="auto"/>
          <w:sz w:val="24"/>
          <w:szCs w:val="20"/>
          <w:highlight w:val="none"/>
        </w:rPr>
      </w:pPr>
    </w:p>
    <w:p w14:paraId="188996EC">
      <w:pPr>
        <w:snapToGrid w:val="0"/>
        <w:spacing w:beforeLines="50" w:after="50"/>
        <w:rPr>
          <w:rFonts w:ascii="宋体" w:hAnsi="宋体"/>
          <w:bCs/>
          <w:color w:val="auto"/>
          <w:sz w:val="24"/>
          <w:szCs w:val="20"/>
          <w:highlight w:val="none"/>
        </w:rPr>
      </w:pPr>
    </w:p>
    <w:p w14:paraId="4F6864F9">
      <w:pPr>
        <w:snapToGrid w:val="0"/>
        <w:spacing w:beforeLines="50" w:after="50"/>
        <w:rPr>
          <w:rFonts w:ascii="宋体" w:hAnsi="宋体"/>
          <w:bCs/>
          <w:color w:val="auto"/>
          <w:sz w:val="24"/>
          <w:szCs w:val="20"/>
          <w:highlight w:val="none"/>
        </w:rPr>
      </w:pPr>
    </w:p>
    <w:p w14:paraId="5318FBFE">
      <w:pPr>
        <w:snapToGrid w:val="0"/>
        <w:spacing w:beforeLines="50" w:after="50"/>
        <w:rPr>
          <w:rFonts w:ascii="宋体" w:hAnsi="宋体"/>
          <w:bCs/>
          <w:color w:val="auto"/>
          <w:sz w:val="24"/>
          <w:szCs w:val="20"/>
          <w:highlight w:val="none"/>
        </w:rPr>
      </w:pPr>
    </w:p>
    <w:p w14:paraId="297655A7">
      <w:pPr>
        <w:snapToGrid w:val="0"/>
        <w:spacing w:beforeLines="50" w:after="50"/>
        <w:rPr>
          <w:rFonts w:ascii="宋体" w:hAnsi="宋体"/>
          <w:bCs/>
          <w:color w:val="auto"/>
          <w:sz w:val="24"/>
          <w:szCs w:val="20"/>
          <w:highlight w:val="none"/>
        </w:rPr>
      </w:pPr>
    </w:p>
    <w:p w14:paraId="5DC1D5B4">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134C5F0">
      <w:pPr>
        <w:snapToGrid w:val="0"/>
        <w:spacing w:beforeLines="50" w:after="50"/>
        <w:ind w:firstLine="720" w:firstLineChars="225"/>
        <w:rPr>
          <w:rFonts w:ascii="宋体" w:hAnsi="宋体" w:cs="仿宋_GB2312"/>
          <w:bCs/>
          <w:color w:val="auto"/>
          <w:sz w:val="32"/>
          <w:szCs w:val="32"/>
          <w:highlight w:val="none"/>
        </w:rPr>
      </w:pPr>
    </w:p>
    <w:p w14:paraId="0B059910">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24613B4">
      <w:pPr>
        <w:snapToGrid w:val="0"/>
        <w:spacing w:beforeLines="50" w:after="50"/>
        <w:ind w:firstLine="720" w:firstLineChars="225"/>
        <w:rPr>
          <w:rFonts w:ascii="宋体" w:hAnsi="宋体" w:cs="仿宋_GB2312"/>
          <w:bCs/>
          <w:color w:val="auto"/>
          <w:sz w:val="32"/>
          <w:szCs w:val="32"/>
          <w:highlight w:val="none"/>
        </w:rPr>
      </w:pPr>
    </w:p>
    <w:p w14:paraId="2582A3C7">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78B888F">
      <w:pPr>
        <w:snapToGrid w:val="0"/>
        <w:spacing w:beforeLines="50" w:after="50"/>
        <w:ind w:firstLine="720" w:firstLineChars="225"/>
        <w:rPr>
          <w:rFonts w:ascii="宋体" w:hAnsi="宋体" w:cs="仿宋_GB2312"/>
          <w:bCs/>
          <w:color w:val="auto"/>
          <w:sz w:val="32"/>
          <w:szCs w:val="32"/>
          <w:highlight w:val="none"/>
        </w:rPr>
      </w:pPr>
    </w:p>
    <w:p w14:paraId="423423F4">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4DE72AC">
      <w:pPr>
        <w:snapToGrid w:val="0"/>
        <w:spacing w:beforeLines="50" w:after="50"/>
        <w:ind w:firstLine="640" w:firstLineChars="200"/>
        <w:rPr>
          <w:rFonts w:ascii="宋体" w:hAnsi="宋体" w:cs="仿宋_GB2312"/>
          <w:bCs/>
          <w:color w:val="auto"/>
          <w:sz w:val="32"/>
          <w:szCs w:val="32"/>
          <w:highlight w:val="none"/>
        </w:rPr>
      </w:pPr>
    </w:p>
    <w:p w14:paraId="57FD18AA">
      <w:pPr>
        <w:pStyle w:val="7"/>
        <w:snapToGrid w:val="0"/>
        <w:spacing w:before="50" w:after="50"/>
        <w:ind w:firstLine="720" w:firstLineChars="225"/>
        <w:rPr>
          <w:rFonts w:ascii="宋体" w:hAnsi="宋体" w:cs="仿宋_GB2312"/>
          <w:bCs/>
          <w:color w:val="auto"/>
          <w:sz w:val="32"/>
          <w:szCs w:val="32"/>
          <w:highlight w:val="none"/>
        </w:rPr>
      </w:pPr>
    </w:p>
    <w:p w14:paraId="1A733733">
      <w:pPr>
        <w:pStyle w:val="7"/>
        <w:snapToGrid w:val="0"/>
        <w:spacing w:before="50" w:after="50"/>
        <w:ind w:firstLine="720" w:firstLineChars="225"/>
        <w:rPr>
          <w:rFonts w:ascii="宋体" w:hAnsi="宋体" w:cs="仿宋_GB2312"/>
          <w:bCs/>
          <w:color w:val="auto"/>
          <w:sz w:val="32"/>
          <w:szCs w:val="32"/>
          <w:highlight w:val="none"/>
        </w:rPr>
      </w:pPr>
    </w:p>
    <w:p w14:paraId="16876D24">
      <w:pPr>
        <w:pStyle w:val="7"/>
        <w:snapToGrid w:val="0"/>
        <w:spacing w:before="50" w:after="50"/>
        <w:ind w:firstLine="1280" w:firstLineChars="400"/>
        <w:rPr>
          <w:rFonts w:ascii="宋体" w:hAnsi="宋体" w:cs="仿宋_GB2312"/>
          <w:bCs/>
          <w:color w:val="auto"/>
          <w:sz w:val="32"/>
          <w:szCs w:val="32"/>
          <w:highlight w:val="none"/>
        </w:rPr>
      </w:pPr>
    </w:p>
    <w:p w14:paraId="1B422D70">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2F23B20">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40BF216">
      <w:pPr>
        <w:snapToGrid w:val="0"/>
        <w:spacing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CB288F8">
      <w:pPr>
        <w:pStyle w:val="34"/>
        <w:rPr>
          <w:color w:val="auto"/>
          <w:highlight w:val="none"/>
        </w:rPr>
      </w:pPr>
    </w:p>
    <w:p w14:paraId="4578D02F">
      <w:pPr>
        <w:keepNext w:val="0"/>
        <w:keepLines w:val="0"/>
        <w:pageBreakBefore/>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贺州市</w:t>
      </w:r>
      <w:r>
        <w:rPr>
          <w:rFonts w:hint="eastAsia" w:ascii="宋体" w:hAnsi="宋体" w:cs="宋体"/>
          <w:b/>
          <w:bCs/>
          <w:color w:val="auto"/>
          <w:kern w:val="2"/>
          <w:sz w:val="32"/>
          <w:szCs w:val="32"/>
          <w:highlight w:val="none"/>
          <w:lang w:val="en-US" w:eastAsia="zh-CN" w:bidi="ar-SA"/>
        </w:rPr>
        <w:t>平桂区</w:t>
      </w:r>
      <w:r>
        <w:rPr>
          <w:rFonts w:hint="eastAsia" w:ascii="宋体" w:hAnsi="宋体" w:eastAsia="宋体" w:cs="宋体"/>
          <w:b/>
          <w:bCs/>
          <w:color w:val="auto"/>
          <w:kern w:val="2"/>
          <w:sz w:val="32"/>
          <w:szCs w:val="32"/>
          <w:highlight w:val="none"/>
          <w:lang w:val="en-US" w:eastAsia="zh-CN" w:bidi="ar-SA"/>
        </w:rPr>
        <w:t>政府采购供应商信用承诺函（格式）</w:t>
      </w:r>
    </w:p>
    <w:p w14:paraId="05D3BCDB">
      <w:pPr>
        <w:jc w:val="left"/>
        <w:rPr>
          <w:rFonts w:hint="eastAsia" w:ascii="仿宋_GB2312" w:hAnsi="仿宋_GB2312" w:eastAsia="仿宋_GB2312" w:cs="仿宋_GB2312"/>
          <w:color w:val="auto"/>
          <w:kern w:val="2"/>
          <w:sz w:val="32"/>
          <w:szCs w:val="32"/>
          <w:highlight w:val="none"/>
          <w:lang w:val="en-US" w:eastAsia="zh-CN" w:bidi="ar-SA"/>
        </w:rPr>
      </w:pPr>
    </w:p>
    <w:p w14:paraId="3EE4237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致(采购人或采购代理机构):</w:t>
      </w:r>
    </w:p>
    <w:p w14:paraId="29A8F4B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w:t>
      </w:r>
    </w:p>
    <w:p w14:paraId="73A77EF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统一社会信用代码:</w:t>
      </w:r>
    </w:p>
    <w:p w14:paraId="591646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供应商地址:</w:t>
      </w:r>
    </w:p>
    <w:p w14:paraId="2B1B10F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545D0A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1.我单位具有符合采购文件资格要求独立承担民事责任的能力。</w:t>
      </w:r>
    </w:p>
    <w:p w14:paraId="42EED30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2.我单位具有符合采购文件资格要求的财务状况报告。</w:t>
      </w:r>
    </w:p>
    <w:p w14:paraId="1FBFB84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3.我单位具有符合采购文件资格要求的依法缴纳税收和社会保障记录的良好记录。</w:t>
      </w:r>
    </w:p>
    <w:p w14:paraId="58A35E5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4.我单位具有符合采购文件资格要求履行合同所必需的设备和专业技术能力。</w:t>
      </w:r>
    </w:p>
    <w:p w14:paraId="72DF041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5.参加政府采购活动前三年内，在经营活动中没有重大违法记录。</w:t>
      </w:r>
    </w:p>
    <w:p w14:paraId="512E3FA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若我单位承诺不实，自愿承担提供虚假材料谋取中标、成交的法律责任。</w:t>
      </w:r>
    </w:p>
    <w:p w14:paraId="3C520A9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p>
    <w:p w14:paraId="7C857C2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p>
    <w:p w14:paraId="6A643EE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840" w:firstLineChars="16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供应商名称(公章):</w:t>
      </w:r>
    </w:p>
    <w:p w14:paraId="47D58A4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640" w:firstLineChars="1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法定代表人或授权代表(签名):</w:t>
      </w:r>
    </w:p>
    <w:p w14:paraId="573F8D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80" w:firstLineChars="2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0B180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宋体" w:hAnsi="宋体" w:eastAsia="宋体" w:cs="宋体"/>
          <w:color w:val="auto"/>
          <w:kern w:val="2"/>
          <w:sz w:val="32"/>
          <w:szCs w:val="32"/>
          <w:highlight w:val="none"/>
          <w:lang w:val="en-US" w:eastAsia="zh-CN" w:bidi="ar-SA"/>
        </w:rPr>
      </w:pPr>
    </w:p>
    <w:p w14:paraId="02D9F5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注:1.供应商须在投标(响应)文件中按此模板提供承诺函，未提供视为未实质性响应招标(采购)文件要求，按无效投标(响应)处理。</w:t>
      </w:r>
    </w:p>
    <w:p w14:paraId="2DC9CA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2"/>
          <w:sz w:val="22"/>
          <w:szCs w:val="22"/>
          <w:highlight w:val="none"/>
          <w:lang w:val="en-US" w:eastAsia="zh-CN" w:bidi="ar-SA"/>
        </w:rPr>
        <w:t>2.供应商的法定代表人(其他组织的为负责人)或者授权代表的签名或盖章应真实、有效，如由授权代表签名或盖章的，应提供“法定代表人授权书”。</w:t>
      </w:r>
    </w:p>
    <w:p w14:paraId="0D69C468">
      <w:pPr>
        <w:spacing w:line="300" w:lineRule="auto"/>
        <w:rPr>
          <w:rFonts w:hint="eastAsia" w:ascii="宋体" w:hAnsi="宋体" w:eastAsia="宋体" w:cs="宋体"/>
          <w:color w:val="auto"/>
          <w:szCs w:val="21"/>
          <w:highlight w:val="none"/>
        </w:rPr>
      </w:pPr>
    </w:p>
    <w:p w14:paraId="75A3DAD0">
      <w:pPr>
        <w:spacing w:line="320" w:lineRule="exact"/>
        <w:jc w:val="left"/>
        <w:rPr>
          <w:rFonts w:ascii="宋体" w:hAnsi="宋体"/>
          <w:color w:val="auto"/>
          <w:szCs w:val="21"/>
          <w:highlight w:val="none"/>
        </w:rPr>
      </w:pPr>
      <w:r>
        <w:rPr>
          <w:rFonts w:ascii="宋体" w:hAnsi="宋体"/>
          <w:color w:val="auto"/>
          <w:szCs w:val="21"/>
          <w:highlight w:val="none"/>
        </w:rPr>
        <w:br w:type="page"/>
      </w:r>
    </w:p>
    <w:p w14:paraId="573A854B">
      <w:pPr>
        <w:wordWrap w:val="0"/>
        <w:spacing w:beforeLines="50" w:after="50" w:line="320" w:lineRule="exact"/>
        <w:ind w:right="482" w:firstLine="210" w:firstLineChars="100"/>
        <w:contextualSpacing/>
        <w:jc w:val="center"/>
        <w:rPr>
          <w:rFonts w:ascii="宋体" w:hAnsi="宋体"/>
          <w:color w:val="auto"/>
          <w:szCs w:val="21"/>
          <w:highlight w:val="none"/>
        </w:rPr>
      </w:pPr>
    </w:p>
    <w:p w14:paraId="49F640E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0D843C18">
      <w:pPr>
        <w:snapToGrid w:val="0"/>
        <w:spacing w:beforeLines="50" w:after="50" w:line="360" w:lineRule="auto"/>
        <w:jc w:val="center"/>
        <w:rPr>
          <w:rFonts w:ascii="宋体" w:hAnsi="宋体"/>
          <w:b/>
          <w:color w:val="auto"/>
          <w:sz w:val="24"/>
          <w:highlight w:val="none"/>
        </w:rPr>
      </w:pPr>
    </w:p>
    <w:p w14:paraId="754D3DD9">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65344094">
      <w:pPr>
        <w:spacing w:line="360" w:lineRule="auto"/>
        <w:contextualSpacing/>
        <w:jc w:val="center"/>
        <w:rPr>
          <w:rFonts w:ascii="宋体" w:hAnsi="宋体"/>
          <w:b/>
          <w:color w:val="auto"/>
          <w:sz w:val="24"/>
          <w:highlight w:val="none"/>
        </w:rPr>
      </w:pPr>
    </w:p>
    <w:tbl>
      <w:tblPr>
        <w:tblStyle w:val="4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05AC76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134CC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65193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49A60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04137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1E055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E949D5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C9810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81E253">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AB75C2">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D8C2D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643514">
            <w:pPr>
              <w:widowControl/>
              <w:spacing w:line="360" w:lineRule="auto"/>
              <w:contextualSpacing/>
              <w:jc w:val="center"/>
              <w:rPr>
                <w:rFonts w:ascii="宋体" w:hAnsi="宋体" w:cs="宋体"/>
                <w:color w:val="auto"/>
                <w:kern w:val="0"/>
                <w:sz w:val="24"/>
                <w:highlight w:val="none"/>
              </w:rPr>
            </w:pPr>
          </w:p>
        </w:tc>
      </w:tr>
      <w:tr w14:paraId="673BCAF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3F1DF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C79336">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786439">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DD47B7">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5D93CA">
            <w:pPr>
              <w:widowControl/>
              <w:spacing w:line="360" w:lineRule="auto"/>
              <w:contextualSpacing/>
              <w:jc w:val="center"/>
              <w:rPr>
                <w:rFonts w:ascii="宋体" w:hAnsi="宋体" w:cs="宋体"/>
                <w:color w:val="auto"/>
                <w:kern w:val="0"/>
                <w:sz w:val="24"/>
                <w:highlight w:val="none"/>
              </w:rPr>
            </w:pPr>
          </w:p>
        </w:tc>
      </w:tr>
      <w:tr w14:paraId="0C8E102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38912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31092F">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8450A9">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BD407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B85436">
            <w:pPr>
              <w:widowControl/>
              <w:spacing w:line="360" w:lineRule="auto"/>
              <w:contextualSpacing/>
              <w:jc w:val="center"/>
              <w:rPr>
                <w:rFonts w:ascii="宋体" w:hAnsi="宋体" w:cs="宋体"/>
                <w:color w:val="auto"/>
                <w:kern w:val="0"/>
                <w:sz w:val="24"/>
                <w:highlight w:val="none"/>
              </w:rPr>
            </w:pPr>
          </w:p>
        </w:tc>
      </w:tr>
      <w:tr w14:paraId="6C36819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61C04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C8C3E9">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00B1BB">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A0D141">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C31941">
            <w:pPr>
              <w:widowControl/>
              <w:spacing w:line="360" w:lineRule="auto"/>
              <w:contextualSpacing/>
              <w:jc w:val="center"/>
              <w:rPr>
                <w:rFonts w:ascii="宋体" w:hAnsi="宋体" w:cs="宋体"/>
                <w:color w:val="auto"/>
                <w:kern w:val="0"/>
                <w:sz w:val="24"/>
                <w:highlight w:val="none"/>
              </w:rPr>
            </w:pPr>
          </w:p>
        </w:tc>
      </w:tr>
    </w:tbl>
    <w:p w14:paraId="0050FAF8">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0CE6921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6FDB2F">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9253B4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699C928F">
      <w:pPr>
        <w:spacing w:line="360" w:lineRule="auto"/>
        <w:ind w:firstLine="420" w:firstLineChars="200"/>
        <w:contextualSpacing/>
        <w:jc w:val="left"/>
        <w:rPr>
          <w:rFonts w:ascii="宋体" w:hAnsi="宋体" w:cs="宋体"/>
          <w:color w:val="auto"/>
          <w:szCs w:val="21"/>
          <w:highlight w:val="none"/>
        </w:rPr>
      </w:pPr>
    </w:p>
    <w:p w14:paraId="382BC688">
      <w:pPr>
        <w:spacing w:line="360" w:lineRule="auto"/>
        <w:ind w:firstLine="560" w:firstLineChars="200"/>
        <w:contextualSpacing/>
        <w:jc w:val="left"/>
        <w:rPr>
          <w:rFonts w:ascii="宋体" w:hAnsi="宋体" w:cs="宋体"/>
          <w:color w:val="auto"/>
          <w:sz w:val="28"/>
          <w:szCs w:val="28"/>
          <w:highlight w:val="none"/>
        </w:rPr>
      </w:pPr>
    </w:p>
    <w:p w14:paraId="595BEDC2">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257E1BB0">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4F76D07F">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1AB13782">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49D578BF">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3ED10495">
      <w:pPr>
        <w:snapToGrid w:val="0"/>
        <w:spacing w:line="360" w:lineRule="auto"/>
        <w:jc w:val="center"/>
        <w:rPr>
          <w:rFonts w:ascii="宋体" w:hAnsi="宋体"/>
          <w:b/>
          <w:color w:val="auto"/>
          <w:sz w:val="24"/>
          <w:highlight w:val="none"/>
        </w:rPr>
      </w:pPr>
    </w:p>
    <w:tbl>
      <w:tblPr>
        <w:tblStyle w:val="4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2F6AF5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79682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DC383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67C34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6571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79B33E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E9C14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73380F">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AB4DF1">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30552D">
            <w:pPr>
              <w:widowControl/>
              <w:spacing w:line="360" w:lineRule="auto"/>
              <w:contextualSpacing/>
              <w:jc w:val="center"/>
              <w:rPr>
                <w:rFonts w:ascii="宋体" w:hAnsi="宋体" w:cs="宋体"/>
                <w:color w:val="auto"/>
                <w:kern w:val="0"/>
                <w:sz w:val="24"/>
                <w:highlight w:val="none"/>
              </w:rPr>
            </w:pPr>
          </w:p>
        </w:tc>
      </w:tr>
      <w:tr w14:paraId="1955DCC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E6673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529F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278D85">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DB807E">
            <w:pPr>
              <w:widowControl/>
              <w:spacing w:line="360" w:lineRule="auto"/>
              <w:contextualSpacing/>
              <w:jc w:val="center"/>
              <w:rPr>
                <w:rFonts w:ascii="宋体" w:hAnsi="宋体" w:cs="宋体"/>
                <w:color w:val="auto"/>
                <w:kern w:val="0"/>
                <w:sz w:val="24"/>
                <w:highlight w:val="none"/>
              </w:rPr>
            </w:pPr>
          </w:p>
        </w:tc>
      </w:tr>
      <w:tr w14:paraId="2EBEA4A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9D0AF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07B89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822E5C">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64B474">
            <w:pPr>
              <w:widowControl/>
              <w:spacing w:line="360" w:lineRule="auto"/>
              <w:contextualSpacing/>
              <w:jc w:val="center"/>
              <w:rPr>
                <w:rFonts w:ascii="宋体" w:hAnsi="宋体" w:cs="宋体"/>
                <w:color w:val="auto"/>
                <w:kern w:val="0"/>
                <w:sz w:val="24"/>
                <w:highlight w:val="none"/>
              </w:rPr>
            </w:pPr>
          </w:p>
        </w:tc>
      </w:tr>
      <w:tr w14:paraId="39E89E7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1DC91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3CD03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4B7E1C">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E91455">
            <w:pPr>
              <w:widowControl/>
              <w:spacing w:line="360" w:lineRule="auto"/>
              <w:contextualSpacing/>
              <w:jc w:val="center"/>
              <w:rPr>
                <w:rFonts w:ascii="宋体" w:hAnsi="宋体" w:cs="宋体"/>
                <w:color w:val="auto"/>
                <w:kern w:val="0"/>
                <w:sz w:val="24"/>
                <w:highlight w:val="none"/>
              </w:rPr>
            </w:pPr>
          </w:p>
        </w:tc>
      </w:tr>
    </w:tbl>
    <w:p w14:paraId="0301091A">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0F80F83C">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8444B6B">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7C65435">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472F6AF8">
      <w:pPr>
        <w:spacing w:line="360" w:lineRule="auto"/>
        <w:contextualSpacing/>
        <w:jc w:val="left"/>
        <w:rPr>
          <w:rFonts w:ascii="宋体" w:hAnsi="宋体"/>
          <w:color w:val="auto"/>
          <w:sz w:val="28"/>
          <w:szCs w:val="28"/>
          <w:highlight w:val="none"/>
        </w:rPr>
      </w:pPr>
    </w:p>
    <w:p w14:paraId="1A18CAC7">
      <w:pPr>
        <w:spacing w:line="360" w:lineRule="auto"/>
        <w:contextualSpacing/>
        <w:jc w:val="left"/>
        <w:rPr>
          <w:rFonts w:ascii="宋体" w:hAnsi="宋体"/>
          <w:color w:val="auto"/>
          <w:sz w:val="28"/>
          <w:szCs w:val="28"/>
          <w:highlight w:val="none"/>
        </w:rPr>
      </w:pPr>
    </w:p>
    <w:p w14:paraId="74276A5C">
      <w:pPr>
        <w:spacing w:line="360" w:lineRule="auto"/>
        <w:contextualSpacing/>
        <w:jc w:val="left"/>
        <w:rPr>
          <w:color w:val="auto"/>
          <w:sz w:val="28"/>
          <w:szCs w:val="28"/>
          <w:highlight w:val="none"/>
        </w:rPr>
      </w:pPr>
    </w:p>
    <w:p w14:paraId="51B2B605">
      <w:pPr>
        <w:spacing w:line="360" w:lineRule="auto"/>
        <w:contextualSpacing/>
        <w:jc w:val="left"/>
        <w:rPr>
          <w:color w:val="auto"/>
          <w:sz w:val="28"/>
          <w:szCs w:val="28"/>
          <w:highlight w:val="none"/>
        </w:rPr>
      </w:pPr>
    </w:p>
    <w:p w14:paraId="7A42177F">
      <w:pPr>
        <w:spacing w:line="360" w:lineRule="auto"/>
        <w:contextualSpacing/>
        <w:jc w:val="left"/>
        <w:rPr>
          <w:color w:val="auto"/>
          <w:sz w:val="28"/>
          <w:szCs w:val="28"/>
          <w:highlight w:val="none"/>
        </w:rPr>
      </w:pPr>
    </w:p>
    <w:p w14:paraId="0D863A8E">
      <w:pPr>
        <w:spacing w:line="360" w:lineRule="auto"/>
        <w:contextualSpacing/>
        <w:jc w:val="left"/>
        <w:rPr>
          <w:rFonts w:ascii="宋体" w:hAnsi="宋体"/>
          <w:color w:val="auto"/>
          <w:sz w:val="28"/>
          <w:szCs w:val="28"/>
          <w:highlight w:val="none"/>
        </w:rPr>
      </w:pPr>
    </w:p>
    <w:p w14:paraId="66DBEF6B">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6E5B7111">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7C548DFC">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78C0AC8E">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6105A61B">
      <w:pPr>
        <w:spacing w:line="320" w:lineRule="exact"/>
        <w:jc w:val="center"/>
        <w:rPr>
          <w:rFonts w:ascii="宋体" w:hAnsi="宋体"/>
          <w:color w:val="auto"/>
          <w:sz w:val="24"/>
          <w:szCs w:val="20"/>
          <w:highlight w:val="none"/>
        </w:rPr>
      </w:pPr>
    </w:p>
    <w:p w14:paraId="752F6B2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74DA3A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00D59E8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370DB6D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53B031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71F67A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20C97B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EFA52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60E0E3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E94B3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02F0AB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A22704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9E4D3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785DEA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2F7D3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D8BB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385203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B6728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2A62C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B2BE9F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6B8D78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w:t>
      </w:r>
    </w:p>
    <w:p w14:paraId="00CA64D3">
      <w:pPr>
        <w:pStyle w:val="27"/>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4BAE216F">
      <w:pPr>
        <w:pStyle w:val="27"/>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6812B79E">
      <w:pPr>
        <w:pStyle w:val="2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w:t>
      </w:r>
    </w:p>
    <w:p w14:paraId="4E792877">
      <w:pPr>
        <w:pStyle w:val="2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0E21D29">
      <w:pPr>
        <w:pStyle w:val="2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17AD79D">
      <w:pPr>
        <w:spacing w:line="360" w:lineRule="auto"/>
        <w:ind w:firstLine="482" w:firstLineChars="200"/>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2B03336A">
      <w:pPr>
        <w:spacing w:line="360" w:lineRule="auto"/>
        <w:contextualSpacing/>
        <w:jc w:val="left"/>
        <w:rPr>
          <w:rFonts w:ascii="宋体" w:hAnsi="宋体" w:cs="宋体"/>
          <w:color w:val="auto"/>
          <w:szCs w:val="21"/>
          <w:highlight w:val="none"/>
        </w:rPr>
      </w:pPr>
    </w:p>
    <w:p w14:paraId="05C1A7D0">
      <w:pPr>
        <w:snapToGrid w:val="0"/>
        <w:spacing w:before="156" w:beforeLines="50" w:line="360" w:lineRule="auto"/>
        <w:ind w:right="480"/>
        <w:rPr>
          <w:rFonts w:ascii="宋体" w:hAnsi="宋体" w:cs="宋体"/>
          <w:color w:val="auto"/>
          <w:sz w:val="24"/>
          <w:highlight w:val="none"/>
          <w:u w:val="single"/>
        </w:rPr>
      </w:pPr>
      <w:r>
        <w:rPr>
          <w:rFonts w:hint="eastAsia" w:ascii="宋体" w:hAnsi="宋体" w:cs="宋体"/>
          <w:color w:val="auto"/>
          <w:sz w:val="24"/>
          <w:highlight w:val="none"/>
        </w:rPr>
        <w:t>供应商[公章（CA签章）]：</w:t>
      </w:r>
      <w:r>
        <w:rPr>
          <w:rFonts w:hint="eastAsia" w:ascii="宋体" w:hAnsi="宋体" w:cs="宋体"/>
          <w:color w:val="auto"/>
          <w:sz w:val="24"/>
          <w:highlight w:val="none"/>
          <w:u w:val="single"/>
        </w:rPr>
        <w:t xml:space="preserve">                       </w:t>
      </w:r>
    </w:p>
    <w:p w14:paraId="7C7D89DF">
      <w:pPr>
        <w:snapToGrid w:val="0"/>
        <w:spacing w:before="156" w:beforeLines="50" w:line="360" w:lineRule="auto"/>
        <w:ind w:right="480"/>
        <w:rPr>
          <w:rFonts w:hint="eastAsia" w:ascii="宋体" w:hAnsi="宋体" w:cs="宋体"/>
          <w:color w:val="auto"/>
          <w:sz w:val="24"/>
          <w:highlight w:val="none"/>
        </w:rPr>
      </w:pPr>
      <w:r>
        <w:rPr>
          <w:rFonts w:hint="eastAsia" w:ascii="宋体" w:hAnsi="宋体" w:cs="宋体"/>
          <w:color w:val="auto"/>
          <w:sz w:val="24"/>
          <w:highlight w:val="none"/>
        </w:rPr>
        <w:t>法定代表人（负责人）或授权代理人签字（或个人CA签章）：</w:t>
      </w:r>
      <w:r>
        <w:rPr>
          <w:rFonts w:hint="eastAsia" w:ascii="宋体" w:hAnsi="宋体" w:cs="宋体"/>
          <w:color w:val="auto"/>
          <w:sz w:val="24"/>
          <w:highlight w:val="none"/>
          <w:u w:val="single"/>
        </w:rPr>
        <w:t xml:space="preserve">                       </w:t>
      </w:r>
    </w:p>
    <w:p w14:paraId="23605162">
      <w:pPr>
        <w:snapToGrid w:val="0"/>
        <w:spacing w:before="156" w:beforeLines="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 xml:space="preserve">日期：  </w:t>
      </w:r>
      <w:r>
        <w:rPr>
          <w:rFonts w:hint="eastAsia" w:ascii="宋体" w:hAnsi="宋体" w:cs="宋体"/>
          <w:color w:val="auto"/>
          <w:sz w:val="24"/>
          <w:highlight w:val="none"/>
          <w:u w:val="single"/>
        </w:rPr>
        <w:t xml:space="preserve"> 年   月    日</w:t>
      </w:r>
    </w:p>
    <w:p w14:paraId="216BAA96">
      <w:pPr>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bookmarkStart w:id="100" w:name="_Toc71365926"/>
      <w:r>
        <w:rPr>
          <w:rFonts w:hint="eastAsia" w:ascii="方正小标宋简体" w:hAnsi="方正小标宋简体" w:eastAsia="方正小标宋简体" w:cs="方正小标宋简体"/>
          <w:color w:val="auto"/>
          <w:sz w:val="44"/>
          <w:szCs w:val="44"/>
          <w:highlight w:val="none"/>
        </w:rPr>
        <w:t>中小企业声明函（工程）</w:t>
      </w:r>
      <w:bookmarkEnd w:id="100"/>
    </w:p>
    <w:p w14:paraId="123E6FD0">
      <w:pPr>
        <w:spacing w:before="2" w:line="500" w:lineRule="exact"/>
        <w:ind w:firstLine="708" w:firstLineChars="294"/>
        <w:rPr>
          <w:rFonts w:ascii="宋体" w:hAnsi="宋体" w:cs="宋体"/>
          <w:b/>
          <w:bCs/>
          <w:color w:val="auto"/>
          <w:sz w:val="24"/>
          <w:highlight w:val="none"/>
        </w:rPr>
      </w:pPr>
    </w:p>
    <w:p w14:paraId="17A8CE75">
      <w:pPr>
        <w:pStyle w:val="2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4257D3C7">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7263365">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A713FD9">
      <w:pPr>
        <w:pStyle w:val="2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10D1625B">
      <w:pPr>
        <w:pStyle w:val="2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70E4CCD">
      <w:pPr>
        <w:pStyle w:val="2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FAE4B7C">
      <w:pPr>
        <w:pStyle w:val="22"/>
        <w:spacing w:before="56" w:line="500" w:lineRule="exact"/>
        <w:ind w:right="1808" w:firstLine="705" w:firstLineChars="294"/>
        <w:rPr>
          <w:rFonts w:ascii="宋体" w:hAnsi="宋体"/>
          <w:color w:val="auto"/>
          <w:sz w:val="24"/>
          <w:highlight w:val="none"/>
        </w:rPr>
      </w:pPr>
    </w:p>
    <w:p w14:paraId="370C58B5">
      <w:pPr>
        <w:pStyle w:val="2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190993C1">
      <w:pPr>
        <w:pStyle w:val="2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06CB65F6">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E997B1">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7B75285B">
      <w:pPr>
        <w:spacing w:line="360" w:lineRule="auto"/>
        <w:contextualSpacing/>
        <w:rPr>
          <w:rFonts w:ascii="仿宋_GB2312" w:hAnsi="仿宋_GB2312" w:eastAsia="仿宋_GB2312" w:cs="仿宋_GB2312"/>
          <w:color w:val="auto"/>
          <w:sz w:val="32"/>
          <w:szCs w:val="32"/>
          <w:highlight w:val="none"/>
        </w:rPr>
      </w:pPr>
    </w:p>
    <w:p w14:paraId="69F38D4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C455C6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71C28B9">
      <w:pPr>
        <w:spacing w:line="360" w:lineRule="auto"/>
        <w:contextualSpacing/>
        <w:rPr>
          <w:rFonts w:ascii="宋体" w:hAnsi="宋体" w:cs="仿宋_GB2312"/>
          <w:color w:val="auto"/>
          <w:sz w:val="24"/>
          <w:highlight w:val="none"/>
        </w:rPr>
      </w:pPr>
    </w:p>
    <w:p w14:paraId="33311D60">
      <w:pPr>
        <w:spacing w:line="360" w:lineRule="auto"/>
        <w:contextualSpacing/>
        <w:rPr>
          <w:rFonts w:ascii="宋体" w:hAnsi="宋体" w:cs="仿宋_GB2312"/>
          <w:color w:val="auto"/>
          <w:sz w:val="24"/>
          <w:highlight w:val="none"/>
        </w:rPr>
      </w:pPr>
    </w:p>
    <w:p w14:paraId="62EB62E8">
      <w:pPr>
        <w:spacing w:line="360" w:lineRule="auto"/>
        <w:contextualSpacing/>
        <w:rPr>
          <w:rFonts w:ascii="宋体" w:hAnsi="宋体" w:cs="仿宋_GB2312"/>
          <w:color w:val="auto"/>
          <w:sz w:val="24"/>
          <w:highlight w:val="none"/>
        </w:rPr>
      </w:pPr>
    </w:p>
    <w:p w14:paraId="24FECE42">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5A675034">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3C91E582">
      <w:pPr>
        <w:spacing w:line="360" w:lineRule="auto"/>
        <w:contextualSpacing/>
        <w:rPr>
          <w:rFonts w:ascii="宋体" w:hAnsi="宋体" w:cs="仿宋_GB2312"/>
          <w:color w:val="auto"/>
          <w:sz w:val="24"/>
          <w:highlight w:val="none"/>
        </w:rPr>
      </w:pPr>
    </w:p>
    <w:p w14:paraId="2E6E33ED">
      <w:pPr>
        <w:spacing w:line="360" w:lineRule="auto"/>
        <w:contextualSpacing/>
        <w:rPr>
          <w:rFonts w:ascii="宋体" w:hAnsi="宋体" w:cs="仿宋_GB2312"/>
          <w:color w:val="auto"/>
          <w:sz w:val="24"/>
          <w:highlight w:val="none"/>
        </w:rPr>
      </w:pPr>
    </w:p>
    <w:p w14:paraId="55C07754">
      <w:pPr>
        <w:spacing w:line="360" w:lineRule="auto"/>
        <w:contextualSpacing/>
        <w:rPr>
          <w:rFonts w:ascii="宋体" w:hAnsi="宋体" w:cs="仿宋_GB2312"/>
          <w:color w:val="auto"/>
          <w:sz w:val="24"/>
          <w:highlight w:val="none"/>
        </w:rPr>
      </w:pPr>
    </w:p>
    <w:p w14:paraId="539297B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4ECA055">
      <w:pPr>
        <w:rPr>
          <w:rFonts w:hint="eastAsia"/>
          <w:color w:val="auto"/>
          <w:sz w:val="24"/>
          <w:highlight w:val="none"/>
        </w:rPr>
      </w:pPr>
    </w:p>
    <w:p w14:paraId="6F492B98">
      <w:pPr>
        <w:rPr>
          <w:rFonts w:hint="eastAsia" w:ascii="宋体" w:hAnsi="宋体" w:cs="方正小标宋简体"/>
          <w:b/>
          <w:color w:val="auto"/>
          <w:sz w:val="32"/>
          <w:szCs w:val="32"/>
          <w:highlight w:val="none"/>
        </w:rPr>
      </w:pPr>
      <w:r>
        <w:rPr>
          <w:rFonts w:hint="eastAsia" w:ascii="宋体" w:hAnsi="宋体" w:cs="方正小标宋简体"/>
          <w:b/>
          <w:color w:val="auto"/>
          <w:sz w:val="32"/>
          <w:szCs w:val="32"/>
          <w:highlight w:val="none"/>
        </w:rPr>
        <w:br w:type="page"/>
      </w:r>
    </w:p>
    <w:p w14:paraId="588E2AF4">
      <w:pPr>
        <w:spacing w:line="360" w:lineRule="auto"/>
        <w:ind w:firstLine="321" w:firstLineChars="100"/>
        <w:contextualSpacing/>
        <w:jc w:val="center"/>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3FDE7E30">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7B195B05">
      <w:pPr>
        <w:snapToGrid w:val="0"/>
        <w:spacing w:beforeLines="50" w:after="50"/>
        <w:rPr>
          <w:rFonts w:ascii="宋体" w:hAnsi="宋体"/>
          <w:bCs/>
          <w:color w:val="auto"/>
          <w:sz w:val="32"/>
          <w:szCs w:val="20"/>
          <w:highlight w:val="none"/>
        </w:rPr>
      </w:pPr>
    </w:p>
    <w:p w14:paraId="3528AF2E">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1AD665D7">
      <w:pPr>
        <w:snapToGrid w:val="0"/>
        <w:spacing w:beforeLines="50" w:after="50"/>
        <w:rPr>
          <w:rFonts w:ascii="宋体" w:hAnsi="宋体"/>
          <w:color w:val="auto"/>
          <w:sz w:val="24"/>
          <w:szCs w:val="20"/>
          <w:highlight w:val="none"/>
        </w:rPr>
      </w:pPr>
    </w:p>
    <w:p w14:paraId="7C187198">
      <w:pPr>
        <w:snapToGrid w:val="0"/>
        <w:spacing w:beforeLines="50" w:after="50"/>
        <w:rPr>
          <w:rFonts w:ascii="宋体" w:hAnsi="宋体"/>
          <w:color w:val="auto"/>
          <w:sz w:val="24"/>
          <w:szCs w:val="20"/>
          <w:highlight w:val="none"/>
        </w:rPr>
      </w:pPr>
    </w:p>
    <w:p w14:paraId="644BACEB">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228B706">
      <w:pPr>
        <w:snapToGrid w:val="0"/>
        <w:spacing w:beforeLines="50" w:after="50"/>
        <w:rPr>
          <w:rFonts w:ascii="宋体" w:hAnsi="宋体"/>
          <w:bCs/>
          <w:color w:val="auto"/>
          <w:sz w:val="24"/>
          <w:szCs w:val="20"/>
          <w:highlight w:val="none"/>
        </w:rPr>
      </w:pPr>
    </w:p>
    <w:p w14:paraId="5674E76B">
      <w:pPr>
        <w:snapToGrid w:val="0"/>
        <w:spacing w:beforeLines="50" w:after="50"/>
        <w:rPr>
          <w:rFonts w:ascii="宋体" w:hAnsi="宋体"/>
          <w:bCs/>
          <w:color w:val="auto"/>
          <w:sz w:val="24"/>
          <w:szCs w:val="20"/>
          <w:highlight w:val="none"/>
        </w:rPr>
      </w:pPr>
    </w:p>
    <w:p w14:paraId="6EDAF78B">
      <w:pPr>
        <w:snapToGrid w:val="0"/>
        <w:spacing w:beforeLines="50" w:after="50"/>
        <w:rPr>
          <w:rFonts w:ascii="宋体" w:hAnsi="宋体"/>
          <w:bCs/>
          <w:color w:val="auto"/>
          <w:sz w:val="24"/>
          <w:szCs w:val="20"/>
          <w:highlight w:val="none"/>
        </w:rPr>
      </w:pPr>
    </w:p>
    <w:p w14:paraId="25BD51A9">
      <w:pPr>
        <w:snapToGrid w:val="0"/>
        <w:spacing w:beforeLines="50" w:after="50"/>
        <w:rPr>
          <w:rFonts w:ascii="宋体" w:hAnsi="宋体"/>
          <w:bCs/>
          <w:color w:val="auto"/>
          <w:sz w:val="24"/>
          <w:szCs w:val="20"/>
          <w:highlight w:val="none"/>
        </w:rPr>
      </w:pPr>
    </w:p>
    <w:p w14:paraId="4BF1A66D">
      <w:pPr>
        <w:snapToGrid w:val="0"/>
        <w:spacing w:beforeLines="50" w:after="50"/>
        <w:rPr>
          <w:rFonts w:ascii="宋体" w:hAnsi="宋体"/>
          <w:bCs/>
          <w:color w:val="auto"/>
          <w:sz w:val="24"/>
          <w:szCs w:val="20"/>
          <w:highlight w:val="none"/>
        </w:rPr>
      </w:pPr>
    </w:p>
    <w:p w14:paraId="7300EF2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768582D">
      <w:pPr>
        <w:snapToGrid w:val="0"/>
        <w:spacing w:beforeLines="50" w:after="50"/>
        <w:ind w:firstLine="720" w:firstLineChars="225"/>
        <w:rPr>
          <w:rFonts w:ascii="宋体" w:hAnsi="宋体" w:cs="仿宋_GB2312"/>
          <w:bCs/>
          <w:color w:val="auto"/>
          <w:sz w:val="32"/>
          <w:szCs w:val="32"/>
          <w:highlight w:val="none"/>
        </w:rPr>
      </w:pPr>
    </w:p>
    <w:p w14:paraId="6B7C305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4105D55">
      <w:pPr>
        <w:snapToGrid w:val="0"/>
        <w:spacing w:beforeLines="50" w:after="50"/>
        <w:ind w:firstLine="720" w:firstLineChars="225"/>
        <w:rPr>
          <w:rFonts w:ascii="宋体" w:hAnsi="宋体" w:cs="仿宋_GB2312"/>
          <w:bCs/>
          <w:color w:val="auto"/>
          <w:sz w:val="32"/>
          <w:szCs w:val="32"/>
          <w:highlight w:val="none"/>
        </w:rPr>
      </w:pPr>
    </w:p>
    <w:p w14:paraId="06E1451A">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0CAC428">
      <w:pPr>
        <w:snapToGrid w:val="0"/>
        <w:spacing w:beforeLines="50" w:after="50"/>
        <w:ind w:firstLine="720" w:firstLineChars="225"/>
        <w:rPr>
          <w:rFonts w:ascii="宋体" w:hAnsi="宋体" w:cs="仿宋_GB2312"/>
          <w:bCs/>
          <w:color w:val="auto"/>
          <w:sz w:val="32"/>
          <w:szCs w:val="32"/>
          <w:highlight w:val="none"/>
        </w:rPr>
      </w:pPr>
    </w:p>
    <w:p w14:paraId="208933BF">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28662B">
      <w:pPr>
        <w:pStyle w:val="7"/>
        <w:snapToGrid w:val="0"/>
        <w:spacing w:before="50" w:after="50"/>
        <w:ind w:firstLine="640" w:firstLineChars="200"/>
        <w:rPr>
          <w:rFonts w:ascii="宋体" w:hAnsi="宋体" w:cs="仿宋_GB2312"/>
          <w:bCs/>
          <w:color w:val="auto"/>
          <w:sz w:val="32"/>
          <w:szCs w:val="32"/>
          <w:highlight w:val="none"/>
        </w:rPr>
      </w:pPr>
    </w:p>
    <w:p w14:paraId="70BF2B7E">
      <w:pPr>
        <w:pStyle w:val="7"/>
        <w:snapToGrid w:val="0"/>
        <w:spacing w:before="50" w:after="50"/>
        <w:ind w:firstLine="720" w:firstLineChars="225"/>
        <w:rPr>
          <w:rFonts w:ascii="宋体" w:hAnsi="宋体" w:cs="仿宋_GB2312"/>
          <w:bCs/>
          <w:color w:val="auto"/>
          <w:sz w:val="32"/>
          <w:szCs w:val="32"/>
          <w:highlight w:val="none"/>
        </w:rPr>
      </w:pPr>
    </w:p>
    <w:p w14:paraId="7B19514A">
      <w:pPr>
        <w:pStyle w:val="7"/>
        <w:snapToGrid w:val="0"/>
        <w:spacing w:before="50" w:after="50"/>
        <w:ind w:firstLine="0"/>
        <w:rPr>
          <w:rFonts w:ascii="宋体" w:hAnsi="宋体" w:cs="仿宋_GB2312"/>
          <w:bCs/>
          <w:color w:val="auto"/>
          <w:sz w:val="32"/>
          <w:szCs w:val="32"/>
          <w:highlight w:val="none"/>
        </w:rPr>
      </w:pPr>
    </w:p>
    <w:p w14:paraId="6C15C011">
      <w:pPr>
        <w:pStyle w:val="7"/>
        <w:snapToGrid w:val="0"/>
        <w:spacing w:before="50" w:after="50"/>
        <w:ind w:firstLine="1280" w:firstLineChars="400"/>
        <w:rPr>
          <w:rFonts w:ascii="宋体" w:hAnsi="宋体" w:cs="仿宋_GB2312"/>
          <w:bCs/>
          <w:color w:val="auto"/>
          <w:sz w:val="32"/>
          <w:szCs w:val="32"/>
          <w:highlight w:val="none"/>
        </w:rPr>
      </w:pPr>
    </w:p>
    <w:p w14:paraId="23D2A9DD">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2F36AF9">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94CDB95">
      <w:pPr>
        <w:spacing w:line="520" w:lineRule="exact"/>
        <w:jc w:val="center"/>
        <w:rPr>
          <w:rFonts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w:t>
      </w:r>
    </w:p>
    <w:p w14:paraId="74F352EF">
      <w:pPr>
        <w:spacing w:line="520" w:lineRule="exact"/>
        <w:jc w:val="center"/>
        <w:rPr>
          <w:rFonts w:ascii="宋体" w:hAnsi="宋体" w:cs="方正小标宋简体"/>
          <w:b/>
          <w:bCs/>
          <w:color w:val="auto"/>
          <w:sz w:val="32"/>
          <w:szCs w:val="32"/>
          <w:highlight w:val="none"/>
        </w:rPr>
      </w:pPr>
    </w:p>
    <w:p w14:paraId="721A0EB8">
      <w:pPr>
        <w:spacing w:line="520" w:lineRule="exact"/>
        <w:jc w:val="center"/>
        <w:rPr>
          <w:rFonts w:ascii="宋体" w:hAnsi="宋体" w:cs="方正小标宋简体"/>
          <w:b/>
          <w:bCs/>
          <w:color w:val="auto"/>
          <w:sz w:val="32"/>
          <w:szCs w:val="32"/>
          <w:highlight w:val="none"/>
        </w:rPr>
      </w:pPr>
    </w:p>
    <w:p w14:paraId="4EED7443">
      <w:pPr>
        <w:spacing w:line="360" w:lineRule="auto"/>
        <w:rPr>
          <w:color w:val="auto"/>
          <w:szCs w:val="21"/>
          <w:highlight w:val="none"/>
        </w:rPr>
      </w:pP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003F8B0F">
      <w:pPr>
        <w:pStyle w:val="96"/>
        <w:numPr>
          <w:ilvl w:val="0"/>
          <w:numId w:val="2"/>
        </w:numPr>
        <w:tabs>
          <w:tab w:val="left" w:pos="762"/>
          <w:tab w:val="left" w:pos="2074"/>
          <w:tab w:val="left" w:pos="3430"/>
          <w:tab w:val="left" w:pos="4687"/>
          <w:tab w:val="left" w:pos="7898"/>
        </w:tabs>
        <w:ind w:firstLine="440"/>
        <w:rPr>
          <w:rFonts w:ascii="Times New Roman" w:hAnsi="Times New Roman" w:cs="Times New Roman"/>
          <w:color w:val="auto"/>
          <w:szCs w:val="21"/>
          <w:highlight w:val="none"/>
        </w:rPr>
      </w:pPr>
      <w:bookmarkStart w:id="101" w:name="bookmark2065"/>
      <w:bookmarkEnd w:id="101"/>
      <w:r>
        <w:rPr>
          <w:rFonts w:ascii="Times New Roman" w:hAnsi="Times New Roman" w:cs="Times New Roman"/>
          <w:color w:val="auto"/>
          <w:szCs w:val="21"/>
          <w:highlight w:val="none"/>
        </w:rPr>
        <w:t>我方已仔细研究了</w:t>
      </w:r>
      <w:r>
        <w:rPr>
          <w:rFonts w:ascii="Times New Roman" w:hAnsi="Times New Roman" w:cs="Times New Roman"/>
          <w:color w:val="auto"/>
          <w:szCs w:val="21"/>
          <w:highlight w:val="none"/>
          <w:u w:val="single"/>
        </w:rPr>
        <w:t>（项目名称</w:t>
      </w:r>
      <w:r>
        <w:rPr>
          <w:rFonts w:hint="eastAsia" w:ascii="Times New Roman" w:hAnsi="Times New Roman" w:cs="Times New Roman"/>
          <w:color w:val="auto"/>
          <w:szCs w:val="21"/>
          <w:highlight w:val="none"/>
          <w:u w:val="single"/>
        </w:rPr>
        <w:t>、项目编号</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文件的全部内容，愿意以人民币</w:t>
      </w:r>
      <w:r>
        <w:rPr>
          <w:rFonts w:ascii="Times New Roman" w:hAnsi="Times New Roman" w:cs="Times New Roman"/>
          <w:color w:val="auto"/>
          <w:szCs w:val="21"/>
          <w:highlight w:val="none"/>
          <w:u w:val="single"/>
        </w:rPr>
        <w:t>（大写）</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w:t>
      </w:r>
      <w:r>
        <w:rPr>
          <w:rFonts w:ascii="Times New Roman" w:hAnsi="Times New Roman" w:cs="Times New Roman"/>
          <w:color w:val="auto"/>
          <w:szCs w:val="21"/>
          <w:highlight w:val="none"/>
        </w:rPr>
        <w:t>的</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标总报价，工期</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rPr>
        <w:t>日历天，按合同约定实施和完成承包工程，修补工程中的任何缺陷，工程质量达到</w:t>
      </w:r>
      <w:r>
        <w:rPr>
          <w:rFonts w:hint="eastAsia" w:ascii="Times New Roman" w:hAnsi="Times New Roman" w:cs="Times New Roman"/>
          <w:color w:val="auto"/>
          <w:szCs w:val="21"/>
          <w:highlight w:val="none"/>
        </w:rPr>
        <w:t>标准</w:t>
      </w:r>
      <w:r>
        <w:rPr>
          <w:rFonts w:ascii="Times New Roman" w:hAnsi="Times New Roman" w:cs="Times New Roman"/>
          <w:color w:val="auto"/>
          <w:szCs w:val="21"/>
          <w:highlight w:val="none"/>
          <w:lang w:val="en-US" w:bidi="en-US"/>
        </w:rPr>
        <w:t>。</w:t>
      </w:r>
    </w:p>
    <w:p w14:paraId="4FF8622F">
      <w:pPr>
        <w:pStyle w:val="96"/>
        <w:numPr>
          <w:ilvl w:val="0"/>
          <w:numId w:val="2"/>
        </w:numPr>
        <w:tabs>
          <w:tab w:val="left" w:pos="762"/>
        </w:tabs>
        <w:ind w:firstLine="420"/>
        <w:rPr>
          <w:rFonts w:ascii="Times New Roman" w:hAnsi="Times New Roman" w:cs="Times New Roman"/>
          <w:color w:val="auto"/>
          <w:szCs w:val="21"/>
          <w:highlight w:val="none"/>
        </w:rPr>
      </w:pPr>
      <w:bookmarkStart w:id="102" w:name="bookmark2067"/>
      <w:bookmarkEnd w:id="102"/>
      <w:bookmarkStart w:id="103" w:name="bookmark2066"/>
      <w:bookmarkEnd w:id="103"/>
      <w:bookmarkStart w:id="104" w:name="bookmark2068"/>
      <w:bookmarkEnd w:id="104"/>
      <w:r>
        <w:rPr>
          <w:rFonts w:hint="eastAsia"/>
          <w:color w:val="auto"/>
          <w:highlight w:val="none"/>
        </w:rPr>
        <w:t>我方承认竞标函附录是我方竞标函的组成部分。</w:t>
      </w:r>
    </w:p>
    <w:p w14:paraId="170B61B6">
      <w:pPr>
        <w:pStyle w:val="96"/>
        <w:numPr>
          <w:ilvl w:val="0"/>
          <w:numId w:val="2"/>
        </w:numPr>
        <w:tabs>
          <w:tab w:val="left" w:pos="762"/>
        </w:tabs>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如我方</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w:t>
      </w:r>
    </w:p>
    <w:p w14:paraId="3FA4EEEB">
      <w:pPr>
        <w:pStyle w:val="96"/>
        <w:tabs>
          <w:tab w:val="left" w:pos="903"/>
        </w:tabs>
        <w:ind w:firstLine="420"/>
        <w:rPr>
          <w:rFonts w:ascii="Times New Roman" w:hAnsi="Times New Roman" w:cs="Times New Roman"/>
          <w:color w:val="auto"/>
          <w:szCs w:val="21"/>
          <w:highlight w:val="none"/>
        </w:rPr>
      </w:pPr>
      <w:bookmarkStart w:id="105" w:name="bookmark2069"/>
      <w:r>
        <w:rPr>
          <w:rFonts w:ascii="Times New Roman" w:hAnsi="Times New Roman" w:cs="Times New Roman"/>
          <w:color w:val="auto"/>
          <w:szCs w:val="21"/>
          <w:highlight w:val="none"/>
        </w:rPr>
        <w:t>（</w:t>
      </w:r>
      <w:bookmarkEnd w:id="105"/>
      <w:r>
        <w:rPr>
          <w:rFonts w:ascii="Times New Roman" w:hAnsi="Times New Roman" w:cs="Times New Roman"/>
          <w:color w:val="auto"/>
          <w:szCs w:val="21"/>
          <w:highlight w:val="none"/>
        </w:rPr>
        <w:t>1）我方承诺在收到</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通知书后，在</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通知书规定的期限内与你方签订合同。</w:t>
      </w:r>
    </w:p>
    <w:p w14:paraId="599D8F78">
      <w:pPr>
        <w:pStyle w:val="96"/>
        <w:tabs>
          <w:tab w:val="left" w:pos="903"/>
        </w:tabs>
        <w:ind w:firstLine="420"/>
        <w:rPr>
          <w:rFonts w:ascii="Times New Roman" w:hAnsi="Times New Roman" w:cs="Times New Roman"/>
          <w:color w:val="auto"/>
          <w:szCs w:val="21"/>
          <w:highlight w:val="none"/>
        </w:rPr>
      </w:pPr>
      <w:bookmarkStart w:id="106" w:name="bookmark2070"/>
      <w:r>
        <w:rPr>
          <w:rFonts w:ascii="Times New Roman" w:hAnsi="Times New Roman" w:cs="Times New Roman"/>
          <w:color w:val="auto"/>
          <w:szCs w:val="21"/>
          <w:highlight w:val="none"/>
        </w:rPr>
        <w:t>（</w:t>
      </w:r>
      <w:bookmarkEnd w:id="106"/>
      <w:r>
        <w:rPr>
          <w:rFonts w:ascii="Times New Roman" w:hAnsi="Times New Roman" w:cs="Times New Roman"/>
          <w:color w:val="auto"/>
          <w:szCs w:val="21"/>
          <w:highlight w:val="none"/>
        </w:rPr>
        <w:t>2）</w:t>
      </w:r>
      <w:r>
        <w:rPr>
          <w:color w:val="auto"/>
          <w:highlight w:val="none"/>
        </w:rPr>
        <w:t>在签订合同时不向你方提出附加条件</w:t>
      </w:r>
      <w:r>
        <w:rPr>
          <w:rFonts w:ascii="Times New Roman" w:hAnsi="Times New Roman" w:cs="Times New Roman"/>
          <w:color w:val="auto"/>
          <w:szCs w:val="21"/>
          <w:highlight w:val="none"/>
        </w:rPr>
        <w:t>。</w:t>
      </w:r>
    </w:p>
    <w:p w14:paraId="68715784">
      <w:pPr>
        <w:pStyle w:val="96"/>
        <w:tabs>
          <w:tab w:val="left" w:pos="903"/>
        </w:tabs>
        <w:ind w:firstLine="420"/>
        <w:rPr>
          <w:rFonts w:ascii="Times New Roman" w:hAnsi="Times New Roman" w:cs="Times New Roman"/>
          <w:color w:val="auto"/>
          <w:szCs w:val="21"/>
          <w:highlight w:val="none"/>
        </w:rPr>
      </w:pPr>
      <w:bookmarkStart w:id="107" w:name="bookmark2071"/>
      <w:r>
        <w:rPr>
          <w:rFonts w:ascii="Times New Roman" w:hAnsi="Times New Roman" w:cs="Times New Roman"/>
          <w:color w:val="auto"/>
          <w:szCs w:val="21"/>
          <w:highlight w:val="none"/>
        </w:rPr>
        <w:t>（</w:t>
      </w:r>
      <w:bookmarkEnd w:id="107"/>
      <w:r>
        <w:rPr>
          <w:rFonts w:ascii="Times New Roman" w:hAnsi="Times New Roman" w:cs="Times New Roman"/>
          <w:color w:val="auto"/>
          <w:szCs w:val="21"/>
          <w:highlight w:val="none"/>
        </w:rPr>
        <w:t>3）我方承诺按照</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文件规定向你方递交履约担保。</w:t>
      </w:r>
    </w:p>
    <w:p w14:paraId="27C1675A">
      <w:pPr>
        <w:pStyle w:val="96"/>
        <w:tabs>
          <w:tab w:val="left" w:pos="903"/>
        </w:tabs>
        <w:ind w:firstLine="420"/>
        <w:rPr>
          <w:rFonts w:ascii="Times New Roman" w:hAnsi="Times New Roman" w:cs="Times New Roman"/>
          <w:color w:val="auto"/>
          <w:szCs w:val="21"/>
          <w:highlight w:val="none"/>
        </w:rPr>
      </w:pPr>
      <w:bookmarkStart w:id="108" w:name="bookmark2072"/>
      <w:r>
        <w:rPr>
          <w:rFonts w:ascii="Times New Roman" w:hAnsi="Times New Roman" w:cs="Times New Roman"/>
          <w:color w:val="auto"/>
          <w:szCs w:val="21"/>
          <w:highlight w:val="none"/>
        </w:rPr>
        <w:t>（</w:t>
      </w:r>
      <w:bookmarkEnd w:id="108"/>
      <w:r>
        <w:rPr>
          <w:rFonts w:ascii="Times New Roman" w:hAnsi="Times New Roman" w:cs="Times New Roman"/>
          <w:color w:val="auto"/>
          <w:szCs w:val="21"/>
          <w:highlight w:val="none"/>
        </w:rPr>
        <w:t>4）我方承诺在合同约定的期限内完成并移交全部合同工程。</w:t>
      </w:r>
    </w:p>
    <w:p w14:paraId="3E1B7B13">
      <w:pPr>
        <w:pStyle w:val="96"/>
        <w:numPr>
          <w:ilvl w:val="0"/>
          <w:numId w:val="2"/>
        </w:numPr>
        <w:tabs>
          <w:tab w:val="left" w:pos="762"/>
        </w:tabs>
        <w:ind w:firstLine="440"/>
        <w:rPr>
          <w:rFonts w:ascii="Times New Roman" w:hAnsi="Times New Roman" w:cs="Times New Roman"/>
          <w:color w:val="auto"/>
          <w:szCs w:val="21"/>
          <w:highlight w:val="none"/>
        </w:rPr>
      </w:pPr>
      <w:bookmarkStart w:id="109" w:name="bookmark2073"/>
      <w:bookmarkEnd w:id="109"/>
      <w:r>
        <w:rPr>
          <w:color w:val="auto"/>
          <w:highlight w:val="none"/>
        </w:rPr>
        <w:t>在合同协议书正式签署生效之前，本</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w:t>
      </w:r>
      <w:r>
        <w:rPr>
          <w:color w:val="auto"/>
          <w:highlight w:val="none"/>
        </w:rPr>
        <w:t>函连同你方的</w:t>
      </w:r>
      <w:r>
        <w:rPr>
          <w:rFonts w:hint="eastAsia"/>
          <w:color w:val="auto"/>
          <w:highlight w:val="none"/>
        </w:rPr>
        <w:t>成交</w:t>
      </w:r>
      <w:r>
        <w:rPr>
          <w:color w:val="auto"/>
          <w:highlight w:val="none"/>
        </w:rPr>
        <w:t>通知书将构成我们双方之间共同遵守的文件，对双方具有约束力</w:t>
      </w:r>
      <w:r>
        <w:rPr>
          <w:rFonts w:ascii="Times New Roman" w:hAnsi="Times New Roman" w:cs="Times New Roman"/>
          <w:color w:val="auto"/>
          <w:szCs w:val="21"/>
          <w:highlight w:val="none"/>
        </w:rPr>
        <w:t>。</w:t>
      </w:r>
    </w:p>
    <w:p w14:paraId="6B981EA2">
      <w:pPr>
        <w:spacing w:line="360" w:lineRule="auto"/>
        <w:ind w:firstLine="420" w:firstLineChars="200"/>
        <w:rPr>
          <w:color w:val="auto"/>
          <w:szCs w:val="21"/>
          <w:highlight w:val="none"/>
        </w:rPr>
      </w:pPr>
      <w:bookmarkStart w:id="110" w:name="bookmark2074"/>
      <w:bookmarkEnd w:id="110"/>
      <w:r>
        <w:rPr>
          <w:rFonts w:hint="eastAsia"/>
          <w:color w:val="auto"/>
          <w:szCs w:val="21"/>
          <w:highlight w:val="none"/>
        </w:rPr>
        <w:t>5.</w:t>
      </w:r>
      <w:r>
        <w:rPr>
          <w:color w:val="auto"/>
          <w:szCs w:val="21"/>
          <w:highlight w:val="none"/>
        </w:rPr>
        <w:t>（其他补充说明）。</w:t>
      </w:r>
    </w:p>
    <w:p w14:paraId="57F662AE">
      <w:pPr>
        <w:spacing w:line="360" w:lineRule="auto"/>
        <w:jc w:val="center"/>
        <w:rPr>
          <w:rFonts w:ascii="宋体" w:hAnsi="宋体" w:cs="方正小标宋简体"/>
          <w:b/>
          <w:bCs/>
          <w:color w:val="auto"/>
          <w:sz w:val="32"/>
          <w:szCs w:val="32"/>
          <w:highlight w:val="none"/>
        </w:rPr>
      </w:pPr>
    </w:p>
    <w:p w14:paraId="49910795">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0B9B0EC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08C6FE1">
      <w:pPr>
        <w:spacing w:line="360" w:lineRule="auto"/>
        <w:jc w:val="center"/>
        <w:rPr>
          <w:rFonts w:ascii="方正小标宋简体" w:hAnsi="方正小标宋简体" w:eastAsia="方正小标宋简体" w:cs="方正小标宋简体"/>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r>
        <w:rPr>
          <w:rFonts w:hint="eastAsia" w:ascii="宋体" w:hAnsi="宋体" w:cs="方正小标宋简体"/>
          <w:b/>
          <w:bCs/>
          <w:color w:val="auto"/>
          <w:sz w:val="32"/>
          <w:szCs w:val="32"/>
          <w:highlight w:val="none"/>
        </w:rPr>
        <w:t>竞标报价表</w:t>
      </w:r>
    </w:p>
    <w:p w14:paraId="352337D0">
      <w:pPr>
        <w:spacing w:line="440" w:lineRule="exact"/>
        <w:jc w:val="center"/>
        <w:rPr>
          <w:rFonts w:ascii="方正小标宋简体" w:hAnsi="方正小标宋简体" w:eastAsia="方正小标宋简体" w:cs="方正小标宋简体"/>
          <w:bCs/>
          <w:color w:val="auto"/>
          <w:sz w:val="32"/>
          <w:szCs w:val="32"/>
          <w:highlight w:val="none"/>
        </w:rPr>
      </w:pPr>
    </w:p>
    <w:p w14:paraId="5961FDA8">
      <w:pPr>
        <w:spacing w:line="360" w:lineRule="auto"/>
        <w:contextualSpacing/>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项目名称：</w:t>
      </w:r>
      <w:r>
        <w:rPr>
          <w:rFonts w:hint="eastAsia" w:ascii="宋体" w:hAnsi="宋体" w:cs="仿宋_GB2312"/>
          <w:color w:val="auto"/>
          <w:sz w:val="24"/>
          <w:highlight w:val="none"/>
          <w:lang w:val="en-US" w:eastAsia="zh-CN"/>
        </w:rPr>
        <w:t xml:space="preserve">                                       </w:t>
      </w:r>
    </w:p>
    <w:p w14:paraId="2906F9A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18843863">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0CEBDF5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43A9FD8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4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6D94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E0DB9A8">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C98803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0F4E2FB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77BED9B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273D4AA4">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0D0A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5AAFD72">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2BF7FCCC">
            <w:pPr>
              <w:spacing w:line="360" w:lineRule="auto"/>
              <w:contextualSpacing/>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大平瑶族乡大平村人居环境整治项目</w:t>
            </w:r>
          </w:p>
        </w:tc>
        <w:tc>
          <w:tcPr>
            <w:tcW w:w="1505" w:type="dxa"/>
            <w:tcBorders>
              <w:top w:val="single" w:color="auto" w:sz="4" w:space="0"/>
              <w:left w:val="single" w:color="auto" w:sz="4" w:space="0"/>
              <w:bottom w:val="single" w:color="auto" w:sz="4" w:space="0"/>
              <w:right w:val="single" w:color="auto" w:sz="4" w:space="0"/>
            </w:tcBorders>
            <w:vAlign w:val="center"/>
          </w:tcPr>
          <w:p w14:paraId="2520C00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1项</w:t>
            </w:r>
          </w:p>
        </w:tc>
        <w:tc>
          <w:tcPr>
            <w:tcW w:w="3107" w:type="dxa"/>
            <w:tcBorders>
              <w:top w:val="single" w:color="auto" w:sz="4" w:space="0"/>
              <w:left w:val="single" w:color="auto" w:sz="4" w:space="0"/>
              <w:bottom w:val="single" w:color="auto" w:sz="4" w:space="0"/>
              <w:right w:val="single" w:color="auto" w:sz="4" w:space="0"/>
            </w:tcBorders>
            <w:vAlign w:val="center"/>
          </w:tcPr>
          <w:p w14:paraId="058F4BD9">
            <w:pPr>
              <w:spacing w:line="360" w:lineRule="auto"/>
              <w:contextualSpacing/>
              <w:jc w:val="center"/>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EDF4F5A">
            <w:pPr>
              <w:spacing w:line="360" w:lineRule="auto"/>
              <w:contextualSpacing/>
              <w:jc w:val="center"/>
              <w:rPr>
                <w:rFonts w:ascii="宋体" w:hAnsi="宋体" w:cs="仿宋_GB2312"/>
                <w:color w:val="auto"/>
                <w:sz w:val="24"/>
                <w:highlight w:val="none"/>
              </w:rPr>
            </w:pPr>
          </w:p>
        </w:tc>
      </w:tr>
      <w:tr w14:paraId="10E2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DFC0C9D">
            <w:pPr>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合计：人民币</w:t>
            </w:r>
            <w:r>
              <w:rPr>
                <w:rFonts w:hint="eastAsia" w:ascii="宋体" w:hAnsi="宋体" w:eastAsia="宋体" w:cs="宋体"/>
                <w:color w:val="auto"/>
                <w:sz w:val="22"/>
                <w:szCs w:val="22"/>
                <w:highlight w:val="none"/>
                <w:u w:val="single"/>
              </w:rPr>
              <w:t>（大写）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tc>
      </w:tr>
      <w:tr w14:paraId="6225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644124DE">
            <w:pPr>
              <w:spacing w:line="360" w:lineRule="auto"/>
              <w:contextualSpacing/>
              <w:rPr>
                <w:rFonts w:hint="default" w:ascii="宋体" w:hAnsi="宋体" w:cs="仿宋_GB2312"/>
                <w:color w:val="auto"/>
                <w:sz w:val="24"/>
                <w:szCs w:val="24"/>
                <w:highlight w:val="none"/>
                <w:lang w:val="en-US" w:eastAsia="zh-CN"/>
              </w:rPr>
            </w:pPr>
            <w:r>
              <w:rPr>
                <w:rFonts w:ascii="Times New Roman" w:hAnsi="Times New Roman" w:cs="Times New Roman"/>
                <w:color w:val="auto"/>
                <w:sz w:val="24"/>
                <w:szCs w:val="24"/>
                <w:highlight w:val="none"/>
              </w:rPr>
              <w:t>工期</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cs="Times New Roman"/>
                <w:color w:val="auto"/>
                <w:sz w:val="24"/>
                <w:szCs w:val="24"/>
                <w:highlight w:val="none"/>
              </w:rPr>
              <w:t>日历天</w:t>
            </w:r>
          </w:p>
        </w:tc>
      </w:tr>
    </w:tbl>
    <w:p w14:paraId="50D39DBF">
      <w:pPr>
        <w:spacing w:line="360" w:lineRule="auto"/>
        <w:contextualSpacing/>
        <w:jc w:val="left"/>
        <w:rPr>
          <w:rFonts w:ascii="宋体" w:hAnsi="宋体" w:cs="仿宋_GB2312"/>
          <w:color w:val="auto"/>
          <w:sz w:val="24"/>
          <w:highlight w:val="none"/>
        </w:rPr>
      </w:pPr>
    </w:p>
    <w:p w14:paraId="05B8B16D">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1C02E33D">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320DA4BC">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709A4143">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13C4AC70">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592C7943">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4AA40721">
      <w:pPr>
        <w:spacing w:line="360" w:lineRule="auto"/>
        <w:ind w:right="-817" w:rightChars="-389"/>
        <w:contextualSpacing/>
        <w:rPr>
          <w:rFonts w:ascii="宋体" w:hAnsi="宋体" w:cs="仿宋_GB2312"/>
          <w:color w:val="auto"/>
          <w:sz w:val="24"/>
          <w:highlight w:val="none"/>
        </w:rPr>
      </w:pPr>
    </w:p>
    <w:p w14:paraId="19B0D1C1">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012C4E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3105DC4">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31A14B2">
      <w:pPr>
        <w:spacing w:line="360" w:lineRule="auto"/>
        <w:contextualSpacing/>
        <w:jc w:val="center"/>
        <w:rPr>
          <w:rFonts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0C96CF06">
      <w:pPr>
        <w:spacing w:line="360" w:lineRule="auto"/>
        <w:ind w:firstLine="420" w:firstLineChars="200"/>
        <w:rPr>
          <w:color w:val="auto"/>
          <w:sz w:val="18"/>
          <w:szCs w:val="18"/>
          <w:highlight w:val="none"/>
        </w:rPr>
      </w:pPr>
      <w:r>
        <w:rPr>
          <w:color w:val="auto"/>
          <w:highlight w:val="none"/>
        </w:rPr>
        <w:t xml:space="preserve">1. </w:t>
      </w:r>
      <w:r>
        <w:rPr>
          <w:rFonts w:hint="eastAsia" w:cs="宋体"/>
          <w:color w:val="auto"/>
          <w:highlight w:val="none"/>
        </w:rPr>
        <w:t>已标价工程量清单应按</w:t>
      </w:r>
      <w:r>
        <w:rPr>
          <w:rFonts w:hint="eastAsia" w:cs="宋体"/>
          <w:color w:val="auto"/>
          <w:sz w:val="18"/>
          <w:szCs w:val="18"/>
          <w:highlight w:val="none"/>
        </w:rPr>
        <w:t>第五章</w:t>
      </w:r>
      <w:r>
        <w:rPr>
          <w:rFonts w:hint="eastAsia"/>
          <w:color w:val="auto"/>
          <w:sz w:val="18"/>
          <w:szCs w:val="18"/>
          <w:highlight w:val="none"/>
        </w:rPr>
        <w:t>“工程量清单及图纸”</w:t>
      </w:r>
      <w:r>
        <w:rPr>
          <w:rFonts w:hint="eastAsia" w:cs="宋体"/>
          <w:color w:val="auto"/>
          <w:sz w:val="18"/>
          <w:szCs w:val="18"/>
          <w:highlight w:val="none"/>
        </w:rPr>
        <w:t>中的相关表格及竞标报价说明填写。构成合同文件的已标价工程量清单包括第五章</w:t>
      </w:r>
      <w:r>
        <w:rPr>
          <w:rFonts w:hint="eastAsia"/>
          <w:color w:val="auto"/>
          <w:sz w:val="18"/>
          <w:szCs w:val="18"/>
          <w:highlight w:val="none"/>
        </w:rPr>
        <w:t>“工程量清单及图纸”</w:t>
      </w:r>
      <w:r>
        <w:rPr>
          <w:rFonts w:hint="eastAsia" w:cs="宋体"/>
          <w:color w:val="auto"/>
          <w:sz w:val="18"/>
          <w:szCs w:val="18"/>
          <w:highlight w:val="none"/>
        </w:rPr>
        <w:t>有关工程量清单、竞标报价以及其他说明的内容。</w:t>
      </w:r>
    </w:p>
    <w:p w14:paraId="13285BE5">
      <w:pPr>
        <w:spacing w:line="360" w:lineRule="auto"/>
        <w:ind w:firstLine="360" w:firstLineChars="200"/>
        <w:rPr>
          <w:color w:val="auto"/>
          <w:sz w:val="18"/>
          <w:szCs w:val="18"/>
          <w:highlight w:val="none"/>
        </w:rPr>
      </w:pPr>
      <w:r>
        <w:rPr>
          <w:color w:val="auto"/>
          <w:sz w:val="18"/>
          <w:szCs w:val="18"/>
          <w:highlight w:val="none"/>
        </w:rPr>
        <w:t xml:space="preserve">2. </w:t>
      </w:r>
      <w:r>
        <w:rPr>
          <w:rFonts w:hint="eastAsia" w:cs="宋体"/>
          <w:color w:val="auto"/>
          <w:sz w:val="18"/>
          <w:szCs w:val="18"/>
          <w:highlight w:val="none"/>
        </w:rPr>
        <w:t>一般计税法建设工程已标价工程量清单表格按</w:t>
      </w:r>
      <w:r>
        <w:rPr>
          <w:rFonts w:hint="eastAsia" w:hAnsi="宋体" w:cs="宋体"/>
          <w:color w:val="auto"/>
          <w:kern w:val="0"/>
          <w:sz w:val="18"/>
          <w:szCs w:val="18"/>
          <w:highlight w:val="none"/>
        </w:rPr>
        <w:t>《关于建筑业实施营业税改征增值税后广西壮族自治区建设工程计价依据调整的通知》（桂建标〔</w:t>
      </w:r>
      <w:r>
        <w:rPr>
          <w:rFonts w:hAnsi="宋体"/>
          <w:color w:val="auto"/>
          <w:kern w:val="0"/>
          <w:sz w:val="18"/>
          <w:szCs w:val="18"/>
          <w:highlight w:val="none"/>
        </w:rPr>
        <w:t>2016</w:t>
      </w:r>
      <w:r>
        <w:rPr>
          <w:rFonts w:hint="eastAsia" w:hAnsi="宋体" w:cs="宋体"/>
          <w:color w:val="auto"/>
          <w:kern w:val="0"/>
          <w:sz w:val="18"/>
          <w:szCs w:val="18"/>
          <w:highlight w:val="none"/>
        </w:rPr>
        <w:t>〕</w:t>
      </w:r>
      <w:r>
        <w:rPr>
          <w:rFonts w:hAnsi="宋体"/>
          <w:color w:val="auto"/>
          <w:kern w:val="0"/>
          <w:sz w:val="18"/>
          <w:szCs w:val="18"/>
          <w:highlight w:val="none"/>
        </w:rPr>
        <w:t>17</w:t>
      </w:r>
      <w:r>
        <w:rPr>
          <w:rFonts w:hint="eastAsia" w:hAnsi="宋体" w:cs="宋体"/>
          <w:color w:val="auto"/>
          <w:kern w:val="0"/>
          <w:sz w:val="18"/>
          <w:szCs w:val="18"/>
          <w:highlight w:val="none"/>
        </w:rPr>
        <w:t>号）</w:t>
      </w:r>
      <w:r>
        <w:rPr>
          <w:rFonts w:hint="eastAsia" w:ascii="宋体" w:hAnsi="宋体" w:cs="宋体"/>
          <w:color w:val="auto"/>
          <w:sz w:val="18"/>
          <w:szCs w:val="18"/>
          <w:highlight w:val="none"/>
        </w:rPr>
        <w:t>附件“增值税一般计税方法工程计价表”</w:t>
      </w:r>
      <w:r>
        <w:rPr>
          <w:rFonts w:hint="eastAsia" w:cs="宋体"/>
          <w:color w:val="auto"/>
          <w:sz w:val="18"/>
          <w:szCs w:val="18"/>
          <w:highlight w:val="none"/>
        </w:rPr>
        <w:t>要求提供，简易计税法表格按《</w:t>
      </w:r>
      <w:r>
        <w:rPr>
          <w:color w:val="auto"/>
          <w:sz w:val="18"/>
          <w:szCs w:val="18"/>
          <w:highlight w:val="none"/>
        </w:rPr>
        <w:t>&lt;</w:t>
      </w:r>
      <w:r>
        <w:rPr>
          <w:rFonts w:hint="eastAsia" w:cs="宋体"/>
          <w:color w:val="auto"/>
          <w:sz w:val="18"/>
          <w:szCs w:val="18"/>
          <w:highlight w:val="none"/>
        </w:rPr>
        <w:t>建设工程工程量清单计价规范</w:t>
      </w:r>
      <w:r>
        <w:rPr>
          <w:color w:val="auto"/>
          <w:sz w:val="18"/>
          <w:szCs w:val="18"/>
          <w:highlight w:val="none"/>
        </w:rPr>
        <w:t>&gt;</w:t>
      </w:r>
      <w:r>
        <w:rPr>
          <w:rFonts w:hint="eastAsia" w:cs="宋体"/>
          <w:color w:val="auto"/>
          <w:sz w:val="18"/>
          <w:szCs w:val="18"/>
          <w:highlight w:val="none"/>
        </w:rPr>
        <w:t>（</w:t>
      </w:r>
      <w:r>
        <w:rPr>
          <w:color w:val="auto"/>
          <w:sz w:val="18"/>
          <w:szCs w:val="18"/>
          <w:highlight w:val="none"/>
        </w:rPr>
        <w:t>GB5050-2013</w:t>
      </w:r>
      <w:r>
        <w:rPr>
          <w:rFonts w:hint="eastAsia" w:cs="宋体"/>
          <w:color w:val="auto"/>
          <w:sz w:val="18"/>
          <w:szCs w:val="18"/>
          <w:highlight w:val="none"/>
        </w:rPr>
        <w:t>）广西壮族自治区实施细则》要求的表格提供，但规费和税费按照</w:t>
      </w:r>
      <w:r>
        <w:rPr>
          <w:rFonts w:hint="eastAsia" w:hAnsi="宋体" w:cs="宋体"/>
          <w:color w:val="auto"/>
          <w:kern w:val="0"/>
          <w:sz w:val="18"/>
          <w:szCs w:val="18"/>
          <w:highlight w:val="none"/>
        </w:rPr>
        <w:t>《关于建筑业实施营业税改征增值税后广西壮族自治区建设工程计价依据调整的通知》（桂建标〔</w:t>
      </w:r>
      <w:r>
        <w:rPr>
          <w:rFonts w:hAnsi="宋体"/>
          <w:color w:val="auto"/>
          <w:kern w:val="0"/>
          <w:sz w:val="18"/>
          <w:szCs w:val="18"/>
          <w:highlight w:val="none"/>
        </w:rPr>
        <w:t>2016</w:t>
      </w:r>
      <w:r>
        <w:rPr>
          <w:rFonts w:hint="eastAsia" w:hAnsi="宋体" w:cs="宋体"/>
          <w:color w:val="auto"/>
          <w:kern w:val="0"/>
          <w:sz w:val="18"/>
          <w:szCs w:val="18"/>
          <w:highlight w:val="none"/>
        </w:rPr>
        <w:t>〕</w:t>
      </w:r>
      <w:r>
        <w:rPr>
          <w:rFonts w:hAnsi="宋体"/>
          <w:color w:val="auto"/>
          <w:kern w:val="0"/>
          <w:sz w:val="18"/>
          <w:szCs w:val="18"/>
          <w:highlight w:val="none"/>
        </w:rPr>
        <w:t>17</w:t>
      </w:r>
      <w:r>
        <w:rPr>
          <w:rFonts w:hint="eastAsia" w:hAnsi="宋体" w:cs="宋体"/>
          <w:color w:val="auto"/>
          <w:kern w:val="0"/>
          <w:sz w:val="18"/>
          <w:szCs w:val="18"/>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sz w:val="18"/>
          <w:szCs w:val="18"/>
          <w:highlight w:val="none"/>
        </w:rPr>
        <w:t>调整</w:t>
      </w:r>
      <w:r>
        <w:rPr>
          <w:rFonts w:hint="eastAsia" w:cs="宋体"/>
          <w:color w:val="auto"/>
          <w:sz w:val="18"/>
          <w:szCs w:val="18"/>
          <w:highlight w:val="none"/>
        </w:rPr>
        <w:t>，具体内容包括：</w:t>
      </w:r>
    </w:p>
    <w:p w14:paraId="43F183D5">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14:paraId="01A550AE">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14:paraId="0BFF2119">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4BB24943">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7CE7D85C">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358370A">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466F980C">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0C9DF201">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14:paraId="3C37A451">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）【备注：可按要求有选择的提供】</w:t>
      </w:r>
    </w:p>
    <w:p w14:paraId="7F04C6EE">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7F96D993">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577C8085">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3184B22E">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539FAE05">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14:paraId="69BCD771">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14:paraId="009E7E5F">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5BACC277">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4B33742E">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0A2F7E75">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16202139">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w:t>
      </w:r>
    </w:p>
    <w:p w14:paraId="0ED66B7D">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5AF36BAB">
      <w:pPr>
        <w:spacing w:line="360" w:lineRule="auto"/>
        <w:ind w:firstLine="630" w:firstLineChars="300"/>
        <w:rPr>
          <w:color w:val="auto"/>
          <w:highlight w:val="none"/>
        </w:rPr>
      </w:pPr>
      <w:r>
        <w:rPr>
          <w:rFonts w:hint="eastAsia"/>
          <w:color w:val="auto"/>
          <w:highlight w:val="none"/>
        </w:rPr>
        <w:t>1.22</w:t>
      </w:r>
      <w:r>
        <w:rPr>
          <w:rFonts w:hint="eastAsia" w:cs="宋体"/>
          <w:color w:val="auto"/>
          <w:highlight w:val="none"/>
        </w:rPr>
        <w:t>本工程</w:t>
      </w:r>
      <w:r>
        <w:rPr>
          <w:rFonts w:cs="宋体"/>
          <w:color w:val="auto"/>
          <w:highlight w:val="none"/>
        </w:rPr>
        <w:t>材料和工程设备</w:t>
      </w:r>
      <w:r>
        <w:rPr>
          <w:rFonts w:hint="eastAsia" w:cs="宋体"/>
          <w:color w:val="auto"/>
          <w:highlight w:val="none"/>
        </w:rPr>
        <w:t>一览表（表-24）</w:t>
      </w:r>
    </w:p>
    <w:p w14:paraId="4FA17764">
      <w:pPr>
        <w:spacing w:line="360" w:lineRule="auto"/>
        <w:rPr>
          <w:color w:val="auto"/>
          <w:highlight w:val="none"/>
        </w:rPr>
      </w:pPr>
      <w:r>
        <w:rPr>
          <w:rFonts w:hint="eastAsia" w:cs="宋体"/>
          <w:color w:val="auto"/>
          <w:highlight w:val="none"/>
        </w:rPr>
        <w:t>备注：</w:t>
      </w:r>
    </w:p>
    <w:p w14:paraId="4F2493C8">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）供应商在上传竞标报价文件时应上传纸质投标总价封面的原件扫描件。报标总价封面必须经供应商盖章，并由法定代表人（或其授权人）签字（或盖章），同时由编制人签字盖专用章。</w:t>
      </w:r>
    </w:p>
    <w:p w14:paraId="40A3AFEC">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14:paraId="59BDB2DD">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）已标价工程量清单表格要严格按照招标工程量清单给出的表格要求和内容填报。如本工程在合同中约定采用造价信息价差调整法，1.</w:t>
      </w:r>
      <w:r>
        <w:rPr>
          <w:color w:val="auto"/>
          <w:highlight w:val="none"/>
        </w:rPr>
        <w:t xml:space="preserve">18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6DFC2FDB">
      <w:pPr>
        <w:spacing w:line="360" w:lineRule="auto"/>
        <w:ind w:firstLine="420" w:firstLineChars="20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7FE8FE11">
      <w:pPr>
        <w:spacing w:line="360" w:lineRule="auto"/>
        <w:ind w:firstLine="420" w:firstLineChars="20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6EC4415E">
      <w:pPr>
        <w:spacing w:line="360" w:lineRule="auto"/>
        <w:ind w:firstLine="420" w:firstLineChars="20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14:paraId="04ABF831">
      <w:pPr>
        <w:spacing w:line="360" w:lineRule="auto"/>
        <w:ind w:firstLine="420" w:firstLineChars="20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14:paraId="51AEC361">
      <w:pPr>
        <w:spacing w:line="360" w:lineRule="auto"/>
        <w:ind w:firstLine="420" w:firstLineChars="20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29EAE2D5">
      <w:pPr>
        <w:spacing w:line="360" w:lineRule="auto"/>
        <w:ind w:firstLine="420" w:firstLineChars="20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2B7DF2AE">
      <w:pPr>
        <w:spacing w:line="360" w:lineRule="auto"/>
        <w:ind w:firstLine="420" w:firstLineChars="200"/>
        <w:rPr>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3569E618">
      <w:pPr>
        <w:spacing w:line="360" w:lineRule="auto"/>
        <w:ind w:firstLine="420" w:firstLineChars="200"/>
        <w:rPr>
          <w:rFonts w:cs="宋体"/>
          <w:color w:val="auto"/>
          <w:highlight w:val="none"/>
        </w:rPr>
      </w:pPr>
      <w:r>
        <w:rPr>
          <w:color w:val="auto"/>
          <w:highlight w:val="none"/>
        </w:rPr>
        <w:fldChar w:fldCharType="begin"/>
      </w:r>
      <w:r>
        <w:rPr>
          <w:rFonts w:hint="eastAsia"/>
          <w:color w:val="auto"/>
          <w:highlight w:val="none"/>
        </w:rPr>
        <w:instrText xml:space="preserve">= 8 \* GB3</w:instrText>
      </w:r>
      <w:r>
        <w:rPr>
          <w:color w:val="auto"/>
          <w:highlight w:val="none"/>
        </w:rPr>
        <w:fldChar w:fldCharType="separate"/>
      </w:r>
      <w:r>
        <w:rPr>
          <w:rFonts w:hint="eastAsia"/>
          <w:color w:val="auto"/>
          <w:highlight w:val="none"/>
        </w:rPr>
        <w:t>⑧</w:t>
      </w:r>
      <w:r>
        <w:rPr>
          <w:color w:val="auto"/>
          <w:highlight w:val="none"/>
        </w:rPr>
        <w:fldChar w:fldCharType="end"/>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6674989F">
      <w:pPr>
        <w:spacing w:line="360" w:lineRule="auto"/>
        <w:ind w:firstLine="420" w:firstLineChars="200"/>
        <w:contextualSpacing/>
        <w:jc w:val="left"/>
        <w:rPr>
          <w:rFonts w:hAnsi="宋体" w:cs="宋体"/>
          <w:color w:val="auto"/>
          <w:kern w:val="0"/>
          <w:highlight w:val="none"/>
        </w:rPr>
      </w:pPr>
      <w:r>
        <w:rPr>
          <w:rFonts w:hint="eastAsia" w:cs="宋体"/>
          <w:color w:val="auto"/>
          <w:highlight w:val="none"/>
        </w:rPr>
        <w:t>注：</w:t>
      </w:r>
      <w:r>
        <w:rPr>
          <w:rFonts w:hint="eastAsia" w:hAnsi="宋体" w:cs="宋体"/>
          <w:color w:val="auto"/>
          <w:kern w:val="0"/>
          <w:highlight w:val="none"/>
        </w:rPr>
        <w:t>因2021年《广西壮族自治区园林绿化及仿古建筑工程费用定额》采用全费用综合单价形式，故园林绿化及仿古建筑工程的已标价工程量清单</w:t>
      </w:r>
      <w:r>
        <w:rPr>
          <w:rFonts w:hint="eastAsia" w:cs="黑体"/>
          <w:color w:val="auto"/>
          <w:highlight w:val="none"/>
        </w:rPr>
        <w:t>采用</w:t>
      </w:r>
      <w:r>
        <w:rPr>
          <w:rFonts w:hint="eastAsia" w:hAnsi="宋体" w:cs="宋体"/>
          <w:color w:val="auto"/>
          <w:kern w:val="0"/>
          <w:highlight w:val="none"/>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7811D7BB">
      <w:pPr>
        <w:spacing w:line="360" w:lineRule="auto"/>
        <w:ind w:right="420"/>
        <w:contextualSpacing/>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7D814604">
      <w:pPr>
        <w:spacing w:line="360" w:lineRule="auto"/>
        <w:ind w:firstLine="643" w:firstLineChars="200"/>
        <w:contextualSpacing/>
        <w:jc w:val="center"/>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1CF48D0D">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57976A6D">
      <w:pPr>
        <w:snapToGrid w:val="0"/>
        <w:spacing w:beforeLines="50" w:after="50"/>
        <w:rPr>
          <w:rFonts w:ascii="宋体" w:hAnsi="宋体"/>
          <w:bCs/>
          <w:color w:val="auto"/>
          <w:sz w:val="32"/>
          <w:szCs w:val="20"/>
          <w:highlight w:val="none"/>
        </w:rPr>
      </w:pPr>
    </w:p>
    <w:p w14:paraId="61A45772">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4E11F0A">
      <w:pPr>
        <w:snapToGrid w:val="0"/>
        <w:spacing w:beforeLines="50" w:after="50"/>
        <w:rPr>
          <w:rFonts w:ascii="宋体" w:hAnsi="宋体"/>
          <w:color w:val="auto"/>
          <w:sz w:val="24"/>
          <w:szCs w:val="20"/>
          <w:highlight w:val="none"/>
        </w:rPr>
      </w:pPr>
    </w:p>
    <w:p w14:paraId="0E3CA621">
      <w:pPr>
        <w:snapToGrid w:val="0"/>
        <w:spacing w:beforeLines="50" w:after="50"/>
        <w:rPr>
          <w:rFonts w:ascii="宋体" w:hAnsi="宋体"/>
          <w:color w:val="auto"/>
          <w:sz w:val="24"/>
          <w:szCs w:val="20"/>
          <w:highlight w:val="none"/>
        </w:rPr>
      </w:pPr>
    </w:p>
    <w:p w14:paraId="6C5538E7">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793DC4F">
      <w:pPr>
        <w:snapToGrid w:val="0"/>
        <w:spacing w:beforeLines="50" w:after="50"/>
        <w:rPr>
          <w:rFonts w:ascii="宋体" w:hAnsi="宋体"/>
          <w:bCs/>
          <w:color w:val="auto"/>
          <w:sz w:val="24"/>
          <w:szCs w:val="20"/>
          <w:highlight w:val="none"/>
        </w:rPr>
      </w:pPr>
    </w:p>
    <w:p w14:paraId="0E1C6077">
      <w:pPr>
        <w:snapToGrid w:val="0"/>
        <w:spacing w:beforeLines="50" w:after="50"/>
        <w:rPr>
          <w:rFonts w:ascii="宋体" w:hAnsi="宋体"/>
          <w:bCs/>
          <w:color w:val="auto"/>
          <w:sz w:val="24"/>
          <w:szCs w:val="20"/>
          <w:highlight w:val="none"/>
        </w:rPr>
      </w:pPr>
    </w:p>
    <w:p w14:paraId="26016141">
      <w:pPr>
        <w:snapToGrid w:val="0"/>
        <w:spacing w:beforeLines="50" w:after="50"/>
        <w:rPr>
          <w:rFonts w:ascii="宋体" w:hAnsi="宋体"/>
          <w:bCs/>
          <w:color w:val="auto"/>
          <w:sz w:val="24"/>
          <w:szCs w:val="20"/>
          <w:highlight w:val="none"/>
        </w:rPr>
      </w:pPr>
    </w:p>
    <w:p w14:paraId="7C771C18">
      <w:pPr>
        <w:snapToGrid w:val="0"/>
        <w:spacing w:beforeLines="50" w:after="50"/>
        <w:rPr>
          <w:rFonts w:ascii="宋体" w:hAnsi="宋体"/>
          <w:bCs/>
          <w:color w:val="auto"/>
          <w:sz w:val="24"/>
          <w:szCs w:val="20"/>
          <w:highlight w:val="none"/>
        </w:rPr>
      </w:pPr>
    </w:p>
    <w:p w14:paraId="1EF5A903">
      <w:pPr>
        <w:snapToGrid w:val="0"/>
        <w:spacing w:beforeLines="50" w:after="50"/>
        <w:rPr>
          <w:rFonts w:ascii="宋体" w:hAnsi="宋体"/>
          <w:bCs/>
          <w:color w:val="auto"/>
          <w:sz w:val="24"/>
          <w:szCs w:val="20"/>
          <w:highlight w:val="none"/>
        </w:rPr>
      </w:pPr>
    </w:p>
    <w:p w14:paraId="1DB5C915">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A93BC0F">
      <w:pPr>
        <w:snapToGrid w:val="0"/>
        <w:spacing w:beforeLines="50" w:after="50"/>
        <w:ind w:firstLine="720" w:firstLineChars="225"/>
        <w:rPr>
          <w:rFonts w:ascii="宋体" w:hAnsi="宋体" w:cs="仿宋_GB2312"/>
          <w:bCs/>
          <w:color w:val="auto"/>
          <w:sz w:val="32"/>
          <w:szCs w:val="32"/>
          <w:highlight w:val="none"/>
        </w:rPr>
      </w:pPr>
    </w:p>
    <w:p w14:paraId="12559812">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F81CF4D">
      <w:pPr>
        <w:snapToGrid w:val="0"/>
        <w:spacing w:beforeLines="50" w:after="50"/>
        <w:ind w:firstLine="720" w:firstLineChars="225"/>
        <w:rPr>
          <w:rFonts w:ascii="宋体" w:hAnsi="宋体" w:cs="仿宋_GB2312"/>
          <w:bCs/>
          <w:color w:val="auto"/>
          <w:sz w:val="32"/>
          <w:szCs w:val="32"/>
          <w:highlight w:val="none"/>
        </w:rPr>
      </w:pPr>
    </w:p>
    <w:p w14:paraId="2DF379D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92D548E">
      <w:pPr>
        <w:snapToGrid w:val="0"/>
        <w:spacing w:beforeLines="50" w:after="50"/>
        <w:ind w:firstLine="720" w:firstLineChars="225"/>
        <w:rPr>
          <w:rFonts w:ascii="宋体" w:hAnsi="宋体" w:cs="仿宋_GB2312"/>
          <w:bCs/>
          <w:color w:val="auto"/>
          <w:sz w:val="32"/>
          <w:szCs w:val="32"/>
          <w:highlight w:val="none"/>
        </w:rPr>
      </w:pPr>
    </w:p>
    <w:p w14:paraId="36190F11">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1DBF496">
      <w:pPr>
        <w:pStyle w:val="7"/>
        <w:snapToGrid w:val="0"/>
        <w:spacing w:before="50" w:after="50"/>
        <w:ind w:firstLine="640" w:firstLineChars="200"/>
        <w:rPr>
          <w:rFonts w:ascii="宋体" w:hAnsi="宋体" w:cs="仿宋_GB2312"/>
          <w:bCs/>
          <w:color w:val="auto"/>
          <w:sz w:val="32"/>
          <w:szCs w:val="32"/>
          <w:highlight w:val="none"/>
        </w:rPr>
      </w:pPr>
    </w:p>
    <w:p w14:paraId="3EEAA9ED">
      <w:pPr>
        <w:pStyle w:val="7"/>
        <w:snapToGrid w:val="0"/>
        <w:spacing w:before="50" w:after="50"/>
        <w:ind w:firstLine="720" w:firstLineChars="225"/>
        <w:rPr>
          <w:rFonts w:ascii="宋体" w:hAnsi="宋体" w:cs="仿宋_GB2312"/>
          <w:bCs/>
          <w:color w:val="auto"/>
          <w:sz w:val="32"/>
          <w:szCs w:val="32"/>
          <w:highlight w:val="none"/>
        </w:rPr>
      </w:pPr>
    </w:p>
    <w:p w14:paraId="308920A7">
      <w:pPr>
        <w:pStyle w:val="7"/>
        <w:snapToGrid w:val="0"/>
        <w:spacing w:before="50" w:after="50"/>
        <w:ind w:firstLine="0"/>
        <w:rPr>
          <w:rFonts w:ascii="宋体" w:hAnsi="宋体" w:cs="仿宋_GB2312"/>
          <w:bCs/>
          <w:color w:val="auto"/>
          <w:sz w:val="32"/>
          <w:szCs w:val="32"/>
          <w:highlight w:val="none"/>
        </w:rPr>
      </w:pPr>
    </w:p>
    <w:p w14:paraId="13D69470">
      <w:pPr>
        <w:pStyle w:val="7"/>
        <w:snapToGrid w:val="0"/>
        <w:spacing w:before="50" w:after="50"/>
        <w:ind w:firstLine="1280" w:firstLineChars="400"/>
        <w:rPr>
          <w:rFonts w:ascii="宋体" w:hAnsi="宋体" w:cs="仿宋_GB2312"/>
          <w:bCs/>
          <w:color w:val="auto"/>
          <w:sz w:val="32"/>
          <w:szCs w:val="32"/>
          <w:highlight w:val="none"/>
        </w:rPr>
      </w:pPr>
    </w:p>
    <w:p w14:paraId="7832148E">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F8428B8">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2CE1D9E3">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E55ADC1">
      <w:pPr>
        <w:spacing w:line="400" w:lineRule="exact"/>
        <w:rPr>
          <w:rFonts w:ascii="仿宋_GB2312" w:hAnsi="仿宋_GB2312" w:eastAsia="仿宋_GB2312" w:cs="仿宋_GB2312"/>
          <w:color w:val="auto"/>
          <w:sz w:val="32"/>
          <w:szCs w:val="32"/>
          <w:highlight w:val="none"/>
        </w:rPr>
      </w:pPr>
    </w:p>
    <w:p w14:paraId="52C21DCE">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F08137E">
      <w:pPr>
        <w:spacing w:line="360" w:lineRule="auto"/>
        <w:ind w:firstLine="640" w:firstLineChars="200"/>
        <w:contextualSpacing/>
        <w:rPr>
          <w:rFonts w:ascii="仿宋_GB2312" w:hAnsi="仿宋_GB2312" w:eastAsia="仿宋_GB2312" w:cs="仿宋_GB2312"/>
          <w:color w:val="auto"/>
          <w:sz w:val="32"/>
          <w:szCs w:val="32"/>
          <w:highlight w:val="none"/>
        </w:rPr>
      </w:pPr>
    </w:p>
    <w:p w14:paraId="05D93517">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13F84B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6B8D2DA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1ACAB5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26E8DB2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3DF9152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3E92791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6FA4101">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3C4352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D5C87F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874FC8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057EB82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1532A2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2C2E68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5A30FD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5599A7D">
      <w:pPr>
        <w:spacing w:line="360" w:lineRule="auto"/>
        <w:ind w:firstLine="480" w:firstLineChars="200"/>
        <w:contextualSpacing/>
        <w:rPr>
          <w:rFonts w:ascii="宋体" w:hAnsi="宋体" w:cs="仿宋_GB2312"/>
          <w:color w:val="auto"/>
          <w:sz w:val="24"/>
          <w:highlight w:val="none"/>
        </w:rPr>
      </w:pPr>
    </w:p>
    <w:p w14:paraId="7F6EE651">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404275A">
      <w:pPr>
        <w:spacing w:line="360" w:lineRule="auto"/>
        <w:contextualSpacing/>
        <w:rPr>
          <w:rFonts w:ascii="宋体" w:hAnsi="宋体" w:cs="仿宋_GB2312"/>
          <w:color w:val="auto"/>
          <w:sz w:val="24"/>
          <w:highlight w:val="none"/>
        </w:rPr>
      </w:pPr>
    </w:p>
    <w:p w14:paraId="25FDB531">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05D5CA0">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1645B968">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14D79F1">
      <w:pPr>
        <w:spacing w:line="360" w:lineRule="auto"/>
        <w:ind w:left="540"/>
        <w:contextualSpacing/>
        <w:rPr>
          <w:rFonts w:ascii="仿宋_GB2312" w:hAnsi="仿宋_GB2312" w:eastAsia="仿宋_GB2312" w:cs="仿宋_GB2312"/>
          <w:color w:val="auto"/>
          <w:sz w:val="32"/>
          <w:szCs w:val="32"/>
          <w:highlight w:val="none"/>
        </w:rPr>
      </w:pPr>
    </w:p>
    <w:p w14:paraId="1D2B14C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56EFA76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33AE186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名：性     别：</w:t>
      </w:r>
    </w:p>
    <w:p w14:paraId="570217EF">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龄：职     务：</w:t>
      </w:r>
    </w:p>
    <w:p w14:paraId="2671BFC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0A3F4D6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28AFA0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51275355">
      <w:pPr>
        <w:spacing w:line="360" w:lineRule="auto"/>
        <w:ind w:left="540"/>
        <w:contextualSpacing/>
        <w:rPr>
          <w:rFonts w:ascii="宋体" w:hAnsi="宋体" w:cs="仿宋_GB2312"/>
          <w:color w:val="auto"/>
          <w:sz w:val="24"/>
          <w:highlight w:val="none"/>
        </w:rPr>
      </w:pPr>
    </w:p>
    <w:p w14:paraId="371A036C">
      <w:pPr>
        <w:spacing w:line="360" w:lineRule="auto"/>
        <w:ind w:left="540"/>
        <w:contextualSpacing/>
        <w:rPr>
          <w:rFonts w:ascii="宋体" w:hAnsi="宋体" w:cs="仿宋_GB2312"/>
          <w:color w:val="auto"/>
          <w:sz w:val="24"/>
          <w:highlight w:val="none"/>
        </w:rPr>
      </w:pPr>
    </w:p>
    <w:p w14:paraId="7E6F0A15">
      <w:pPr>
        <w:spacing w:line="360" w:lineRule="auto"/>
        <w:ind w:left="540"/>
        <w:contextualSpacing/>
        <w:rPr>
          <w:rFonts w:ascii="宋体" w:hAnsi="宋体" w:cs="仿宋_GB2312"/>
          <w:color w:val="auto"/>
          <w:sz w:val="24"/>
          <w:highlight w:val="none"/>
        </w:rPr>
      </w:pPr>
    </w:p>
    <w:p w14:paraId="4F73078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附件：法定代表人有效身份证正反面扫描件</w:t>
      </w:r>
    </w:p>
    <w:p w14:paraId="768E08DC">
      <w:pPr>
        <w:spacing w:line="360" w:lineRule="auto"/>
        <w:ind w:left="540"/>
        <w:contextualSpacing/>
        <w:rPr>
          <w:rFonts w:ascii="宋体" w:hAnsi="宋体" w:cs="仿宋_GB2312"/>
          <w:color w:val="auto"/>
          <w:sz w:val="24"/>
          <w:highlight w:val="none"/>
        </w:rPr>
      </w:pPr>
    </w:p>
    <w:p w14:paraId="0481EDCF">
      <w:pPr>
        <w:spacing w:line="360" w:lineRule="auto"/>
        <w:ind w:left="540" w:firstLine="3000" w:firstLineChars="1250"/>
        <w:contextualSpacing/>
        <w:jc w:val="lef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FC802F4">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01167E7">
      <w:pPr>
        <w:spacing w:line="360" w:lineRule="auto"/>
        <w:contextualSpacing/>
        <w:jc w:val="center"/>
        <w:rPr>
          <w:rFonts w:ascii="宋体" w:hAnsi="宋体" w:cs="仿宋_GB2312"/>
          <w:b/>
          <w:color w:val="auto"/>
          <w:sz w:val="24"/>
          <w:highlight w:val="none"/>
        </w:rPr>
      </w:pPr>
    </w:p>
    <w:p w14:paraId="0DFB24CC">
      <w:pPr>
        <w:spacing w:line="360" w:lineRule="auto"/>
        <w:contextualSpacing/>
        <w:jc w:val="left"/>
        <w:rPr>
          <w:rFonts w:ascii="宋体" w:hAnsi="宋体" w:cs="仿宋_GB2312"/>
          <w:color w:val="auto"/>
          <w:sz w:val="24"/>
          <w:highlight w:val="none"/>
        </w:rPr>
      </w:pPr>
    </w:p>
    <w:p w14:paraId="1D79A20F">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注：联合体竞标的只需牵头人出具。</w:t>
      </w:r>
    </w:p>
    <w:p w14:paraId="1956EBCA">
      <w:pPr>
        <w:adjustRightInd w:val="0"/>
        <w:snapToGrid w:val="0"/>
        <w:spacing w:line="300" w:lineRule="auto"/>
        <w:jc w:val="left"/>
        <w:rPr>
          <w:rFonts w:ascii="宋体" w:hAnsi="宋体"/>
          <w:b/>
          <w:color w:val="auto"/>
          <w:szCs w:val="21"/>
          <w:highlight w:val="none"/>
        </w:rPr>
      </w:pPr>
    </w:p>
    <w:p w14:paraId="446DD0AF">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1FB1563B">
      <w:pPr>
        <w:spacing w:line="520" w:lineRule="exact"/>
        <w:jc w:val="center"/>
        <w:rPr>
          <w:rFonts w:ascii="方正小标宋简体" w:hAnsi="方正小标宋简体" w:eastAsia="方正小标宋简体" w:cs="方正小标宋简体"/>
          <w:color w:val="auto"/>
          <w:sz w:val="44"/>
          <w:szCs w:val="44"/>
          <w:highlight w:val="none"/>
        </w:rPr>
      </w:pPr>
      <w:bookmarkStart w:id="111" w:name="_Hlk65853643"/>
      <w:r>
        <w:rPr>
          <w:rFonts w:hint="eastAsia" w:ascii="方正小标宋简体" w:hAnsi="方正小标宋简体" w:eastAsia="方正小标宋简体" w:cs="方正小标宋简体"/>
          <w:color w:val="auto"/>
          <w:sz w:val="44"/>
          <w:szCs w:val="44"/>
          <w:highlight w:val="none"/>
        </w:rPr>
        <w:t>授权委托书</w:t>
      </w:r>
    </w:p>
    <w:p w14:paraId="01AC8061">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33571D67">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24DEA5E">
      <w:pPr>
        <w:spacing w:line="520" w:lineRule="exact"/>
        <w:rPr>
          <w:rFonts w:ascii="仿宋_GB2312" w:hAnsi="仿宋_GB2312" w:eastAsia="仿宋_GB2312" w:cs="仿宋_GB2312"/>
          <w:color w:val="auto"/>
          <w:sz w:val="32"/>
          <w:szCs w:val="32"/>
          <w:highlight w:val="none"/>
        </w:rPr>
      </w:pPr>
    </w:p>
    <w:p w14:paraId="1B521F64">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787A43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06113D21">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42DEEA8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DFB4AD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17CE3B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附：法定代表人身份证明书及委托代理人有效身份证正反面扫描件</w:t>
      </w:r>
    </w:p>
    <w:p w14:paraId="0B420F36">
      <w:pPr>
        <w:spacing w:line="360" w:lineRule="auto"/>
        <w:rPr>
          <w:rFonts w:ascii="宋体" w:hAnsi="宋体" w:cs="仿宋_GB2312"/>
          <w:color w:val="auto"/>
          <w:sz w:val="24"/>
          <w:highlight w:val="none"/>
        </w:rPr>
      </w:pPr>
    </w:p>
    <w:p w14:paraId="47990EE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6A7802B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D8EC7B0">
      <w:pPr>
        <w:spacing w:line="360" w:lineRule="auto"/>
        <w:contextualSpacing/>
        <w:rPr>
          <w:rFonts w:ascii="宋体" w:hAnsi="宋体" w:cs="仿宋_GB2312"/>
          <w:color w:val="auto"/>
          <w:sz w:val="24"/>
          <w:highlight w:val="none"/>
        </w:rPr>
      </w:pPr>
    </w:p>
    <w:p w14:paraId="04169C4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240B03B7">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151A1912">
      <w:pPr>
        <w:spacing w:line="360" w:lineRule="auto"/>
        <w:rPr>
          <w:rFonts w:ascii="宋体" w:hAnsi="宋体" w:cs="仿宋_GB2312"/>
          <w:color w:val="auto"/>
          <w:sz w:val="24"/>
          <w:highlight w:val="none"/>
        </w:rPr>
      </w:pPr>
    </w:p>
    <w:p w14:paraId="7A0A6ADC">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2A25B826">
      <w:pPr>
        <w:spacing w:line="360" w:lineRule="auto"/>
        <w:ind w:firstLine="420" w:firstLineChars="200"/>
        <w:jc w:val="left"/>
        <w:rPr>
          <w:rFonts w:ascii="仿宋_GB2312" w:hAnsi="仿宋_GB2312" w:eastAsia="仿宋_GB2312" w:cs="仿宋_GB2312"/>
          <w:color w:val="auto"/>
          <w:szCs w:val="21"/>
          <w:highlight w:val="none"/>
        </w:rPr>
      </w:pPr>
    </w:p>
    <w:p w14:paraId="1A032CD4">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1FEAC8A7">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4F289469">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19284FD">
      <w:pPr>
        <w:spacing w:line="500" w:lineRule="exact"/>
        <w:jc w:val="center"/>
        <w:rPr>
          <w:rFonts w:ascii="方正小标宋简体" w:hAnsi="方正小标宋简体" w:eastAsia="方正小标宋简体" w:cs="方正小标宋简体"/>
          <w:color w:val="auto"/>
          <w:sz w:val="44"/>
          <w:szCs w:val="44"/>
          <w:highlight w:val="none"/>
        </w:rPr>
      </w:pPr>
    </w:p>
    <w:p w14:paraId="5428DDE7">
      <w:pPr>
        <w:spacing w:line="500" w:lineRule="exact"/>
        <w:jc w:val="center"/>
        <w:rPr>
          <w:rFonts w:ascii="仿宋_GB2312" w:hAnsi="仿宋_GB2312" w:eastAsia="仿宋_GB2312" w:cs="仿宋_GB2312"/>
          <w:color w:val="auto"/>
          <w:sz w:val="32"/>
          <w:szCs w:val="32"/>
          <w:highlight w:val="none"/>
        </w:rPr>
      </w:pPr>
    </w:p>
    <w:p w14:paraId="545131D4">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562998D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40DF861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EA5A9F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1E422E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附：法定代表人身份证明书及委托代理人有效身份证正反面扫描件</w:t>
      </w:r>
    </w:p>
    <w:p w14:paraId="1DFA55D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28C8CB41">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1F5DC4B8">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59C4969">
      <w:pPr>
        <w:spacing w:line="360" w:lineRule="auto"/>
        <w:contextualSpacing/>
        <w:rPr>
          <w:rFonts w:ascii="宋体" w:hAnsi="宋体" w:cs="仿宋_GB2312"/>
          <w:color w:val="auto"/>
          <w:sz w:val="24"/>
          <w:highlight w:val="none"/>
        </w:rPr>
      </w:pPr>
    </w:p>
    <w:p w14:paraId="1FB0A320">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7A1C05A6">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E26BFFA">
      <w:pPr>
        <w:spacing w:line="360" w:lineRule="auto"/>
        <w:contextualSpacing/>
        <w:rPr>
          <w:rFonts w:ascii="宋体" w:hAnsi="宋体" w:cs="仿宋_GB2312"/>
          <w:color w:val="auto"/>
          <w:sz w:val="24"/>
          <w:highlight w:val="none"/>
        </w:rPr>
      </w:pPr>
    </w:p>
    <w:p w14:paraId="5689BA9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bookmarkEnd w:id="111"/>
    <w:p w14:paraId="5846A736">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施工组织设计</w:t>
      </w:r>
    </w:p>
    <w:p w14:paraId="5DB4897F">
      <w:pPr>
        <w:spacing w:line="360" w:lineRule="auto"/>
        <w:ind w:firstLine="420" w:firstLineChars="200"/>
        <w:rPr>
          <w:rFonts w:cs="宋体"/>
          <w:color w:val="auto"/>
          <w:highlight w:val="none"/>
        </w:rPr>
      </w:pPr>
      <w:r>
        <w:rPr>
          <w:rFonts w:hint="eastAsia"/>
          <w:color w:val="auto"/>
          <w:highlight w:val="none"/>
        </w:rPr>
        <w:t>1.</w:t>
      </w:r>
      <w:r>
        <w:rPr>
          <w:color w:val="auto"/>
          <w:highlight w:val="none"/>
        </w:rPr>
        <w:t>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753CF783">
      <w:pPr>
        <w:spacing w:line="360" w:lineRule="auto"/>
        <w:ind w:firstLine="420" w:firstLineChars="200"/>
        <w:rPr>
          <w:color w:val="auto"/>
          <w:highlight w:val="none"/>
        </w:rPr>
      </w:pPr>
      <w:r>
        <w:rPr>
          <w:rFonts w:hint="eastAsia"/>
          <w:color w:val="auto"/>
          <w:highlight w:val="none"/>
        </w:rPr>
        <w:t>（1）概述</w:t>
      </w:r>
    </w:p>
    <w:p w14:paraId="7AE326C8">
      <w:pPr>
        <w:spacing w:line="360" w:lineRule="auto"/>
        <w:ind w:firstLine="420" w:firstLineChars="200"/>
        <w:rPr>
          <w:color w:val="auto"/>
          <w:highlight w:val="none"/>
        </w:rPr>
      </w:pPr>
      <w:r>
        <w:rPr>
          <w:rFonts w:hint="eastAsia"/>
          <w:color w:val="auto"/>
          <w:highlight w:val="none"/>
        </w:rPr>
        <w:t>（2）主要施工方法；</w:t>
      </w:r>
    </w:p>
    <w:p w14:paraId="570C04F1">
      <w:pPr>
        <w:spacing w:line="360" w:lineRule="auto"/>
        <w:ind w:firstLine="420" w:firstLineChars="200"/>
        <w:rPr>
          <w:color w:val="auto"/>
          <w:highlight w:val="none"/>
        </w:rPr>
      </w:pPr>
      <w:r>
        <w:rPr>
          <w:rFonts w:hint="eastAsia"/>
          <w:color w:val="auto"/>
          <w:highlight w:val="none"/>
        </w:rPr>
        <w:t>（3）拟投入的主要物资计划</w:t>
      </w:r>
    </w:p>
    <w:p w14:paraId="28181B03">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）劳动力安排计划；</w:t>
      </w:r>
    </w:p>
    <w:p w14:paraId="32ACE1A8">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）确保工程质量的技术组织措施；</w:t>
      </w:r>
    </w:p>
    <w:p w14:paraId="04FB4437">
      <w:pPr>
        <w:spacing w:line="36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）确保安全生产的技术组织措施；</w:t>
      </w:r>
    </w:p>
    <w:p w14:paraId="15BFED9B">
      <w:pPr>
        <w:spacing w:line="360" w:lineRule="auto"/>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）确保工期的技术组织措施；</w:t>
      </w:r>
    </w:p>
    <w:p w14:paraId="73892BA4">
      <w:pPr>
        <w:spacing w:line="360" w:lineRule="auto"/>
        <w:ind w:firstLine="420" w:firstLineChars="200"/>
        <w:rPr>
          <w:color w:val="auto"/>
          <w:highlight w:val="none"/>
        </w:rPr>
      </w:pPr>
      <w:r>
        <w:rPr>
          <w:rFonts w:hint="eastAsia"/>
          <w:color w:val="auto"/>
          <w:highlight w:val="none"/>
        </w:rPr>
        <w:t>（</w:t>
      </w:r>
      <w:r>
        <w:rPr>
          <w:color w:val="auto"/>
          <w:highlight w:val="none"/>
        </w:rPr>
        <w:t>8</w:t>
      </w:r>
      <w:r>
        <w:rPr>
          <w:rFonts w:hint="eastAsia"/>
          <w:color w:val="auto"/>
          <w:highlight w:val="none"/>
        </w:rPr>
        <w:t>）确保文明施工的技术组织措施；</w:t>
      </w:r>
    </w:p>
    <w:p w14:paraId="028EF9C0">
      <w:pPr>
        <w:spacing w:line="360" w:lineRule="auto"/>
        <w:ind w:firstLine="420" w:firstLineChars="200"/>
        <w:rPr>
          <w:color w:val="auto"/>
          <w:highlight w:val="none"/>
        </w:rPr>
      </w:pPr>
      <w:r>
        <w:rPr>
          <w:rFonts w:hint="eastAsia"/>
          <w:color w:val="auto"/>
          <w:highlight w:val="none"/>
        </w:rPr>
        <w:t>（</w:t>
      </w:r>
      <w:r>
        <w:rPr>
          <w:color w:val="auto"/>
          <w:highlight w:val="none"/>
        </w:rPr>
        <w:t>9</w:t>
      </w:r>
      <w:r>
        <w:rPr>
          <w:rFonts w:hint="eastAsia"/>
          <w:color w:val="auto"/>
          <w:highlight w:val="none"/>
        </w:rPr>
        <w:t>）工程施工的重点和难点及保证措施；</w:t>
      </w:r>
    </w:p>
    <w:p w14:paraId="0C9D834F">
      <w:pPr>
        <w:spacing w:line="360" w:lineRule="auto"/>
        <w:ind w:firstLine="420" w:firstLineChars="200"/>
        <w:rPr>
          <w:color w:val="auto"/>
          <w:highlight w:val="none"/>
        </w:rPr>
      </w:pPr>
      <w:r>
        <w:rPr>
          <w:rFonts w:hint="eastAsia"/>
          <w:color w:val="auto"/>
          <w:highlight w:val="none"/>
        </w:rPr>
        <w:t>（1</w:t>
      </w:r>
      <w:r>
        <w:rPr>
          <w:color w:val="auto"/>
          <w:highlight w:val="none"/>
        </w:rPr>
        <w:t>0</w:t>
      </w:r>
      <w:r>
        <w:rPr>
          <w:rFonts w:hint="eastAsia"/>
          <w:color w:val="auto"/>
          <w:highlight w:val="none"/>
        </w:rPr>
        <w:t>）施工总平面布置图；</w:t>
      </w:r>
    </w:p>
    <w:p w14:paraId="229494EF">
      <w:pPr>
        <w:spacing w:line="360"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）其他（</w:t>
      </w:r>
      <w:r>
        <w:rPr>
          <w:color w:val="auto"/>
          <w:highlight w:val="none"/>
        </w:rPr>
        <w:t>如有）</w:t>
      </w:r>
      <w:r>
        <w:rPr>
          <w:rFonts w:hint="eastAsia"/>
          <w:color w:val="auto"/>
          <w:highlight w:val="none"/>
        </w:rPr>
        <w:t>（与第四章“评审程序、评审方法和评审标准”中的评审</w:t>
      </w:r>
      <w:r>
        <w:rPr>
          <w:color w:val="auto"/>
          <w:highlight w:val="none"/>
        </w:rPr>
        <w:t>标准一致</w:t>
      </w:r>
      <w:r>
        <w:rPr>
          <w:rFonts w:hint="eastAsia"/>
          <w:color w:val="auto"/>
          <w:highlight w:val="none"/>
        </w:rPr>
        <w:t>）</w:t>
      </w:r>
    </w:p>
    <w:p w14:paraId="4692E8E5">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702F60F4">
      <w:pPr>
        <w:spacing w:line="360" w:lineRule="auto"/>
        <w:ind w:firstLine="420" w:firstLineChars="200"/>
        <w:rPr>
          <w:color w:val="auto"/>
          <w:highlight w:val="none"/>
        </w:rPr>
      </w:pPr>
      <w:r>
        <w:rPr>
          <w:rFonts w:hint="eastAsia"/>
          <w:color w:val="auto"/>
          <w:highlight w:val="none"/>
        </w:rPr>
        <w:t>附表一劳动力计划表</w:t>
      </w:r>
    </w:p>
    <w:p w14:paraId="42D705EC">
      <w:pPr>
        <w:spacing w:line="360" w:lineRule="auto"/>
        <w:ind w:firstLine="420" w:firstLineChars="200"/>
        <w:rPr>
          <w:color w:val="auto"/>
          <w:highlight w:val="none"/>
        </w:rPr>
      </w:pPr>
      <w:r>
        <w:rPr>
          <w:rFonts w:hint="eastAsia"/>
          <w:color w:val="auto"/>
          <w:highlight w:val="none"/>
        </w:rPr>
        <w:t>附表二计划开、竣工日期和施工进度计划（网络图或横道图）</w:t>
      </w:r>
    </w:p>
    <w:p w14:paraId="3E9BAB8B">
      <w:pPr>
        <w:spacing w:line="360" w:lineRule="auto"/>
        <w:ind w:firstLine="420" w:firstLineChars="200"/>
        <w:rPr>
          <w:color w:val="auto"/>
          <w:highlight w:val="none"/>
        </w:rPr>
      </w:pPr>
      <w:r>
        <w:rPr>
          <w:rFonts w:hint="eastAsia"/>
          <w:color w:val="auto"/>
          <w:highlight w:val="none"/>
        </w:rPr>
        <w:t>附表三施工总平面图</w:t>
      </w:r>
    </w:p>
    <w:p w14:paraId="78FC032A">
      <w:pPr>
        <w:spacing w:line="360" w:lineRule="auto"/>
        <w:ind w:firstLine="420" w:firstLineChars="200"/>
        <w:rPr>
          <w:color w:val="auto"/>
          <w:highlight w:val="none"/>
        </w:rPr>
      </w:pPr>
      <w:r>
        <w:rPr>
          <w:rFonts w:hint="eastAsia"/>
          <w:color w:val="auto"/>
          <w:highlight w:val="none"/>
        </w:rPr>
        <w:t>附表四临时用地表</w:t>
      </w:r>
    </w:p>
    <w:p w14:paraId="64DAAFFC">
      <w:pPr>
        <w:spacing w:line="360" w:lineRule="auto"/>
        <w:ind w:firstLine="420" w:firstLineChars="200"/>
        <w:rPr>
          <w:color w:val="auto"/>
          <w:highlight w:val="none"/>
        </w:rPr>
      </w:pPr>
    </w:p>
    <w:p w14:paraId="348E2F52">
      <w:pPr>
        <w:rPr>
          <w:color w:val="auto"/>
          <w:highlight w:val="none"/>
        </w:rPr>
      </w:pPr>
      <w:r>
        <w:rPr>
          <w:rFonts w:hint="eastAsia" w:cs="宋体"/>
          <w:color w:val="auto"/>
          <w:highlight w:val="none"/>
        </w:rPr>
        <w:t>附表一：劳动力计划表</w:t>
      </w:r>
    </w:p>
    <w:p w14:paraId="7AD36940">
      <w:pPr>
        <w:ind w:firstLine="7245" w:firstLineChars="3450"/>
        <w:rPr>
          <w:color w:val="auto"/>
          <w:highlight w:val="none"/>
        </w:rPr>
      </w:pPr>
      <w:r>
        <w:rPr>
          <w:rFonts w:hint="eastAsia" w:cs="宋体"/>
          <w:color w:val="auto"/>
          <w:highlight w:val="none"/>
        </w:rPr>
        <w:t>单位：人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1906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9294184">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3D3352B8">
            <w:pPr>
              <w:spacing w:line="360" w:lineRule="auto"/>
              <w:jc w:val="center"/>
              <w:rPr>
                <w:color w:val="auto"/>
                <w:highlight w:val="none"/>
              </w:rPr>
            </w:pPr>
            <w:r>
              <w:rPr>
                <w:rFonts w:hint="eastAsia" w:cs="宋体"/>
                <w:color w:val="auto"/>
                <w:highlight w:val="none"/>
              </w:rPr>
              <w:t>按工程施工阶段投入劳动力情况</w:t>
            </w:r>
          </w:p>
        </w:tc>
      </w:tr>
      <w:tr w14:paraId="5238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C9DF69D">
            <w:pPr>
              <w:spacing w:line="360" w:lineRule="auto"/>
              <w:jc w:val="center"/>
              <w:rPr>
                <w:color w:val="auto"/>
                <w:highlight w:val="none"/>
              </w:rPr>
            </w:pPr>
          </w:p>
        </w:tc>
        <w:tc>
          <w:tcPr>
            <w:tcW w:w="961" w:type="dxa"/>
            <w:vAlign w:val="center"/>
          </w:tcPr>
          <w:p w14:paraId="560B3427">
            <w:pPr>
              <w:spacing w:line="360" w:lineRule="auto"/>
              <w:jc w:val="center"/>
              <w:rPr>
                <w:color w:val="auto"/>
                <w:highlight w:val="none"/>
              </w:rPr>
            </w:pPr>
          </w:p>
        </w:tc>
        <w:tc>
          <w:tcPr>
            <w:tcW w:w="1257" w:type="dxa"/>
            <w:vAlign w:val="center"/>
          </w:tcPr>
          <w:p w14:paraId="18D8FD97">
            <w:pPr>
              <w:spacing w:line="360" w:lineRule="auto"/>
              <w:jc w:val="center"/>
              <w:rPr>
                <w:color w:val="auto"/>
                <w:highlight w:val="none"/>
              </w:rPr>
            </w:pPr>
          </w:p>
        </w:tc>
        <w:tc>
          <w:tcPr>
            <w:tcW w:w="1257" w:type="dxa"/>
            <w:vAlign w:val="center"/>
          </w:tcPr>
          <w:p w14:paraId="41516331">
            <w:pPr>
              <w:spacing w:line="360" w:lineRule="auto"/>
              <w:jc w:val="center"/>
              <w:rPr>
                <w:color w:val="auto"/>
                <w:highlight w:val="none"/>
              </w:rPr>
            </w:pPr>
          </w:p>
        </w:tc>
        <w:tc>
          <w:tcPr>
            <w:tcW w:w="1258" w:type="dxa"/>
            <w:vAlign w:val="center"/>
          </w:tcPr>
          <w:p w14:paraId="64BF806F">
            <w:pPr>
              <w:spacing w:line="360" w:lineRule="auto"/>
              <w:jc w:val="center"/>
              <w:rPr>
                <w:color w:val="auto"/>
                <w:highlight w:val="none"/>
              </w:rPr>
            </w:pPr>
          </w:p>
        </w:tc>
        <w:tc>
          <w:tcPr>
            <w:tcW w:w="1257" w:type="dxa"/>
            <w:vAlign w:val="center"/>
          </w:tcPr>
          <w:p w14:paraId="2960319A">
            <w:pPr>
              <w:spacing w:line="360" w:lineRule="auto"/>
              <w:jc w:val="center"/>
              <w:rPr>
                <w:color w:val="auto"/>
                <w:highlight w:val="none"/>
              </w:rPr>
            </w:pPr>
          </w:p>
        </w:tc>
        <w:tc>
          <w:tcPr>
            <w:tcW w:w="1258" w:type="dxa"/>
            <w:vAlign w:val="center"/>
          </w:tcPr>
          <w:p w14:paraId="286AA836">
            <w:pPr>
              <w:spacing w:line="360" w:lineRule="auto"/>
              <w:jc w:val="center"/>
              <w:rPr>
                <w:color w:val="auto"/>
                <w:highlight w:val="none"/>
              </w:rPr>
            </w:pPr>
          </w:p>
        </w:tc>
      </w:tr>
      <w:tr w14:paraId="16E2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604F29B">
            <w:pPr>
              <w:spacing w:line="360" w:lineRule="auto"/>
              <w:jc w:val="center"/>
              <w:rPr>
                <w:color w:val="auto"/>
                <w:highlight w:val="none"/>
              </w:rPr>
            </w:pPr>
          </w:p>
        </w:tc>
        <w:tc>
          <w:tcPr>
            <w:tcW w:w="961" w:type="dxa"/>
            <w:vAlign w:val="center"/>
          </w:tcPr>
          <w:p w14:paraId="12BE4BA6">
            <w:pPr>
              <w:spacing w:line="360" w:lineRule="auto"/>
              <w:jc w:val="center"/>
              <w:rPr>
                <w:color w:val="auto"/>
                <w:highlight w:val="none"/>
              </w:rPr>
            </w:pPr>
          </w:p>
        </w:tc>
        <w:tc>
          <w:tcPr>
            <w:tcW w:w="1257" w:type="dxa"/>
            <w:vAlign w:val="center"/>
          </w:tcPr>
          <w:p w14:paraId="068F8D1C">
            <w:pPr>
              <w:spacing w:line="360" w:lineRule="auto"/>
              <w:jc w:val="center"/>
              <w:rPr>
                <w:color w:val="auto"/>
                <w:highlight w:val="none"/>
              </w:rPr>
            </w:pPr>
          </w:p>
        </w:tc>
        <w:tc>
          <w:tcPr>
            <w:tcW w:w="1257" w:type="dxa"/>
            <w:vAlign w:val="center"/>
          </w:tcPr>
          <w:p w14:paraId="1374840B">
            <w:pPr>
              <w:spacing w:line="360" w:lineRule="auto"/>
              <w:jc w:val="center"/>
              <w:rPr>
                <w:color w:val="auto"/>
                <w:highlight w:val="none"/>
              </w:rPr>
            </w:pPr>
          </w:p>
        </w:tc>
        <w:tc>
          <w:tcPr>
            <w:tcW w:w="1258" w:type="dxa"/>
            <w:vAlign w:val="center"/>
          </w:tcPr>
          <w:p w14:paraId="36CA22CA">
            <w:pPr>
              <w:spacing w:line="360" w:lineRule="auto"/>
              <w:jc w:val="center"/>
              <w:rPr>
                <w:color w:val="auto"/>
                <w:highlight w:val="none"/>
              </w:rPr>
            </w:pPr>
          </w:p>
        </w:tc>
        <w:tc>
          <w:tcPr>
            <w:tcW w:w="1257" w:type="dxa"/>
            <w:vAlign w:val="center"/>
          </w:tcPr>
          <w:p w14:paraId="642C2A8C">
            <w:pPr>
              <w:spacing w:line="360" w:lineRule="auto"/>
              <w:jc w:val="center"/>
              <w:rPr>
                <w:color w:val="auto"/>
                <w:highlight w:val="none"/>
              </w:rPr>
            </w:pPr>
          </w:p>
        </w:tc>
        <w:tc>
          <w:tcPr>
            <w:tcW w:w="1258" w:type="dxa"/>
            <w:vAlign w:val="center"/>
          </w:tcPr>
          <w:p w14:paraId="1ED6EDE7">
            <w:pPr>
              <w:spacing w:line="360" w:lineRule="auto"/>
              <w:jc w:val="center"/>
              <w:rPr>
                <w:color w:val="auto"/>
                <w:highlight w:val="none"/>
              </w:rPr>
            </w:pPr>
          </w:p>
        </w:tc>
      </w:tr>
      <w:tr w14:paraId="7F36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8869671">
            <w:pPr>
              <w:spacing w:line="360" w:lineRule="auto"/>
              <w:jc w:val="center"/>
              <w:rPr>
                <w:color w:val="auto"/>
                <w:highlight w:val="none"/>
              </w:rPr>
            </w:pPr>
          </w:p>
        </w:tc>
        <w:tc>
          <w:tcPr>
            <w:tcW w:w="961" w:type="dxa"/>
            <w:vAlign w:val="center"/>
          </w:tcPr>
          <w:p w14:paraId="5CB4A798">
            <w:pPr>
              <w:spacing w:line="360" w:lineRule="auto"/>
              <w:jc w:val="center"/>
              <w:rPr>
                <w:color w:val="auto"/>
                <w:highlight w:val="none"/>
              </w:rPr>
            </w:pPr>
          </w:p>
        </w:tc>
        <w:tc>
          <w:tcPr>
            <w:tcW w:w="1257" w:type="dxa"/>
            <w:vAlign w:val="center"/>
          </w:tcPr>
          <w:p w14:paraId="6EA5D83F">
            <w:pPr>
              <w:spacing w:line="360" w:lineRule="auto"/>
              <w:jc w:val="center"/>
              <w:rPr>
                <w:color w:val="auto"/>
                <w:highlight w:val="none"/>
              </w:rPr>
            </w:pPr>
          </w:p>
        </w:tc>
        <w:tc>
          <w:tcPr>
            <w:tcW w:w="1257" w:type="dxa"/>
            <w:vAlign w:val="center"/>
          </w:tcPr>
          <w:p w14:paraId="56C37CE2">
            <w:pPr>
              <w:spacing w:line="360" w:lineRule="auto"/>
              <w:jc w:val="center"/>
              <w:rPr>
                <w:color w:val="auto"/>
                <w:highlight w:val="none"/>
              </w:rPr>
            </w:pPr>
          </w:p>
        </w:tc>
        <w:tc>
          <w:tcPr>
            <w:tcW w:w="1258" w:type="dxa"/>
            <w:vAlign w:val="center"/>
          </w:tcPr>
          <w:p w14:paraId="629D0543">
            <w:pPr>
              <w:spacing w:line="360" w:lineRule="auto"/>
              <w:jc w:val="center"/>
              <w:rPr>
                <w:color w:val="auto"/>
                <w:highlight w:val="none"/>
              </w:rPr>
            </w:pPr>
          </w:p>
        </w:tc>
        <w:tc>
          <w:tcPr>
            <w:tcW w:w="1257" w:type="dxa"/>
            <w:vAlign w:val="center"/>
          </w:tcPr>
          <w:p w14:paraId="32925AB2">
            <w:pPr>
              <w:spacing w:line="360" w:lineRule="auto"/>
              <w:jc w:val="center"/>
              <w:rPr>
                <w:color w:val="auto"/>
                <w:highlight w:val="none"/>
              </w:rPr>
            </w:pPr>
          </w:p>
        </w:tc>
        <w:tc>
          <w:tcPr>
            <w:tcW w:w="1258" w:type="dxa"/>
            <w:vAlign w:val="center"/>
          </w:tcPr>
          <w:p w14:paraId="38FBBF6B">
            <w:pPr>
              <w:spacing w:line="360" w:lineRule="auto"/>
              <w:jc w:val="center"/>
              <w:rPr>
                <w:color w:val="auto"/>
                <w:highlight w:val="none"/>
              </w:rPr>
            </w:pPr>
          </w:p>
        </w:tc>
      </w:tr>
      <w:tr w14:paraId="2B8C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87D7022">
            <w:pPr>
              <w:spacing w:line="360" w:lineRule="auto"/>
              <w:jc w:val="center"/>
              <w:rPr>
                <w:color w:val="auto"/>
                <w:highlight w:val="none"/>
              </w:rPr>
            </w:pPr>
          </w:p>
        </w:tc>
        <w:tc>
          <w:tcPr>
            <w:tcW w:w="961" w:type="dxa"/>
            <w:vAlign w:val="center"/>
          </w:tcPr>
          <w:p w14:paraId="45BA3E11">
            <w:pPr>
              <w:spacing w:line="360" w:lineRule="auto"/>
              <w:jc w:val="center"/>
              <w:rPr>
                <w:color w:val="auto"/>
                <w:highlight w:val="none"/>
              </w:rPr>
            </w:pPr>
          </w:p>
        </w:tc>
        <w:tc>
          <w:tcPr>
            <w:tcW w:w="1257" w:type="dxa"/>
            <w:vAlign w:val="center"/>
          </w:tcPr>
          <w:p w14:paraId="67462738">
            <w:pPr>
              <w:spacing w:line="360" w:lineRule="auto"/>
              <w:jc w:val="center"/>
              <w:rPr>
                <w:color w:val="auto"/>
                <w:highlight w:val="none"/>
              </w:rPr>
            </w:pPr>
          </w:p>
        </w:tc>
        <w:tc>
          <w:tcPr>
            <w:tcW w:w="1257" w:type="dxa"/>
            <w:vAlign w:val="center"/>
          </w:tcPr>
          <w:p w14:paraId="2E9DEC2A">
            <w:pPr>
              <w:spacing w:line="360" w:lineRule="auto"/>
              <w:jc w:val="center"/>
              <w:rPr>
                <w:color w:val="auto"/>
                <w:highlight w:val="none"/>
              </w:rPr>
            </w:pPr>
          </w:p>
        </w:tc>
        <w:tc>
          <w:tcPr>
            <w:tcW w:w="1258" w:type="dxa"/>
            <w:vAlign w:val="center"/>
          </w:tcPr>
          <w:p w14:paraId="5DF3EBC7">
            <w:pPr>
              <w:spacing w:line="360" w:lineRule="auto"/>
              <w:jc w:val="center"/>
              <w:rPr>
                <w:color w:val="auto"/>
                <w:highlight w:val="none"/>
              </w:rPr>
            </w:pPr>
          </w:p>
        </w:tc>
        <w:tc>
          <w:tcPr>
            <w:tcW w:w="1257" w:type="dxa"/>
            <w:vAlign w:val="center"/>
          </w:tcPr>
          <w:p w14:paraId="0BE440E6">
            <w:pPr>
              <w:spacing w:line="360" w:lineRule="auto"/>
              <w:jc w:val="center"/>
              <w:rPr>
                <w:color w:val="auto"/>
                <w:highlight w:val="none"/>
              </w:rPr>
            </w:pPr>
          </w:p>
        </w:tc>
        <w:tc>
          <w:tcPr>
            <w:tcW w:w="1258" w:type="dxa"/>
            <w:vAlign w:val="center"/>
          </w:tcPr>
          <w:p w14:paraId="16D0A200">
            <w:pPr>
              <w:spacing w:line="360" w:lineRule="auto"/>
              <w:jc w:val="center"/>
              <w:rPr>
                <w:color w:val="auto"/>
                <w:highlight w:val="none"/>
              </w:rPr>
            </w:pPr>
          </w:p>
        </w:tc>
      </w:tr>
      <w:tr w14:paraId="54DB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3FB3A60">
            <w:pPr>
              <w:spacing w:line="360" w:lineRule="auto"/>
              <w:jc w:val="center"/>
              <w:rPr>
                <w:color w:val="auto"/>
                <w:highlight w:val="none"/>
              </w:rPr>
            </w:pPr>
          </w:p>
        </w:tc>
        <w:tc>
          <w:tcPr>
            <w:tcW w:w="961" w:type="dxa"/>
            <w:vAlign w:val="center"/>
          </w:tcPr>
          <w:p w14:paraId="48B41917">
            <w:pPr>
              <w:spacing w:line="360" w:lineRule="auto"/>
              <w:jc w:val="center"/>
              <w:rPr>
                <w:color w:val="auto"/>
                <w:highlight w:val="none"/>
              </w:rPr>
            </w:pPr>
          </w:p>
        </w:tc>
        <w:tc>
          <w:tcPr>
            <w:tcW w:w="1257" w:type="dxa"/>
            <w:vAlign w:val="center"/>
          </w:tcPr>
          <w:p w14:paraId="16916AE1">
            <w:pPr>
              <w:spacing w:line="360" w:lineRule="auto"/>
              <w:jc w:val="center"/>
              <w:rPr>
                <w:color w:val="auto"/>
                <w:highlight w:val="none"/>
              </w:rPr>
            </w:pPr>
          </w:p>
        </w:tc>
        <w:tc>
          <w:tcPr>
            <w:tcW w:w="1257" w:type="dxa"/>
            <w:vAlign w:val="center"/>
          </w:tcPr>
          <w:p w14:paraId="53B11B0B">
            <w:pPr>
              <w:spacing w:line="360" w:lineRule="auto"/>
              <w:jc w:val="center"/>
              <w:rPr>
                <w:color w:val="auto"/>
                <w:highlight w:val="none"/>
              </w:rPr>
            </w:pPr>
          </w:p>
        </w:tc>
        <w:tc>
          <w:tcPr>
            <w:tcW w:w="1258" w:type="dxa"/>
            <w:vAlign w:val="center"/>
          </w:tcPr>
          <w:p w14:paraId="2CEDB58D">
            <w:pPr>
              <w:spacing w:line="360" w:lineRule="auto"/>
              <w:jc w:val="center"/>
              <w:rPr>
                <w:color w:val="auto"/>
                <w:highlight w:val="none"/>
              </w:rPr>
            </w:pPr>
          </w:p>
        </w:tc>
        <w:tc>
          <w:tcPr>
            <w:tcW w:w="1257" w:type="dxa"/>
            <w:vAlign w:val="center"/>
          </w:tcPr>
          <w:p w14:paraId="2A45ECDA">
            <w:pPr>
              <w:spacing w:line="360" w:lineRule="auto"/>
              <w:jc w:val="center"/>
              <w:rPr>
                <w:color w:val="auto"/>
                <w:highlight w:val="none"/>
              </w:rPr>
            </w:pPr>
          </w:p>
        </w:tc>
        <w:tc>
          <w:tcPr>
            <w:tcW w:w="1258" w:type="dxa"/>
            <w:vAlign w:val="center"/>
          </w:tcPr>
          <w:p w14:paraId="6B76FEFE">
            <w:pPr>
              <w:spacing w:line="360" w:lineRule="auto"/>
              <w:jc w:val="center"/>
              <w:rPr>
                <w:color w:val="auto"/>
                <w:highlight w:val="none"/>
              </w:rPr>
            </w:pPr>
          </w:p>
        </w:tc>
      </w:tr>
      <w:tr w14:paraId="16A0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1C2A0D9">
            <w:pPr>
              <w:spacing w:line="360" w:lineRule="auto"/>
              <w:jc w:val="center"/>
              <w:rPr>
                <w:color w:val="auto"/>
                <w:highlight w:val="none"/>
              </w:rPr>
            </w:pPr>
          </w:p>
        </w:tc>
        <w:tc>
          <w:tcPr>
            <w:tcW w:w="961" w:type="dxa"/>
            <w:vAlign w:val="center"/>
          </w:tcPr>
          <w:p w14:paraId="02E9B1E1">
            <w:pPr>
              <w:spacing w:line="360" w:lineRule="auto"/>
              <w:jc w:val="center"/>
              <w:rPr>
                <w:color w:val="auto"/>
                <w:highlight w:val="none"/>
              </w:rPr>
            </w:pPr>
          </w:p>
        </w:tc>
        <w:tc>
          <w:tcPr>
            <w:tcW w:w="1257" w:type="dxa"/>
            <w:vAlign w:val="center"/>
          </w:tcPr>
          <w:p w14:paraId="578BD792">
            <w:pPr>
              <w:spacing w:line="360" w:lineRule="auto"/>
              <w:jc w:val="center"/>
              <w:rPr>
                <w:color w:val="auto"/>
                <w:highlight w:val="none"/>
              </w:rPr>
            </w:pPr>
          </w:p>
        </w:tc>
        <w:tc>
          <w:tcPr>
            <w:tcW w:w="1257" w:type="dxa"/>
            <w:vAlign w:val="center"/>
          </w:tcPr>
          <w:p w14:paraId="4AAA2BFE">
            <w:pPr>
              <w:spacing w:line="360" w:lineRule="auto"/>
              <w:jc w:val="center"/>
              <w:rPr>
                <w:color w:val="auto"/>
                <w:highlight w:val="none"/>
              </w:rPr>
            </w:pPr>
          </w:p>
        </w:tc>
        <w:tc>
          <w:tcPr>
            <w:tcW w:w="1258" w:type="dxa"/>
            <w:vAlign w:val="center"/>
          </w:tcPr>
          <w:p w14:paraId="3D787053">
            <w:pPr>
              <w:spacing w:line="360" w:lineRule="auto"/>
              <w:jc w:val="center"/>
              <w:rPr>
                <w:color w:val="auto"/>
                <w:highlight w:val="none"/>
              </w:rPr>
            </w:pPr>
          </w:p>
        </w:tc>
        <w:tc>
          <w:tcPr>
            <w:tcW w:w="1257" w:type="dxa"/>
            <w:vAlign w:val="center"/>
          </w:tcPr>
          <w:p w14:paraId="1183FC29">
            <w:pPr>
              <w:spacing w:line="360" w:lineRule="auto"/>
              <w:jc w:val="center"/>
              <w:rPr>
                <w:color w:val="auto"/>
                <w:highlight w:val="none"/>
              </w:rPr>
            </w:pPr>
          </w:p>
        </w:tc>
        <w:tc>
          <w:tcPr>
            <w:tcW w:w="1258" w:type="dxa"/>
            <w:vAlign w:val="center"/>
          </w:tcPr>
          <w:p w14:paraId="58903264">
            <w:pPr>
              <w:spacing w:line="360" w:lineRule="auto"/>
              <w:jc w:val="center"/>
              <w:rPr>
                <w:color w:val="auto"/>
                <w:highlight w:val="none"/>
              </w:rPr>
            </w:pPr>
          </w:p>
        </w:tc>
      </w:tr>
    </w:tbl>
    <w:p w14:paraId="37B3C29A">
      <w:pPr>
        <w:rPr>
          <w:color w:val="auto"/>
          <w:highlight w:val="none"/>
        </w:rPr>
      </w:pPr>
    </w:p>
    <w:p w14:paraId="50CD2AF0">
      <w:pPr>
        <w:rPr>
          <w:b/>
          <w:bCs/>
          <w:color w:val="auto"/>
          <w:highlight w:val="none"/>
        </w:rPr>
      </w:pPr>
    </w:p>
    <w:p w14:paraId="12A1EAA1">
      <w:pPr>
        <w:rPr>
          <w:color w:val="auto"/>
          <w:highlight w:val="none"/>
        </w:rPr>
      </w:pPr>
      <w:r>
        <w:rPr>
          <w:rFonts w:hint="eastAsia" w:cs="宋体"/>
          <w:color w:val="auto"/>
          <w:highlight w:val="none"/>
        </w:rPr>
        <w:t>附表二：计划开、竣工日期和施工进度计划（网络图或横道图）</w:t>
      </w:r>
    </w:p>
    <w:p w14:paraId="4AA92916">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39949FE8">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74B37466">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418A0B21">
      <w:pPr>
        <w:spacing w:line="360" w:lineRule="auto"/>
        <w:ind w:left="-6" w:firstLine="420"/>
        <w:rPr>
          <w:color w:val="auto"/>
          <w:highlight w:val="none"/>
        </w:rPr>
      </w:pPr>
    </w:p>
    <w:p w14:paraId="14CDB161">
      <w:pPr>
        <w:rPr>
          <w:color w:val="auto"/>
          <w:highlight w:val="none"/>
        </w:rPr>
      </w:pPr>
    </w:p>
    <w:p w14:paraId="3C1B6E84">
      <w:pPr>
        <w:rPr>
          <w:color w:val="auto"/>
          <w:highlight w:val="none"/>
        </w:rPr>
      </w:pPr>
      <w:r>
        <w:rPr>
          <w:rFonts w:hint="eastAsia" w:cs="宋体"/>
          <w:color w:val="auto"/>
          <w:highlight w:val="none"/>
        </w:rPr>
        <w:t>附表三：施工总平面图</w:t>
      </w:r>
    </w:p>
    <w:p w14:paraId="2B254472">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5106CD71">
      <w:pPr>
        <w:rPr>
          <w:color w:val="auto"/>
          <w:highlight w:val="none"/>
        </w:rPr>
      </w:pPr>
    </w:p>
    <w:p w14:paraId="7FFD0015">
      <w:pPr>
        <w:rPr>
          <w:color w:val="auto"/>
          <w:highlight w:val="none"/>
        </w:rPr>
      </w:pPr>
    </w:p>
    <w:p w14:paraId="1F7ACC36">
      <w:pPr>
        <w:rPr>
          <w:color w:val="auto"/>
          <w:highlight w:val="none"/>
        </w:rPr>
      </w:pPr>
      <w:r>
        <w:rPr>
          <w:rFonts w:hint="eastAsia" w:cs="宋体"/>
          <w:color w:val="auto"/>
          <w:highlight w:val="none"/>
        </w:rPr>
        <w:t>附表四：临时用地表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5943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2CE53247">
            <w:pPr>
              <w:jc w:val="center"/>
              <w:rPr>
                <w:color w:val="auto"/>
                <w:highlight w:val="none"/>
              </w:rPr>
            </w:pPr>
            <w:r>
              <w:rPr>
                <w:rFonts w:hint="eastAsia" w:cs="宋体"/>
                <w:color w:val="auto"/>
                <w:highlight w:val="none"/>
              </w:rPr>
              <w:t>用途</w:t>
            </w:r>
          </w:p>
        </w:tc>
        <w:tc>
          <w:tcPr>
            <w:tcW w:w="2357" w:type="dxa"/>
            <w:vAlign w:val="center"/>
          </w:tcPr>
          <w:p w14:paraId="50728B03">
            <w:pPr>
              <w:jc w:val="center"/>
              <w:rPr>
                <w:color w:val="auto"/>
                <w:highlight w:val="none"/>
              </w:rPr>
            </w:pPr>
            <w:r>
              <w:rPr>
                <w:rFonts w:hint="eastAsia" w:cs="宋体"/>
                <w:color w:val="auto"/>
                <w:highlight w:val="none"/>
              </w:rPr>
              <w:t>面积（平方米）</w:t>
            </w:r>
          </w:p>
        </w:tc>
        <w:tc>
          <w:tcPr>
            <w:tcW w:w="2356" w:type="dxa"/>
            <w:vAlign w:val="center"/>
          </w:tcPr>
          <w:p w14:paraId="0789C391">
            <w:pPr>
              <w:jc w:val="center"/>
              <w:rPr>
                <w:color w:val="auto"/>
                <w:highlight w:val="none"/>
              </w:rPr>
            </w:pPr>
            <w:r>
              <w:rPr>
                <w:rFonts w:hint="eastAsia" w:cs="宋体"/>
                <w:color w:val="auto"/>
                <w:highlight w:val="none"/>
              </w:rPr>
              <w:t>位置</w:t>
            </w:r>
          </w:p>
        </w:tc>
        <w:tc>
          <w:tcPr>
            <w:tcW w:w="2136" w:type="dxa"/>
            <w:vAlign w:val="center"/>
          </w:tcPr>
          <w:p w14:paraId="22A35B25">
            <w:pPr>
              <w:jc w:val="center"/>
              <w:rPr>
                <w:color w:val="auto"/>
                <w:highlight w:val="none"/>
              </w:rPr>
            </w:pPr>
            <w:r>
              <w:rPr>
                <w:rFonts w:hint="eastAsia" w:cs="宋体"/>
                <w:color w:val="auto"/>
                <w:highlight w:val="none"/>
              </w:rPr>
              <w:t>需用时间</w:t>
            </w:r>
          </w:p>
        </w:tc>
      </w:tr>
      <w:tr w14:paraId="1E57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3AE66DB">
            <w:pPr>
              <w:rPr>
                <w:color w:val="auto"/>
                <w:highlight w:val="none"/>
              </w:rPr>
            </w:pPr>
          </w:p>
        </w:tc>
        <w:tc>
          <w:tcPr>
            <w:tcW w:w="2357" w:type="dxa"/>
          </w:tcPr>
          <w:p w14:paraId="0C51AC92">
            <w:pPr>
              <w:rPr>
                <w:color w:val="auto"/>
                <w:highlight w:val="none"/>
              </w:rPr>
            </w:pPr>
          </w:p>
        </w:tc>
        <w:tc>
          <w:tcPr>
            <w:tcW w:w="2356" w:type="dxa"/>
          </w:tcPr>
          <w:p w14:paraId="61A7DC32">
            <w:pPr>
              <w:rPr>
                <w:color w:val="auto"/>
                <w:highlight w:val="none"/>
              </w:rPr>
            </w:pPr>
          </w:p>
        </w:tc>
        <w:tc>
          <w:tcPr>
            <w:tcW w:w="2136" w:type="dxa"/>
          </w:tcPr>
          <w:p w14:paraId="2521F57F">
            <w:pPr>
              <w:rPr>
                <w:color w:val="auto"/>
                <w:highlight w:val="none"/>
              </w:rPr>
            </w:pPr>
          </w:p>
        </w:tc>
      </w:tr>
      <w:tr w14:paraId="3F5D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8764498">
            <w:pPr>
              <w:rPr>
                <w:color w:val="auto"/>
                <w:highlight w:val="none"/>
              </w:rPr>
            </w:pPr>
          </w:p>
        </w:tc>
        <w:tc>
          <w:tcPr>
            <w:tcW w:w="2357" w:type="dxa"/>
          </w:tcPr>
          <w:p w14:paraId="5D73406D">
            <w:pPr>
              <w:rPr>
                <w:color w:val="auto"/>
                <w:highlight w:val="none"/>
              </w:rPr>
            </w:pPr>
          </w:p>
        </w:tc>
        <w:tc>
          <w:tcPr>
            <w:tcW w:w="2356" w:type="dxa"/>
          </w:tcPr>
          <w:p w14:paraId="52DB5503">
            <w:pPr>
              <w:rPr>
                <w:color w:val="auto"/>
                <w:highlight w:val="none"/>
              </w:rPr>
            </w:pPr>
          </w:p>
        </w:tc>
        <w:tc>
          <w:tcPr>
            <w:tcW w:w="2136" w:type="dxa"/>
          </w:tcPr>
          <w:p w14:paraId="7634D353">
            <w:pPr>
              <w:rPr>
                <w:color w:val="auto"/>
                <w:highlight w:val="none"/>
              </w:rPr>
            </w:pPr>
          </w:p>
        </w:tc>
      </w:tr>
      <w:tr w14:paraId="43A6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0D0EBA0C">
            <w:pPr>
              <w:rPr>
                <w:color w:val="auto"/>
                <w:highlight w:val="none"/>
              </w:rPr>
            </w:pPr>
          </w:p>
        </w:tc>
        <w:tc>
          <w:tcPr>
            <w:tcW w:w="2357" w:type="dxa"/>
          </w:tcPr>
          <w:p w14:paraId="1F149065">
            <w:pPr>
              <w:rPr>
                <w:color w:val="auto"/>
                <w:highlight w:val="none"/>
              </w:rPr>
            </w:pPr>
          </w:p>
        </w:tc>
        <w:tc>
          <w:tcPr>
            <w:tcW w:w="2356" w:type="dxa"/>
          </w:tcPr>
          <w:p w14:paraId="3C15B3DD">
            <w:pPr>
              <w:rPr>
                <w:color w:val="auto"/>
                <w:highlight w:val="none"/>
              </w:rPr>
            </w:pPr>
          </w:p>
        </w:tc>
        <w:tc>
          <w:tcPr>
            <w:tcW w:w="2136" w:type="dxa"/>
          </w:tcPr>
          <w:p w14:paraId="5E2FD36E">
            <w:pPr>
              <w:rPr>
                <w:color w:val="auto"/>
                <w:highlight w:val="none"/>
              </w:rPr>
            </w:pPr>
          </w:p>
        </w:tc>
      </w:tr>
      <w:tr w14:paraId="1CBC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EF6785D">
            <w:pPr>
              <w:rPr>
                <w:color w:val="auto"/>
                <w:highlight w:val="none"/>
              </w:rPr>
            </w:pPr>
          </w:p>
        </w:tc>
        <w:tc>
          <w:tcPr>
            <w:tcW w:w="2357" w:type="dxa"/>
          </w:tcPr>
          <w:p w14:paraId="57CD3FA2">
            <w:pPr>
              <w:rPr>
                <w:color w:val="auto"/>
                <w:highlight w:val="none"/>
              </w:rPr>
            </w:pPr>
          </w:p>
        </w:tc>
        <w:tc>
          <w:tcPr>
            <w:tcW w:w="2356" w:type="dxa"/>
          </w:tcPr>
          <w:p w14:paraId="4082B670">
            <w:pPr>
              <w:rPr>
                <w:color w:val="auto"/>
                <w:highlight w:val="none"/>
              </w:rPr>
            </w:pPr>
          </w:p>
        </w:tc>
        <w:tc>
          <w:tcPr>
            <w:tcW w:w="2136" w:type="dxa"/>
          </w:tcPr>
          <w:p w14:paraId="15A8D4CC">
            <w:pPr>
              <w:rPr>
                <w:color w:val="auto"/>
                <w:highlight w:val="none"/>
              </w:rPr>
            </w:pPr>
          </w:p>
        </w:tc>
      </w:tr>
    </w:tbl>
    <w:p w14:paraId="41BFE119">
      <w:pPr>
        <w:spacing w:line="360" w:lineRule="auto"/>
        <w:ind w:firstLine="880" w:firstLineChars="200"/>
        <w:rPr>
          <w:rFonts w:ascii="方正小标宋简体" w:hAnsi="方正小标宋简体" w:eastAsia="方正小标宋简体" w:cs="方正小标宋简体"/>
          <w:bCs/>
          <w:color w:val="auto"/>
          <w:sz w:val="44"/>
          <w:szCs w:val="44"/>
          <w:highlight w:val="none"/>
        </w:rPr>
      </w:pPr>
    </w:p>
    <w:p w14:paraId="29D2A078">
      <w:pPr>
        <w:spacing w:line="36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2C04E939">
      <w:pPr>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拟分包项目情况表</w:t>
      </w:r>
    </w:p>
    <w:p w14:paraId="3C9066CD">
      <w:pPr>
        <w:spacing w:line="520" w:lineRule="exact"/>
        <w:rPr>
          <w:rFonts w:ascii="仿宋_GB2312" w:hAnsi="仿宋_GB2312" w:eastAsia="仿宋_GB2312" w:cs="仿宋_GB2312"/>
          <w:color w:val="auto"/>
          <w:sz w:val="32"/>
          <w:szCs w:val="32"/>
          <w:highlight w:val="none"/>
        </w:rPr>
      </w:pPr>
    </w:p>
    <w:p w14:paraId="64B9DEAE">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16DF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F84100F">
            <w:pPr>
              <w:jc w:val="center"/>
              <w:rPr>
                <w:color w:val="auto"/>
                <w:highlight w:val="none"/>
              </w:rPr>
            </w:pPr>
            <w:r>
              <w:rPr>
                <w:rFonts w:hint="eastAsia" w:cs="宋体"/>
                <w:color w:val="auto"/>
                <w:highlight w:val="none"/>
              </w:rPr>
              <w:t>序号</w:t>
            </w:r>
          </w:p>
        </w:tc>
        <w:tc>
          <w:tcPr>
            <w:tcW w:w="1693" w:type="dxa"/>
            <w:vMerge w:val="restart"/>
            <w:tcMar>
              <w:left w:w="108" w:type="dxa"/>
              <w:right w:w="108" w:type="dxa"/>
            </w:tcMar>
            <w:vAlign w:val="center"/>
          </w:tcPr>
          <w:p w14:paraId="73C2E9C5">
            <w:pPr>
              <w:jc w:val="center"/>
              <w:rPr>
                <w:color w:val="auto"/>
                <w:highlight w:val="none"/>
              </w:rPr>
            </w:pPr>
            <w:r>
              <w:rPr>
                <w:rFonts w:hint="eastAsia" w:cs="宋体"/>
                <w:color w:val="auto"/>
                <w:highlight w:val="none"/>
              </w:rPr>
              <w:t>拟分包项目名称、范围及理由</w:t>
            </w:r>
          </w:p>
        </w:tc>
        <w:tc>
          <w:tcPr>
            <w:tcW w:w="6379" w:type="dxa"/>
            <w:gridSpan w:val="6"/>
            <w:tcMar>
              <w:left w:w="108" w:type="dxa"/>
              <w:right w:w="108" w:type="dxa"/>
            </w:tcMar>
            <w:vAlign w:val="center"/>
          </w:tcPr>
          <w:p w14:paraId="4A544566">
            <w:pPr>
              <w:jc w:val="center"/>
              <w:rPr>
                <w:rFonts w:cs="宋体"/>
                <w:color w:val="auto"/>
                <w:highlight w:val="none"/>
              </w:rPr>
            </w:pPr>
            <w:r>
              <w:rPr>
                <w:rFonts w:hint="eastAsia" w:cs="宋体"/>
                <w:color w:val="auto"/>
                <w:highlight w:val="none"/>
              </w:rPr>
              <w:t>拟选分包人</w:t>
            </w:r>
          </w:p>
        </w:tc>
        <w:tc>
          <w:tcPr>
            <w:tcW w:w="673" w:type="dxa"/>
            <w:vMerge w:val="restart"/>
            <w:tcMar>
              <w:left w:w="108" w:type="dxa"/>
              <w:right w:w="108" w:type="dxa"/>
            </w:tcMar>
            <w:vAlign w:val="center"/>
          </w:tcPr>
          <w:p w14:paraId="2ACF3927">
            <w:pPr>
              <w:jc w:val="center"/>
              <w:rPr>
                <w:color w:val="auto"/>
                <w:highlight w:val="none"/>
              </w:rPr>
            </w:pPr>
            <w:r>
              <w:rPr>
                <w:rFonts w:hint="eastAsia" w:cs="宋体"/>
                <w:color w:val="auto"/>
                <w:highlight w:val="none"/>
              </w:rPr>
              <w:t>备注</w:t>
            </w:r>
          </w:p>
        </w:tc>
      </w:tr>
      <w:tr w14:paraId="751A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3CEF565">
            <w:pPr>
              <w:jc w:val="center"/>
              <w:rPr>
                <w:color w:val="auto"/>
                <w:highlight w:val="none"/>
              </w:rPr>
            </w:pPr>
          </w:p>
        </w:tc>
        <w:tc>
          <w:tcPr>
            <w:tcW w:w="1693" w:type="dxa"/>
            <w:vMerge w:val="continue"/>
            <w:tcMar>
              <w:left w:w="108" w:type="dxa"/>
              <w:right w:w="108" w:type="dxa"/>
            </w:tcMar>
            <w:vAlign w:val="center"/>
          </w:tcPr>
          <w:p w14:paraId="4427D7F8">
            <w:pPr>
              <w:jc w:val="center"/>
              <w:rPr>
                <w:color w:val="auto"/>
                <w:highlight w:val="none"/>
              </w:rPr>
            </w:pPr>
          </w:p>
        </w:tc>
        <w:tc>
          <w:tcPr>
            <w:tcW w:w="1701" w:type="dxa"/>
            <w:gridSpan w:val="2"/>
            <w:tcMar>
              <w:left w:w="108" w:type="dxa"/>
              <w:right w:w="108" w:type="dxa"/>
            </w:tcMar>
            <w:vAlign w:val="center"/>
          </w:tcPr>
          <w:p w14:paraId="157E750C">
            <w:pPr>
              <w:jc w:val="center"/>
              <w:rPr>
                <w:color w:val="auto"/>
                <w:highlight w:val="none"/>
              </w:rPr>
            </w:pPr>
            <w:r>
              <w:rPr>
                <w:rFonts w:hint="eastAsia" w:cs="宋体"/>
                <w:color w:val="auto"/>
                <w:highlight w:val="none"/>
              </w:rPr>
              <w:t>拟选分包人名称</w:t>
            </w:r>
          </w:p>
        </w:tc>
        <w:tc>
          <w:tcPr>
            <w:tcW w:w="1123" w:type="dxa"/>
            <w:tcMar>
              <w:left w:w="108" w:type="dxa"/>
              <w:right w:w="108" w:type="dxa"/>
            </w:tcMar>
            <w:vAlign w:val="center"/>
          </w:tcPr>
          <w:p w14:paraId="33322E30">
            <w:pPr>
              <w:jc w:val="center"/>
              <w:rPr>
                <w:color w:val="auto"/>
                <w:highlight w:val="none"/>
              </w:rPr>
            </w:pPr>
            <w:r>
              <w:rPr>
                <w:rFonts w:hint="eastAsia" w:cs="宋体"/>
                <w:color w:val="auto"/>
                <w:highlight w:val="none"/>
              </w:rPr>
              <w:t>注册地点</w:t>
            </w:r>
          </w:p>
        </w:tc>
        <w:tc>
          <w:tcPr>
            <w:tcW w:w="1090" w:type="dxa"/>
            <w:tcMar>
              <w:left w:w="108" w:type="dxa"/>
              <w:right w:w="108" w:type="dxa"/>
            </w:tcMar>
            <w:vAlign w:val="center"/>
          </w:tcPr>
          <w:p w14:paraId="69AA60A5">
            <w:pPr>
              <w:jc w:val="center"/>
              <w:rPr>
                <w:color w:val="auto"/>
                <w:highlight w:val="none"/>
              </w:rPr>
            </w:pPr>
            <w:r>
              <w:rPr>
                <w:rFonts w:hint="eastAsia" w:cs="宋体"/>
                <w:color w:val="auto"/>
                <w:highlight w:val="none"/>
              </w:rPr>
              <w:t>企业资质</w:t>
            </w:r>
          </w:p>
        </w:tc>
        <w:tc>
          <w:tcPr>
            <w:tcW w:w="1197" w:type="dxa"/>
            <w:tcMar>
              <w:left w:w="108" w:type="dxa"/>
              <w:right w:w="108" w:type="dxa"/>
            </w:tcMar>
            <w:vAlign w:val="center"/>
          </w:tcPr>
          <w:p w14:paraId="1825FE0B">
            <w:pPr>
              <w:jc w:val="center"/>
              <w:rPr>
                <w:color w:val="auto"/>
                <w:highlight w:val="none"/>
              </w:rPr>
            </w:pPr>
            <w:r>
              <w:rPr>
                <w:rFonts w:hint="eastAsia" w:cs="宋体"/>
                <w:color w:val="auto"/>
                <w:highlight w:val="none"/>
              </w:rPr>
              <w:t>有关业绩</w:t>
            </w:r>
          </w:p>
        </w:tc>
        <w:tc>
          <w:tcPr>
            <w:tcW w:w="1268" w:type="dxa"/>
            <w:vAlign w:val="center"/>
          </w:tcPr>
          <w:p w14:paraId="68652D96">
            <w:pPr>
              <w:jc w:val="center"/>
              <w:rPr>
                <w:rFonts w:cs="宋体"/>
                <w:color w:val="auto"/>
                <w:highlight w:val="none"/>
              </w:rPr>
            </w:pPr>
            <w:r>
              <w:rPr>
                <w:rFonts w:hint="eastAsia" w:cs="宋体"/>
                <w:color w:val="auto"/>
                <w:highlight w:val="none"/>
              </w:rPr>
              <w:t>拟分包金额</w:t>
            </w:r>
          </w:p>
        </w:tc>
        <w:tc>
          <w:tcPr>
            <w:tcW w:w="673" w:type="dxa"/>
            <w:vMerge w:val="continue"/>
            <w:tcMar>
              <w:left w:w="108" w:type="dxa"/>
              <w:right w:w="108" w:type="dxa"/>
            </w:tcMar>
            <w:vAlign w:val="center"/>
          </w:tcPr>
          <w:p w14:paraId="210BDD60">
            <w:pPr>
              <w:jc w:val="center"/>
              <w:rPr>
                <w:color w:val="auto"/>
                <w:highlight w:val="none"/>
              </w:rPr>
            </w:pPr>
          </w:p>
        </w:tc>
      </w:tr>
      <w:tr w14:paraId="5D61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0642C49B">
            <w:pPr>
              <w:jc w:val="center"/>
              <w:rPr>
                <w:color w:val="auto"/>
                <w:highlight w:val="none"/>
              </w:rPr>
            </w:pPr>
          </w:p>
        </w:tc>
        <w:tc>
          <w:tcPr>
            <w:tcW w:w="1693" w:type="dxa"/>
            <w:vMerge w:val="restart"/>
            <w:tcMar>
              <w:left w:w="108" w:type="dxa"/>
              <w:right w:w="108" w:type="dxa"/>
            </w:tcMar>
            <w:vAlign w:val="center"/>
          </w:tcPr>
          <w:p w14:paraId="63F09427">
            <w:pPr>
              <w:jc w:val="center"/>
              <w:rPr>
                <w:color w:val="auto"/>
                <w:highlight w:val="none"/>
              </w:rPr>
            </w:pPr>
          </w:p>
        </w:tc>
        <w:tc>
          <w:tcPr>
            <w:tcW w:w="751" w:type="dxa"/>
            <w:tcMar>
              <w:left w:w="108" w:type="dxa"/>
              <w:right w:w="108" w:type="dxa"/>
            </w:tcMar>
            <w:vAlign w:val="center"/>
          </w:tcPr>
          <w:p w14:paraId="0FEB49B2">
            <w:pPr>
              <w:jc w:val="center"/>
              <w:rPr>
                <w:color w:val="auto"/>
                <w:highlight w:val="none"/>
              </w:rPr>
            </w:pPr>
            <w:r>
              <w:rPr>
                <w:color w:val="auto"/>
                <w:highlight w:val="none"/>
              </w:rPr>
              <w:t>1</w:t>
            </w:r>
          </w:p>
        </w:tc>
        <w:tc>
          <w:tcPr>
            <w:tcW w:w="950" w:type="dxa"/>
            <w:tcMar>
              <w:left w:w="108" w:type="dxa"/>
              <w:right w:w="108" w:type="dxa"/>
            </w:tcMar>
            <w:vAlign w:val="center"/>
          </w:tcPr>
          <w:p w14:paraId="13E4520E">
            <w:pPr>
              <w:jc w:val="center"/>
              <w:rPr>
                <w:color w:val="auto"/>
                <w:highlight w:val="none"/>
              </w:rPr>
            </w:pPr>
          </w:p>
        </w:tc>
        <w:tc>
          <w:tcPr>
            <w:tcW w:w="1123" w:type="dxa"/>
            <w:tcMar>
              <w:left w:w="108" w:type="dxa"/>
              <w:right w:w="108" w:type="dxa"/>
            </w:tcMar>
            <w:vAlign w:val="center"/>
          </w:tcPr>
          <w:p w14:paraId="45FBD423">
            <w:pPr>
              <w:jc w:val="center"/>
              <w:rPr>
                <w:color w:val="auto"/>
                <w:highlight w:val="none"/>
              </w:rPr>
            </w:pPr>
          </w:p>
        </w:tc>
        <w:tc>
          <w:tcPr>
            <w:tcW w:w="1090" w:type="dxa"/>
            <w:tcMar>
              <w:left w:w="108" w:type="dxa"/>
              <w:right w:w="108" w:type="dxa"/>
            </w:tcMar>
            <w:vAlign w:val="center"/>
          </w:tcPr>
          <w:p w14:paraId="05D04E12">
            <w:pPr>
              <w:jc w:val="center"/>
              <w:rPr>
                <w:color w:val="auto"/>
                <w:highlight w:val="none"/>
              </w:rPr>
            </w:pPr>
          </w:p>
        </w:tc>
        <w:tc>
          <w:tcPr>
            <w:tcW w:w="1197" w:type="dxa"/>
            <w:tcMar>
              <w:left w:w="108" w:type="dxa"/>
              <w:right w:w="108" w:type="dxa"/>
            </w:tcMar>
            <w:vAlign w:val="center"/>
          </w:tcPr>
          <w:p w14:paraId="1626CE48">
            <w:pPr>
              <w:jc w:val="center"/>
              <w:rPr>
                <w:color w:val="auto"/>
                <w:highlight w:val="none"/>
              </w:rPr>
            </w:pPr>
          </w:p>
        </w:tc>
        <w:tc>
          <w:tcPr>
            <w:tcW w:w="1268" w:type="dxa"/>
            <w:vAlign w:val="center"/>
          </w:tcPr>
          <w:p w14:paraId="6A510F92">
            <w:pPr>
              <w:jc w:val="center"/>
              <w:rPr>
                <w:color w:val="auto"/>
                <w:highlight w:val="none"/>
              </w:rPr>
            </w:pPr>
          </w:p>
        </w:tc>
        <w:tc>
          <w:tcPr>
            <w:tcW w:w="673" w:type="dxa"/>
            <w:tcMar>
              <w:left w:w="108" w:type="dxa"/>
              <w:right w:w="108" w:type="dxa"/>
            </w:tcMar>
            <w:vAlign w:val="center"/>
          </w:tcPr>
          <w:p w14:paraId="3F1EFF92">
            <w:pPr>
              <w:jc w:val="center"/>
              <w:rPr>
                <w:color w:val="auto"/>
                <w:highlight w:val="none"/>
              </w:rPr>
            </w:pPr>
          </w:p>
        </w:tc>
      </w:tr>
      <w:tr w14:paraId="1B9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49C63F0">
            <w:pPr>
              <w:jc w:val="center"/>
              <w:rPr>
                <w:color w:val="auto"/>
                <w:highlight w:val="none"/>
              </w:rPr>
            </w:pPr>
          </w:p>
        </w:tc>
        <w:tc>
          <w:tcPr>
            <w:tcW w:w="1693" w:type="dxa"/>
            <w:vMerge w:val="continue"/>
            <w:tcMar>
              <w:left w:w="108" w:type="dxa"/>
              <w:right w:w="108" w:type="dxa"/>
            </w:tcMar>
            <w:vAlign w:val="center"/>
          </w:tcPr>
          <w:p w14:paraId="2ED58C97">
            <w:pPr>
              <w:jc w:val="center"/>
              <w:rPr>
                <w:color w:val="auto"/>
                <w:highlight w:val="none"/>
              </w:rPr>
            </w:pPr>
          </w:p>
        </w:tc>
        <w:tc>
          <w:tcPr>
            <w:tcW w:w="751" w:type="dxa"/>
            <w:tcMar>
              <w:left w:w="108" w:type="dxa"/>
              <w:right w:w="108" w:type="dxa"/>
            </w:tcMar>
            <w:vAlign w:val="center"/>
          </w:tcPr>
          <w:p w14:paraId="7FA6269E">
            <w:pPr>
              <w:jc w:val="center"/>
              <w:rPr>
                <w:color w:val="auto"/>
                <w:highlight w:val="none"/>
              </w:rPr>
            </w:pPr>
            <w:r>
              <w:rPr>
                <w:color w:val="auto"/>
                <w:highlight w:val="none"/>
              </w:rPr>
              <w:t>2</w:t>
            </w:r>
          </w:p>
        </w:tc>
        <w:tc>
          <w:tcPr>
            <w:tcW w:w="950" w:type="dxa"/>
            <w:tcMar>
              <w:left w:w="108" w:type="dxa"/>
              <w:right w:w="108" w:type="dxa"/>
            </w:tcMar>
            <w:vAlign w:val="center"/>
          </w:tcPr>
          <w:p w14:paraId="24E961AE">
            <w:pPr>
              <w:jc w:val="center"/>
              <w:rPr>
                <w:color w:val="auto"/>
                <w:highlight w:val="none"/>
              </w:rPr>
            </w:pPr>
          </w:p>
        </w:tc>
        <w:tc>
          <w:tcPr>
            <w:tcW w:w="1123" w:type="dxa"/>
            <w:tcMar>
              <w:left w:w="108" w:type="dxa"/>
              <w:right w:w="108" w:type="dxa"/>
            </w:tcMar>
            <w:vAlign w:val="center"/>
          </w:tcPr>
          <w:p w14:paraId="68B9D26F">
            <w:pPr>
              <w:jc w:val="center"/>
              <w:rPr>
                <w:color w:val="auto"/>
                <w:highlight w:val="none"/>
              </w:rPr>
            </w:pPr>
          </w:p>
        </w:tc>
        <w:tc>
          <w:tcPr>
            <w:tcW w:w="1090" w:type="dxa"/>
            <w:tcMar>
              <w:left w:w="108" w:type="dxa"/>
              <w:right w:w="108" w:type="dxa"/>
            </w:tcMar>
            <w:vAlign w:val="center"/>
          </w:tcPr>
          <w:p w14:paraId="5C605583">
            <w:pPr>
              <w:jc w:val="center"/>
              <w:rPr>
                <w:color w:val="auto"/>
                <w:highlight w:val="none"/>
              </w:rPr>
            </w:pPr>
          </w:p>
        </w:tc>
        <w:tc>
          <w:tcPr>
            <w:tcW w:w="1197" w:type="dxa"/>
            <w:tcMar>
              <w:left w:w="108" w:type="dxa"/>
              <w:right w:w="108" w:type="dxa"/>
            </w:tcMar>
            <w:vAlign w:val="center"/>
          </w:tcPr>
          <w:p w14:paraId="720C76F8">
            <w:pPr>
              <w:jc w:val="center"/>
              <w:rPr>
                <w:color w:val="auto"/>
                <w:highlight w:val="none"/>
              </w:rPr>
            </w:pPr>
          </w:p>
        </w:tc>
        <w:tc>
          <w:tcPr>
            <w:tcW w:w="1268" w:type="dxa"/>
          </w:tcPr>
          <w:p w14:paraId="05ABA0A5">
            <w:pPr>
              <w:jc w:val="center"/>
              <w:rPr>
                <w:color w:val="auto"/>
                <w:highlight w:val="none"/>
              </w:rPr>
            </w:pPr>
          </w:p>
        </w:tc>
        <w:tc>
          <w:tcPr>
            <w:tcW w:w="673" w:type="dxa"/>
            <w:tcMar>
              <w:left w:w="108" w:type="dxa"/>
              <w:right w:w="108" w:type="dxa"/>
            </w:tcMar>
            <w:vAlign w:val="center"/>
          </w:tcPr>
          <w:p w14:paraId="264FEF28">
            <w:pPr>
              <w:jc w:val="center"/>
              <w:rPr>
                <w:color w:val="auto"/>
                <w:highlight w:val="none"/>
              </w:rPr>
            </w:pPr>
          </w:p>
        </w:tc>
      </w:tr>
      <w:tr w14:paraId="0E44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8194436">
            <w:pPr>
              <w:jc w:val="center"/>
              <w:rPr>
                <w:color w:val="auto"/>
                <w:highlight w:val="none"/>
              </w:rPr>
            </w:pPr>
          </w:p>
        </w:tc>
        <w:tc>
          <w:tcPr>
            <w:tcW w:w="1693" w:type="dxa"/>
            <w:vMerge w:val="continue"/>
            <w:tcMar>
              <w:left w:w="108" w:type="dxa"/>
              <w:right w:w="108" w:type="dxa"/>
            </w:tcMar>
            <w:vAlign w:val="center"/>
          </w:tcPr>
          <w:p w14:paraId="1C1C6264">
            <w:pPr>
              <w:jc w:val="center"/>
              <w:rPr>
                <w:color w:val="auto"/>
                <w:highlight w:val="none"/>
              </w:rPr>
            </w:pPr>
          </w:p>
        </w:tc>
        <w:tc>
          <w:tcPr>
            <w:tcW w:w="751" w:type="dxa"/>
            <w:tcMar>
              <w:left w:w="108" w:type="dxa"/>
              <w:right w:w="108" w:type="dxa"/>
            </w:tcMar>
            <w:vAlign w:val="center"/>
          </w:tcPr>
          <w:p w14:paraId="228E0F73">
            <w:pPr>
              <w:jc w:val="center"/>
              <w:rPr>
                <w:color w:val="auto"/>
                <w:highlight w:val="none"/>
              </w:rPr>
            </w:pPr>
            <w:r>
              <w:rPr>
                <w:color w:val="auto"/>
                <w:highlight w:val="none"/>
              </w:rPr>
              <w:t>3</w:t>
            </w:r>
          </w:p>
        </w:tc>
        <w:tc>
          <w:tcPr>
            <w:tcW w:w="950" w:type="dxa"/>
            <w:tcMar>
              <w:left w:w="108" w:type="dxa"/>
              <w:right w:w="108" w:type="dxa"/>
            </w:tcMar>
            <w:vAlign w:val="center"/>
          </w:tcPr>
          <w:p w14:paraId="472BD8D7">
            <w:pPr>
              <w:jc w:val="center"/>
              <w:rPr>
                <w:color w:val="auto"/>
                <w:highlight w:val="none"/>
              </w:rPr>
            </w:pPr>
          </w:p>
        </w:tc>
        <w:tc>
          <w:tcPr>
            <w:tcW w:w="1123" w:type="dxa"/>
            <w:tcMar>
              <w:left w:w="108" w:type="dxa"/>
              <w:right w:w="108" w:type="dxa"/>
            </w:tcMar>
            <w:vAlign w:val="center"/>
          </w:tcPr>
          <w:p w14:paraId="0AB57639">
            <w:pPr>
              <w:jc w:val="center"/>
              <w:rPr>
                <w:color w:val="auto"/>
                <w:highlight w:val="none"/>
              </w:rPr>
            </w:pPr>
          </w:p>
        </w:tc>
        <w:tc>
          <w:tcPr>
            <w:tcW w:w="1090" w:type="dxa"/>
            <w:tcMar>
              <w:left w:w="108" w:type="dxa"/>
              <w:right w:w="108" w:type="dxa"/>
            </w:tcMar>
            <w:vAlign w:val="center"/>
          </w:tcPr>
          <w:p w14:paraId="11D027CC">
            <w:pPr>
              <w:jc w:val="center"/>
              <w:rPr>
                <w:color w:val="auto"/>
                <w:highlight w:val="none"/>
              </w:rPr>
            </w:pPr>
          </w:p>
        </w:tc>
        <w:tc>
          <w:tcPr>
            <w:tcW w:w="1197" w:type="dxa"/>
            <w:tcMar>
              <w:left w:w="108" w:type="dxa"/>
              <w:right w:w="108" w:type="dxa"/>
            </w:tcMar>
            <w:vAlign w:val="center"/>
          </w:tcPr>
          <w:p w14:paraId="72EF2C3C">
            <w:pPr>
              <w:jc w:val="center"/>
              <w:rPr>
                <w:color w:val="auto"/>
                <w:highlight w:val="none"/>
              </w:rPr>
            </w:pPr>
          </w:p>
        </w:tc>
        <w:tc>
          <w:tcPr>
            <w:tcW w:w="1268" w:type="dxa"/>
          </w:tcPr>
          <w:p w14:paraId="0691236D">
            <w:pPr>
              <w:jc w:val="center"/>
              <w:rPr>
                <w:color w:val="auto"/>
                <w:highlight w:val="none"/>
              </w:rPr>
            </w:pPr>
          </w:p>
        </w:tc>
        <w:tc>
          <w:tcPr>
            <w:tcW w:w="673" w:type="dxa"/>
            <w:tcMar>
              <w:left w:w="108" w:type="dxa"/>
              <w:right w:w="108" w:type="dxa"/>
            </w:tcMar>
            <w:vAlign w:val="center"/>
          </w:tcPr>
          <w:p w14:paraId="3661D7A3">
            <w:pPr>
              <w:jc w:val="center"/>
              <w:rPr>
                <w:color w:val="auto"/>
                <w:highlight w:val="none"/>
              </w:rPr>
            </w:pPr>
          </w:p>
        </w:tc>
      </w:tr>
      <w:tr w14:paraId="2DC0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854C301">
            <w:pPr>
              <w:jc w:val="center"/>
              <w:rPr>
                <w:color w:val="auto"/>
                <w:highlight w:val="none"/>
              </w:rPr>
            </w:pPr>
          </w:p>
        </w:tc>
        <w:tc>
          <w:tcPr>
            <w:tcW w:w="1693" w:type="dxa"/>
            <w:vMerge w:val="restart"/>
            <w:tcMar>
              <w:left w:w="108" w:type="dxa"/>
              <w:right w:w="108" w:type="dxa"/>
            </w:tcMar>
            <w:vAlign w:val="center"/>
          </w:tcPr>
          <w:p w14:paraId="13075C65">
            <w:pPr>
              <w:jc w:val="center"/>
              <w:rPr>
                <w:color w:val="auto"/>
                <w:highlight w:val="none"/>
              </w:rPr>
            </w:pPr>
          </w:p>
        </w:tc>
        <w:tc>
          <w:tcPr>
            <w:tcW w:w="751" w:type="dxa"/>
            <w:tcMar>
              <w:left w:w="108" w:type="dxa"/>
              <w:right w:w="108" w:type="dxa"/>
            </w:tcMar>
            <w:vAlign w:val="center"/>
          </w:tcPr>
          <w:p w14:paraId="5DD59EE8">
            <w:pPr>
              <w:jc w:val="center"/>
              <w:rPr>
                <w:color w:val="auto"/>
                <w:highlight w:val="none"/>
              </w:rPr>
            </w:pPr>
            <w:r>
              <w:rPr>
                <w:color w:val="auto"/>
                <w:highlight w:val="none"/>
              </w:rPr>
              <w:t>1</w:t>
            </w:r>
          </w:p>
        </w:tc>
        <w:tc>
          <w:tcPr>
            <w:tcW w:w="950" w:type="dxa"/>
            <w:tcMar>
              <w:left w:w="108" w:type="dxa"/>
              <w:right w:w="108" w:type="dxa"/>
            </w:tcMar>
            <w:vAlign w:val="center"/>
          </w:tcPr>
          <w:p w14:paraId="6A5B5C38">
            <w:pPr>
              <w:jc w:val="center"/>
              <w:rPr>
                <w:color w:val="auto"/>
                <w:highlight w:val="none"/>
              </w:rPr>
            </w:pPr>
          </w:p>
        </w:tc>
        <w:tc>
          <w:tcPr>
            <w:tcW w:w="1123" w:type="dxa"/>
            <w:tcMar>
              <w:left w:w="108" w:type="dxa"/>
              <w:right w:w="108" w:type="dxa"/>
            </w:tcMar>
            <w:vAlign w:val="center"/>
          </w:tcPr>
          <w:p w14:paraId="3C956C45">
            <w:pPr>
              <w:jc w:val="center"/>
              <w:rPr>
                <w:color w:val="auto"/>
                <w:highlight w:val="none"/>
              </w:rPr>
            </w:pPr>
          </w:p>
        </w:tc>
        <w:tc>
          <w:tcPr>
            <w:tcW w:w="1090" w:type="dxa"/>
            <w:tcMar>
              <w:left w:w="108" w:type="dxa"/>
              <w:right w:w="108" w:type="dxa"/>
            </w:tcMar>
            <w:vAlign w:val="center"/>
          </w:tcPr>
          <w:p w14:paraId="04EB3427">
            <w:pPr>
              <w:jc w:val="center"/>
              <w:rPr>
                <w:color w:val="auto"/>
                <w:highlight w:val="none"/>
              </w:rPr>
            </w:pPr>
          </w:p>
        </w:tc>
        <w:tc>
          <w:tcPr>
            <w:tcW w:w="1197" w:type="dxa"/>
            <w:tcMar>
              <w:left w:w="108" w:type="dxa"/>
              <w:right w:w="108" w:type="dxa"/>
            </w:tcMar>
            <w:vAlign w:val="center"/>
          </w:tcPr>
          <w:p w14:paraId="077E4BF8">
            <w:pPr>
              <w:jc w:val="center"/>
              <w:rPr>
                <w:color w:val="auto"/>
                <w:highlight w:val="none"/>
              </w:rPr>
            </w:pPr>
          </w:p>
        </w:tc>
        <w:tc>
          <w:tcPr>
            <w:tcW w:w="1268" w:type="dxa"/>
          </w:tcPr>
          <w:p w14:paraId="24A3753E">
            <w:pPr>
              <w:jc w:val="center"/>
              <w:rPr>
                <w:color w:val="auto"/>
                <w:highlight w:val="none"/>
              </w:rPr>
            </w:pPr>
          </w:p>
        </w:tc>
        <w:tc>
          <w:tcPr>
            <w:tcW w:w="673" w:type="dxa"/>
            <w:tcMar>
              <w:left w:w="108" w:type="dxa"/>
              <w:right w:w="108" w:type="dxa"/>
            </w:tcMar>
            <w:vAlign w:val="center"/>
          </w:tcPr>
          <w:p w14:paraId="18E1F569">
            <w:pPr>
              <w:jc w:val="center"/>
              <w:rPr>
                <w:color w:val="auto"/>
                <w:highlight w:val="none"/>
              </w:rPr>
            </w:pPr>
          </w:p>
        </w:tc>
      </w:tr>
      <w:tr w14:paraId="7DB8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1558CC0">
            <w:pPr>
              <w:jc w:val="center"/>
              <w:rPr>
                <w:color w:val="auto"/>
                <w:highlight w:val="none"/>
              </w:rPr>
            </w:pPr>
          </w:p>
        </w:tc>
        <w:tc>
          <w:tcPr>
            <w:tcW w:w="1693" w:type="dxa"/>
            <w:vMerge w:val="continue"/>
            <w:tcMar>
              <w:left w:w="108" w:type="dxa"/>
              <w:right w:w="108" w:type="dxa"/>
            </w:tcMar>
            <w:vAlign w:val="center"/>
          </w:tcPr>
          <w:p w14:paraId="5BCADB10">
            <w:pPr>
              <w:jc w:val="center"/>
              <w:rPr>
                <w:color w:val="auto"/>
                <w:highlight w:val="none"/>
              </w:rPr>
            </w:pPr>
          </w:p>
        </w:tc>
        <w:tc>
          <w:tcPr>
            <w:tcW w:w="751" w:type="dxa"/>
            <w:tcMar>
              <w:left w:w="108" w:type="dxa"/>
              <w:right w:w="108" w:type="dxa"/>
            </w:tcMar>
            <w:vAlign w:val="center"/>
          </w:tcPr>
          <w:p w14:paraId="4948EA9C">
            <w:pPr>
              <w:jc w:val="center"/>
              <w:rPr>
                <w:color w:val="auto"/>
                <w:highlight w:val="none"/>
              </w:rPr>
            </w:pPr>
            <w:r>
              <w:rPr>
                <w:color w:val="auto"/>
                <w:highlight w:val="none"/>
              </w:rPr>
              <w:t>2</w:t>
            </w:r>
          </w:p>
        </w:tc>
        <w:tc>
          <w:tcPr>
            <w:tcW w:w="950" w:type="dxa"/>
            <w:tcMar>
              <w:left w:w="108" w:type="dxa"/>
              <w:right w:w="108" w:type="dxa"/>
            </w:tcMar>
            <w:vAlign w:val="center"/>
          </w:tcPr>
          <w:p w14:paraId="3F8EC3DF">
            <w:pPr>
              <w:jc w:val="center"/>
              <w:rPr>
                <w:color w:val="auto"/>
                <w:highlight w:val="none"/>
              </w:rPr>
            </w:pPr>
          </w:p>
        </w:tc>
        <w:tc>
          <w:tcPr>
            <w:tcW w:w="1123" w:type="dxa"/>
            <w:tcMar>
              <w:left w:w="108" w:type="dxa"/>
              <w:right w:w="108" w:type="dxa"/>
            </w:tcMar>
            <w:vAlign w:val="center"/>
          </w:tcPr>
          <w:p w14:paraId="1C789B59">
            <w:pPr>
              <w:jc w:val="center"/>
              <w:rPr>
                <w:color w:val="auto"/>
                <w:highlight w:val="none"/>
              </w:rPr>
            </w:pPr>
          </w:p>
        </w:tc>
        <w:tc>
          <w:tcPr>
            <w:tcW w:w="1090" w:type="dxa"/>
            <w:tcMar>
              <w:left w:w="108" w:type="dxa"/>
              <w:right w:w="108" w:type="dxa"/>
            </w:tcMar>
            <w:vAlign w:val="center"/>
          </w:tcPr>
          <w:p w14:paraId="48208BA9">
            <w:pPr>
              <w:jc w:val="center"/>
              <w:rPr>
                <w:color w:val="auto"/>
                <w:highlight w:val="none"/>
              </w:rPr>
            </w:pPr>
          </w:p>
        </w:tc>
        <w:tc>
          <w:tcPr>
            <w:tcW w:w="1197" w:type="dxa"/>
            <w:tcMar>
              <w:left w:w="108" w:type="dxa"/>
              <w:right w:w="108" w:type="dxa"/>
            </w:tcMar>
            <w:vAlign w:val="center"/>
          </w:tcPr>
          <w:p w14:paraId="4B83AE68">
            <w:pPr>
              <w:jc w:val="center"/>
              <w:rPr>
                <w:color w:val="auto"/>
                <w:highlight w:val="none"/>
              </w:rPr>
            </w:pPr>
          </w:p>
        </w:tc>
        <w:tc>
          <w:tcPr>
            <w:tcW w:w="1268" w:type="dxa"/>
          </w:tcPr>
          <w:p w14:paraId="0FF8F68F">
            <w:pPr>
              <w:jc w:val="center"/>
              <w:rPr>
                <w:color w:val="auto"/>
                <w:highlight w:val="none"/>
              </w:rPr>
            </w:pPr>
          </w:p>
        </w:tc>
        <w:tc>
          <w:tcPr>
            <w:tcW w:w="673" w:type="dxa"/>
            <w:tcMar>
              <w:left w:w="108" w:type="dxa"/>
              <w:right w:w="108" w:type="dxa"/>
            </w:tcMar>
            <w:vAlign w:val="center"/>
          </w:tcPr>
          <w:p w14:paraId="66D9A0D6">
            <w:pPr>
              <w:jc w:val="center"/>
              <w:rPr>
                <w:color w:val="auto"/>
                <w:highlight w:val="none"/>
              </w:rPr>
            </w:pPr>
          </w:p>
        </w:tc>
      </w:tr>
      <w:tr w14:paraId="1B21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42F1C82">
            <w:pPr>
              <w:jc w:val="center"/>
              <w:rPr>
                <w:color w:val="auto"/>
                <w:highlight w:val="none"/>
              </w:rPr>
            </w:pPr>
          </w:p>
        </w:tc>
        <w:tc>
          <w:tcPr>
            <w:tcW w:w="1693" w:type="dxa"/>
            <w:vMerge w:val="continue"/>
            <w:tcMar>
              <w:left w:w="108" w:type="dxa"/>
              <w:right w:w="108" w:type="dxa"/>
            </w:tcMar>
            <w:vAlign w:val="center"/>
          </w:tcPr>
          <w:p w14:paraId="38D7691D">
            <w:pPr>
              <w:jc w:val="center"/>
              <w:rPr>
                <w:color w:val="auto"/>
                <w:highlight w:val="none"/>
              </w:rPr>
            </w:pPr>
          </w:p>
        </w:tc>
        <w:tc>
          <w:tcPr>
            <w:tcW w:w="751" w:type="dxa"/>
            <w:tcMar>
              <w:left w:w="108" w:type="dxa"/>
              <w:right w:w="108" w:type="dxa"/>
            </w:tcMar>
            <w:vAlign w:val="center"/>
          </w:tcPr>
          <w:p w14:paraId="0D4EF417">
            <w:pPr>
              <w:jc w:val="center"/>
              <w:rPr>
                <w:color w:val="auto"/>
                <w:highlight w:val="none"/>
              </w:rPr>
            </w:pPr>
            <w:r>
              <w:rPr>
                <w:color w:val="auto"/>
                <w:highlight w:val="none"/>
              </w:rPr>
              <w:t>3</w:t>
            </w:r>
          </w:p>
        </w:tc>
        <w:tc>
          <w:tcPr>
            <w:tcW w:w="950" w:type="dxa"/>
            <w:tcMar>
              <w:left w:w="108" w:type="dxa"/>
              <w:right w:w="108" w:type="dxa"/>
            </w:tcMar>
            <w:vAlign w:val="center"/>
          </w:tcPr>
          <w:p w14:paraId="1136BBE9">
            <w:pPr>
              <w:jc w:val="center"/>
              <w:rPr>
                <w:color w:val="auto"/>
                <w:highlight w:val="none"/>
              </w:rPr>
            </w:pPr>
          </w:p>
        </w:tc>
        <w:tc>
          <w:tcPr>
            <w:tcW w:w="1123" w:type="dxa"/>
            <w:tcMar>
              <w:left w:w="108" w:type="dxa"/>
              <w:right w:w="108" w:type="dxa"/>
            </w:tcMar>
            <w:vAlign w:val="center"/>
          </w:tcPr>
          <w:p w14:paraId="3B64AEC9">
            <w:pPr>
              <w:jc w:val="center"/>
              <w:rPr>
                <w:color w:val="auto"/>
                <w:highlight w:val="none"/>
              </w:rPr>
            </w:pPr>
          </w:p>
        </w:tc>
        <w:tc>
          <w:tcPr>
            <w:tcW w:w="1090" w:type="dxa"/>
            <w:tcMar>
              <w:left w:w="108" w:type="dxa"/>
              <w:right w:w="108" w:type="dxa"/>
            </w:tcMar>
            <w:vAlign w:val="center"/>
          </w:tcPr>
          <w:p w14:paraId="3BC7DAE5">
            <w:pPr>
              <w:jc w:val="center"/>
              <w:rPr>
                <w:color w:val="auto"/>
                <w:highlight w:val="none"/>
              </w:rPr>
            </w:pPr>
          </w:p>
        </w:tc>
        <w:tc>
          <w:tcPr>
            <w:tcW w:w="1197" w:type="dxa"/>
            <w:tcMar>
              <w:left w:w="108" w:type="dxa"/>
              <w:right w:w="108" w:type="dxa"/>
            </w:tcMar>
            <w:vAlign w:val="center"/>
          </w:tcPr>
          <w:p w14:paraId="0911D9A9">
            <w:pPr>
              <w:jc w:val="center"/>
              <w:rPr>
                <w:color w:val="auto"/>
                <w:highlight w:val="none"/>
              </w:rPr>
            </w:pPr>
          </w:p>
        </w:tc>
        <w:tc>
          <w:tcPr>
            <w:tcW w:w="1268" w:type="dxa"/>
          </w:tcPr>
          <w:p w14:paraId="78F05AD7">
            <w:pPr>
              <w:jc w:val="center"/>
              <w:rPr>
                <w:color w:val="auto"/>
                <w:highlight w:val="none"/>
              </w:rPr>
            </w:pPr>
          </w:p>
        </w:tc>
        <w:tc>
          <w:tcPr>
            <w:tcW w:w="673" w:type="dxa"/>
            <w:tcMar>
              <w:left w:w="108" w:type="dxa"/>
              <w:right w:w="108" w:type="dxa"/>
            </w:tcMar>
            <w:vAlign w:val="center"/>
          </w:tcPr>
          <w:p w14:paraId="3CD01780">
            <w:pPr>
              <w:jc w:val="center"/>
              <w:rPr>
                <w:color w:val="auto"/>
                <w:highlight w:val="none"/>
              </w:rPr>
            </w:pPr>
          </w:p>
        </w:tc>
      </w:tr>
    </w:tbl>
    <w:p w14:paraId="55824FF3">
      <w:pPr>
        <w:spacing w:line="440" w:lineRule="exact"/>
        <w:ind w:right="420" w:firstLine="480" w:firstLineChars="200"/>
        <w:rPr>
          <w:rFonts w:cs="宋体"/>
          <w:color w:val="auto"/>
          <w:sz w:val="24"/>
          <w:highlight w:val="none"/>
        </w:rPr>
      </w:pPr>
      <w:r>
        <w:rPr>
          <w:rFonts w:hint="eastAsia" w:cs="宋体"/>
          <w:color w:val="auto"/>
          <w:sz w:val="24"/>
          <w:highlight w:val="none"/>
        </w:rPr>
        <w:t>备注：1.若无分包计划，则供应商应在本表填写“无”。</w:t>
      </w:r>
    </w:p>
    <w:p w14:paraId="4C98BDB5">
      <w:pPr>
        <w:spacing w:line="440" w:lineRule="exact"/>
        <w:ind w:right="420" w:firstLine="1200" w:firstLineChars="500"/>
        <w:rPr>
          <w:color w:val="auto"/>
          <w:sz w:val="24"/>
          <w:highlight w:val="none"/>
        </w:rPr>
      </w:pPr>
      <w:r>
        <w:rPr>
          <w:rFonts w:hint="eastAsia" w:cs="宋体"/>
          <w:color w:val="auto"/>
          <w:sz w:val="24"/>
          <w:highlight w:val="none"/>
        </w:rPr>
        <w:t>2.本表所列分包仅限于承包人自行施工范围内的非主体、非关键工程。</w:t>
      </w:r>
    </w:p>
    <w:p w14:paraId="572D77DA">
      <w:pPr>
        <w:adjustRightInd w:val="0"/>
        <w:spacing w:line="360" w:lineRule="auto"/>
        <w:contextualSpacing/>
        <w:rPr>
          <w:rFonts w:ascii="宋体" w:hAnsi="宋体" w:cs="仿宋_GB2312"/>
          <w:color w:val="auto"/>
          <w:sz w:val="24"/>
          <w:highlight w:val="none"/>
        </w:rPr>
      </w:pPr>
    </w:p>
    <w:p w14:paraId="609E9CBD">
      <w:pPr>
        <w:spacing w:line="360" w:lineRule="auto"/>
        <w:ind w:right="-817" w:rightChars="-389"/>
        <w:contextualSpacing/>
        <w:rPr>
          <w:rFonts w:ascii="宋体" w:hAnsi="宋体" w:cs="仿宋_GB2312"/>
          <w:color w:val="auto"/>
          <w:sz w:val="24"/>
          <w:highlight w:val="none"/>
        </w:rPr>
      </w:pPr>
    </w:p>
    <w:p w14:paraId="682D304A">
      <w:pPr>
        <w:spacing w:line="360" w:lineRule="auto"/>
        <w:ind w:right="-817" w:rightChars="-389"/>
        <w:contextualSpacing/>
        <w:rPr>
          <w:rFonts w:ascii="宋体" w:hAnsi="宋体" w:cs="仿宋_GB2312"/>
          <w:color w:val="auto"/>
          <w:sz w:val="24"/>
          <w:highlight w:val="none"/>
        </w:rPr>
      </w:pPr>
    </w:p>
    <w:p w14:paraId="0DB6AB07">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22DC192">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4F0CF99">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01BE6BE">
      <w:pPr>
        <w:adjustRightInd w:val="0"/>
        <w:snapToGrid w:val="0"/>
        <w:spacing w:line="300" w:lineRule="auto"/>
        <w:jc w:val="center"/>
        <w:rPr>
          <w:rFonts w:ascii="宋体" w:hAnsi="宋体"/>
          <w:b/>
          <w:color w:val="auto"/>
          <w:sz w:val="44"/>
          <w:szCs w:val="44"/>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项目管理机构配备情况表及主要人员简历表</w:t>
      </w:r>
    </w:p>
    <w:p w14:paraId="4E71C3BF">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（一）项目管理机构配备情况表</w:t>
      </w:r>
    </w:p>
    <w:p w14:paraId="7B909489">
      <w:pPr>
        <w:pStyle w:val="27"/>
        <w:spacing w:line="360" w:lineRule="auto"/>
        <w:contextualSpacing/>
        <w:rPr>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2E2C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21C35684">
            <w:pPr>
              <w:ind w:left="223" w:hanging="222" w:hangingChars="106"/>
              <w:jc w:val="center"/>
              <w:rPr>
                <w:color w:val="auto"/>
                <w:highlight w:val="none"/>
              </w:rPr>
            </w:pPr>
            <w:r>
              <w:rPr>
                <w:color w:val="auto"/>
                <w:highlight w:val="none"/>
              </w:rPr>
              <w:t>岗位</w:t>
            </w:r>
          </w:p>
        </w:tc>
        <w:tc>
          <w:tcPr>
            <w:tcW w:w="670" w:type="dxa"/>
            <w:vMerge w:val="restart"/>
            <w:vAlign w:val="center"/>
          </w:tcPr>
          <w:p w14:paraId="7F010168">
            <w:pPr>
              <w:ind w:left="223" w:hanging="222" w:hangingChars="106"/>
              <w:jc w:val="center"/>
              <w:rPr>
                <w:color w:val="auto"/>
                <w:highlight w:val="none"/>
              </w:rPr>
            </w:pPr>
            <w:r>
              <w:rPr>
                <w:color w:val="auto"/>
                <w:highlight w:val="none"/>
              </w:rPr>
              <w:t>姓名</w:t>
            </w:r>
          </w:p>
        </w:tc>
        <w:tc>
          <w:tcPr>
            <w:tcW w:w="829" w:type="dxa"/>
            <w:vMerge w:val="restart"/>
            <w:vAlign w:val="center"/>
          </w:tcPr>
          <w:p w14:paraId="2F64E066">
            <w:pPr>
              <w:jc w:val="center"/>
              <w:rPr>
                <w:color w:val="auto"/>
                <w:highlight w:val="none"/>
              </w:rPr>
            </w:pPr>
            <w:r>
              <w:rPr>
                <w:color w:val="auto"/>
                <w:highlight w:val="none"/>
              </w:rPr>
              <w:t>身份证号</w:t>
            </w:r>
          </w:p>
        </w:tc>
        <w:tc>
          <w:tcPr>
            <w:tcW w:w="816" w:type="dxa"/>
            <w:vMerge w:val="restart"/>
            <w:vAlign w:val="center"/>
          </w:tcPr>
          <w:p w14:paraId="23AE8550">
            <w:pPr>
              <w:ind w:left="223" w:hanging="222" w:hangingChars="106"/>
              <w:jc w:val="center"/>
              <w:rPr>
                <w:color w:val="auto"/>
                <w:highlight w:val="none"/>
              </w:rPr>
            </w:pPr>
            <w:r>
              <w:rPr>
                <w:color w:val="auto"/>
                <w:highlight w:val="none"/>
              </w:rPr>
              <w:t>职称</w:t>
            </w:r>
          </w:p>
        </w:tc>
        <w:tc>
          <w:tcPr>
            <w:tcW w:w="4188" w:type="dxa"/>
            <w:gridSpan w:val="4"/>
            <w:vAlign w:val="center"/>
          </w:tcPr>
          <w:p w14:paraId="5C1587A7">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3990F6A6">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589C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08E87C7">
            <w:pPr>
              <w:ind w:left="223" w:hanging="222" w:hangingChars="106"/>
              <w:jc w:val="center"/>
              <w:rPr>
                <w:color w:val="auto"/>
                <w:highlight w:val="none"/>
              </w:rPr>
            </w:pPr>
          </w:p>
        </w:tc>
        <w:tc>
          <w:tcPr>
            <w:tcW w:w="670" w:type="dxa"/>
            <w:vMerge w:val="continue"/>
            <w:vAlign w:val="center"/>
          </w:tcPr>
          <w:p w14:paraId="0B642AF8">
            <w:pPr>
              <w:ind w:left="223" w:hanging="222" w:hangingChars="106"/>
              <w:jc w:val="center"/>
              <w:rPr>
                <w:color w:val="auto"/>
                <w:highlight w:val="none"/>
              </w:rPr>
            </w:pPr>
          </w:p>
        </w:tc>
        <w:tc>
          <w:tcPr>
            <w:tcW w:w="829" w:type="dxa"/>
            <w:vMerge w:val="continue"/>
            <w:vAlign w:val="center"/>
          </w:tcPr>
          <w:p w14:paraId="132A28A5">
            <w:pPr>
              <w:ind w:left="223" w:hanging="222" w:hangingChars="106"/>
              <w:jc w:val="center"/>
              <w:rPr>
                <w:color w:val="auto"/>
                <w:highlight w:val="none"/>
              </w:rPr>
            </w:pPr>
          </w:p>
        </w:tc>
        <w:tc>
          <w:tcPr>
            <w:tcW w:w="816" w:type="dxa"/>
            <w:vMerge w:val="continue"/>
            <w:vAlign w:val="center"/>
          </w:tcPr>
          <w:p w14:paraId="1B501425">
            <w:pPr>
              <w:ind w:left="223" w:hanging="222" w:hangingChars="106"/>
              <w:jc w:val="center"/>
              <w:rPr>
                <w:color w:val="auto"/>
                <w:highlight w:val="none"/>
              </w:rPr>
            </w:pPr>
          </w:p>
        </w:tc>
        <w:tc>
          <w:tcPr>
            <w:tcW w:w="1148" w:type="dxa"/>
            <w:vAlign w:val="center"/>
          </w:tcPr>
          <w:p w14:paraId="3489DBA1">
            <w:pPr>
              <w:ind w:left="223" w:hanging="222" w:hangingChars="106"/>
              <w:jc w:val="center"/>
              <w:rPr>
                <w:color w:val="auto"/>
                <w:highlight w:val="none"/>
              </w:rPr>
            </w:pPr>
            <w:r>
              <w:rPr>
                <w:color w:val="auto"/>
                <w:highlight w:val="none"/>
              </w:rPr>
              <w:t>证书名称</w:t>
            </w:r>
          </w:p>
        </w:tc>
        <w:tc>
          <w:tcPr>
            <w:tcW w:w="1148" w:type="dxa"/>
            <w:vAlign w:val="center"/>
          </w:tcPr>
          <w:p w14:paraId="476B986F">
            <w:pPr>
              <w:ind w:left="223" w:hanging="222" w:hangingChars="106"/>
              <w:jc w:val="center"/>
              <w:rPr>
                <w:color w:val="auto"/>
                <w:highlight w:val="none"/>
              </w:rPr>
            </w:pPr>
            <w:r>
              <w:rPr>
                <w:color w:val="auto"/>
                <w:highlight w:val="none"/>
              </w:rPr>
              <w:t>级别</w:t>
            </w:r>
          </w:p>
        </w:tc>
        <w:tc>
          <w:tcPr>
            <w:tcW w:w="1148" w:type="dxa"/>
            <w:vAlign w:val="center"/>
          </w:tcPr>
          <w:p w14:paraId="0E142007">
            <w:pPr>
              <w:ind w:left="223" w:hanging="222" w:hangingChars="106"/>
              <w:jc w:val="center"/>
              <w:rPr>
                <w:color w:val="auto"/>
                <w:highlight w:val="none"/>
              </w:rPr>
            </w:pPr>
            <w:r>
              <w:rPr>
                <w:color w:val="auto"/>
                <w:highlight w:val="none"/>
              </w:rPr>
              <w:t>证号</w:t>
            </w:r>
          </w:p>
        </w:tc>
        <w:tc>
          <w:tcPr>
            <w:tcW w:w="744" w:type="dxa"/>
            <w:vAlign w:val="center"/>
          </w:tcPr>
          <w:p w14:paraId="684941C3">
            <w:pPr>
              <w:ind w:left="223" w:hanging="222" w:hangingChars="106"/>
              <w:jc w:val="center"/>
              <w:rPr>
                <w:color w:val="auto"/>
                <w:highlight w:val="none"/>
              </w:rPr>
            </w:pPr>
            <w:r>
              <w:rPr>
                <w:color w:val="auto"/>
                <w:highlight w:val="none"/>
              </w:rPr>
              <w:t>专业</w:t>
            </w:r>
          </w:p>
        </w:tc>
        <w:tc>
          <w:tcPr>
            <w:tcW w:w="1167" w:type="dxa"/>
            <w:vAlign w:val="center"/>
          </w:tcPr>
          <w:p w14:paraId="6CF290A8">
            <w:pPr>
              <w:jc w:val="center"/>
              <w:rPr>
                <w:color w:val="auto"/>
                <w:highlight w:val="none"/>
              </w:rPr>
            </w:pPr>
            <w:r>
              <w:rPr>
                <w:rFonts w:hint="eastAsia"/>
                <w:color w:val="auto"/>
                <w:highlight w:val="none"/>
              </w:rPr>
              <w:t>完工/在建</w:t>
            </w:r>
          </w:p>
        </w:tc>
        <w:tc>
          <w:tcPr>
            <w:tcW w:w="1276" w:type="dxa"/>
            <w:vAlign w:val="center"/>
          </w:tcPr>
          <w:p w14:paraId="17FD8005">
            <w:pPr>
              <w:jc w:val="center"/>
              <w:rPr>
                <w:color w:val="auto"/>
                <w:highlight w:val="none"/>
              </w:rPr>
            </w:pPr>
            <w:r>
              <w:rPr>
                <w:color w:val="auto"/>
                <w:highlight w:val="none"/>
              </w:rPr>
              <w:t>主要项目</w:t>
            </w:r>
          </w:p>
          <w:p w14:paraId="707616F7">
            <w:pPr>
              <w:jc w:val="center"/>
              <w:rPr>
                <w:color w:val="auto"/>
                <w:highlight w:val="none"/>
              </w:rPr>
            </w:pPr>
            <w:r>
              <w:rPr>
                <w:color w:val="auto"/>
                <w:highlight w:val="none"/>
              </w:rPr>
              <w:t>名称</w:t>
            </w:r>
          </w:p>
        </w:tc>
      </w:tr>
      <w:tr w14:paraId="17FB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88D52C3">
            <w:pPr>
              <w:pStyle w:val="17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07C91379">
            <w:pPr>
              <w:ind w:left="223" w:hanging="222" w:hangingChars="106"/>
              <w:jc w:val="center"/>
              <w:rPr>
                <w:color w:val="auto"/>
                <w:szCs w:val="21"/>
                <w:highlight w:val="none"/>
              </w:rPr>
            </w:pPr>
          </w:p>
        </w:tc>
        <w:tc>
          <w:tcPr>
            <w:tcW w:w="829" w:type="dxa"/>
            <w:vAlign w:val="center"/>
          </w:tcPr>
          <w:p w14:paraId="5861761A">
            <w:pPr>
              <w:ind w:left="223" w:hanging="222" w:hangingChars="106"/>
              <w:jc w:val="center"/>
              <w:rPr>
                <w:color w:val="auto"/>
                <w:szCs w:val="21"/>
                <w:highlight w:val="none"/>
              </w:rPr>
            </w:pPr>
          </w:p>
        </w:tc>
        <w:tc>
          <w:tcPr>
            <w:tcW w:w="816" w:type="dxa"/>
            <w:vAlign w:val="center"/>
          </w:tcPr>
          <w:p w14:paraId="38E28838">
            <w:pPr>
              <w:ind w:left="223" w:hanging="222" w:hangingChars="106"/>
              <w:jc w:val="center"/>
              <w:rPr>
                <w:color w:val="auto"/>
                <w:szCs w:val="21"/>
                <w:highlight w:val="none"/>
              </w:rPr>
            </w:pPr>
          </w:p>
        </w:tc>
        <w:tc>
          <w:tcPr>
            <w:tcW w:w="1148" w:type="dxa"/>
            <w:vAlign w:val="center"/>
          </w:tcPr>
          <w:p w14:paraId="5D6E5984">
            <w:pPr>
              <w:ind w:left="223" w:hanging="222" w:hangingChars="106"/>
              <w:jc w:val="center"/>
              <w:rPr>
                <w:color w:val="auto"/>
                <w:szCs w:val="21"/>
                <w:highlight w:val="none"/>
              </w:rPr>
            </w:pPr>
          </w:p>
        </w:tc>
        <w:tc>
          <w:tcPr>
            <w:tcW w:w="1148" w:type="dxa"/>
            <w:vAlign w:val="center"/>
          </w:tcPr>
          <w:p w14:paraId="5551AA8A">
            <w:pPr>
              <w:ind w:left="223" w:hanging="222" w:hangingChars="106"/>
              <w:jc w:val="center"/>
              <w:rPr>
                <w:color w:val="auto"/>
                <w:szCs w:val="21"/>
                <w:highlight w:val="none"/>
              </w:rPr>
            </w:pPr>
          </w:p>
        </w:tc>
        <w:tc>
          <w:tcPr>
            <w:tcW w:w="1148" w:type="dxa"/>
            <w:vAlign w:val="center"/>
          </w:tcPr>
          <w:p w14:paraId="5F2C035C">
            <w:pPr>
              <w:ind w:left="223" w:hanging="222" w:hangingChars="106"/>
              <w:jc w:val="center"/>
              <w:rPr>
                <w:color w:val="auto"/>
                <w:szCs w:val="21"/>
                <w:highlight w:val="none"/>
              </w:rPr>
            </w:pPr>
          </w:p>
        </w:tc>
        <w:tc>
          <w:tcPr>
            <w:tcW w:w="744" w:type="dxa"/>
            <w:vAlign w:val="center"/>
          </w:tcPr>
          <w:p w14:paraId="24D8D1C4">
            <w:pPr>
              <w:ind w:left="223" w:hanging="222" w:hangingChars="106"/>
              <w:jc w:val="center"/>
              <w:rPr>
                <w:color w:val="auto"/>
                <w:szCs w:val="21"/>
                <w:highlight w:val="none"/>
              </w:rPr>
            </w:pPr>
          </w:p>
        </w:tc>
        <w:tc>
          <w:tcPr>
            <w:tcW w:w="1167" w:type="dxa"/>
            <w:vAlign w:val="center"/>
          </w:tcPr>
          <w:p w14:paraId="71451426">
            <w:pPr>
              <w:ind w:left="223" w:hanging="222" w:hangingChars="106"/>
              <w:jc w:val="center"/>
              <w:rPr>
                <w:color w:val="auto"/>
                <w:szCs w:val="21"/>
                <w:highlight w:val="none"/>
              </w:rPr>
            </w:pPr>
          </w:p>
        </w:tc>
        <w:tc>
          <w:tcPr>
            <w:tcW w:w="1276" w:type="dxa"/>
            <w:vAlign w:val="center"/>
          </w:tcPr>
          <w:p w14:paraId="6CA0B601">
            <w:pPr>
              <w:ind w:left="223" w:hanging="222" w:hangingChars="106"/>
              <w:jc w:val="center"/>
              <w:rPr>
                <w:color w:val="auto"/>
                <w:szCs w:val="21"/>
                <w:highlight w:val="none"/>
              </w:rPr>
            </w:pPr>
          </w:p>
        </w:tc>
      </w:tr>
      <w:tr w14:paraId="3638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9DF4D50">
            <w:pPr>
              <w:pStyle w:val="17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0BD5B284">
            <w:pPr>
              <w:ind w:left="223" w:hanging="222" w:hangingChars="106"/>
              <w:jc w:val="center"/>
              <w:rPr>
                <w:color w:val="auto"/>
                <w:szCs w:val="21"/>
                <w:highlight w:val="none"/>
              </w:rPr>
            </w:pPr>
          </w:p>
        </w:tc>
        <w:tc>
          <w:tcPr>
            <w:tcW w:w="829" w:type="dxa"/>
            <w:vAlign w:val="center"/>
          </w:tcPr>
          <w:p w14:paraId="065FDEC6">
            <w:pPr>
              <w:ind w:left="223" w:hanging="222" w:hangingChars="106"/>
              <w:jc w:val="center"/>
              <w:rPr>
                <w:color w:val="auto"/>
                <w:szCs w:val="21"/>
                <w:highlight w:val="none"/>
              </w:rPr>
            </w:pPr>
          </w:p>
        </w:tc>
        <w:tc>
          <w:tcPr>
            <w:tcW w:w="816" w:type="dxa"/>
            <w:vAlign w:val="center"/>
          </w:tcPr>
          <w:p w14:paraId="38FB282D">
            <w:pPr>
              <w:ind w:left="223" w:hanging="222" w:hangingChars="106"/>
              <w:jc w:val="center"/>
              <w:rPr>
                <w:color w:val="auto"/>
                <w:szCs w:val="21"/>
                <w:highlight w:val="none"/>
              </w:rPr>
            </w:pPr>
          </w:p>
        </w:tc>
        <w:tc>
          <w:tcPr>
            <w:tcW w:w="1148" w:type="dxa"/>
            <w:vAlign w:val="center"/>
          </w:tcPr>
          <w:p w14:paraId="4AEA73FB">
            <w:pPr>
              <w:ind w:left="223" w:hanging="222" w:hangingChars="106"/>
              <w:jc w:val="center"/>
              <w:rPr>
                <w:color w:val="auto"/>
                <w:szCs w:val="21"/>
                <w:highlight w:val="none"/>
              </w:rPr>
            </w:pPr>
          </w:p>
        </w:tc>
        <w:tc>
          <w:tcPr>
            <w:tcW w:w="1148" w:type="dxa"/>
            <w:vAlign w:val="center"/>
          </w:tcPr>
          <w:p w14:paraId="43CF7B76">
            <w:pPr>
              <w:ind w:left="223" w:hanging="222" w:hangingChars="106"/>
              <w:jc w:val="center"/>
              <w:rPr>
                <w:color w:val="auto"/>
                <w:szCs w:val="21"/>
                <w:highlight w:val="none"/>
              </w:rPr>
            </w:pPr>
          </w:p>
        </w:tc>
        <w:tc>
          <w:tcPr>
            <w:tcW w:w="1148" w:type="dxa"/>
            <w:vAlign w:val="center"/>
          </w:tcPr>
          <w:p w14:paraId="52CB87F6">
            <w:pPr>
              <w:ind w:left="223" w:hanging="222" w:hangingChars="106"/>
              <w:jc w:val="center"/>
              <w:rPr>
                <w:color w:val="auto"/>
                <w:szCs w:val="21"/>
                <w:highlight w:val="none"/>
              </w:rPr>
            </w:pPr>
          </w:p>
        </w:tc>
        <w:tc>
          <w:tcPr>
            <w:tcW w:w="744" w:type="dxa"/>
            <w:vAlign w:val="center"/>
          </w:tcPr>
          <w:p w14:paraId="070D92CE">
            <w:pPr>
              <w:ind w:left="223" w:hanging="222" w:hangingChars="106"/>
              <w:jc w:val="center"/>
              <w:rPr>
                <w:color w:val="auto"/>
                <w:szCs w:val="21"/>
                <w:highlight w:val="none"/>
              </w:rPr>
            </w:pPr>
          </w:p>
        </w:tc>
        <w:tc>
          <w:tcPr>
            <w:tcW w:w="1167" w:type="dxa"/>
            <w:vAlign w:val="center"/>
          </w:tcPr>
          <w:p w14:paraId="59E2F2D0">
            <w:pPr>
              <w:ind w:left="223" w:hanging="222" w:hangingChars="106"/>
              <w:jc w:val="center"/>
              <w:rPr>
                <w:color w:val="auto"/>
                <w:szCs w:val="21"/>
                <w:highlight w:val="none"/>
              </w:rPr>
            </w:pPr>
          </w:p>
        </w:tc>
        <w:tc>
          <w:tcPr>
            <w:tcW w:w="1276" w:type="dxa"/>
            <w:vAlign w:val="center"/>
          </w:tcPr>
          <w:p w14:paraId="22C3F15F">
            <w:pPr>
              <w:ind w:left="223" w:hanging="222" w:hangingChars="106"/>
              <w:jc w:val="center"/>
              <w:rPr>
                <w:color w:val="auto"/>
                <w:szCs w:val="21"/>
                <w:highlight w:val="none"/>
              </w:rPr>
            </w:pPr>
          </w:p>
        </w:tc>
      </w:tr>
      <w:tr w14:paraId="6BFA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38A3E31">
            <w:pPr>
              <w:pStyle w:val="17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3801FA64">
            <w:pPr>
              <w:ind w:left="223" w:hanging="222" w:hangingChars="106"/>
              <w:jc w:val="center"/>
              <w:rPr>
                <w:color w:val="auto"/>
                <w:szCs w:val="21"/>
                <w:highlight w:val="none"/>
              </w:rPr>
            </w:pPr>
          </w:p>
        </w:tc>
        <w:tc>
          <w:tcPr>
            <w:tcW w:w="829" w:type="dxa"/>
            <w:vAlign w:val="center"/>
          </w:tcPr>
          <w:p w14:paraId="48CC97EF">
            <w:pPr>
              <w:ind w:left="223" w:hanging="222" w:hangingChars="106"/>
              <w:jc w:val="center"/>
              <w:rPr>
                <w:color w:val="auto"/>
                <w:szCs w:val="21"/>
                <w:highlight w:val="none"/>
              </w:rPr>
            </w:pPr>
          </w:p>
        </w:tc>
        <w:tc>
          <w:tcPr>
            <w:tcW w:w="816" w:type="dxa"/>
            <w:vAlign w:val="center"/>
          </w:tcPr>
          <w:p w14:paraId="4B9F5FA6">
            <w:pPr>
              <w:ind w:left="223" w:hanging="222" w:hangingChars="106"/>
              <w:jc w:val="center"/>
              <w:rPr>
                <w:color w:val="auto"/>
                <w:szCs w:val="21"/>
                <w:highlight w:val="none"/>
              </w:rPr>
            </w:pPr>
          </w:p>
        </w:tc>
        <w:tc>
          <w:tcPr>
            <w:tcW w:w="1148" w:type="dxa"/>
            <w:vAlign w:val="center"/>
          </w:tcPr>
          <w:p w14:paraId="7689E9F9">
            <w:pPr>
              <w:ind w:left="223" w:hanging="222" w:hangingChars="106"/>
              <w:jc w:val="center"/>
              <w:rPr>
                <w:color w:val="auto"/>
                <w:szCs w:val="21"/>
                <w:highlight w:val="none"/>
              </w:rPr>
            </w:pPr>
          </w:p>
        </w:tc>
        <w:tc>
          <w:tcPr>
            <w:tcW w:w="1148" w:type="dxa"/>
            <w:vAlign w:val="center"/>
          </w:tcPr>
          <w:p w14:paraId="5605FF0D">
            <w:pPr>
              <w:ind w:left="223" w:hanging="222" w:hangingChars="106"/>
              <w:jc w:val="center"/>
              <w:rPr>
                <w:color w:val="auto"/>
                <w:szCs w:val="21"/>
                <w:highlight w:val="none"/>
              </w:rPr>
            </w:pPr>
          </w:p>
        </w:tc>
        <w:tc>
          <w:tcPr>
            <w:tcW w:w="1148" w:type="dxa"/>
            <w:vAlign w:val="center"/>
          </w:tcPr>
          <w:p w14:paraId="05AC07E3">
            <w:pPr>
              <w:ind w:left="223" w:hanging="222" w:hangingChars="106"/>
              <w:jc w:val="center"/>
              <w:rPr>
                <w:color w:val="auto"/>
                <w:szCs w:val="21"/>
                <w:highlight w:val="none"/>
              </w:rPr>
            </w:pPr>
          </w:p>
        </w:tc>
        <w:tc>
          <w:tcPr>
            <w:tcW w:w="744" w:type="dxa"/>
            <w:vAlign w:val="center"/>
          </w:tcPr>
          <w:p w14:paraId="4528798E">
            <w:pPr>
              <w:ind w:left="223" w:hanging="222" w:hangingChars="106"/>
              <w:jc w:val="center"/>
              <w:rPr>
                <w:color w:val="auto"/>
                <w:szCs w:val="21"/>
                <w:highlight w:val="none"/>
              </w:rPr>
            </w:pPr>
          </w:p>
        </w:tc>
        <w:tc>
          <w:tcPr>
            <w:tcW w:w="1167" w:type="dxa"/>
            <w:vAlign w:val="center"/>
          </w:tcPr>
          <w:p w14:paraId="6741664E">
            <w:pPr>
              <w:ind w:left="223" w:hanging="222" w:hangingChars="106"/>
              <w:jc w:val="center"/>
              <w:rPr>
                <w:color w:val="auto"/>
                <w:szCs w:val="21"/>
                <w:highlight w:val="none"/>
              </w:rPr>
            </w:pPr>
          </w:p>
        </w:tc>
        <w:tc>
          <w:tcPr>
            <w:tcW w:w="1276" w:type="dxa"/>
            <w:vAlign w:val="center"/>
          </w:tcPr>
          <w:p w14:paraId="139E8303">
            <w:pPr>
              <w:ind w:left="223" w:hanging="222" w:hangingChars="106"/>
              <w:jc w:val="center"/>
              <w:rPr>
                <w:color w:val="auto"/>
                <w:szCs w:val="21"/>
                <w:highlight w:val="none"/>
              </w:rPr>
            </w:pPr>
          </w:p>
        </w:tc>
      </w:tr>
      <w:tr w14:paraId="5500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604FB89">
            <w:pPr>
              <w:pStyle w:val="17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77568344">
            <w:pPr>
              <w:ind w:left="223" w:hanging="222" w:hangingChars="106"/>
              <w:jc w:val="center"/>
              <w:rPr>
                <w:color w:val="auto"/>
                <w:szCs w:val="21"/>
                <w:highlight w:val="none"/>
              </w:rPr>
            </w:pPr>
          </w:p>
        </w:tc>
        <w:tc>
          <w:tcPr>
            <w:tcW w:w="829" w:type="dxa"/>
            <w:vAlign w:val="center"/>
          </w:tcPr>
          <w:p w14:paraId="137E0071">
            <w:pPr>
              <w:ind w:left="223" w:hanging="222" w:hangingChars="106"/>
              <w:jc w:val="center"/>
              <w:rPr>
                <w:color w:val="auto"/>
                <w:szCs w:val="21"/>
                <w:highlight w:val="none"/>
              </w:rPr>
            </w:pPr>
          </w:p>
        </w:tc>
        <w:tc>
          <w:tcPr>
            <w:tcW w:w="816" w:type="dxa"/>
            <w:vAlign w:val="center"/>
          </w:tcPr>
          <w:p w14:paraId="55DC7FA3">
            <w:pPr>
              <w:ind w:left="223" w:hanging="222" w:hangingChars="106"/>
              <w:jc w:val="center"/>
              <w:rPr>
                <w:color w:val="auto"/>
                <w:szCs w:val="21"/>
                <w:highlight w:val="none"/>
              </w:rPr>
            </w:pPr>
          </w:p>
        </w:tc>
        <w:tc>
          <w:tcPr>
            <w:tcW w:w="1148" w:type="dxa"/>
            <w:vAlign w:val="center"/>
          </w:tcPr>
          <w:p w14:paraId="2585B362">
            <w:pPr>
              <w:ind w:left="223" w:hanging="222" w:hangingChars="106"/>
              <w:jc w:val="center"/>
              <w:rPr>
                <w:color w:val="auto"/>
                <w:szCs w:val="21"/>
                <w:highlight w:val="none"/>
              </w:rPr>
            </w:pPr>
          </w:p>
        </w:tc>
        <w:tc>
          <w:tcPr>
            <w:tcW w:w="1148" w:type="dxa"/>
            <w:vAlign w:val="center"/>
          </w:tcPr>
          <w:p w14:paraId="3CD1D986">
            <w:pPr>
              <w:ind w:left="223" w:hanging="222" w:hangingChars="106"/>
              <w:jc w:val="center"/>
              <w:rPr>
                <w:color w:val="auto"/>
                <w:szCs w:val="21"/>
                <w:highlight w:val="none"/>
              </w:rPr>
            </w:pPr>
          </w:p>
        </w:tc>
        <w:tc>
          <w:tcPr>
            <w:tcW w:w="1148" w:type="dxa"/>
            <w:vAlign w:val="center"/>
          </w:tcPr>
          <w:p w14:paraId="794B3D84">
            <w:pPr>
              <w:ind w:left="223" w:hanging="222" w:hangingChars="106"/>
              <w:jc w:val="center"/>
              <w:rPr>
                <w:color w:val="auto"/>
                <w:szCs w:val="21"/>
                <w:highlight w:val="none"/>
              </w:rPr>
            </w:pPr>
          </w:p>
        </w:tc>
        <w:tc>
          <w:tcPr>
            <w:tcW w:w="744" w:type="dxa"/>
            <w:vAlign w:val="center"/>
          </w:tcPr>
          <w:p w14:paraId="3CE5D22B">
            <w:pPr>
              <w:ind w:left="223" w:hanging="222" w:hangingChars="106"/>
              <w:jc w:val="center"/>
              <w:rPr>
                <w:color w:val="auto"/>
                <w:szCs w:val="21"/>
                <w:highlight w:val="none"/>
              </w:rPr>
            </w:pPr>
          </w:p>
        </w:tc>
        <w:tc>
          <w:tcPr>
            <w:tcW w:w="1167" w:type="dxa"/>
            <w:vAlign w:val="center"/>
          </w:tcPr>
          <w:p w14:paraId="232A64CC">
            <w:pPr>
              <w:ind w:left="223" w:hanging="222" w:hangingChars="106"/>
              <w:jc w:val="center"/>
              <w:rPr>
                <w:color w:val="auto"/>
                <w:szCs w:val="21"/>
                <w:highlight w:val="none"/>
              </w:rPr>
            </w:pPr>
          </w:p>
        </w:tc>
        <w:tc>
          <w:tcPr>
            <w:tcW w:w="1276" w:type="dxa"/>
            <w:vAlign w:val="center"/>
          </w:tcPr>
          <w:p w14:paraId="110461B1">
            <w:pPr>
              <w:ind w:left="223" w:hanging="222" w:hangingChars="106"/>
              <w:jc w:val="center"/>
              <w:rPr>
                <w:color w:val="auto"/>
                <w:szCs w:val="21"/>
                <w:highlight w:val="none"/>
              </w:rPr>
            </w:pPr>
          </w:p>
        </w:tc>
      </w:tr>
      <w:tr w14:paraId="7802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243D9F2">
            <w:pPr>
              <w:jc w:val="left"/>
              <w:rPr>
                <w:color w:val="auto"/>
                <w:szCs w:val="21"/>
                <w:highlight w:val="none"/>
              </w:rPr>
            </w:pPr>
            <w:r>
              <w:rPr>
                <w:rFonts w:hint="eastAsia"/>
                <w:color w:val="auto"/>
                <w:szCs w:val="21"/>
                <w:highlight w:val="none"/>
              </w:rPr>
              <w:t>5.</w:t>
            </w:r>
            <w:r>
              <w:rPr>
                <w:color w:val="auto"/>
                <w:szCs w:val="21"/>
                <w:highlight w:val="none"/>
              </w:rPr>
              <w:t>质量员</w:t>
            </w:r>
          </w:p>
        </w:tc>
        <w:tc>
          <w:tcPr>
            <w:tcW w:w="670" w:type="dxa"/>
            <w:vAlign w:val="center"/>
          </w:tcPr>
          <w:p w14:paraId="40DA7ADE">
            <w:pPr>
              <w:ind w:left="223" w:hanging="222" w:hangingChars="106"/>
              <w:jc w:val="center"/>
              <w:rPr>
                <w:color w:val="auto"/>
                <w:szCs w:val="21"/>
                <w:highlight w:val="none"/>
              </w:rPr>
            </w:pPr>
          </w:p>
        </w:tc>
        <w:tc>
          <w:tcPr>
            <w:tcW w:w="829" w:type="dxa"/>
            <w:vAlign w:val="center"/>
          </w:tcPr>
          <w:p w14:paraId="783B9BDE">
            <w:pPr>
              <w:ind w:left="223" w:hanging="222" w:hangingChars="106"/>
              <w:jc w:val="center"/>
              <w:rPr>
                <w:color w:val="auto"/>
                <w:szCs w:val="21"/>
                <w:highlight w:val="none"/>
              </w:rPr>
            </w:pPr>
          </w:p>
        </w:tc>
        <w:tc>
          <w:tcPr>
            <w:tcW w:w="816" w:type="dxa"/>
            <w:vAlign w:val="center"/>
          </w:tcPr>
          <w:p w14:paraId="5D9D9F5A">
            <w:pPr>
              <w:ind w:left="223" w:hanging="222" w:hangingChars="106"/>
              <w:jc w:val="center"/>
              <w:rPr>
                <w:color w:val="auto"/>
                <w:szCs w:val="21"/>
                <w:highlight w:val="none"/>
              </w:rPr>
            </w:pPr>
          </w:p>
        </w:tc>
        <w:tc>
          <w:tcPr>
            <w:tcW w:w="1148" w:type="dxa"/>
            <w:vAlign w:val="center"/>
          </w:tcPr>
          <w:p w14:paraId="5650B006">
            <w:pPr>
              <w:ind w:left="223" w:hanging="222" w:hangingChars="106"/>
              <w:jc w:val="center"/>
              <w:rPr>
                <w:color w:val="auto"/>
                <w:szCs w:val="21"/>
                <w:highlight w:val="none"/>
              </w:rPr>
            </w:pPr>
          </w:p>
        </w:tc>
        <w:tc>
          <w:tcPr>
            <w:tcW w:w="1148" w:type="dxa"/>
            <w:vAlign w:val="center"/>
          </w:tcPr>
          <w:p w14:paraId="2665F346">
            <w:pPr>
              <w:ind w:left="223" w:hanging="222" w:hangingChars="106"/>
              <w:jc w:val="center"/>
              <w:rPr>
                <w:color w:val="auto"/>
                <w:szCs w:val="21"/>
                <w:highlight w:val="none"/>
              </w:rPr>
            </w:pPr>
          </w:p>
        </w:tc>
        <w:tc>
          <w:tcPr>
            <w:tcW w:w="1148" w:type="dxa"/>
            <w:vAlign w:val="center"/>
          </w:tcPr>
          <w:p w14:paraId="6DB19A6C">
            <w:pPr>
              <w:ind w:left="223" w:hanging="222" w:hangingChars="106"/>
              <w:jc w:val="center"/>
              <w:rPr>
                <w:color w:val="auto"/>
                <w:szCs w:val="21"/>
                <w:highlight w:val="none"/>
              </w:rPr>
            </w:pPr>
          </w:p>
        </w:tc>
        <w:tc>
          <w:tcPr>
            <w:tcW w:w="744" w:type="dxa"/>
            <w:vAlign w:val="center"/>
          </w:tcPr>
          <w:p w14:paraId="490AB20C">
            <w:pPr>
              <w:ind w:left="223" w:hanging="222" w:hangingChars="106"/>
              <w:jc w:val="center"/>
              <w:rPr>
                <w:color w:val="auto"/>
                <w:szCs w:val="21"/>
                <w:highlight w:val="none"/>
              </w:rPr>
            </w:pPr>
          </w:p>
        </w:tc>
        <w:tc>
          <w:tcPr>
            <w:tcW w:w="1167" w:type="dxa"/>
            <w:vAlign w:val="center"/>
          </w:tcPr>
          <w:p w14:paraId="6F74569B">
            <w:pPr>
              <w:ind w:left="223" w:hanging="222" w:hangingChars="106"/>
              <w:jc w:val="center"/>
              <w:rPr>
                <w:color w:val="auto"/>
                <w:szCs w:val="21"/>
                <w:highlight w:val="none"/>
              </w:rPr>
            </w:pPr>
          </w:p>
        </w:tc>
        <w:tc>
          <w:tcPr>
            <w:tcW w:w="1276" w:type="dxa"/>
            <w:vAlign w:val="center"/>
          </w:tcPr>
          <w:p w14:paraId="1DBDF4A8">
            <w:pPr>
              <w:ind w:left="223" w:hanging="222" w:hangingChars="106"/>
              <w:jc w:val="center"/>
              <w:rPr>
                <w:color w:val="auto"/>
                <w:szCs w:val="21"/>
                <w:highlight w:val="none"/>
              </w:rPr>
            </w:pPr>
          </w:p>
        </w:tc>
      </w:tr>
      <w:tr w14:paraId="4A6B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8327DE6">
            <w:pPr>
              <w:jc w:val="left"/>
              <w:rPr>
                <w:color w:val="auto"/>
                <w:szCs w:val="21"/>
                <w:highlight w:val="none"/>
              </w:rPr>
            </w:pPr>
            <w:r>
              <w:rPr>
                <w:rFonts w:hint="eastAsia"/>
                <w:color w:val="auto"/>
                <w:szCs w:val="21"/>
                <w:highlight w:val="none"/>
              </w:rPr>
              <w:t>6.材料员</w:t>
            </w:r>
          </w:p>
        </w:tc>
        <w:tc>
          <w:tcPr>
            <w:tcW w:w="670" w:type="dxa"/>
            <w:vAlign w:val="center"/>
          </w:tcPr>
          <w:p w14:paraId="0D401A12">
            <w:pPr>
              <w:ind w:left="223" w:hanging="222" w:hangingChars="106"/>
              <w:jc w:val="center"/>
              <w:rPr>
                <w:color w:val="auto"/>
                <w:szCs w:val="21"/>
                <w:highlight w:val="none"/>
              </w:rPr>
            </w:pPr>
          </w:p>
        </w:tc>
        <w:tc>
          <w:tcPr>
            <w:tcW w:w="829" w:type="dxa"/>
            <w:vAlign w:val="center"/>
          </w:tcPr>
          <w:p w14:paraId="57876274">
            <w:pPr>
              <w:ind w:left="223" w:hanging="222" w:hangingChars="106"/>
              <w:jc w:val="center"/>
              <w:rPr>
                <w:color w:val="auto"/>
                <w:szCs w:val="21"/>
                <w:highlight w:val="none"/>
              </w:rPr>
            </w:pPr>
          </w:p>
        </w:tc>
        <w:tc>
          <w:tcPr>
            <w:tcW w:w="816" w:type="dxa"/>
            <w:vAlign w:val="center"/>
          </w:tcPr>
          <w:p w14:paraId="4B999A21">
            <w:pPr>
              <w:ind w:left="223" w:hanging="222" w:hangingChars="106"/>
              <w:jc w:val="center"/>
              <w:rPr>
                <w:color w:val="auto"/>
                <w:szCs w:val="21"/>
                <w:highlight w:val="none"/>
              </w:rPr>
            </w:pPr>
          </w:p>
        </w:tc>
        <w:tc>
          <w:tcPr>
            <w:tcW w:w="1148" w:type="dxa"/>
            <w:vAlign w:val="center"/>
          </w:tcPr>
          <w:p w14:paraId="589472AA">
            <w:pPr>
              <w:ind w:left="223" w:hanging="222" w:hangingChars="106"/>
              <w:jc w:val="center"/>
              <w:rPr>
                <w:color w:val="auto"/>
                <w:szCs w:val="21"/>
                <w:highlight w:val="none"/>
              </w:rPr>
            </w:pPr>
          </w:p>
        </w:tc>
        <w:tc>
          <w:tcPr>
            <w:tcW w:w="1148" w:type="dxa"/>
            <w:vAlign w:val="center"/>
          </w:tcPr>
          <w:p w14:paraId="488D742D">
            <w:pPr>
              <w:ind w:left="223" w:hanging="222" w:hangingChars="106"/>
              <w:jc w:val="center"/>
              <w:rPr>
                <w:color w:val="auto"/>
                <w:szCs w:val="21"/>
                <w:highlight w:val="none"/>
              </w:rPr>
            </w:pPr>
          </w:p>
        </w:tc>
        <w:tc>
          <w:tcPr>
            <w:tcW w:w="1148" w:type="dxa"/>
            <w:vAlign w:val="center"/>
          </w:tcPr>
          <w:p w14:paraId="6D5848C2">
            <w:pPr>
              <w:ind w:left="223" w:hanging="222" w:hangingChars="106"/>
              <w:jc w:val="center"/>
              <w:rPr>
                <w:color w:val="auto"/>
                <w:szCs w:val="21"/>
                <w:highlight w:val="none"/>
              </w:rPr>
            </w:pPr>
          </w:p>
        </w:tc>
        <w:tc>
          <w:tcPr>
            <w:tcW w:w="744" w:type="dxa"/>
            <w:vAlign w:val="center"/>
          </w:tcPr>
          <w:p w14:paraId="2E06BCB0">
            <w:pPr>
              <w:ind w:left="223" w:hanging="222" w:hangingChars="106"/>
              <w:jc w:val="center"/>
              <w:rPr>
                <w:color w:val="auto"/>
                <w:szCs w:val="21"/>
                <w:highlight w:val="none"/>
              </w:rPr>
            </w:pPr>
          </w:p>
        </w:tc>
        <w:tc>
          <w:tcPr>
            <w:tcW w:w="1167" w:type="dxa"/>
            <w:vAlign w:val="center"/>
          </w:tcPr>
          <w:p w14:paraId="1EB41262">
            <w:pPr>
              <w:ind w:left="223" w:hanging="222" w:hangingChars="106"/>
              <w:jc w:val="center"/>
              <w:rPr>
                <w:color w:val="auto"/>
                <w:szCs w:val="21"/>
                <w:highlight w:val="none"/>
              </w:rPr>
            </w:pPr>
          </w:p>
        </w:tc>
        <w:tc>
          <w:tcPr>
            <w:tcW w:w="1276" w:type="dxa"/>
            <w:vAlign w:val="center"/>
          </w:tcPr>
          <w:p w14:paraId="09CE09EA">
            <w:pPr>
              <w:ind w:left="223" w:hanging="222" w:hangingChars="106"/>
              <w:jc w:val="center"/>
              <w:rPr>
                <w:color w:val="auto"/>
                <w:szCs w:val="21"/>
                <w:highlight w:val="none"/>
              </w:rPr>
            </w:pPr>
          </w:p>
        </w:tc>
      </w:tr>
      <w:tr w14:paraId="5FCA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92C92E3">
            <w:pPr>
              <w:ind w:left="223" w:hanging="222" w:hangingChars="106"/>
              <w:jc w:val="center"/>
              <w:rPr>
                <w:color w:val="auto"/>
                <w:szCs w:val="21"/>
                <w:highlight w:val="none"/>
              </w:rPr>
            </w:pPr>
          </w:p>
        </w:tc>
        <w:tc>
          <w:tcPr>
            <w:tcW w:w="670" w:type="dxa"/>
            <w:vAlign w:val="center"/>
          </w:tcPr>
          <w:p w14:paraId="134605BB">
            <w:pPr>
              <w:ind w:left="223" w:hanging="222" w:hangingChars="106"/>
              <w:jc w:val="center"/>
              <w:rPr>
                <w:color w:val="auto"/>
                <w:szCs w:val="21"/>
                <w:highlight w:val="none"/>
              </w:rPr>
            </w:pPr>
          </w:p>
        </w:tc>
        <w:tc>
          <w:tcPr>
            <w:tcW w:w="829" w:type="dxa"/>
            <w:vAlign w:val="center"/>
          </w:tcPr>
          <w:p w14:paraId="2D6FE0B3">
            <w:pPr>
              <w:ind w:left="223" w:hanging="222" w:hangingChars="106"/>
              <w:jc w:val="center"/>
              <w:rPr>
                <w:color w:val="auto"/>
                <w:szCs w:val="21"/>
                <w:highlight w:val="none"/>
              </w:rPr>
            </w:pPr>
          </w:p>
        </w:tc>
        <w:tc>
          <w:tcPr>
            <w:tcW w:w="816" w:type="dxa"/>
            <w:vAlign w:val="center"/>
          </w:tcPr>
          <w:p w14:paraId="0C33939E">
            <w:pPr>
              <w:ind w:left="223" w:hanging="222" w:hangingChars="106"/>
              <w:jc w:val="center"/>
              <w:rPr>
                <w:color w:val="auto"/>
                <w:szCs w:val="21"/>
                <w:highlight w:val="none"/>
              </w:rPr>
            </w:pPr>
          </w:p>
        </w:tc>
        <w:tc>
          <w:tcPr>
            <w:tcW w:w="1148" w:type="dxa"/>
            <w:vAlign w:val="center"/>
          </w:tcPr>
          <w:p w14:paraId="62B9D67D">
            <w:pPr>
              <w:ind w:left="223" w:hanging="222" w:hangingChars="106"/>
              <w:jc w:val="center"/>
              <w:rPr>
                <w:color w:val="auto"/>
                <w:szCs w:val="21"/>
                <w:highlight w:val="none"/>
              </w:rPr>
            </w:pPr>
          </w:p>
        </w:tc>
        <w:tc>
          <w:tcPr>
            <w:tcW w:w="1148" w:type="dxa"/>
            <w:vAlign w:val="center"/>
          </w:tcPr>
          <w:p w14:paraId="187FAFBD">
            <w:pPr>
              <w:ind w:left="223" w:hanging="222" w:hangingChars="106"/>
              <w:jc w:val="center"/>
              <w:rPr>
                <w:color w:val="auto"/>
                <w:szCs w:val="21"/>
                <w:highlight w:val="none"/>
              </w:rPr>
            </w:pPr>
          </w:p>
        </w:tc>
        <w:tc>
          <w:tcPr>
            <w:tcW w:w="1148" w:type="dxa"/>
            <w:vAlign w:val="center"/>
          </w:tcPr>
          <w:p w14:paraId="3B059D8A">
            <w:pPr>
              <w:ind w:left="223" w:hanging="222" w:hangingChars="106"/>
              <w:jc w:val="center"/>
              <w:rPr>
                <w:color w:val="auto"/>
                <w:szCs w:val="21"/>
                <w:highlight w:val="none"/>
              </w:rPr>
            </w:pPr>
          </w:p>
        </w:tc>
        <w:tc>
          <w:tcPr>
            <w:tcW w:w="744" w:type="dxa"/>
            <w:vAlign w:val="center"/>
          </w:tcPr>
          <w:p w14:paraId="53E910E1">
            <w:pPr>
              <w:ind w:left="223" w:hanging="222" w:hangingChars="106"/>
              <w:jc w:val="center"/>
              <w:rPr>
                <w:color w:val="auto"/>
                <w:szCs w:val="21"/>
                <w:highlight w:val="none"/>
              </w:rPr>
            </w:pPr>
          </w:p>
        </w:tc>
        <w:tc>
          <w:tcPr>
            <w:tcW w:w="1167" w:type="dxa"/>
            <w:vAlign w:val="center"/>
          </w:tcPr>
          <w:p w14:paraId="75C76F19">
            <w:pPr>
              <w:ind w:left="223" w:hanging="222" w:hangingChars="106"/>
              <w:jc w:val="center"/>
              <w:rPr>
                <w:color w:val="auto"/>
                <w:szCs w:val="21"/>
                <w:highlight w:val="none"/>
              </w:rPr>
            </w:pPr>
          </w:p>
        </w:tc>
        <w:tc>
          <w:tcPr>
            <w:tcW w:w="1276" w:type="dxa"/>
            <w:vAlign w:val="center"/>
          </w:tcPr>
          <w:p w14:paraId="24058D3B">
            <w:pPr>
              <w:ind w:left="223" w:hanging="222" w:hangingChars="106"/>
              <w:jc w:val="center"/>
              <w:rPr>
                <w:color w:val="auto"/>
                <w:szCs w:val="21"/>
                <w:highlight w:val="none"/>
              </w:rPr>
            </w:pPr>
          </w:p>
        </w:tc>
      </w:tr>
      <w:tr w14:paraId="34CF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04C16A6E">
            <w:pPr>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0E1F046F">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14:paraId="50556199">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02B797BE">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供应商应当在本表后附所有管理人员的身份证、职称证、执业或职业资格证书并加盖供应商电子签章。</w:t>
      </w:r>
    </w:p>
    <w:p w14:paraId="336945C2">
      <w:pPr>
        <w:spacing w:line="360" w:lineRule="auto"/>
        <w:ind w:firstLine="480" w:firstLineChars="2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75176C70">
      <w:pPr>
        <w:spacing w:line="360" w:lineRule="auto"/>
        <w:ind w:firstLine="560" w:firstLineChars="200"/>
        <w:contextualSpacing/>
        <w:jc w:val="left"/>
        <w:rPr>
          <w:rFonts w:ascii="宋体" w:hAnsi="宋体"/>
          <w:color w:val="auto"/>
          <w:sz w:val="24"/>
          <w:szCs w:val="20"/>
          <w:highlight w:val="none"/>
        </w:rPr>
      </w:pPr>
      <w:r>
        <w:rPr>
          <w:rFonts w:hint="eastAsia" w:ascii="宋体" w:hAnsi="宋体"/>
          <w:color w:val="auto"/>
          <w:spacing w:val="20"/>
          <w:sz w:val="24"/>
          <w:highlight w:val="none"/>
        </w:rPr>
        <w:t>供应商（电子签章）：       日 期：</w:t>
      </w:r>
    </w:p>
    <w:p w14:paraId="1E329839">
      <w:pPr>
        <w:spacing w:line="36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（二）拟投入的主要人员简历表</w:t>
      </w:r>
    </w:p>
    <w:p w14:paraId="3B57EB77">
      <w:pPr>
        <w:spacing w:line="360" w:lineRule="auto"/>
        <w:ind w:firstLine="643" w:firstLineChars="200"/>
        <w:jc w:val="center"/>
        <w:rPr>
          <w:color w:val="auto"/>
          <w:highlight w:val="none"/>
          <w:u w:val="single"/>
        </w:rPr>
      </w:pPr>
      <w:r>
        <w:rPr>
          <w:rFonts w:hint="eastAsia" w:cs="宋体"/>
          <w:b/>
          <w:color w:val="auto"/>
          <w:sz w:val="32"/>
          <w:szCs w:val="32"/>
          <w:highlight w:val="none"/>
        </w:rPr>
        <w:t>项目经理简历表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14:paraId="5AE0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0EF5EF51">
            <w:pPr>
              <w:jc w:val="center"/>
              <w:rPr>
                <w:color w:val="auto"/>
                <w:highlight w:val="none"/>
              </w:rPr>
            </w:pPr>
            <w:r>
              <w:rPr>
                <w:rFonts w:hint="eastAsia" w:cs="宋体"/>
                <w:color w:val="auto"/>
                <w:highlight w:val="none"/>
              </w:rPr>
              <w:t>姓名</w:t>
            </w:r>
          </w:p>
        </w:tc>
        <w:tc>
          <w:tcPr>
            <w:tcW w:w="2318" w:type="dxa"/>
            <w:gridSpan w:val="5"/>
            <w:vAlign w:val="center"/>
          </w:tcPr>
          <w:p w14:paraId="0DD3DDDF">
            <w:pPr>
              <w:jc w:val="center"/>
              <w:rPr>
                <w:color w:val="auto"/>
                <w:highlight w:val="none"/>
              </w:rPr>
            </w:pPr>
          </w:p>
        </w:tc>
        <w:tc>
          <w:tcPr>
            <w:tcW w:w="1893" w:type="dxa"/>
            <w:gridSpan w:val="5"/>
            <w:vAlign w:val="center"/>
          </w:tcPr>
          <w:p w14:paraId="0909D737">
            <w:pPr>
              <w:jc w:val="center"/>
              <w:rPr>
                <w:color w:val="auto"/>
                <w:highlight w:val="none"/>
              </w:rPr>
            </w:pPr>
            <w:r>
              <w:rPr>
                <w:rFonts w:hint="eastAsia" w:cs="宋体"/>
                <w:color w:val="auto"/>
                <w:highlight w:val="none"/>
              </w:rPr>
              <w:t>性别</w:t>
            </w:r>
          </w:p>
        </w:tc>
        <w:tc>
          <w:tcPr>
            <w:tcW w:w="1585" w:type="dxa"/>
            <w:gridSpan w:val="3"/>
            <w:vAlign w:val="center"/>
          </w:tcPr>
          <w:p w14:paraId="079D5F58">
            <w:pPr>
              <w:jc w:val="center"/>
              <w:rPr>
                <w:color w:val="auto"/>
                <w:highlight w:val="none"/>
              </w:rPr>
            </w:pPr>
          </w:p>
        </w:tc>
        <w:tc>
          <w:tcPr>
            <w:tcW w:w="1108" w:type="dxa"/>
            <w:vAlign w:val="center"/>
          </w:tcPr>
          <w:p w14:paraId="408241BA">
            <w:pPr>
              <w:jc w:val="center"/>
              <w:rPr>
                <w:color w:val="auto"/>
                <w:highlight w:val="none"/>
              </w:rPr>
            </w:pPr>
            <w:r>
              <w:rPr>
                <w:rFonts w:hint="eastAsia" w:cs="宋体"/>
                <w:color w:val="auto"/>
                <w:highlight w:val="none"/>
              </w:rPr>
              <w:t>年龄</w:t>
            </w:r>
          </w:p>
        </w:tc>
        <w:tc>
          <w:tcPr>
            <w:tcW w:w="1531" w:type="dxa"/>
            <w:gridSpan w:val="4"/>
            <w:vAlign w:val="center"/>
          </w:tcPr>
          <w:p w14:paraId="4C938765">
            <w:pPr>
              <w:jc w:val="center"/>
              <w:rPr>
                <w:color w:val="auto"/>
                <w:highlight w:val="none"/>
              </w:rPr>
            </w:pPr>
          </w:p>
        </w:tc>
      </w:tr>
      <w:tr w14:paraId="3F5A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0C298B5C">
            <w:pPr>
              <w:jc w:val="center"/>
              <w:rPr>
                <w:color w:val="auto"/>
                <w:highlight w:val="none"/>
              </w:rPr>
            </w:pPr>
            <w:r>
              <w:rPr>
                <w:rFonts w:hint="eastAsia" w:cs="宋体"/>
                <w:color w:val="auto"/>
                <w:highlight w:val="none"/>
              </w:rPr>
              <w:t>岗位</w:t>
            </w:r>
          </w:p>
        </w:tc>
        <w:tc>
          <w:tcPr>
            <w:tcW w:w="2318" w:type="dxa"/>
            <w:gridSpan w:val="5"/>
            <w:vAlign w:val="center"/>
          </w:tcPr>
          <w:p w14:paraId="26CB1900">
            <w:pPr>
              <w:jc w:val="center"/>
              <w:rPr>
                <w:color w:val="auto"/>
                <w:highlight w:val="none"/>
              </w:rPr>
            </w:pPr>
            <w:r>
              <w:rPr>
                <w:rFonts w:hint="eastAsia"/>
                <w:color w:val="auto"/>
                <w:highlight w:val="none"/>
              </w:rPr>
              <w:t>项目经理</w:t>
            </w:r>
          </w:p>
        </w:tc>
        <w:tc>
          <w:tcPr>
            <w:tcW w:w="1893" w:type="dxa"/>
            <w:gridSpan w:val="5"/>
            <w:vAlign w:val="center"/>
          </w:tcPr>
          <w:p w14:paraId="0102F0D8">
            <w:pPr>
              <w:jc w:val="center"/>
              <w:rPr>
                <w:color w:val="auto"/>
                <w:highlight w:val="none"/>
              </w:rPr>
            </w:pPr>
            <w:r>
              <w:rPr>
                <w:rFonts w:hint="eastAsia" w:cs="宋体"/>
                <w:color w:val="auto"/>
                <w:highlight w:val="none"/>
              </w:rPr>
              <w:t>职称</w:t>
            </w:r>
          </w:p>
        </w:tc>
        <w:tc>
          <w:tcPr>
            <w:tcW w:w="1585" w:type="dxa"/>
            <w:gridSpan w:val="3"/>
            <w:vAlign w:val="center"/>
          </w:tcPr>
          <w:p w14:paraId="0748A002">
            <w:pPr>
              <w:jc w:val="center"/>
              <w:rPr>
                <w:color w:val="auto"/>
                <w:highlight w:val="none"/>
              </w:rPr>
            </w:pPr>
          </w:p>
        </w:tc>
        <w:tc>
          <w:tcPr>
            <w:tcW w:w="1108" w:type="dxa"/>
            <w:vAlign w:val="center"/>
          </w:tcPr>
          <w:p w14:paraId="1CE801A4">
            <w:pPr>
              <w:jc w:val="center"/>
              <w:rPr>
                <w:color w:val="auto"/>
                <w:highlight w:val="none"/>
              </w:rPr>
            </w:pPr>
            <w:r>
              <w:rPr>
                <w:rFonts w:hint="eastAsia" w:cs="宋体"/>
                <w:color w:val="auto"/>
                <w:highlight w:val="none"/>
              </w:rPr>
              <w:t>学历</w:t>
            </w:r>
          </w:p>
        </w:tc>
        <w:tc>
          <w:tcPr>
            <w:tcW w:w="1531" w:type="dxa"/>
            <w:gridSpan w:val="4"/>
            <w:vAlign w:val="center"/>
          </w:tcPr>
          <w:p w14:paraId="2D1795C2">
            <w:pPr>
              <w:jc w:val="center"/>
              <w:rPr>
                <w:color w:val="auto"/>
                <w:highlight w:val="none"/>
              </w:rPr>
            </w:pPr>
          </w:p>
        </w:tc>
      </w:tr>
      <w:tr w14:paraId="2165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3B2D6206">
            <w:pPr>
              <w:jc w:val="center"/>
              <w:rPr>
                <w:rFonts w:cs="宋体"/>
                <w:color w:val="auto"/>
                <w:highlight w:val="none"/>
              </w:rPr>
            </w:pPr>
            <w:r>
              <w:rPr>
                <w:rFonts w:hint="eastAsia" w:cs="宋体"/>
                <w:color w:val="auto"/>
                <w:highlight w:val="none"/>
              </w:rPr>
              <w:t>从业开始时间</w:t>
            </w:r>
          </w:p>
        </w:tc>
        <w:tc>
          <w:tcPr>
            <w:tcW w:w="2318" w:type="dxa"/>
            <w:gridSpan w:val="5"/>
            <w:vAlign w:val="center"/>
          </w:tcPr>
          <w:p w14:paraId="63F073B6">
            <w:pPr>
              <w:jc w:val="center"/>
              <w:rPr>
                <w:color w:val="auto"/>
                <w:highlight w:val="none"/>
              </w:rPr>
            </w:pPr>
          </w:p>
        </w:tc>
        <w:tc>
          <w:tcPr>
            <w:tcW w:w="1893" w:type="dxa"/>
            <w:gridSpan w:val="5"/>
            <w:vAlign w:val="center"/>
          </w:tcPr>
          <w:p w14:paraId="2004DB3C">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5A62222B">
            <w:pPr>
              <w:jc w:val="center"/>
              <w:rPr>
                <w:color w:val="auto"/>
                <w:highlight w:val="none"/>
              </w:rPr>
            </w:pPr>
          </w:p>
        </w:tc>
        <w:tc>
          <w:tcPr>
            <w:tcW w:w="1108" w:type="dxa"/>
            <w:vAlign w:val="center"/>
          </w:tcPr>
          <w:p w14:paraId="3AE06C2F">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0BA13F7D">
            <w:pPr>
              <w:jc w:val="center"/>
              <w:rPr>
                <w:color w:val="auto"/>
                <w:highlight w:val="none"/>
              </w:rPr>
            </w:pPr>
          </w:p>
        </w:tc>
      </w:tr>
      <w:tr w14:paraId="0F3A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681F81E4">
            <w:pPr>
              <w:jc w:val="center"/>
              <w:rPr>
                <w:color w:val="auto"/>
                <w:highlight w:val="none"/>
              </w:rPr>
            </w:pPr>
            <w:r>
              <w:rPr>
                <w:rFonts w:hint="eastAsia" w:cs="宋体"/>
                <w:color w:val="auto"/>
                <w:highlight w:val="none"/>
              </w:rPr>
              <w:t>担任项目经理年限</w:t>
            </w:r>
          </w:p>
        </w:tc>
        <w:tc>
          <w:tcPr>
            <w:tcW w:w="2563" w:type="dxa"/>
            <w:gridSpan w:val="6"/>
            <w:vAlign w:val="center"/>
          </w:tcPr>
          <w:p w14:paraId="6B140C8C">
            <w:pPr>
              <w:jc w:val="center"/>
              <w:rPr>
                <w:color w:val="auto"/>
                <w:highlight w:val="none"/>
              </w:rPr>
            </w:pPr>
          </w:p>
        </w:tc>
        <w:tc>
          <w:tcPr>
            <w:tcW w:w="1209" w:type="dxa"/>
            <w:vAlign w:val="center"/>
          </w:tcPr>
          <w:p w14:paraId="1418DD73">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750EE75D">
            <w:pPr>
              <w:jc w:val="center"/>
              <w:rPr>
                <w:color w:val="auto"/>
                <w:highlight w:val="none"/>
              </w:rPr>
            </w:pPr>
          </w:p>
        </w:tc>
      </w:tr>
      <w:tr w14:paraId="65AA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D5490EC">
            <w:pPr>
              <w:jc w:val="center"/>
              <w:rPr>
                <w:color w:val="auto"/>
                <w:highlight w:val="none"/>
              </w:rPr>
            </w:pPr>
            <w:r>
              <w:rPr>
                <w:rFonts w:hint="eastAsia"/>
                <w:color w:val="auto"/>
                <w:highlight w:val="none"/>
              </w:rPr>
              <w:t>证书名称</w:t>
            </w:r>
          </w:p>
        </w:tc>
        <w:tc>
          <w:tcPr>
            <w:tcW w:w="1275" w:type="dxa"/>
            <w:gridSpan w:val="2"/>
            <w:vAlign w:val="center"/>
          </w:tcPr>
          <w:p w14:paraId="05E6A6B1">
            <w:pPr>
              <w:jc w:val="center"/>
              <w:rPr>
                <w:color w:val="auto"/>
                <w:highlight w:val="none"/>
              </w:rPr>
            </w:pPr>
            <w:r>
              <w:rPr>
                <w:rFonts w:hint="eastAsia"/>
                <w:color w:val="auto"/>
                <w:highlight w:val="none"/>
              </w:rPr>
              <w:t>注册专业</w:t>
            </w:r>
          </w:p>
        </w:tc>
        <w:tc>
          <w:tcPr>
            <w:tcW w:w="1222" w:type="dxa"/>
            <w:gridSpan w:val="3"/>
            <w:vAlign w:val="center"/>
          </w:tcPr>
          <w:p w14:paraId="49C04F4F">
            <w:pPr>
              <w:jc w:val="center"/>
              <w:rPr>
                <w:color w:val="auto"/>
                <w:highlight w:val="none"/>
              </w:rPr>
            </w:pPr>
            <w:r>
              <w:rPr>
                <w:color w:val="auto"/>
                <w:highlight w:val="none"/>
              </w:rPr>
              <w:t>级别</w:t>
            </w:r>
          </w:p>
        </w:tc>
        <w:tc>
          <w:tcPr>
            <w:tcW w:w="1417" w:type="dxa"/>
            <w:gridSpan w:val="3"/>
            <w:vAlign w:val="center"/>
          </w:tcPr>
          <w:p w14:paraId="1FC94DB7">
            <w:pPr>
              <w:jc w:val="center"/>
              <w:rPr>
                <w:color w:val="auto"/>
                <w:highlight w:val="none"/>
              </w:rPr>
            </w:pPr>
            <w:r>
              <w:rPr>
                <w:rFonts w:hint="eastAsia" w:cs="宋体"/>
                <w:color w:val="auto"/>
                <w:highlight w:val="none"/>
              </w:rPr>
              <w:t>证书编号</w:t>
            </w:r>
          </w:p>
        </w:tc>
        <w:tc>
          <w:tcPr>
            <w:tcW w:w="1418" w:type="dxa"/>
            <w:gridSpan w:val="3"/>
            <w:vAlign w:val="center"/>
          </w:tcPr>
          <w:p w14:paraId="445D04FB">
            <w:pPr>
              <w:jc w:val="center"/>
              <w:rPr>
                <w:color w:val="auto"/>
                <w:highlight w:val="none"/>
              </w:rPr>
            </w:pPr>
            <w:r>
              <w:rPr>
                <w:rFonts w:hint="eastAsia"/>
                <w:color w:val="auto"/>
                <w:highlight w:val="none"/>
              </w:rPr>
              <w:t>注册时间</w:t>
            </w:r>
          </w:p>
        </w:tc>
        <w:tc>
          <w:tcPr>
            <w:tcW w:w="1632" w:type="dxa"/>
            <w:gridSpan w:val="4"/>
            <w:vAlign w:val="center"/>
          </w:tcPr>
          <w:p w14:paraId="07227A89">
            <w:pPr>
              <w:jc w:val="center"/>
              <w:rPr>
                <w:color w:val="auto"/>
                <w:highlight w:val="none"/>
              </w:rPr>
            </w:pPr>
            <w:r>
              <w:rPr>
                <w:rFonts w:hint="eastAsia"/>
                <w:color w:val="auto"/>
                <w:highlight w:val="none"/>
              </w:rPr>
              <w:t>注册单位</w:t>
            </w:r>
          </w:p>
        </w:tc>
        <w:tc>
          <w:tcPr>
            <w:tcW w:w="1416" w:type="dxa"/>
            <w:gridSpan w:val="2"/>
            <w:vAlign w:val="center"/>
          </w:tcPr>
          <w:p w14:paraId="5CD6E6FE">
            <w:pPr>
              <w:jc w:val="center"/>
              <w:rPr>
                <w:color w:val="auto"/>
                <w:highlight w:val="none"/>
              </w:rPr>
            </w:pPr>
            <w:r>
              <w:rPr>
                <w:rFonts w:hint="eastAsia"/>
                <w:color w:val="auto"/>
                <w:highlight w:val="none"/>
              </w:rPr>
              <w:t>注册有效期</w:t>
            </w:r>
          </w:p>
        </w:tc>
      </w:tr>
      <w:tr w14:paraId="3B2B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6F846B45">
            <w:pPr>
              <w:jc w:val="center"/>
              <w:rPr>
                <w:color w:val="auto"/>
                <w:highlight w:val="none"/>
              </w:rPr>
            </w:pPr>
          </w:p>
        </w:tc>
        <w:tc>
          <w:tcPr>
            <w:tcW w:w="1275" w:type="dxa"/>
            <w:gridSpan w:val="2"/>
            <w:vAlign w:val="center"/>
          </w:tcPr>
          <w:p w14:paraId="6A072EDD">
            <w:pPr>
              <w:jc w:val="center"/>
              <w:rPr>
                <w:color w:val="auto"/>
                <w:highlight w:val="none"/>
              </w:rPr>
            </w:pPr>
          </w:p>
        </w:tc>
        <w:tc>
          <w:tcPr>
            <w:tcW w:w="1222" w:type="dxa"/>
            <w:gridSpan w:val="3"/>
            <w:vAlign w:val="center"/>
          </w:tcPr>
          <w:p w14:paraId="0CF91E09">
            <w:pPr>
              <w:jc w:val="center"/>
              <w:rPr>
                <w:rFonts w:cs="宋体"/>
                <w:color w:val="auto"/>
                <w:highlight w:val="none"/>
              </w:rPr>
            </w:pPr>
          </w:p>
        </w:tc>
        <w:tc>
          <w:tcPr>
            <w:tcW w:w="1417" w:type="dxa"/>
            <w:gridSpan w:val="3"/>
            <w:vAlign w:val="center"/>
          </w:tcPr>
          <w:p w14:paraId="1CA29C16">
            <w:pPr>
              <w:jc w:val="center"/>
              <w:rPr>
                <w:color w:val="auto"/>
                <w:highlight w:val="none"/>
              </w:rPr>
            </w:pPr>
          </w:p>
        </w:tc>
        <w:tc>
          <w:tcPr>
            <w:tcW w:w="1418" w:type="dxa"/>
            <w:gridSpan w:val="3"/>
            <w:vAlign w:val="center"/>
          </w:tcPr>
          <w:p w14:paraId="211D86B6">
            <w:pPr>
              <w:jc w:val="center"/>
              <w:rPr>
                <w:color w:val="auto"/>
                <w:highlight w:val="none"/>
              </w:rPr>
            </w:pPr>
          </w:p>
        </w:tc>
        <w:tc>
          <w:tcPr>
            <w:tcW w:w="1632" w:type="dxa"/>
            <w:gridSpan w:val="4"/>
            <w:vAlign w:val="center"/>
          </w:tcPr>
          <w:p w14:paraId="5C1295AC">
            <w:pPr>
              <w:jc w:val="center"/>
              <w:rPr>
                <w:color w:val="auto"/>
                <w:highlight w:val="none"/>
              </w:rPr>
            </w:pPr>
          </w:p>
        </w:tc>
        <w:tc>
          <w:tcPr>
            <w:tcW w:w="1416" w:type="dxa"/>
            <w:gridSpan w:val="2"/>
            <w:vAlign w:val="center"/>
          </w:tcPr>
          <w:p w14:paraId="45EDAA9E">
            <w:pPr>
              <w:jc w:val="center"/>
              <w:rPr>
                <w:color w:val="auto"/>
                <w:highlight w:val="none"/>
              </w:rPr>
            </w:pPr>
          </w:p>
        </w:tc>
      </w:tr>
      <w:tr w14:paraId="4F51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8F1EF68">
            <w:pPr>
              <w:jc w:val="center"/>
              <w:rPr>
                <w:color w:val="auto"/>
                <w:highlight w:val="none"/>
              </w:rPr>
            </w:pPr>
            <w:r>
              <w:rPr>
                <w:rFonts w:hint="eastAsia"/>
                <w:color w:val="auto"/>
                <w:highlight w:val="none"/>
              </w:rPr>
              <w:t>安全生产考核合格证书</w:t>
            </w:r>
          </w:p>
        </w:tc>
        <w:tc>
          <w:tcPr>
            <w:tcW w:w="1275" w:type="dxa"/>
            <w:gridSpan w:val="2"/>
            <w:vAlign w:val="center"/>
          </w:tcPr>
          <w:p w14:paraId="6DD3C2AB">
            <w:pPr>
              <w:jc w:val="center"/>
              <w:rPr>
                <w:color w:val="auto"/>
                <w:highlight w:val="none"/>
              </w:rPr>
            </w:pPr>
          </w:p>
        </w:tc>
        <w:tc>
          <w:tcPr>
            <w:tcW w:w="1222" w:type="dxa"/>
            <w:gridSpan w:val="3"/>
            <w:vAlign w:val="center"/>
          </w:tcPr>
          <w:p w14:paraId="0C6DAE7A">
            <w:pPr>
              <w:jc w:val="center"/>
              <w:rPr>
                <w:rFonts w:cs="宋体"/>
                <w:color w:val="auto"/>
                <w:highlight w:val="none"/>
              </w:rPr>
            </w:pPr>
            <w:r>
              <w:rPr>
                <w:rFonts w:hint="eastAsia"/>
                <w:color w:val="auto"/>
                <w:highlight w:val="none"/>
              </w:rPr>
              <w:t>B类</w:t>
            </w:r>
          </w:p>
        </w:tc>
        <w:tc>
          <w:tcPr>
            <w:tcW w:w="1417" w:type="dxa"/>
            <w:gridSpan w:val="3"/>
            <w:vAlign w:val="center"/>
          </w:tcPr>
          <w:p w14:paraId="21729BDA">
            <w:pPr>
              <w:jc w:val="center"/>
              <w:rPr>
                <w:color w:val="auto"/>
                <w:highlight w:val="none"/>
              </w:rPr>
            </w:pPr>
          </w:p>
        </w:tc>
        <w:tc>
          <w:tcPr>
            <w:tcW w:w="1418" w:type="dxa"/>
            <w:gridSpan w:val="3"/>
            <w:vAlign w:val="center"/>
          </w:tcPr>
          <w:p w14:paraId="798C9BE9">
            <w:pPr>
              <w:jc w:val="center"/>
              <w:rPr>
                <w:color w:val="auto"/>
                <w:highlight w:val="none"/>
              </w:rPr>
            </w:pPr>
          </w:p>
        </w:tc>
        <w:tc>
          <w:tcPr>
            <w:tcW w:w="1632" w:type="dxa"/>
            <w:gridSpan w:val="4"/>
            <w:vAlign w:val="center"/>
          </w:tcPr>
          <w:p w14:paraId="004D99EC">
            <w:pPr>
              <w:jc w:val="center"/>
              <w:rPr>
                <w:color w:val="auto"/>
                <w:highlight w:val="none"/>
              </w:rPr>
            </w:pPr>
          </w:p>
        </w:tc>
        <w:tc>
          <w:tcPr>
            <w:tcW w:w="1416" w:type="dxa"/>
            <w:gridSpan w:val="2"/>
            <w:vAlign w:val="center"/>
          </w:tcPr>
          <w:p w14:paraId="4EABAB90">
            <w:pPr>
              <w:jc w:val="center"/>
              <w:rPr>
                <w:color w:val="auto"/>
                <w:highlight w:val="none"/>
              </w:rPr>
            </w:pPr>
          </w:p>
        </w:tc>
      </w:tr>
      <w:tr w14:paraId="3988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70D143A2">
            <w:pPr>
              <w:jc w:val="center"/>
              <w:rPr>
                <w:color w:val="auto"/>
                <w:highlight w:val="none"/>
              </w:rPr>
            </w:pPr>
            <w:r>
              <w:rPr>
                <w:rFonts w:hint="eastAsia" w:cs="宋体"/>
                <w:color w:val="auto"/>
                <w:highlight w:val="none"/>
              </w:rPr>
              <w:t>在建和已完工程项目情况</w:t>
            </w:r>
          </w:p>
        </w:tc>
      </w:tr>
      <w:tr w14:paraId="59E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B19254D">
            <w:pPr>
              <w:jc w:val="center"/>
              <w:rPr>
                <w:color w:val="auto"/>
                <w:highlight w:val="none"/>
              </w:rPr>
            </w:pPr>
          </w:p>
        </w:tc>
        <w:tc>
          <w:tcPr>
            <w:tcW w:w="1548" w:type="dxa"/>
            <w:gridSpan w:val="2"/>
            <w:vAlign w:val="center"/>
          </w:tcPr>
          <w:p w14:paraId="7BDFE44D">
            <w:pPr>
              <w:jc w:val="center"/>
              <w:rPr>
                <w:color w:val="auto"/>
                <w:highlight w:val="none"/>
              </w:rPr>
            </w:pPr>
            <w:r>
              <w:rPr>
                <w:rFonts w:hint="eastAsia"/>
                <w:color w:val="auto"/>
                <w:highlight w:val="none"/>
              </w:rPr>
              <w:t>项目1</w:t>
            </w:r>
          </w:p>
        </w:tc>
        <w:tc>
          <w:tcPr>
            <w:tcW w:w="1837" w:type="dxa"/>
            <w:gridSpan w:val="4"/>
            <w:vAlign w:val="center"/>
          </w:tcPr>
          <w:p w14:paraId="7603F26F">
            <w:pPr>
              <w:jc w:val="center"/>
              <w:rPr>
                <w:color w:val="auto"/>
                <w:highlight w:val="none"/>
              </w:rPr>
            </w:pPr>
            <w:r>
              <w:rPr>
                <w:rFonts w:hint="eastAsia"/>
                <w:color w:val="auto"/>
                <w:highlight w:val="none"/>
              </w:rPr>
              <w:t>项目2</w:t>
            </w:r>
          </w:p>
        </w:tc>
        <w:tc>
          <w:tcPr>
            <w:tcW w:w="1472" w:type="dxa"/>
            <w:gridSpan w:val="3"/>
            <w:vAlign w:val="center"/>
          </w:tcPr>
          <w:p w14:paraId="53269993">
            <w:pPr>
              <w:jc w:val="center"/>
              <w:rPr>
                <w:color w:val="auto"/>
                <w:highlight w:val="none"/>
              </w:rPr>
            </w:pPr>
            <w:r>
              <w:rPr>
                <w:rFonts w:hint="eastAsia"/>
                <w:color w:val="auto"/>
                <w:highlight w:val="none"/>
              </w:rPr>
              <w:t>项目3</w:t>
            </w:r>
          </w:p>
        </w:tc>
        <w:tc>
          <w:tcPr>
            <w:tcW w:w="1641" w:type="dxa"/>
            <w:gridSpan w:val="4"/>
            <w:vAlign w:val="center"/>
          </w:tcPr>
          <w:p w14:paraId="29677ABC">
            <w:pPr>
              <w:jc w:val="center"/>
              <w:rPr>
                <w:color w:val="auto"/>
                <w:highlight w:val="none"/>
              </w:rPr>
            </w:pPr>
            <w:r>
              <w:rPr>
                <w:rFonts w:hint="eastAsia"/>
                <w:color w:val="auto"/>
                <w:highlight w:val="none"/>
              </w:rPr>
              <w:t>项目4</w:t>
            </w:r>
          </w:p>
        </w:tc>
        <w:tc>
          <w:tcPr>
            <w:tcW w:w="1484" w:type="dxa"/>
            <w:gridSpan w:val="2"/>
            <w:vAlign w:val="center"/>
          </w:tcPr>
          <w:p w14:paraId="082A2CF0">
            <w:pPr>
              <w:jc w:val="center"/>
              <w:rPr>
                <w:color w:val="auto"/>
                <w:highlight w:val="none"/>
              </w:rPr>
            </w:pPr>
            <w:r>
              <w:rPr>
                <w:rFonts w:hint="eastAsia"/>
                <w:color w:val="auto"/>
                <w:highlight w:val="none"/>
              </w:rPr>
              <w:t>……</w:t>
            </w:r>
          </w:p>
        </w:tc>
      </w:tr>
      <w:tr w14:paraId="3CD2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04F029A">
            <w:pPr>
              <w:jc w:val="center"/>
              <w:rPr>
                <w:color w:val="auto"/>
                <w:highlight w:val="none"/>
              </w:rPr>
            </w:pPr>
            <w:r>
              <w:rPr>
                <w:rFonts w:hint="eastAsia"/>
                <w:color w:val="auto"/>
                <w:highlight w:val="none"/>
              </w:rPr>
              <w:t>项目名称</w:t>
            </w:r>
          </w:p>
        </w:tc>
        <w:tc>
          <w:tcPr>
            <w:tcW w:w="1548" w:type="dxa"/>
            <w:gridSpan w:val="2"/>
            <w:vAlign w:val="center"/>
          </w:tcPr>
          <w:p w14:paraId="7501B9E5">
            <w:pPr>
              <w:jc w:val="center"/>
              <w:rPr>
                <w:color w:val="auto"/>
                <w:highlight w:val="none"/>
              </w:rPr>
            </w:pPr>
          </w:p>
        </w:tc>
        <w:tc>
          <w:tcPr>
            <w:tcW w:w="1837" w:type="dxa"/>
            <w:gridSpan w:val="4"/>
            <w:vAlign w:val="center"/>
          </w:tcPr>
          <w:p w14:paraId="723A482B">
            <w:pPr>
              <w:jc w:val="center"/>
              <w:rPr>
                <w:color w:val="auto"/>
                <w:highlight w:val="none"/>
              </w:rPr>
            </w:pPr>
          </w:p>
        </w:tc>
        <w:tc>
          <w:tcPr>
            <w:tcW w:w="1472" w:type="dxa"/>
            <w:gridSpan w:val="3"/>
            <w:vAlign w:val="center"/>
          </w:tcPr>
          <w:p w14:paraId="04641B30">
            <w:pPr>
              <w:jc w:val="center"/>
              <w:rPr>
                <w:color w:val="auto"/>
                <w:highlight w:val="none"/>
              </w:rPr>
            </w:pPr>
          </w:p>
        </w:tc>
        <w:tc>
          <w:tcPr>
            <w:tcW w:w="1641" w:type="dxa"/>
            <w:gridSpan w:val="4"/>
            <w:vAlign w:val="center"/>
          </w:tcPr>
          <w:p w14:paraId="1D5422D1">
            <w:pPr>
              <w:jc w:val="center"/>
              <w:rPr>
                <w:color w:val="auto"/>
                <w:highlight w:val="none"/>
              </w:rPr>
            </w:pPr>
          </w:p>
        </w:tc>
        <w:tc>
          <w:tcPr>
            <w:tcW w:w="1484" w:type="dxa"/>
            <w:gridSpan w:val="2"/>
            <w:vAlign w:val="center"/>
          </w:tcPr>
          <w:p w14:paraId="1A24A5FF">
            <w:pPr>
              <w:jc w:val="center"/>
              <w:rPr>
                <w:color w:val="auto"/>
                <w:highlight w:val="none"/>
              </w:rPr>
            </w:pPr>
          </w:p>
        </w:tc>
      </w:tr>
      <w:tr w14:paraId="5A53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85B6789">
            <w:pPr>
              <w:jc w:val="center"/>
              <w:rPr>
                <w:color w:val="auto"/>
                <w:highlight w:val="none"/>
              </w:rPr>
            </w:pPr>
            <w:r>
              <w:rPr>
                <w:rFonts w:hint="eastAsia" w:cs="宋体"/>
                <w:color w:val="auto"/>
                <w:highlight w:val="none"/>
              </w:rPr>
              <w:t>建设单位</w:t>
            </w:r>
          </w:p>
        </w:tc>
        <w:tc>
          <w:tcPr>
            <w:tcW w:w="1548" w:type="dxa"/>
            <w:gridSpan w:val="2"/>
            <w:vAlign w:val="center"/>
          </w:tcPr>
          <w:p w14:paraId="3CC24FDE">
            <w:pPr>
              <w:jc w:val="center"/>
              <w:rPr>
                <w:color w:val="auto"/>
                <w:highlight w:val="none"/>
              </w:rPr>
            </w:pPr>
          </w:p>
        </w:tc>
        <w:tc>
          <w:tcPr>
            <w:tcW w:w="1837" w:type="dxa"/>
            <w:gridSpan w:val="4"/>
            <w:vAlign w:val="center"/>
          </w:tcPr>
          <w:p w14:paraId="205B8BF6">
            <w:pPr>
              <w:jc w:val="center"/>
              <w:rPr>
                <w:color w:val="auto"/>
                <w:highlight w:val="none"/>
              </w:rPr>
            </w:pPr>
          </w:p>
        </w:tc>
        <w:tc>
          <w:tcPr>
            <w:tcW w:w="1472" w:type="dxa"/>
            <w:gridSpan w:val="3"/>
            <w:vAlign w:val="center"/>
          </w:tcPr>
          <w:p w14:paraId="5C985808">
            <w:pPr>
              <w:jc w:val="center"/>
              <w:rPr>
                <w:color w:val="auto"/>
                <w:highlight w:val="none"/>
              </w:rPr>
            </w:pPr>
          </w:p>
        </w:tc>
        <w:tc>
          <w:tcPr>
            <w:tcW w:w="1641" w:type="dxa"/>
            <w:gridSpan w:val="4"/>
            <w:vAlign w:val="center"/>
          </w:tcPr>
          <w:p w14:paraId="5AA1C046">
            <w:pPr>
              <w:jc w:val="center"/>
              <w:rPr>
                <w:color w:val="auto"/>
                <w:highlight w:val="none"/>
              </w:rPr>
            </w:pPr>
          </w:p>
        </w:tc>
        <w:tc>
          <w:tcPr>
            <w:tcW w:w="1484" w:type="dxa"/>
            <w:gridSpan w:val="2"/>
            <w:vAlign w:val="center"/>
          </w:tcPr>
          <w:p w14:paraId="1EFCFDFF">
            <w:pPr>
              <w:jc w:val="center"/>
              <w:rPr>
                <w:color w:val="auto"/>
                <w:highlight w:val="none"/>
              </w:rPr>
            </w:pPr>
          </w:p>
        </w:tc>
      </w:tr>
      <w:tr w14:paraId="6924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0CCCDE5">
            <w:pPr>
              <w:jc w:val="center"/>
              <w:rPr>
                <w:color w:val="auto"/>
                <w:highlight w:val="none"/>
              </w:rPr>
            </w:pPr>
            <w:r>
              <w:rPr>
                <w:rFonts w:hint="eastAsia" w:cs="宋体"/>
                <w:color w:val="auto"/>
                <w:highlight w:val="none"/>
              </w:rPr>
              <w:t>建设规模</w:t>
            </w:r>
          </w:p>
        </w:tc>
        <w:tc>
          <w:tcPr>
            <w:tcW w:w="1548" w:type="dxa"/>
            <w:gridSpan w:val="2"/>
            <w:vAlign w:val="center"/>
          </w:tcPr>
          <w:p w14:paraId="5CDC68A2">
            <w:pPr>
              <w:jc w:val="center"/>
              <w:rPr>
                <w:color w:val="auto"/>
                <w:highlight w:val="none"/>
              </w:rPr>
            </w:pPr>
          </w:p>
        </w:tc>
        <w:tc>
          <w:tcPr>
            <w:tcW w:w="1837" w:type="dxa"/>
            <w:gridSpan w:val="4"/>
            <w:vAlign w:val="center"/>
          </w:tcPr>
          <w:p w14:paraId="7BB51783">
            <w:pPr>
              <w:jc w:val="center"/>
              <w:rPr>
                <w:color w:val="auto"/>
                <w:highlight w:val="none"/>
              </w:rPr>
            </w:pPr>
          </w:p>
        </w:tc>
        <w:tc>
          <w:tcPr>
            <w:tcW w:w="1472" w:type="dxa"/>
            <w:gridSpan w:val="3"/>
            <w:vAlign w:val="center"/>
          </w:tcPr>
          <w:p w14:paraId="683D4384">
            <w:pPr>
              <w:jc w:val="center"/>
              <w:rPr>
                <w:color w:val="auto"/>
                <w:highlight w:val="none"/>
              </w:rPr>
            </w:pPr>
          </w:p>
        </w:tc>
        <w:tc>
          <w:tcPr>
            <w:tcW w:w="1641" w:type="dxa"/>
            <w:gridSpan w:val="4"/>
            <w:vAlign w:val="center"/>
          </w:tcPr>
          <w:p w14:paraId="793D0945">
            <w:pPr>
              <w:jc w:val="center"/>
              <w:rPr>
                <w:color w:val="auto"/>
                <w:highlight w:val="none"/>
              </w:rPr>
            </w:pPr>
          </w:p>
        </w:tc>
        <w:tc>
          <w:tcPr>
            <w:tcW w:w="1484" w:type="dxa"/>
            <w:gridSpan w:val="2"/>
            <w:vAlign w:val="center"/>
          </w:tcPr>
          <w:p w14:paraId="7F080E6E">
            <w:pPr>
              <w:jc w:val="center"/>
              <w:rPr>
                <w:color w:val="auto"/>
                <w:highlight w:val="none"/>
              </w:rPr>
            </w:pPr>
          </w:p>
        </w:tc>
      </w:tr>
      <w:tr w14:paraId="0495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DEB0D0F">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03C749FE">
            <w:pPr>
              <w:jc w:val="center"/>
              <w:rPr>
                <w:color w:val="auto"/>
                <w:highlight w:val="none"/>
              </w:rPr>
            </w:pPr>
          </w:p>
        </w:tc>
        <w:tc>
          <w:tcPr>
            <w:tcW w:w="1837" w:type="dxa"/>
            <w:gridSpan w:val="4"/>
            <w:vAlign w:val="center"/>
          </w:tcPr>
          <w:p w14:paraId="13E6F21D">
            <w:pPr>
              <w:jc w:val="center"/>
              <w:rPr>
                <w:color w:val="auto"/>
                <w:highlight w:val="none"/>
              </w:rPr>
            </w:pPr>
          </w:p>
        </w:tc>
        <w:tc>
          <w:tcPr>
            <w:tcW w:w="1472" w:type="dxa"/>
            <w:gridSpan w:val="3"/>
            <w:vAlign w:val="center"/>
          </w:tcPr>
          <w:p w14:paraId="0D2AB3D8">
            <w:pPr>
              <w:jc w:val="center"/>
              <w:rPr>
                <w:color w:val="auto"/>
                <w:highlight w:val="none"/>
              </w:rPr>
            </w:pPr>
          </w:p>
        </w:tc>
        <w:tc>
          <w:tcPr>
            <w:tcW w:w="1641" w:type="dxa"/>
            <w:gridSpan w:val="4"/>
            <w:vAlign w:val="center"/>
          </w:tcPr>
          <w:p w14:paraId="098C10AB">
            <w:pPr>
              <w:jc w:val="center"/>
              <w:rPr>
                <w:color w:val="auto"/>
                <w:highlight w:val="none"/>
              </w:rPr>
            </w:pPr>
          </w:p>
        </w:tc>
        <w:tc>
          <w:tcPr>
            <w:tcW w:w="1484" w:type="dxa"/>
            <w:gridSpan w:val="2"/>
            <w:vAlign w:val="center"/>
          </w:tcPr>
          <w:p w14:paraId="0FF3CF9B">
            <w:pPr>
              <w:jc w:val="center"/>
              <w:rPr>
                <w:color w:val="auto"/>
                <w:highlight w:val="none"/>
              </w:rPr>
            </w:pPr>
          </w:p>
        </w:tc>
      </w:tr>
      <w:tr w14:paraId="7D03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2244891">
            <w:pPr>
              <w:jc w:val="center"/>
              <w:rPr>
                <w:color w:val="auto"/>
                <w:highlight w:val="none"/>
              </w:rPr>
            </w:pPr>
            <w:r>
              <w:rPr>
                <w:rFonts w:hint="eastAsia" w:cs="宋体"/>
                <w:color w:val="auto"/>
                <w:highlight w:val="none"/>
              </w:rPr>
              <w:t>竣工日期</w:t>
            </w:r>
          </w:p>
        </w:tc>
        <w:tc>
          <w:tcPr>
            <w:tcW w:w="1548" w:type="dxa"/>
            <w:gridSpan w:val="2"/>
            <w:vAlign w:val="center"/>
          </w:tcPr>
          <w:p w14:paraId="072B4727">
            <w:pPr>
              <w:jc w:val="center"/>
              <w:rPr>
                <w:color w:val="auto"/>
                <w:highlight w:val="none"/>
              </w:rPr>
            </w:pPr>
          </w:p>
        </w:tc>
        <w:tc>
          <w:tcPr>
            <w:tcW w:w="1837" w:type="dxa"/>
            <w:gridSpan w:val="4"/>
            <w:vAlign w:val="center"/>
          </w:tcPr>
          <w:p w14:paraId="38F82374">
            <w:pPr>
              <w:jc w:val="center"/>
              <w:rPr>
                <w:color w:val="auto"/>
                <w:highlight w:val="none"/>
              </w:rPr>
            </w:pPr>
          </w:p>
        </w:tc>
        <w:tc>
          <w:tcPr>
            <w:tcW w:w="1472" w:type="dxa"/>
            <w:gridSpan w:val="3"/>
            <w:vAlign w:val="center"/>
          </w:tcPr>
          <w:p w14:paraId="045A01F9">
            <w:pPr>
              <w:jc w:val="center"/>
              <w:rPr>
                <w:color w:val="auto"/>
                <w:highlight w:val="none"/>
              </w:rPr>
            </w:pPr>
          </w:p>
        </w:tc>
        <w:tc>
          <w:tcPr>
            <w:tcW w:w="1641" w:type="dxa"/>
            <w:gridSpan w:val="4"/>
            <w:vAlign w:val="center"/>
          </w:tcPr>
          <w:p w14:paraId="4CD67F59">
            <w:pPr>
              <w:jc w:val="center"/>
              <w:rPr>
                <w:color w:val="auto"/>
                <w:highlight w:val="none"/>
              </w:rPr>
            </w:pPr>
          </w:p>
        </w:tc>
        <w:tc>
          <w:tcPr>
            <w:tcW w:w="1484" w:type="dxa"/>
            <w:gridSpan w:val="2"/>
            <w:vAlign w:val="center"/>
          </w:tcPr>
          <w:p w14:paraId="5B5649E1">
            <w:pPr>
              <w:jc w:val="center"/>
              <w:rPr>
                <w:color w:val="auto"/>
                <w:highlight w:val="none"/>
              </w:rPr>
            </w:pPr>
          </w:p>
        </w:tc>
      </w:tr>
      <w:tr w14:paraId="1D4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8FE7A53">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2C50D390">
            <w:pPr>
              <w:jc w:val="center"/>
              <w:rPr>
                <w:color w:val="auto"/>
                <w:highlight w:val="none"/>
              </w:rPr>
            </w:pPr>
          </w:p>
        </w:tc>
        <w:tc>
          <w:tcPr>
            <w:tcW w:w="1837" w:type="dxa"/>
            <w:gridSpan w:val="4"/>
            <w:vAlign w:val="center"/>
          </w:tcPr>
          <w:p w14:paraId="1B9CBAEB">
            <w:pPr>
              <w:jc w:val="center"/>
              <w:rPr>
                <w:color w:val="auto"/>
                <w:highlight w:val="none"/>
              </w:rPr>
            </w:pPr>
          </w:p>
        </w:tc>
        <w:tc>
          <w:tcPr>
            <w:tcW w:w="1472" w:type="dxa"/>
            <w:gridSpan w:val="3"/>
            <w:vAlign w:val="center"/>
          </w:tcPr>
          <w:p w14:paraId="0B90D6F4">
            <w:pPr>
              <w:jc w:val="center"/>
              <w:rPr>
                <w:color w:val="auto"/>
                <w:highlight w:val="none"/>
              </w:rPr>
            </w:pPr>
          </w:p>
        </w:tc>
        <w:tc>
          <w:tcPr>
            <w:tcW w:w="1641" w:type="dxa"/>
            <w:gridSpan w:val="4"/>
            <w:vAlign w:val="center"/>
          </w:tcPr>
          <w:p w14:paraId="181353A9">
            <w:pPr>
              <w:jc w:val="center"/>
              <w:rPr>
                <w:color w:val="auto"/>
                <w:highlight w:val="none"/>
              </w:rPr>
            </w:pPr>
          </w:p>
        </w:tc>
        <w:tc>
          <w:tcPr>
            <w:tcW w:w="1484" w:type="dxa"/>
            <w:gridSpan w:val="2"/>
            <w:vAlign w:val="center"/>
          </w:tcPr>
          <w:p w14:paraId="43B84DE5">
            <w:pPr>
              <w:jc w:val="center"/>
              <w:rPr>
                <w:color w:val="auto"/>
                <w:highlight w:val="none"/>
              </w:rPr>
            </w:pPr>
          </w:p>
        </w:tc>
      </w:tr>
      <w:tr w14:paraId="3065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C59F247">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6B54DE2D">
            <w:pPr>
              <w:jc w:val="center"/>
              <w:rPr>
                <w:color w:val="auto"/>
                <w:highlight w:val="none"/>
              </w:rPr>
            </w:pPr>
          </w:p>
        </w:tc>
        <w:tc>
          <w:tcPr>
            <w:tcW w:w="1837" w:type="dxa"/>
            <w:gridSpan w:val="4"/>
            <w:vAlign w:val="center"/>
          </w:tcPr>
          <w:p w14:paraId="095327F9">
            <w:pPr>
              <w:jc w:val="center"/>
              <w:rPr>
                <w:color w:val="auto"/>
                <w:highlight w:val="none"/>
              </w:rPr>
            </w:pPr>
          </w:p>
        </w:tc>
        <w:tc>
          <w:tcPr>
            <w:tcW w:w="1472" w:type="dxa"/>
            <w:gridSpan w:val="3"/>
            <w:vAlign w:val="center"/>
          </w:tcPr>
          <w:p w14:paraId="30A0A193">
            <w:pPr>
              <w:jc w:val="center"/>
              <w:rPr>
                <w:color w:val="auto"/>
                <w:highlight w:val="none"/>
              </w:rPr>
            </w:pPr>
          </w:p>
        </w:tc>
        <w:tc>
          <w:tcPr>
            <w:tcW w:w="1641" w:type="dxa"/>
            <w:gridSpan w:val="4"/>
            <w:vAlign w:val="center"/>
          </w:tcPr>
          <w:p w14:paraId="7A35C03C">
            <w:pPr>
              <w:jc w:val="center"/>
              <w:rPr>
                <w:color w:val="auto"/>
                <w:highlight w:val="none"/>
              </w:rPr>
            </w:pPr>
          </w:p>
        </w:tc>
        <w:tc>
          <w:tcPr>
            <w:tcW w:w="1484" w:type="dxa"/>
            <w:gridSpan w:val="2"/>
            <w:vAlign w:val="center"/>
          </w:tcPr>
          <w:p w14:paraId="10CB2555">
            <w:pPr>
              <w:jc w:val="center"/>
              <w:rPr>
                <w:color w:val="auto"/>
                <w:highlight w:val="none"/>
              </w:rPr>
            </w:pPr>
          </w:p>
        </w:tc>
      </w:tr>
      <w:tr w14:paraId="3876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1AD8035">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0F8B44FF">
            <w:pPr>
              <w:jc w:val="center"/>
              <w:rPr>
                <w:color w:val="auto"/>
                <w:highlight w:val="none"/>
              </w:rPr>
            </w:pPr>
          </w:p>
        </w:tc>
        <w:tc>
          <w:tcPr>
            <w:tcW w:w="1837" w:type="dxa"/>
            <w:gridSpan w:val="4"/>
            <w:vAlign w:val="center"/>
          </w:tcPr>
          <w:p w14:paraId="547E5B94">
            <w:pPr>
              <w:jc w:val="center"/>
              <w:rPr>
                <w:color w:val="auto"/>
                <w:highlight w:val="none"/>
              </w:rPr>
            </w:pPr>
          </w:p>
        </w:tc>
        <w:tc>
          <w:tcPr>
            <w:tcW w:w="1472" w:type="dxa"/>
            <w:gridSpan w:val="3"/>
            <w:vAlign w:val="center"/>
          </w:tcPr>
          <w:p w14:paraId="3C44AE9D">
            <w:pPr>
              <w:jc w:val="center"/>
              <w:rPr>
                <w:color w:val="auto"/>
                <w:highlight w:val="none"/>
              </w:rPr>
            </w:pPr>
          </w:p>
        </w:tc>
        <w:tc>
          <w:tcPr>
            <w:tcW w:w="1641" w:type="dxa"/>
            <w:gridSpan w:val="4"/>
            <w:vAlign w:val="center"/>
          </w:tcPr>
          <w:p w14:paraId="3601E63E">
            <w:pPr>
              <w:jc w:val="center"/>
              <w:rPr>
                <w:color w:val="auto"/>
                <w:highlight w:val="none"/>
              </w:rPr>
            </w:pPr>
          </w:p>
        </w:tc>
        <w:tc>
          <w:tcPr>
            <w:tcW w:w="1484" w:type="dxa"/>
            <w:gridSpan w:val="2"/>
            <w:vAlign w:val="center"/>
          </w:tcPr>
          <w:p w14:paraId="26ACB31C">
            <w:pPr>
              <w:jc w:val="center"/>
              <w:rPr>
                <w:color w:val="auto"/>
                <w:highlight w:val="none"/>
              </w:rPr>
            </w:pPr>
          </w:p>
        </w:tc>
      </w:tr>
      <w:tr w14:paraId="2642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68AA82C">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25091205">
            <w:pPr>
              <w:jc w:val="center"/>
              <w:rPr>
                <w:color w:val="auto"/>
                <w:highlight w:val="none"/>
              </w:rPr>
            </w:pPr>
          </w:p>
        </w:tc>
        <w:tc>
          <w:tcPr>
            <w:tcW w:w="1837" w:type="dxa"/>
            <w:gridSpan w:val="4"/>
            <w:vAlign w:val="center"/>
          </w:tcPr>
          <w:p w14:paraId="6A90FACE">
            <w:pPr>
              <w:jc w:val="center"/>
              <w:rPr>
                <w:color w:val="auto"/>
                <w:highlight w:val="none"/>
              </w:rPr>
            </w:pPr>
          </w:p>
        </w:tc>
        <w:tc>
          <w:tcPr>
            <w:tcW w:w="1472" w:type="dxa"/>
            <w:gridSpan w:val="3"/>
            <w:vAlign w:val="center"/>
          </w:tcPr>
          <w:p w14:paraId="7065FB3A">
            <w:pPr>
              <w:jc w:val="center"/>
              <w:rPr>
                <w:color w:val="auto"/>
                <w:highlight w:val="none"/>
              </w:rPr>
            </w:pPr>
          </w:p>
        </w:tc>
        <w:tc>
          <w:tcPr>
            <w:tcW w:w="1641" w:type="dxa"/>
            <w:gridSpan w:val="4"/>
            <w:vAlign w:val="center"/>
          </w:tcPr>
          <w:p w14:paraId="64E617D7">
            <w:pPr>
              <w:jc w:val="center"/>
              <w:rPr>
                <w:color w:val="auto"/>
                <w:highlight w:val="none"/>
              </w:rPr>
            </w:pPr>
          </w:p>
        </w:tc>
        <w:tc>
          <w:tcPr>
            <w:tcW w:w="1484" w:type="dxa"/>
            <w:gridSpan w:val="2"/>
            <w:vAlign w:val="center"/>
          </w:tcPr>
          <w:p w14:paraId="6BAAE93B">
            <w:pPr>
              <w:jc w:val="center"/>
              <w:rPr>
                <w:color w:val="auto"/>
                <w:highlight w:val="none"/>
              </w:rPr>
            </w:pPr>
          </w:p>
        </w:tc>
      </w:tr>
    </w:tbl>
    <w:p w14:paraId="4FFF20D8">
      <w:pPr>
        <w:rPr>
          <w:rFonts w:ascii="宋体" w:hAnsi="宋体"/>
          <w:color w:val="auto"/>
          <w:szCs w:val="21"/>
          <w:highlight w:val="none"/>
        </w:rPr>
      </w:pPr>
      <w:r>
        <w:rPr>
          <w:rFonts w:hint="eastAsia" w:ascii="宋体" w:hAnsi="宋体" w:cs="楷体_GB2312"/>
          <w:color w:val="auto"/>
          <w:szCs w:val="21"/>
          <w:highlight w:val="none"/>
        </w:rPr>
        <w:t>备注：</w:t>
      </w:r>
    </w:p>
    <w:p w14:paraId="2D40DF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421916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2.本表后附项目经理的学历证、安全生产考核合格证（B类）、本表所列证书扫描件并加盖供应商电子签章。</w:t>
      </w:r>
    </w:p>
    <w:p w14:paraId="307AA98B">
      <w:pPr>
        <w:spacing w:beforeLines="50"/>
        <w:ind w:firstLine="643" w:firstLineChars="200"/>
        <w:jc w:val="center"/>
        <w:rPr>
          <w:color w:val="auto"/>
          <w:highlight w:val="none"/>
          <w:u w:val="single"/>
        </w:rPr>
      </w:pPr>
      <w:r>
        <w:rPr>
          <w:rFonts w:cs="宋体"/>
          <w:b/>
          <w:color w:val="auto"/>
          <w:sz w:val="32"/>
          <w:szCs w:val="32"/>
          <w:highlight w:val="none"/>
        </w:rPr>
        <w:br w:type="page"/>
      </w:r>
      <w:r>
        <w:rPr>
          <w:rFonts w:hint="eastAsia" w:cs="宋体"/>
          <w:b/>
          <w:color w:val="auto"/>
          <w:sz w:val="32"/>
          <w:szCs w:val="32"/>
          <w:highlight w:val="none"/>
        </w:rPr>
        <w:t>项目技术负责人（项目总工）简历表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6EB5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58FC3C83">
            <w:pPr>
              <w:jc w:val="center"/>
              <w:rPr>
                <w:color w:val="auto"/>
                <w:highlight w:val="none"/>
              </w:rPr>
            </w:pPr>
            <w:r>
              <w:rPr>
                <w:rFonts w:hint="eastAsia" w:cs="宋体"/>
                <w:color w:val="auto"/>
                <w:highlight w:val="none"/>
              </w:rPr>
              <w:t>姓名</w:t>
            </w:r>
          </w:p>
        </w:tc>
        <w:tc>
          <w:tcPr>
            <w:tcW w:w="2340" w:type="dxa"/>
            <w:gridSpan w:val="5"/>
            <w:vAlign w:val="center"/>
          </w:tcPr>
          <w:p w14:paraId="292D55DE">
            <w:pPr>
              <w:jc w:val="center"/>
              <w:rPr>
                <w:color w:val="auto"/>
                <w:highlight w:val="none"/>
              </w:rPr>
            </w:pPr>
          </w:p>
        </w:tc>
        <w:tc>
          <w:tcPr>
            <w:tcW w:w="1893" w:type="dxa"/>
            <w:gridSpan w:val="5"/>
            <w:vAlign w:val="center"/>
          </w:tcPr>
          <w:p w14:paraId="5FF3225A">
            <w:pPr>
              <w:jc w:val="center"/>
              <w:rPr>
                <w:color w:val="auto"/>
                <w:highlight w:val="none"/>
              </w:rPr>
            </w:pPr>
            <w:r>
              <w:rPr>
                <w:rFonts w:hint="eastAsia" w:cs="宋体"/>
                <w:color w:val="auto"/>
                <w:highlight w:val="none"/>
              </w:rPr>
              <w:t>性别</w:t>
            </w:r>
          </w:p>
        </w:tc>
        <w:tc>
          <w:tcPr>
            <w:tcW w:w="1585" w:type="dxa"/>
            <w:gridSpan w:val="3"/>
            <w:vAlign w:val="center"/>
          </w:tcPr>
          <w:p w14:paraId="28290BD2">
            <w:pPr>
              <w:jc w:val="center"/>
              <w:rPr>
                <w:color w:val="auto"/>
                <w:highlight w:val="none"/>
              </w:rPr>
            </w:pPr>
          </w:p>
        </w:tc>
        <w:tc>
          <w:tcPr>
            <w:tcW w:w="1108" w:type="dxa"/>
            <w:vAlign w:val="center"/>
          </w:tcPr>
          <w:p w14:paraId="35EB30A7">
            <w:pPr>
              <w:jc w:val="center"/>
              <w:rPr>
                <w:color w:val="auto"/>
                <w:highlight w:val="none"/>
              </w:rPr>
            </w:pPr>
            <w:r>
              <w:rPr>
                <w:rFonts w:hint="eastAsia" w:cs="宋体"/>
                <w:color w:val="auto"/>
                <w:highlight w:val="none"/>
              </w:rPr>
              <w:t>年龄</w:t>
            </w:r>
          </w:p>
        </w:tc>
        <w:tc>
          <w:tcPr>
            <w:tcW w:w="1531" w:type="dxa"/>
            <w:gridSpan w:val="4"/>
            <w:vAlign w:val="center"/>
          </w:tcPr>
          <w:p w14:paraId="360D700D">
            <w:pPr>
              <w:jc w:val="center"/>
              <w:rPr>
                <w:color w:val="auto"/>
                <w:highlight w:val="none"/>
              </w:rPr>
            </w:pPr>
          </w:p>
        </w:tc>
      </w:tr>
      <w:tr w14:paraId="1583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10C06933">
            <w:pPr>
              <w:jc w:val="center"/>
              <w:rPr>
                <w:color w:val="auto"/>
                <w:highlight w:val="none"/>
              </w:rPr>
            </w:pPr>
            <w:r>
              <w:rPr>
                <w:rFonts w:hint="eastAsia" w:cs="宋体"/>
                <w:color w:val="auto"/>
                <w:highlight w:val="none"/>
              </w:rPr>
              <w:t>岗位</w:t>
            </w:r>
          </w:p>
        </w:tc>
        <w:tc>
          <w:tcPr>
            <w:tcW w:w="2340" w:type="dxa"/>
            <w:gridSpan w:val="5"/>
            <w:vAlign w:val="center"/>
          </w:tcPr>
          <w:p w14:paraId="486BC7DF">
            <w:pPr>
              <w:jc w:val="center"/>
              <w:rPr>
                <w:color w:val="auto"/>
                <w:highlight w:val="none"/>
              </w:rPr>
            </w:pPr>
            <w:r>
              <w:rPr>
                <w:rFonts w:hint="eastAsia"/>
                <w:color w:val="auto"/>
                <w:highlight w:val="none"/>
              </w:rPr>
              <w:t>项目技术负责人（项目总工）</w:t>
            </w:r>
          </w:p>
        </w:tc>
        <w:tc>
          <w:tcPr>
            <w:tcW w:w="1893" w:type="dxa"/>
            <w:gridSpan w:val="5"/>
            <w:vAlign w:val="center"/>
          </w:tcPr>
          <w:p w14:paraId="67F25730">
            <w:pPr>
              <w:jc w:val="center"/>
              <w:rPr>
                <w:color w:val="auto"/>
                <w:highlight w:val="none"/>
              </w:rPr>
            </w:pPr>
            <w:r>
              <w:rPr>
                <w:rFonts w:hint="eastAsia" w:cs="宋体"/>
                <w:color w:val="auto"/>
                <w:highlight w:val="none"/>
              </w:rPr>
              <w:t>职称</w:t>
            </w:r>
          </w:p>
        </w:tc>
        <w:tc>
          <w:tcPr>
            <w:tcW w:w="1585" w:type="dxa"/>
            <w:gridSpan w:val="3"/>
            <w:vAlign w:val="center"/>
          </w:tcPr>
          <w:p w14:paraId="2E959235">
            <w:pPr>
              <w:jc w:val="center"/>
              <w:rPr>
                <w:color w:val="auto"/>
                <w:highlight w:val="none"/>
              </w:rPr>
            </w:pPr>
          </w:p>
        </w:tc>
        <w:tc>
          <w:tcPr>
            <w:tcW w:w="1108" w:type="dxa"/>
            <w:vAlign w:val="center"/>
          </w:tcPr>
          <w:p w14:paraId="320C6FA4">
            <w:pPr>
              <w:jc w:val="center"/>
              <w:rPr>
                <w:color w:val="auto"/>
                <w:highlight w:val="none"/>
              </w:rPr>
            </w:pPr>
            <w:r>
              <w:rPr>
                <w:rFonts w:hint="eastAsia" w:cs="宋体"/>
                <w:color w:val="auto"/>
                <w:highlight w:val="none"/>
              </w:rPr>
              <w:t>学历</w:t>
            </w:r>
          </w:p>
        </w:tc>
        <w:tc>
          <w:tcPr>
            <w:tcW w:w="1531" w:type="dxa"/>
            <w:gridSpan w:val="4"/>
            <w:vAlign w:val="center"/>
          </w:tcPr>
          <w:p w14:paraId="515A14AC">
            <w:pPr>
              <w:jc w:val="center"/>
              <w:rPr>
                <w:color w:val="auto"/>
                <w:highlight w:val="none"/>
              </w:rPr>
            </w:pPr>
          </w:p>
        </w:tc>
      </w:tr>
      <w:tr w14:paraId="042B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09434EEF">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14:paraId="2FE0CA3C">
            <w:pPr>
              <w:jc w:val="center"/>
              <w:rPr>
                <w:color w:val="auto"/>
                <w:highlight w:val="none"/>
              </w:rPr>
            </w:pPr>
          </w:p>
        </w:tc>
        <w:tc>
          <w:tcPr>
            <w:tcW w:w="1893" w:type="dxa"/>
            <w:gridSpan w:val="5"/>
            <w:vAlign w:val="center"/>
          </w:tcPr>
          <w:p w14:paraId="1048DCFF">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2F8D5A74">
            <w:pPr>
              <w:jc w:val="center"/>
              <w:rPr>
                <w:color w:val="auto"/>
                <w:highlight w:val="none"/>
              </w:rPr>
            </w:pPr>
          </w:p>
        </w:tc>
        <w:tc>
          <w:tcPr>
            <w:tcW w:w="1108" w:type="dxa"/>
            <w:vAlign w:val="center"/>
          </w:tcPr>
          <w:p w14:paraId="7C205ABE">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22EF6BAA">
            <w:pPr>
              <w:jc w:val="center"/>
              <w:rPr>
                <w:color w:val="auto"/>
                <w:highlight w:val="none"/>
              </w:rPr>
            </w:pPr>
          </w:p>
        </w:tc>
      </w:tr>
      <w:tr w14:paraId="0378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364887E6">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76" w:type="dxa"/>
            <w:gridSpan w:val="6"/>
            <w:vAlign w:val="center"/>
          </w:tcPr>
          <w:p w14:paraId="69520081">
            <w:pPr>
              <w:jc w:val="center"/>
              <w:rPr>
                <w:color w:val="auto"/>
                <w:highlight w:val="none"/>
              </w:rPr>
            </w:pPr>
          </w:p>
        </w:tc>
        <w:tc>
          <w:tcPr>
            <w:tcW w:w="1209" w:type="dxa"/>
            <w:vAlign w:val="center"/>
          </w:tcPr>
          <w:p w14:paraId="5A861B2E">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2FEEA470">
            <w:pPr>
              <w:jc w:val="center"/>
              <w:rPr>
                <w:color w:val="auto"/>
                <w:highlight w:val="none"/>
              </w:rPr>
            </w:pPr>
          </w:p>
        </w:tc>
      </w:tr>
      <w:tr w14:paraId="2977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A0BEB84">
            <w:pPr>
              <w:jc w:val="center"/>
              <w:rPr>
                <w:color w:val="auto"/>
                <w:highlight w:val="none"/>
              </w:rPr>
            </w:pPr>
            <w:r>
              <w:rPr>
                <w:rFonts w:hint="eastAsia"/>
                <w:color w:val="auto"/>
                <w:highlight w:val="none"/>
              </w:rPr>
              <w:t>证书名称</w:t>
            </w:r>
          </w:p>
        </w:tc>
        <w:tc>
          <w:tcPr>
            <w:tcW w:w="1188" w:type="dxa"/>
            <w:gridSpan w:val="2"/>
            <w:vAlign w:val="center"/>
          </w:tcPr>
          <w:p w14:paraId="11A093E5">
            <w:pPr>
              <w:jc w:val="center"/>
              <w:rPr>
                <w:color w:val="auto"/>
                <w:highlight w:val="none"/>
              </w:rPr>
            </w:pPr>
            <w:r>
              <w:rPr>
                <w:rFonts w:hint="eastAsia"/>
                <w:color w:val="auto"/>
                <w:highlight w:val="none"/>
              </w:rPr>
              <w:t>注册专业</w:t>
            </w:r>
          </w:p>
        </w:tc>
        <w:tc>
          <w:tcPr>
            <w:tcW w:w="1222" w:type="dxa"/>
            <w:gridSpan w:val="3"/>
            <w:vAlign w:val="center"/>
          </w:tcPr>
          <w:p w14:paraId="2E1BE38A">
            <w:pPr>
              <w:jc w:val="center"/>
              <w:rPr>
                <w:color w:val="auto"/>
                <w:highlight w:val="none"/>
              </w:rPr>
            </w:pPr>
            <w:r>
              <w:rPr>
                <w:color w:val="auto"/>
                <w:highlight w:val="none"/>
              </w:rPr>
              <w:t>级别</w:t>
            </w:r>
          </w:p>
        </w:tc>
        <w:tc>
          <w:tcPr>
            <w:tcW w:w="1417" w:type="dxa"/>
            <w:gridSpan w:val="3"/>
            <w:vAlign w:val="center"/>
          </w:tcPr>
          <w:p w14:paraId="75559699">
            <w:pPr>
              <w:jc w:val="center"/>
              <w:rPr>
                <w:color w:val="auto"/>
                <w:highlight w:val="none"/>
              </w:rPr>
            </w:pPr>
            <w:r>
              <w:rPr>
                <w:rFonts w:hint="eastAsia" w:cs="宋体"/>
                <w:color w:val="auto"/>
                <w:highlight w:val="none"/>
              </w:rPr>
              <w:t>证书编号</w:t>
            </w:r>
          </w:p>
        </w:tc>
        <w:tc>
          <w:tcPr>
            <w:tcW w:w="1418" w:type="dxa"/>
            <w:gridSpan w:val="3"/>
            <w:vAlign w:val="center"/>
          </w:tcPr>
          <w:p w14:paraId="6BD114FC">
            <w:pPr>
              <w:jc w:val="center"/>
              <w:rPr>
                <w:color w:val="auto"/>
                <w:highlight w:val="none"/>
              </w:rPr>
            </w:pPr>
            <w:r>
              <w:rPr>
                <w:rFonts w:hint="eastAsia"/>
                <w:color w:val="auto"/>
                <w:highlight w:val="none"/>
              </w:rPr>
              <w:t>注册时间</w:t>
            </w:r>
          </w:p>
        </w:tc>
        <w:tc>
          <w:tcPr>
            <w:tcW w:w="1632" w:type="dxa"/>
            <w:gridSpan w:val="4"/>
            <w:vAlign w:val="center"/>
          </w:tcPr>
          <w:p w14:paraId="0B4C41E7">
            <w:pPr>
              <w:jc w:val="center"/>
              <w:rPr>
                <w:color w:val="auto"/>
                <w:highlight w:val="none"/>
              </w:rPr>
            </w:pPr>
            <w:r>
              <w:rPr>
                <w:rFonts w:hint="eastAsia"/>
                <w:color w:val="auto"/>
                <w:highlight w:val="none"/>
              </w:rPr>
              <w:t>注册单位</w:t>
            </w:r>
          </w:p>
        </w:tc>
        <w:tc>
          <w:tcPr>
            <w:tcW w:w="1416" w:type="dxa"/>
            <w:gridSpan w:val="2"/>
            <w:vAlign w:val="center"/>
          </w:tcPr>
          <w:p w14:paraId="7C91EF64">
            <w:pPr>
              <w:jc w:val="center"/>
              <w:rPr>
                <w:color w:val="auto"/>
                <w:highlight w:val="none"/>
              </w:rPr>
            </w:pPr>
            <w:r>
              <w:rPr>
                <w:rFonts w:hint="eastAsia"/>
                <w:color w:val="auto"/>
                <w:highlight w:val="none"/>
              </w:rPr>
              <w:t>注册有效期</w:t>
            </w:r>
          </w:p>
        </w:tc>
      </w:tr>
      <w:tr w14:paraId="7C65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0494470F">
            <w:pPr>
              <w:jc w:val="center"/>
              <w:rPr>
                <w:color w:val="auto"/>
                <w:highlight w:val="none"/>
              </w:rPr>
            </w:pPr>
          </w:p>
        </w:tc>
        <w:tc>
          <w:tcPr>
            <w:tcW w:w="1188" w:type="dxa"/>
            <w:gridSpan w:val="2"/>
            <w:vAlign w:val="center"/>
          </w:tcPr>
          <w:p w14:paraId="6EE810CE">
            <w:pPr>
              <w:jc w:val="center"/>
              <w:rPr>
                <w:color w:val="auto"/>
                <w:highlight w:val="none"/>
              </w:rPr>
            </w:pPr>
          </w:p>
        </w:tc>
        <w:tc>
          <w:tcPr>
            <w:tcW w:w="1222" w:type="dxa"/>
            <w:gridSpan w:val="3"/>
            <w:vAlign w:val="center"/>
          </w:tcPr>
          <w:p w14:paraId="6C86AF8A">
            <w:pPr>
              <w:jc w:val="center"/>
              <w:rPr>
                <w:rFonts w:cs="宋体"/>
                <w:color w:val="auto"/>
                <w:highlight w:val="none"/>
              </w:rPr>
            </w:pPr>
          </w:p>
        </w:tc>
        <w:tc>
          <w:tcPr>
            <w:tcW w:w="1417" w:type="dxa"/>
            <w:gridSpan w:val="3"/>
            <w:vAlign w:val="center"/>
          </w:tcPr>
          <w:p w14:paraId="2EC94A0A">
            <w:pPr>
              <w:jc w:val="center"/>
              <w:rPr>
                <w:color w:val="auto"/>
                <w:highlight w:val="none"/>
              </w:rPr>
            </w:pPr>
          </w:p>
        </w:tc>
        <w:tc>
          <w:tcPr>
            <w:tcW w:w="1418" w:type="dxa"/>
            <w:gridSpan w:val="3"/>
            <w:vAlign w:val="center"/>
          </w:tcPr>
          <w:p w14:paraId="7D1497AD">
            <w:pPr>
              <w:jc w:val="center"/>
              <w:rPr>
                <w:color w:val="auto"/>
                <w:highlight w:val="none"/>
              </w:rPr>
            </w:pPr>
          </w:p>
        </w:tc>
        <w:tc>
          <w:tcPr>
            <w:tcW w:w="1632" w:type="dxa"/>
            <w:gridSpan w:val="4"/>
            <w:vAlign w:val="center"/>
          </w:tcPr>
          <w:p w14:paraId="5C73828A">
            <w:pPr>
              <w:jc w:val="center"/>
              <w:rPr>
                <w:color w:val="auto"/>
                <w:highlight w:val="none"/>
              </w:rPr>
            </w:pPr>
          </w:p>
        </w:tc>
        <w:tc>
          <w:tcPr>
            <w:tcW w:w="1416" w:type="dxa"/>
            <w:gridSpan w:val="2"/>
            <w:vAlign w:val="center"/>
          </w:tcPr>
          <w:p w14:paraId="51C6A7E1">
            <w:pPr>
              <w:jc w:val="center"/>
              <w:rPr>
                <w:color w:val="auto"/>
                <w:highlight w:val="none"/>
              </w:rPr>
            </w:pPr>
          </w:p>
        </w:tc>
      </w:tr>
      <w:tr w14:paraId="743F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3DCB1550">
            <w:pPr>
              <w:jc w:val="center"/>
              <w:rPr>
                <w:color w:val="auto"/>
                <w:highlight w:val="none"/>
              </w:rPr>
            </w:pPr>
          </w:p>
        </w:tc>
        <w:tc>
          <w:tcPr>
            <w:tcW w:w="1188" w:type="dxa"/>
            <w:gridSpan w:val="2"/>
            <w:vAlign w:val="center"/>
          </w:tcPr>
          <w:p w14:paraId="0D4FAD1D">
            <w:pPr>
              <w:jc w:val="center"/>
              <w:rPr>
                <w:color w:val="auto"/>
                <w:highlight w:val="none"/>
              </w:rPr>
            </w:pPr>
          </w:p>
        </w:tc>
        <w:tc>
          <w:tcPr>
            <w:tcW w:w="1222" w:type="dxa"/>
            <w:gridSpan w:val="3"/>
            <w:vAlign w:val="center"/>
          </w:tcPr>
          <w:p w14:paraId="7B541F71">
            <w:pPr>
              <w:jc w:val="center"/>
              <w:rPr>
                <w:rFonts w:cs="宋体"/>
                <w:color w:val="auto"/>
                <w:highlight w:val="none"/>
              </w:rPr>
            </w:pPr>
          </w:p>
        </w:tc>
        <w:tc>
          <w:tcPr>
            <w:tcW w:w="1417" w:type="dxa"/>
            <w:gridSpan w:val="3"/>
            <w:vAlign w:val="center"/>
          </w:tcPr>
          <w:p w14:paraId="26D7F205">
            <w:pPr>
              <w:jc w:val="center"/>
              <w:rPr>
                <w:color w:val="auto"/>
                <w:highlight w:val="none"/>
              </w:rPr>
            </w:pPr>
          </w:p>
        </w:tc>
        <w:tc>
          <w:tcPr>
            <w:tcW w:w="1418" w:type="dxa"/>
            <w:gridSpan w:val="3"/>
            <w:vAlign w:val="center"/>
          </w:tcPr>
          <w:p w14:paraId="00A3BFD5">
            <w:pPr>
              <w:jc w:val="center"/>
              <w:rPr>
                <w:color w:val="auto"/>
                <w:highlight w:val="none"/>
              </w:rPr>
            </w:pPr>
          </w:p>
        </w:tc>
        <w:tc>
          <w:tcPr>
            <w:tcW w:w="1632" w:type="dxa"/>
            <w:gridSpan w:val="4"/>
            <w:vAlign w:val="center"/>
          </w:tcPr>
          <w:p w14:paraId="313F771D">
            <w:pPr>
              <w:jc w:val="center"/>
              <w:rPr>
                <w:color w:val="auto"/>
                <w:highlight w:val="none"/>
              </w:rPr>
            </w:pPr>
          </w:p>
        </w:tc>
        <w:tc>
          <w:tcPr>
            <w:tcW w:w="1416" w:type="dxa"/>
            <w:gridSpan w:val="2"/>
            <w:vAlign w:val="center"/>
          </w:tcPr>
          <w:p w14:paraId="03BFB217">
            <w:pPr>
              <w:jc w:val="center"/>
              <w:rPr>
                <w:color w:val="auto"/>
                <w:highlight w:val="none"/>
              </w:rPr>
            </w:pPr>
          </w:p>
        </w:tc>
      </w:tr>
      <w:tr w14:paraId="093A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2C17A964">
            <w:pPr>
              <w:jc w:val="center"/>
              <w:rPr>
                <w:color w:val="auto"/>
                <w:highlight w:val="none"/>
              </w:rPr>
            </w:pPr>
            <w:r>
              <w:rPr>
                <w:rFonts w:hint="eastAsia" w:cs="宋体"/>
                <w:color w:val="auto"/>
                <w:highlight w:val="none"/>
              </w:rPr>
              <w:t>在建和已完工程项目情况</w:t>
            </w:r>
          </w:p>
        </w:tc>
      </w:tr>
      <w:tr w14:paraId="1690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10E83E59">
            <w:pPr>
              <w:jc w:val="center"/>
              <w:rPr>
                <w:color w:val="auto"/>
                <w:highlight w:val="none"/>
              </w:rPr>
            </w:pPr>
          </w:p>
        </w:tc>
        <w:tc>
          <w:tcPr>
            <w:tcW w:w="1548" w:type="dxa"/>
            <w:gridSpan w:val="2"/>
            <w:vAlign w:val="center"/>
          </w:tcPr>
          <w:p w14:paraId="22E9290B">
            <w:pPr>
              <w:jc w:val="center"/>
              <w:rPr>
                <w:color w:val="auto"/>
                <w:highlight w:val="none"/>
              </w:rPr>
            </w:pPr>
            <w:r>
              <w:rPr>
                <w:rFonts w:hint="eastAsia"/>
                <w:color w:val="auto"/>
                <w:highlight w:val="none"/>
              </w:rPr>
              <w:t>项目1</w:t>
            </w:r>
          </w:p>
        </w:tc>
        <w:tc>
          <w:tcPr>
            <w:tcW w:w="1837" w:type="dxa"/>
            <w:gridSpan w:val="4"/>
            <w:vAlign w:val="center"/>
          </w:tcPr>
          <w:p w14:paraId="0635ACF4">
            <w:pPr>
              <w:jc w:val="center"/>
              <w:rPr>
                <w:color w:val="auto"/>
                <w:highlight w:val="none"/>
              </w:rPr>
            </w:pPr>
            <w:r>
              <w:rPr>
                <w:rFonts w:hint="eastAsia"/>
                <w:color w:val="auto"/>
                <w:highlight w:val="none"/>
              </w:rPr>
              <w:t>项目2</w:t>
            </w:r>
          </w:p>
        </w:tc>
        <w:tc>
          <w:tcPr>
            <w:tcW w:w="1472" w:type="dxa"/>
            <w:gridSpan w:val="3"/>
            <w:vAlign w:val="center"/>
          </w:tcPr>
          <w:p w14:paraId="67EC1650">
            <w:pPr>
              <w:jc w:val="center"/>
              <w:rPr>
                <w:color w:val="auto"/>
                <w:highlight w:val="none"/>
              </w:rPr>
            </w:pPr>
            <w:r>
              <w:rPr>
                <w:rFonts w:hint="eastAsia"/>
                <w:color w:val="auto"/>
                <w:highlight w:val="none"/>
              </w:rPr>
              <w:t>项目3</w:t>
            </w:r>
          </w:p>
        </w:tc>
        <w:tc>
          <w:tcPr>
            <w:tcW w:w="1641" w:type="dxa"/>
            <w:gridSpan w:val="4"/>
            <w:vAlign w:val="center"/>
          </w:tcPr>
          <w:p w14:paraId="74407FA7">
            <w:pPr>
              <w:jc w:val="center"/>
              <w:rPr>
                <w:color w:val="auto"/>
                <w:highlight w:val="none"/>
              </w:rPr>
            </w:pPr>
            <w:r>
              <w:rPr>
                <w:rFonts w:hint="eastAsia"/>
                <w:color w:val="auto"/>
                <w:highlight w:val="none"/>
              </w:rPr>
              <w:t>项目4</w:t>
            </w:r>
          </w:p>
        </w:tc>
        <w:tc>
          <w:tcPr>
            <w:tcW w:w="1484" w:type="dxa"/>
            <w:gridSpan w:val="2"/>
            <w:vAlign w:val="center"/>
          </w:tcPr>
          <w:p w14:paraId="0868379E">
            <w:pPr>
              <w:jc w:val="center"/>
              <w:rPr>
                <w:color w:val="auto"/>
                <w:highlight w:val="none"/>
              </w:rPr>
            </w:pPr>
            <w:r>
              <w:rPr>
                <w:rFonts w:hint="eastAsia"/>
                <w:color w:val="auto"/>
                <w:highlight w:val="none"/>
              </w:rPr>
              <w:t>……</w:t>
            </w:r>
          </w:p>
        </w:tc>
      </w:tr>
      <w:tr w14:paraId="55F1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3C7EBB94">
            <w:pPr>
              <w:jc w:val="center"/>
              <w:rPr>
                <w:color w:val="auto"/>
                <w:highlight w:val="none"/>
              </w:rPr>
            </w:pPr>
            <w:r>
              <w:rPr>
                <w:rFonts w:hint="eastAsia"/>
                <w:color w:val="auto"/>
                <w:highlight w:val="none"/>
              </w:rPr>
              <w:t>项目名称</w:t>
            </w:r>
          </w:p>
        </w:tc>
        <w:tc>
          <w:tcPr>
            <w:tcW w:w="1548" w:type="dxa"/>
            <w:gridSpan w:val="2"/>
            <w:vAlign w:val="center"/>
          </w:tcPr>
          <w:p w14:paraId="3B5FDF95">
            <w:pPr>
              <w:jc w:val="center"/>
              <w:rPr>
                <w:color w:val="auto"/>
                <w:highlight w:val="none"/>
              </w:rPr>
            </w:pPr>
          </w:p>
        </w:tc>
        <w:tc>
          <w:tcPr>
            <w:tcW w:w="1837" w:type="dxa"/>
            <w:gridSpan w:val="4"/>
            <w:vAlign w:val="center"/>
          </w:tcPr>
          <w:p w14:paraId="169BA11E">
            <w:pPr>
              <w:jc w:val="center"/>
              <w:rPr>
                <w:color w:val="auto"/>
                <w:highlight w:val="none"/>
              </w:rPr>
            </w:pPr>
          </w:p>
        </w:tc>
        <w:tc>
          <w:tcPr>
            <w:tcW w:w="1472" w:type="dxa"/>
            <w:gridSpan w:val="3"/>
            <w:vAlign w:val="center"/>
          </w:tcPr>
          <w:p w14:paraId="5FF48455">
            <w:pPr>
              <w:jc w:val="center"/>
              <w:rPr>
                <w:color w:val="auto"/>
                <w:highlight w:val="none"/>
              </w:rPr>
            </w:pPr>
          </w:p>
        </w:tc>
        <w:tc>
          <w:tcPr>
            <w:tcW w:w="1641" w:type="dxa"/>
            <w:gridSpan w:val="4"/>
            <w:vAlign w:val="center"/>
          </w:tcPr>
          <w:p w14:paraId="4397D562">
            <w:pPr>
              <w:jc w:val="center"/>
              <w:rPr>
                <w:color w:val="auto"/>
                <w:highlight w:val="none"/>
              </w:rPr>
            </w:pPr>
          </w:p>
        </w:tc>
        <w:tc>
          <w:tcPr>
            <w:tcW w:w="1484" w:type="dxa"/>
            <w:gridSpan w:val="2"/>
            <w:vAlign w:val="center"/>
          </w:tcPr>
          <w:p w14:paraId="5E85290C">
            <w:pPr>
              <w:jc w:val="center"/>
              <w:rPr>
                <w:color w:val="auto"/>
                <w:highlight w:val="none"/>
              </w:rPr>
            </w:pPr>
          </w:p>
        </w:tc>
      </w:tr>
      <w:tr w14:paraId="4AD6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57BC8C2">
            <w:pPr>
              <w:jc w:val="center"/>
              <w:rPr>
                <w:color w:val="auto"/>
                <w:highlight w:val="none"/>
              </w:rPr>
            </w:pPr>
            <w:r>
              <w:rPr>
                <w:rFonts w:hint="eastAsia" w:cs="宋体"/>
                <w:color w:val="auto"/>
                <w:highlight w:val="none"/>
              </w:rPr>
              <w:t>建设单位</w:t>
            </w:r>
          </w:p>
        </w:tc>
        <w:tc>
          <w:tcPr>
            <w:tcW w:w="1548" w:type="dxa"/>
            <w:gridSpan w:val="2"/>
            <w:vAlign w:val="center"/>
          </w:tcPr>
          <w:p w14:paraId="1F04C05F">
            <w:pPr>
              <w:jc w:val="center"/>
              <w:rPr>
                <w:color w:val="auto"/>
                <w:highlight w:val="none"/>
              </w:rPr>
            </w:pPr>
          </w:p>
        </w:tc>
        <w:tc>
          <w:tcPr>
            <w:tcW w:w="1837" w:type="dxa"/>
            <w:gridSpan w:val="4"/>
            <w:vAlign w:val="center"/>
          </w:tcPr>
          <w:p w14:paraId="29F0742C">
            <w:pPr>
              <w:jc w:val="center"/>
              <w:rPr>
                <w:color w:val="auto"/>
                <w:highlight w:val="none"/>
              </w:rPr>
            </w:pPr>
          </w:p>
        </w:tc>
        <w:tc>
          <w:tcPr>
            <w:tcW w:w="1472" w:type="dxa"/>
            <w:gridSpan w:val="3"/>
            <w:vAlign w:val="center"/>
          </w:tcPr>
          <w:p w14:paraId="23DC66D0">
            <w:pPr>
              <w:jc w:val="center"/>
              <w:rPr>
                <w:color w:val="auto"/>
                <w:highlight w:val="none"/>
              </w:rPr>
            </w:pPr>
          </w:p>
        </w:tc>
        <w:tc>
          <w:tcPr>
            <w:tcW w:w="1641" w:type="dxa"/>
            <w:gridSpan w:val="4"/>
            <w:vAlign w:val="center"/>
          </w:tcPr>
          <w:p w14:paraId="3D5774E0">
            <w:pPr>
              <w:jc w:val="center"/>
              <w:rPr>
                <w:color w:val="auto"/>
                <w:highlight w:val="none"/>
              </w:rPr>
            </w:pPr>
          </w:p>
        </w:tc>
        <w:tc>
          <w:tcPr>
            <w:tcW w:w="1484" w:type="dxa"/>
            <w:gridSpan w:val="2"/>
            <w:vAlign w:val="center"/>
          </w:tcPr>
          <w:p w14:paraId="74D807C9">
            <w:pPr>
              <w:jc w:val="center"/>
              <w:rPr>
                <w:color w:val="auto"/>
                <w:highlight w:val="none"/>
              </w:rPr>
            </w:pPr>
          </w:p>
        </w:tc>
      </w:tr>
      <w:tr w14:paraId="37D7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370D816">
            <w:pPr>
              <w:jc w:val="center"/>
              <w:rPr>
                <w:color w:val="auto"/>
                <w:highlight w:val="none"/>
              </w:rPr>
            </w:pPr>
            <w:r>
              <w:rPr>
                <w:rFonts w:hint="eastAsia" w:cs="宋体"/>
                <w:color w:val="auto"/>
                <w:highlight w:val="none"/>
              </w:rPr>
              <w:t>建设规模</w:t>
            </w:r>
          </w:p>
        </w:tc>
        <w:tc>
          <w:tcPr>
            <w:tcW w:w="1548" w:type="dxa"/>
            <w:gridSpan w:val="2"/>
            <w:vAlign w:val="center"/>
          </w:tcPr>
          <w:p w14:paraId="14A0D823">
            <w:pPr>
              <w:jc w:val="center"/>
              <w:rPr>
                <w:color w:val="auto"/>
                <w:highlight w:val="none"/>
              </w:rPr>
            </w:pPr>
          </w:p>
        </w:tc>
        <w:tc>
          <w:tcPr>
            <w:tcW w:w="1837" w:type="dxa"/>
            <w:gridSpan w:val="4"/>
            <w:vAlign w:val="center"/>
          </w:tcPr>
          <w:p w14:paraId="7A46E785">
            <w:pPr>
              <w:jc w:val="center"/>
              <w:rPr>
                <w:color w:val="auto"/>
                <w:highlight w:val="none"/>
              </w:rPr>
            </w:pPr>
          </w:p>
        </w:tc>
        <w:tc>
          <w:tcPr>
            <w:tcW w:w="1472" w:type="dxa"/>
            <w:gridSpan w:val="3"/>
            <w:vAlign w:val="center"/>
          </w:tcPr>
          <w:p w14:paraId="4CE621B8">
            <w:pPr>
              <w:jc w:val="center"/>
              <w:rPr>
                <w:color w:val="auto"/>
                <w:highlight w:val="none"/>
              </w:rPr>
            </w:pPr>
          </w:p>
        </w:tc>
        <w:tc>
          <w:tcPr>
            <w:tcW w:w="1641" w:type="dxa"/>
            <w:gridSpan w:val="4"/>
            <w:vAlign w:val="center"/>
          </w:tcPr>
          <w:p w14:paraId="2BA01759">
            <w:pPr>
              <w:jc w:val="center"/>
              <w:rPr>
                <w:color w:val="auto"/>
                <w:highlight w:val="none"/>
              </w:rPr>
            </w:pPr>
          </w:p>
        </w:tc>
        <w:tc>
          <w:tcPr>
            <w:tcW w:w="1484" w:type="dxa"/>
            <w:gridSpan w:val="2"/>
            <w:vAlign w:val="center"/>
          </w:tcPr>
          <w:p w14:paraId="4272C32D">
            <w:pPr>
              <w:jc w:val="center"/>
              <w:rPr>
                <w:color w:val="auto"/>
                <w:highlight w:val="none"/>
              </w:rPr>
            </w:pPr>
          </w:p>
        </w:tc>
      </w:tr>
      <w:tr w14:paraId="2EA9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4E50B0F">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0A2B5B1B">
            <w:pPr>
              <w:jc w:val="center"/>
              <w:rPr>
                <w:color w:val="auto"/>
                <w:highlight w:val="none"/>
              </w:rPr>
            </w:pPr>
          </w:p>
        </w:tc>
        <w:tc>
          <w:tcPr>
            <w:tcW w:w="1837" w:type="dxa"/>
            <w:gridSpan w:val="4"/>
            <w:vAlign w:val="center"/>
          </w:tcPr>
          <w:p w14:paraId="192BE25D">
            <w:pPr>
              <w:jc w:val="center"/>
              <w:rPr>
                <w:color w:val="auto"/>
                <w:highlight w:val="none"/>
              </w:rPr>
            </w:pPr>
          </w:p>
        </w:tc>
        <w:tc>
          <w:tcPr>
            <w:tcW w:w="1472" w:type="dxa"/>
            <w:gridSpan w:val="3"/>
            <w:vAlign w:val="center"/>
          </w:tcPr>
          <w:p w14:paraId="320A9AA6">
            <w:pPr>
              <w:jc w:val="center"/>
              <w:rPr>
                <w:color w:val="auto"/>
                <w:highlight w:val="none"/>
              </w:rPr>
            </w:pPr>
          </w:p>
        </w:tc>
        <w:tc>
          <w:tcPr>
            <w:tcW w:w="1641" w:type="dxa"/>
            <w:gridSpan w:val="4"/>
            <w:vAlign w:val="center"/>
          </w:tcPr>
          <w:p w14:paraId="39EA2DB3">
            <w:pPr>
              <w:jc w:val="center"/>
              <w:rPr>
                <w:color w:val="auto"/>
                <w:highlight w:val="none"/>
              </w:rPr>
            </w:pPr>
          </w:p>
        </w:tc>
        <w:tc>
          <w:tcPr>
            <w:tcW w:w="1484" w:type="dxa"/>
            <w:gridSpan w:val="2"/>
            <w:vAlign w:val="center"/>
          </w:tcPr>
          <w:p w14:paraId="2174BD2F">
            <w:pPr>
              <w:jc w:val="center"/>
              <w:rPr>
                <w:color w:val="auto"/>
                <w:highlight w:val="none"/>
              </w:rPr>
            </w:pPr>
          </w:p>
        </w:tc>
      </w:tr>
      <w:tr w14:paraId="4020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97C55DE">
            <w:pPr>
              <w:jc w:val="center"/>
              <w:rPr>
                <w:color w:val="auto"/>
                <w:highlight w:val="none"/>
              </w:rPr>
            </w:pPr>
            <w:r>
              <w:rPr>
                <w:rFonts w:hint="eastAsia" w:cs="宋体"/>
                <w:color w:val="auto"/>
                <w:highlight w:val="none"/>
              </w:rPr>
              <w:t>竣工日期</w:t>
            </w:r>
          </w:p>
        </w:tc>
        <w:tc>
          <w:tcPr>
            <w:tcW w:w="1548" w:type="dxa"/>
            <w:gridSpan w:val="2"/>
            <w:vAlign w:val="center"/>
          </w:tcPr>
          <w:p w14:paraId="22A7436A">
            <w:pPr>
              <w:jc w:val="center"/>
              <w:rPr>
                <w:color w:val="auto"/>
                <w:highlight w:val="none"/>
              </w:rPr>
            </w:pPr>
          </w:p>
        </w:tc>
        <w:tc>
          <w:tcPr>
            <w:tcW w:w="1837" w:type="dxa"/>
            <w:gridSpan w:val="4"/>
            <w:vAlign w:val="center"/>
          </w:tcPr>
          <w:p w14:paraId="06222436">
            <w:pPr>
              <w:jc w:val="center"/>
              <w:rPr>
                <w:color w:val="auto"/>
                <w:highlight w:val="none"/>
              </w:rPr>
            </w:pPr>
          </w:p>
        </w:tc>
        <w:tc>
          <w:tcPr>
            <w:tcW w:w="1472" w:type="dxa"/>
            <w:gridSpan w:val="3"/>
            <w:vAlign w:val="center"/>
          </w:tcPr>
          <w:p w14:paraId="701B805E">
            <w:pPr>
              <w:jc w:val="center"/>
              <w:rPr>
                <w:color w:val="auto"/>
                <w:highlight w:val="none"/>
              </w:rPr>
            </w:pPr>
          </w:p>
        </w:tc>
        <w:tc>
          <w:tcPr>
            <w:tcW w:w="1641" w:type="dxa"/>
            <w:gridSpan w:val="4"/>
            <w:vAlign w:val="center"/>
          </w:tcPr>
          <w:p w14:paraId="6A73C9A0">
            <w:pPr>
              <w:jc w:val="center"/>
              <w:rPr>
                <w:color w:val="auto"/>
                <w:highlight w:val="none"/>
              </w:rPr>
            </w:pPr>
          </w:p>
        </w:tc>
        <w:tc>
          <w:tcPr>
            <w:tcW w:w="1484" w:type="dxa"/>
            <w:gridSpan w:val="2"/>
            <w:vAlign w:val="center"/>
          </w:tcPr>
          <w:p w14:paraId="0C43B2F7">
            <w:pPr>
              <w:jc w:val="center"/>
              <w:rPr>
                <w:color w:val="auto"/>
                <w:highlight w:val="none"/>
              </w:rPr>
            </w:pPr>
          </w:p>
        </w:tc>
      </w:tr>
      <w:tr w14:paraId="4464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CFEA343">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049F25A4">
            <w:pPr>
              <w:jc w:val="center"/>
              <w:rPr>
                <w:color w:val="auto"/>
                <w:highlight w:val="none"/>
              </w:rPr>
            </w:pPr>
          </w:p>
        </w:tc>
        <w:tc>
          <w:tcPr>
            <w:tcW w:w="1837" w:type="dxa"/>
            <w:gridSpan w:val="4"/>
            <w:vAlign w:val="center"/>
          </w:tcPr>
          <w:p w14:paraId="2F10E4F7">
            <w:pPr>
              <w:jc w:val="center"/>
              <w:rPr>
                <w:color w:val="auto"/>
                <w:highlight w:val="none"/>
              </w:rPr>
            </w:pPr>
          </w:p>
        </w:tc>
        <w:tc>
          <w:tcPr>
            <w:tcW w:w="1472" w:type="dxa"/>
            <w:gridSpan w:val="3"/>
            <w:vAlign w:val="center"/>
          </w:tcPr>
          <w:p w14:paraId="5A88E1B7">
            <w:pPr>
              <w:jc w:val="center"/>
              <w:rPr>
                <w:color w:val="auto"/>
                <w:highlight w:val="none"/>
              </w:rPr>
            </w:pPr>
          </w:p>
        </w:tc>
        <w:tc>
          <w:tcPr>
            <w:tcW w:w="1641" w:type="dxa"/>
            <w:gridSpan w:val="4"/>
            <w:vAlign w:val="center"/>
          </w:tcPr>
          <w:p w14:paraId="6F3E8C62">
            <w:pPr>
              <w:jc w:val="center"/>
              <w:rPr>
                <w:color w:val="auto"/>
                <w:highlight w:val="none"/>
              </w:rPr>
            </w:pPr>
          </w:p>
        </w:tc>
        <w:tc>
          <w:tcPr>
            <w:tcW w:w="1484" w:type="dxa"/>
            <w:gridSpan w:val="2"/>
            <w:vAlign w:val="center"/>
          </w:tcPr>
          <w:p w14:paraId="70B2056A">
            <w:pPr>
              <w:jc w:val="center"/>
              <w:rPr>
                <w:color w:val="auto"/>
                <w:highlight w:val="none"/>
              </w:rPr>
            </w:pPr>
          </w:p>
        </w:tc>
      </w:tr>
      <w:tr w14:paraId="4F81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8887764">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0FC9D4C9">
            <w:pPr>
              <w:jc w:val="center"/>
              <w:rPr>
                <w:color w:val="auto"/>
                <w:highlight w:val="none"/>
              </w:rPr>
            </w:pPr>
          </w:p>
        </w:tc>
        <w:tc>
          <w:tcPr>
            <w:tcW w:w="1837" w:type="dxa"/>
            <w:gridSpan w:val="4"/>
            <w:vAlign w:val="center"/>
          </w:tcPr>
          <w:p w14:paraId="58799104">
            <w:pPr>
              <w:jc w:val="center"/>
              <w:rPr>
                <w:color w:val="auto"/>
                <w:highlight w:val="none"/>
              </w:rPr>
            </w:pPr>
          </w:p>
        </w:tc>
        <w:tc>
          <w:tcPr>
            <w:tcW w:w="1472" w:type="dxa"/>
            <w:gridSpan w:val="3"/>
            <w:vAlign w:val="center"/>
          </w:tcPr>
          <w:p w14:paraId="1BB35B19">
            <w:pPr>
              <w:jc w:val="center"/>
              <w:rPr>
                <w:color w:val="auto"/>
                <w:highlight w:val="none"/>
              </w:rPr>
            </w:pPr>
          </w:p>
        </w:tc>
        <w:tc>
          <w:tcPr>
            <w:tcW w:w="1641" w:type="dxa"/>
            <w:gridSpan w:val="4"/>
            <w:vAlign w:val="center"/>
          </w:tcPr>
          <w:p w14:paraId="6062CF7D">
            <w:pPr>
              <w:jc w:val="center"/>
              <w:rPr>
                <w:color w:val="auto"/>
                <w:highlight w:val="none"/>
              </w:rPr>
            </w:pPr>
          </w:p>
        </w:tc>
        <w:tc>
          <w:tcPr>
            <w:tcW w:w="1484" w:type="dxa"/>
            <w:gridSpan w:val="2"/>
            <w:vAlign w:val="center"/>
          </w:tcPr>
          <w:p w14:paraId="034A96E2">
            <w:pPr>
              <w:jc w:val="center"/>
              <w:rPr>
                <w:color w:val="auto"/>
                <w:highlight w:val="none"/>
              </w:rPr>
            </w:pPr>
          </w:p>
        </w:tc>
      </w:tr>
      <w:tr w14:paraId="5A89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5BB188D">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370D8E05">
            <w:pPr>
              <w:jc w:val="center"/>
              <w:rPr>
                <w:color w:val="auto"/>
                <w:highlight w:val="none"/>
              </w:rPr>
            </w:pPr>
          </w:p>
        </w:tc>
        <w:tc>
          <w:tcPr>
            <w:tcW w:w="1837" w:type="dxa"/>
            <w:gridSpan w:val="4"/>
            <w:vAlign w:val="center"/>
          </w:tcPr>
          <w:p w14:paraId="4C78D5C3">
            <w:pPr>
              <w:jc w:val="center"/>
              <w:rPr>
                <w:color w:val="auto"/>
                <w:highlight w:val="none"/>
              </w:rPr>
            </w:pPr>
          </w:p>
        </w:tc>
        <w:tc>
          <w:tcPr>
            <w:tcW w:w="1472" w:type="dxa"/>
            <w:gridSpan w:val="3"/>
            <w:vAlign w:val="center"/>
          </w:tcPr>
          <w:p w14:paraId="72EDBC18">
            <w:pPr>
              <w:jc w:val="center"/>
              <w:rPr>
                <w:color w:val="auto"/>
                <w:highlight w:val="none"/>
              </w:rPr>
            </w:pPr>
          </w:p>
        </w:tc>
        <w:tc>
          <w:tcPr>
            <w:tcW w:w="1641" w:type="dxa"/>
            <w:gridSpan w:val="4"/>
            <w:vAlign w:val="center"/>
          </w:tcPr>
          <w:p w14:paraId="04E0B59B">
            <w:pPr>
              <w:jc w:val="center"/>
              <w:rPr>
                <w:color w:val="auto"/>
                <w:highlight w:val="none"/>
              </w:rPr>
            </w:pPr>
          </w:p>
        </w:tc>
        <w:tc>
          <w:tcPr>
            <w:tcW w:w="1484" w:type="dxa"/>
            <w:gridSpan w:val="2"/>
            <w:vAlign w:val="center"/>
          </w:tcPr>
          <w:p w14:paraId="78E814B6">
            <w:pPr>
              <w:jc w:val="center"/>
              <w:rPr>
                <w:color w:val="auto"/>
                <w:highlight w:val="none"/>
              </w:rPr>
            </w:pPr>
          </w:p>
        </w:tc>
      </w:tr>
      <w:tr w14:paraId="77FF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4BD9FC4">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31EC67B6">
            <w:pPr>
              <w:jc w:val="center"/>
              <w:rPr>
                <w:color w:val="auto"/>
                <w:highlight w:val="none"/>
              </w:rPr>
            </w:pPr>
          </w:p>
        </w:tc>
        <w:tc>
          <w:tcPr>
            <w:tcW w:w="1837" w:type="dxa"/>
            <w:gridSpan w:val="4"/>
            <w:vAlign w:val="center"/>
          </w:tcPr>
          <w:p w14:paraId="076A13AE">
            <w:pPr>
              <w:jc w:val="center"/>
              <w:rPr>
                <w:color w:val="auto"/>
                <w:highlight w:val="none"/>
              </w:rPr>
            </w:pPr>
          </w:p>
        </w:tc>
        <w:tc>
          <w:tcPr>
            <w:tcW w:w="1472" w:type="dxa"/>
            <w:gridSpan w:val="3"/>
            <w:vAlign w:val="center"/>
          </w:tcPr>
          <w:p w14:paraId="59BA1CC3">
            <w:pPr>
              <w:jc w:val="center"/>
              <w:rPr>
                <w:color w:val="auto"/>
                <w:highlight w:val="none"/>
              </w:rPr>
            </w:pPr>
          </w:p>
        </w:tc>
        <w:tc>
          <w:tcPr>
            <w:tcW w:w="1641" w:type="dxa"/>
            <w:gridSpan w:val="4"/>
            <w:vAlign w:val="center"/>
          </w:tcPr>
          <w:p w14:paraId="374677FE">
            <w:pPr>
              <w:jc w:val="center"/>
              <w:rPr>
                <w:color w:val="auto"/>
                <w:highlight w:val="none"/>
              </w:rPr>
            </w:pPr>
          </w:p>
        </w:tc>
        <w:tc>
          <w:tcPr>
            <w:tcW w:w="1484" w:type="dxa"/>
            <w:gridSpan w:val="2"/>
            <w:vAlign w:val="center"/>
          </w:tcPr>
          <w:p w14:paraId="24485B36">
            <w:pPr>
              <w:jc w:val="center"/>
              <w:rPr>
                <w:color w:val="auto"/>
                <w:highlight w:val="none"/>
              </w:rPr>
            </w:pPr>
          </w:p>
        </w:tc>
      </w:tr>
    </w:tbl>
    <w:p w14:paraId="2D3CFCEB">
      <w:pPr>
        <w:spacing w:line="360" w:lineRule="auto"/>
        <w:rPr>
          <w:rFonts w:ascii="宋体" w:hAnsi="宋体"/>
          <w:color w:val="auto"/>
          <w:szCs w:val="21"/>
          <w:highlight w:val="none"/>
        </w:rPr>
      </w:pPr>
      <w:r>
        <w:rPr>
          <w:rFonts w:hint="eastAsia" w:ascii="宋体" w:hAnsi="宋体" w:cs="楷体_GB2312"/>
          <w:color w:val="auto"/>
          <w:szCs w:val="21"/>
          <w:highlight w:val="none"/>
        </w:rPr>
        <w:t>备注：</w:t>
      </w:r>
    </w:p>
    <w:p w14:paraId="24EAF7ED">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2F3823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2.本表后附项目技术负责人（项目总工）的学历证、本表所列证书扫描件并加盖供应商电子签章。</w:t>
      </w:r>
    </w:p>
    <w:p w14:paraId="26C8316E">
      <w:pPr>
        <w:spacing w:line="360" w:lineRule="auto"/>
        <w:rPr>
          <w:rFonts w:eastAsia="楷体_GB2312"/>
          <w:color w:val="auto"/>
          <w:highlight w:val="none"/>
        </w:rPr>
      </w:pPr>
    </w:p>
    <w:p w14:paraId="13B8077A">
      <w:pPr>
        <w:pStyle w:val="19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color w:val="auto"/>
          <w:highlight w:val="none"/>
          <w:u w:val="single"/>
        </w:rPr>
      </w:pPr>
      <w:r>
        <w:rPr>
          <w:rFonts w:cs="宋体"/>
          <w:b/>
          <w:bCs/>
          <w:color w:val="auto"/>
          <w:sz w:val="28"/>
          <w:szCs w:val="28"/>
          <w:highlight w:val="none"/>
        </w:rPr>
        <w:br w:type="page"/>
      </w:r>
      <w:r>
        <w:rPr>
          <w:rFonts w:hint="eastAsia" w:cs="宋体"/>
          <w:b/>
          <w:color w:val="auto"/>
          <w:sz w:val="32"/>
          <w:szCs w:val="32"/>
          <w:highlight w:val="none"/>
        </w:rPr>
        <w:t>专职安全生产管理人员</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1275"/>
        <w:gridCol w:w="142"/>
        <w:gridCol w:w="242"/>
        <w:gridCol w:w="1088"/>
        <w:gridCol w:w="88"/>
        <w:gridCol w:w="409"/>
        <w:gridCol w:w="1108"/>
        <w:gridCol w:w="36"/>
        <w:gridCol w:w="79"/>
        <w:gridCol w:w="1405"/>
        <w:gridCol w:w="11"/>
      </w:tblGrid>
      <w:tr w14:paraId="62FD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4A69E436">
            <w:pPr>
              <w:jc w:val="center"/>
              <w:rPr>
                <w:color w:val="auto"/>
                <w:highlight w:val="none"/>
              </w:rPr>
            </w:pPr>
            <w:r>
              <w:rPr>
                <w:rFonts w:hint="eastAsia" w:cs="宋体"/>
                <w:color w:val="auto"/>
                <w:highlight w:val="none"/>
              </w:rPr>
              <w:t>姓名</w:t>
            </w:r>
          </w:p>
        </w:tc>
        <w:tc>
          <w:tcPr>
            <w:tcW w:w="2340" w:type="dxa"/>
            <w:gridSpan w:val="5"/>
            <w:vAlign w:val="center"/>
          </w:tcPr>
          <w:p w14:paraId="43269DD6">
            <w:pPr>
              <w:jc w:val="center"/>
              <w:rPr>
                <w:color w:val="auto"/>
                <w:highlight w:val="none"/>
              </w:rPr>
            </w:pPr>
          </w:p>
        </w:tc>
        <w:tc>
          <w:tcPr>
            <w:tcW w:w="1893" w:type="dxa"/>
            <w:gridSpan w:val="4"/>
            <w:vAlign w:val="center"/>
          </w:tcPr>
          <w:p w14:paraId="1DA13968">
            <w:pPr>
              <w:jc w:val="center"/>
              <w:rPr>
                <w:color w:val="auto"/>
                <w:highlight w:val="none"/>
              </w:rPr>
            </w:pPr>
            <w:r>
              <w:rPr>
                <w:rFonts w:hint="eastAsia" w:cs="宋体"/>
                <w:color w:val="auto"/>
                <w:highlight w:val="none"/>
              </w:rPr>
              <w:t>性别</w:t>
            </w:r>
          </w:p>
        </w:tc>
        <w:tc>
          <w:tcPr>
            <w:tcW w:w="1585" w:type="dxa"/>
            <w:gridSpan w:val="3"/>
            <w:vAlign w:val="center"/>
          </w:tcPr>
          <w:p w14:paraId="4733FB31">
            <w:pPr>
              <w:jc w:val="center"/>
              <w:rPr>
                <w:color w:val="auto"/>
                <w:highlight w:val="none"/>
              </w:rPr>
            </w:pPr>
          </w:p>
        </w:tc>
        <w:tc>
          <w:tcPr>
            <w:tcW w:w="1108" w:type="dxa"/>
            <w:vAlign w:val="center"/>
          </w:tcPr>
          <w:p w14:paraId="7568453A">
            <w:pPr>
              <w:jc w:val="center"/>
              <w:rPr>
                <w:color w:val="auto"/>
                <w:highlight w:val="none"/>
              </w:rPr>
            </w:pPr>
            <w:r>
              <w:rPr>
                <w:rFonts w:hint="eastAsia" w:cs="宋体"/>
                <w:color w:val="auto"/>
                <w:highlight w:val="none"/>
              </w:rPr>
              <w:t>年龄</w:t>
            </w:r>
          </w:p>
        </w:tc>
        <w:tc>
          <w:tcPr>
            <w:tcW w:w="1531" w:type="dxa"/>
            <w:gridSpan w:val="4"/>
            <w:vAlign w:val="center"/>
          </w:tcPr>
          <w:p w14:paraId="5AAC721E">
            <w:pPr>
              <w:jc w:val="center"/>
              <w:rPr>
                <w:color w:val="auto"/>
                <w:highlight w:val="none"/>
              </w:rPr>
            </w:pPr>
          </w:p>
        </w:tc>
      </w:tr>
      <w:tr w14:paraId="39AE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1E64C604">
            <w:pPr>
              <w:jc w:val="center"/>
              <w:rPr>
                <w:color w:val="auto"/>
                <w:highlight w:val="none"/>
              </w:rPr>
            </w:pPr>
            <w:r>
              <w:rPr>
                <w:rFonts w:hint="eastAsia" w:cs="宋体"/>
                <w:color w:val="auto"/>
                <w:highlight w:val="none"/>
              </w:rPr>
              <w:t>岗位</w:t>
            </w:r>
          </w:p>
        </w:tc>
        <w:tc>
          <w:tcPr>
            <w:tcW w:w="2340" w:type="dxa"/>
            <w:gridSpan w:val="5"/>
            <w:vAlign w:val="center"/>
          </w:tcPr>
          <w:p w14:paraId="55977734">
            <w:pPr>
              <w:jc w:val="center"/>
              <w:rPr>
                <w:color w:val="auto"/>
                <w:highlight w:val="none"/>
              </w:rPr>
            </w:pPr>
            <w:r>
              <w:rPr>
                <w:rFonts w:hint="eastAsia"/>
                <w:color w:val="auto"/>
                <w:highlight w:val="none"/>
              </w:rPr>
              <w:t>专职安全生产管理人员</w:t>
            </w:r>
          </w:p>
        </w:tc>
        <w:tc>
          <w:tcPr>
            <w:tcW w:w="1893" w:type="dxa"/>
            <w:gridSpan w:val="4"/>
            <w:vAlign w:val="center"/>
          </w:tcPr>
          <w:p w14:paraId="67009BDC">
            <w:pPr>
              <w:jc w:val="center"/>
              <w:rPr>
                <w:color w:val="auto"/>
                <w:highlight w:val="none"/>
              </w:rPr>
            </w:pPr>
            <w:r>
              <w:rPr>
                <w:rFonts w:hint="eastAsia" w:cs="宋体"/>
                <w:color w:val="auto"/>
                <w:highlight w:val="none"/>
              </w:rPr>
              <w:t>职称</w:t>
            </w:r>
          </w:p>
        </w:tc>
        <w:tc>
          <w:tcPr>
            <w:tcW w:w="1585" w:type="dxa"/>
            <w:gridSpan w:val="3"/>
            <w:vAlign w:val="center"/>
          </w:tcPr>
          <w:p w14:paraId="2C00257E">
            <w:pPr>
              <w:jc w:val="center"/>
              <w:rPr>
                <w:color w:val="auto"/>
                <w:highlight w:val="none"/>
              </w:rPr>
            </w:pPr>
          </w:p>
        </w:tc>
        <w:tc>
          <w:tcPr>
            <w:tcW w:w="1108" w:type="dxa"/>
            <w:vAlign w:val="center"/>
          </w:tcPr>
          <w:p w14:paraId="1F3371E7">
            <w:pPr>
              <w:jc w:val="center"/>
              <w:rPr>
                <w:color w:val="auto"/>
                <w:highlight w:val="none"/>
              </w:rPr>
            </w:pPr>
            <w:r>
              <w:rPr>
                <w:rFonts w:hint="eastAsia" w:cs="宋体"/>
                <w:color w:val="auto"/>
                <w:highlight w:val="none"/>
              </w:rPr>
              <w:t>学历</w:t>
            </w:r>
          </w:p>
        </w:tc>
        <w:tc>
          <w:tcPr>
            <w:tcW w:w="1531" w:type="dxa"/>
            <w:gridSpan w:val="4"/>
            <w:vAlign w:val="center"/>
          </w:tcPr>
          <w:p w14:paraId="79DA66F6">
            <w:pPr>
              <w:jc w:val="center"/>
              <w:rPr>
                <w:color w:val="auto"/>
                <w:highlight w:val="none"/>
              </w:rPr>
            </w:pPr>
          </w:p>
        </w:tc>
      </w:tr>
      <w:tr w14:paraId="665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14EEB053">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14:paraId="55CEFA18">
            <w:pPr>
              <w:jc w:val="center"/>
              <w:rPr>
                <w:color w:val="auto"/>
                <w:highlight w:val="none"/>
              </w:rPr>
            </w:pPr>
          </w:p>
        </w:tc>
        <w:tc>
          <w:tcPr>
            <w:tcW w:w="1893" w:type="dxa"/>
            <w:gridSpan w:val="4"/>
            <w:vAlign w:val="center"/>
          </w:tcPr>
          <w:p w14:paraId="055DAAB9">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095A37C9">
            <w:pPr>
              <w:jc w:val="center"/>
              <w:rPr>
                <w:color w:val="auto"/>
                <w:highlight w:val="none"/>
              </w:rPr>
            </w:pPr>
          </w:p>
        </w:tc>
        <w:tc>
          <w:tcPr>
            <w:tcW w:w="1108" w:type="dxa"/>
            <w:vAlign w:val="center"/>
          </w:tcPr>
          <w:p w14:paraId="5DE95219">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6DCFBF5C">
            <w:pPr>
              <w:jc w:val="center"/>
              <w:rPr>
                <w:color w:val="auto"/>
                <w:highlight w:val="none"/>
              </w:rPr>
            </w:pPr>
          </w:p>
        </w:tc>
      </w:tr>
      <w:tr w14:paraId="6153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C4BC974">
            <w:pPr>
              <w:jc w:val="center"/>
              <w:rPr>
                <w:color w:val="auto"/>
                <w:highlight w:val="none"/>
              </w:rPr>
            </w:pPr>
            <w:r>
              <w:rPr>
                <w:rFonts w:hint="eastAsia" w:cs="宋体"/>
                <w:color w:val="auto"/>
                <w:highlight w:val="none"/>
              </w:rPr>
              <w:t>担任……年限</w:t>
            </w:r>
          </w:p>
        </w:tc>
        <w:tc>
          <w:tcPr>
            <w:tcW w:w="2263" w:type="dxa"/>
            <w:gridSpan w:val="4"/>
            <w:vAlign w:val="center"/>
          </w:tcPr>
          <w:p w14:paraId="3AB6D845">
            <w:pPr>
              <w:jc w:val="center"/>
              <w:rPr>
                <w:color w:val="auto"/>
                <w:highlight w:val="none"/>
              </w:rPr>
            </w:pPr>
          </w:p>
        </w:tc>
        <w:tc>
          <w:tcPr>
            <w:tcW w:w="1509" w:type="dxa"/>
            <w:gridSpan w:val="2"/>
            <w:vAlign w:val="center"/>
          </w:tcPr>
          <w:p w14:paraId="7D32A218">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62772A42">
            <w:pPr>
              <w:jc w:val="center"/>
              <w:rPr>
                <w:color w:val="auto"/>
                <w:highlight w:val="none"/>
              </w:rPr>
            </w:pPr>
          </w:p>
        </w:tc>
      </w:tr>
      <w:tr w14:paraId="7A16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632853B3">
            <w:pPr>
              <w:jc w:val="center"/>
              <w:rPr>
                <w:color w:val="auto"/>
                <w:highlight w:val="none"/>
              </w:rPr>
            </w:pPr>
            <w:r>
              <w:rPr>
                <w:rFonts w:hint="eastAsia"/>
                <w:color w:val="auto"/>
                <w:highlight w:val="none"/>
              </w:rPr>
              <w:t>证书名称</w:t>
            </w:r>
          </w:p>
        </w:tc>
        <w:tc>
          <w:tcPr>
            <w:tcW w:w="1275" w:type="dxa"/>
            <w:gridSpan w:val="2"/>
            <w:vAlign w:val="center"/>
          </w:tcPr>
          <w:p w14:paraId="2C331E77">
            <w:pPr>
              <w:jc w:val="center"/>
              <w:rPr>
                <w:color w:val="auto"/>
                <w:highlight w:val="none"/>
              </w:rPr>
            </w:pPr>
            <w:r>
              <w:rPr>
                <w:rFonts w:hint="eastAsia"/>
                <w:color w:val="auto"/>
                <w:highlight w:val="none"/>
              </w:rPr>
              <w:t>注册专业</w:t>
            </w:r>
          </w:p>
        </w:tc>
        <w:tc>
          <w:tcPr>
            <w:tcW w:w="1222" w:type="dxa"/>
            <w:gridSpan w:val="3"/>
            <w:vAlign w:val="center"/>
          </w:tcPr>
          <w:p w14:paraId="78583E08">
            <w:pPr>
              <w:jc w:val="center"/>
              <w:rPr>
                <w:color w:val="auto"/>
                <w:highlight w:val="none"/>
              </w:rPr>
            </w:pPr>
            <w:r>
              <w:rPr>
                <w:color w:val="auto"/>
                <w:highlight w:val="none"/>
              </w:rPr>
              <w:t>级别</w:t>
            </w:r>
          </w:p>
        </w:tc>
        <w:tc>
          <w:tcPr>
            <w:tcW w:w="1417" w:type="dxa"/>
            <w:gridSpan w:val="2"/>
            <w:vAlign w:val="center"/>
          </w:tcPr>
          <w:p w14:paraId="0766D90C">
            <w:pPr>
              <w:jc w:val="center"/>
              <w:rPr>
                <w:color w:val="auto"/>
                <w:highlight w:val="none"/>
              </w:rPr>
            </w:pPr>
            <w:r>
              <w:rPr>
                <w:rFonts w:hint="eastAsia" w:cs="宋体"/>
                <w:color w:val="auto"/>
                <w:highlight w:val="none"/>
              </w:rPr>
              <w:t>证书编号</w:t>
            </w:r>
          </w:p>
        </w:tc>
        <w:tc>
          <w:tcPr>
            <w:tcW w:w="1418" w:type="dxa"/>
            <w:gridSpan w:val="3"/>
            <w:vAlign w:val="center"/>
          </w:tcPr>
          <w:p w14:paraId="67FE3E98">
            <w:pPr>
              <w:jc w:val="center"/>
              <w:rPr>
                <w:color w:val="auto"/>
                <w:highlight w:val="none"/>
              </w:rPr>
            </w:pPr>
            <w:r>
              <w:rPr>
                <w:rFonts w:hint="eastAsia"/>
                <w:color w:val="auto"/>
                <w:highlight w:val="none"/>
              </w:rPr>
              <w:t>注册时间</w:t>
            </w:r>
          </w:p>
        </w:tc>
        <w:tc>
          <w:tcPr>
            <w:tcW w:w="1632" w:type="dxa"/>
            <w:gridSpan w:val="4"/>
            <w:vAlign w:val="center"/>
          </w:tcPr>
          <w:p w14:paraId="23C45EF1">
            <w:pPr>
              <w:jc w:val="center"/>
              <w:rPr>
                <w:color w:val="auto"/>
                <w:highlight w:val="none"/>
              </w:rPr>
            </w:pPr>
            <w:r>
              <w:rPr>
                <w:rFonts w:hint="eastAsia"/>
                <w:color w:val="auto"/>
                <w:highlight w:val="none"/>
              </w:rPr>
              <w:t>注册单位</w:t>
            </w:r>
          </w:p>
        </w:tc>
        <w:tc>
          <w:tcPr>
            <w:tcW w:w="1416" w:type="dxa"/>
            <w:gridSpan w:val="2"/>
            <w:vAlign w:val="center"/>
          </w:tcPr>
          <w:p w14:paraId="7DA51500">
            <w:pPr>
              <w:jc w:val="center"/>
              <w:rPr>
                <w:color w:val="auto"/>
                <w:highlight w:val="none"/>
              </w:rPr>
            </w:pPr>
            <w:r>
              <w:rPr>
                <w:rFonts w:hint="eastAsia"/>
                <w:color w:val="auto"/>
                <w:highlight w:val="none"/>
              </w:rPr>
              <w:t>注册有效期</w:t>
            </w:r>
          </w:p>
        </w:tc>
      </w:tr>
      <w:tr w14:paraId="360B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3CF1BB01">
            <w:pPr>
              <w:jc w:val="center"/>
              <w:rPr>
                <w:color w:val="auto"/>
                <w:highlight w:val="none"/>
              </w:rPr>
            </w:pPr>
            <w:r>
              <w:rPr>
                <w:rFonts w:hint="eastAsia"/>
                <w:color w:val="auto"/>
                <w:highlight w:val="none"/>
              </w:rPr>
              <w:t>安全生产考核合格证书</w:t>
            </w:r>
          </w:p>
        </w:tc>
        <w:tc>
          <w:tcPr>
            <w:tcW w:w="1275" w:type="dxa"/>
            <w:gridSpan w:val="2"/>
            <w:vAlign w:val="center"/>
          </w:tcPr>
          <w:p w14:paraId="77F02278">
            <w:pPr>
              <w:jc w:val="center"/>
              <w:rPr>
                <w:color w:val="auto"/>
                <w:highlight w:val="none"/>
              </w:rPr>
            </w:pPr>
          </w:p>
        </w:tc>
        <w:tc>
          <w:tcPr>
            <w:tcW w:w="1222" w:type="dxa"/>
            <w:gridSpan w:val="3"/>
            <w:vAlign w:val="center"/>
          </w:tcPr>
          <w:p w14:paraId="3C08CAF0">
            <w:pPr>
              <w:jc w:val="center"/>
              <w:rPr>
                <w:rFonts w:cs="宋体"/>
                <w:color w:val="auto"/>
                <w:highlight w:val="none"/>
              </w:rPr>
            </w:pPr>
            <w:r>
              <w:rPr>
                <w:rFonts w:hint="eastAsia" w:cs="宋体"/>
                <w:color w:val="auto"/>
                <w:highlight w:val="none"/>
              </w:rPr>
              <w:t>C类</w:t>
            </w:r>
          </w:p>
        </w:tc>
        <w:tc>
          <w:tcPr>
            <w:tcW w:w="1417" w:type="dxa"/>
            <w:gridSpan w:val="2"/>
            <w:vAlign w:val="center"/>
          </w:tcPr>
          <w:p w14:paraId="6A25FC54">
            <w:pPr>
              <w:jc w:val="center"/>
              <w:rPr>
                <w:color w:val="auto"/>
                <w:highlight w:val="none"/>
              </w:rPr>
            </w:pPr>
          </w:p>
        </w:tc>
        <w:tc>
          <w:tcPr>
            <w:tcW w:w="1418" w:type="dxa"/>
            <w:gridSpan w:val="3"/>
            <w:vAlign w:val="center"/>
          </w:tcPr>
          <w:p w14:paraId="316FD253">
            <w:pPr>
              <w:jc w:val="center"/>
              <w:rPr>
                <w:color w:val="auto"/>
                <w:highlight w:val="none"/>
              </w:rPr>
            </w:pPr>
          </w:p>
        </w:tc>
        <w:tc>
          <w:tcPr>
            <w:tcW w:w="1632" w:type="dxa"/>
            <w:gridSpan w:val="4"/>
            <w:vAlign w:val="center"/>
          </w:tcPr>
          <w:p w14:paraId="36400268">
            <w:pPr>
              <w:jc w:val="center"/>
              <w:rPr>
                <w:color w:val="auto"/>
                <w:highlight w:val="none"/>
              </w:rPr>
            </w:pPr>
          </w:p>
        </w:tc>
        <w:tc>
          <w:tcPr>
            <w:tcW w:w="1416" w:type="dxa"/>
            <w:gridSpan w:val="2"/>
            <w:vAlign w:val="center"/>
          </w:tcPr>
          <w:p w14:paraId="211595CB">
            <w:pPr>
              <w:jc w:val="center"/>
              <w:rPr>
                <w:color w:val="auto"/>
                <w:highlight w:val="none"/>
              </w:rPr>
            </w:pPr>
          </w:p>
        </w:tc>
      </w:tr>
      <w:tr w14:paraId="027F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0DD5CD0D">
            <w:pPr>
              <w:jc w:val="center"/>
              <w:rPr>
                <w:color w:val="auto"/>
                <w:highlight w:val="none"/>
              </w:rPr>
            </w:pPr>
          </w:p>
        </w:tc>
        <w:tc>
          <w:tcPr>
            <w:tcW w:w="1275" w:type="dxa"/>
            <w:gridSpan w:val="2"/>
            <w:vAlign w:val="center"/>
          </w:tcPr>
          <w:p w14:paraId="32707AF8">
            <w:pPr>
              <w:jc w:val="center"/>
              <w:rPr>
                <w:color w:val="auto"/>
                <w:highlight w:val="none"/>
              </w:rPr>
            </w:pPr>
          </w:p>
        </w:tc>
        <w:tc>
          <w:tcPr>
            <w:tcW w:w="1222" w:type="dxa"/>
            <w:gridSpan w:val="3"/>
            <w:vAlign w:val="center"/>
          </w:tcPr>
          <w:p w14:paraId="6798B5F6">
            <w:pPr>
              <w:jc w:val="center"/>
              <w:rPr>
                <w:rFonts w:cs="宋体"/>
                <w:color w:val="auto"/>
                <w:highlight w:val="none"/>
              </w:rPr>
            </w:pPr>
          </w:p>
        </w:tc>
        <w:tc>
          <w:tcPr>
            <w:tcW w:w="1417" w:type="dxa"/>
            <w:gridSpan w:val="2"/>
            <w:vAlign w:val="center"/>
          </w:tcPr>
          <w:p w14:paraId="7FCE7031">
            <w:pPr>
              <w:jc w:val="center"/>
              <w:rPr>
                <w:color w:val="auto"/>
                <w:highlight w:val="none"/>
              </w:rPr>
            </w:pPr>
          </w:p>
        </w:tc>
        <w:tc>
          <w:tcPr>
            <w:tcW w:w="1418" w:type="dxa"/>
            <w:gridSpan w:val="3"/>
            <w:vAlign w:val="center"/>
          </w:tcPr>
          <w:p w14:paraId="05380063">
            <w:pPr>
              <w:jc w:val="center"/>
              <w:rPr>
                <w:color w:val="auto"/>
                <w:highlight w:val="none"/>
              </w:rPr>
            </w:pPr>
          </w:p>
        </w:tc>
        <w:tc>
          <w:tcPr>
            <w:tcW w:w="1632" w:type="dxa"/>
            <w:gridSpan w:val="4"/>
            <w:vAlign w:val="center"/>
          </w:tcPr>
          <w:p w14:paraId="3B1D5C69">
            <w:pPr>
              <w:jc w:val="center"/>
              <w:rPr>
                <w:color w:val="auto"/>
                <w:highlight w:val="none"/>
              </w:rPr>
            </w:pPr>
          </w:p>
        </w:tc>
        <w:tc>
          <w:tcPr>
            <w:tcW w:w="1416" w:type="dxa"/>
            <w:gridSpan w:val="2"/>
            <w:vAlign w:val="center"/>
          </w:tcPr>
          <w:p w14:paraId="63BCAF07">
            <w:pPr>
              <w:jc w:val="center"/>
              <w:rPr>
                <w:color w:val="auto"/>
                <w:highlight w:val="none"/>
              </w:rPr>
            </w:pPr>
          </w:p>
        </w:tc>
      </w:tr>
      <w:tr w14:paraId="3E95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8"/>
            <w:vAlign w:val="center"/>
          </w:tcPr>
          <w:p w14:paraId="38DD443B">
            <w:pPr>
              <w:jc w:val="center"/>
              <w:rPr>
                <w:color w:val="auto"/>
                <w:highlight w:val="none"/>
              </w:rPr>
            </w:pPr>
            <w:r>
              <w:rPr>
                <w:rFonts w:hint="eastAsia" w:cs="宋体"/>
                <w:color w:val="auto"/>
                <w:highlight w:val="none"/>
              </w:rPr>
              <w:t>在建和已完工程项目情况</w:t>
            </w:r>
          </w:p>
        </w:tc>
      </w:tr>
      <w:tr w14:paraId="10D3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8828058">
            <w:pPr>
              <w:jc w:val="center"/>
              <w:rPr>
                <w:color w:val="auto"/>
                <w:highlight w:val="none"/>
              </w:rPr>
            </w:pPr>
          </w:p>
        </w:tc>
        <w:tc>
          <w:tcPr>
            <w:tcW w:w="1548" w:type="dxa"/>
            <w:gridSpan w:val="2"/>
            <w:vAlign w:val="center"/>
          </w:tcPr>
          <w:p w14:paraId="04FDBE53">
            <w:pPr>
              <w:jc w:val="center"/>
              <w:rPr>
                <w:color w:val="auto"/>
                <w:highlight w:val="none"/>
              </w:rPr>
            </w:pPr>
            <w:r>
              <w:rPr>
                <w:rFonts w:hint="eastAsia"/>
                <w:color w:val="auto"/>
                <w:highlight w:val="none"/>
              </w:rPr>
              <w:t>项目1</w:t>
            </w:r>
          </w:p>
        </w:tc>
        <w:tc>
          <w:tcPr>
            <w:tcW w:w="1837" w:type="dxa"/>
            <w:gridSpan w:val="3"/>
            <w:vAlign w:val="center"/>
          </w:tcPr>
          <w:p w14:paraId="6D6E67C1">
            <w:pPr>
              <w:jc w:val="center"/>
              <w:rPr>
                <w:color w:val="auto"/>
                <w:highlight w:val="none"/>
              </w:rPr>
            </w:pPr>
            <w:r>
              <w:rPr>
                <w:rFonts w:hint="eastAsia"/>
                <w:color w:val="auto"/>
                <w:highlight w:val="none"/>
              </w:rPr>
              <w:t>项目2</w:t>
            </w:r>
          </w:p>
        </w:tc>
        <w:tc>
          <w:tcPr>
            <w:tcW w:w="1472" w:type="dxa"/>
            <w:gridSpan w:val="3"/>
            <w:vAlign w:val="center"/>
          </w:tcPr>
          <w:p w14:paraId="3B90BBCB">
            <w:pPr>
              <w:jc w:val="center"/>
              <w:rPr>
                <w:color w:val="auto"/>
                <w:highlight w:val="none"/>
              </w:rPr>
            </w:pPr>
            <w:r>
              <w:rPr>
                <w:rFonts w:hint="eastAsia"/>
                <w:color w:val="auto"/>
                <w:highlight w:val="none"/>
              </w:rPr>
              <w:t>项目3</w:t>
            </w:r>
          </w:p>
        </w:tc>
        <w:tc>
          <w:tcPr>
            <w:tcW w:w="1641" w:type="dxa"/>
            <w:gridSpan w:val="4"/>
            <w:vAlign w:val="center"/>
          </w:tcPr>
          <w:p w14:paraId="09BA0010">
            <w:pPr>
              <w:jc w:val="center"/>
              <w:rPr>
                <w:color w:val="auto"/>
                <w:highlight w:val="none"/>
              </w:rPr>
            </w:pPr>
            <w:r>
              <w:rPr>
                <w:rFonts w:hint="eastAsia"/>
                <w:color w:val="auto"/>
                <w:highlight w:val="none"/>
              </w:rPr>
              <w:t>项目4</w:t>
            </w:r>
          </w:p>
        </w:tc>
        <w:tc>
          <w:tcPr>
            <w:tcW w:w="1484" w:type="dxa"/>
            <w:gridSpan w:val="2"/>
            <w:vAlign w:val="center"/>
          </w:tcPr>
          <w:p w14:paraId="54C2660C">
            <w:pPr>
              <w:jc w:val="center"/>
              <w:rPr>
                <w:color w:val="auto"/>
                <w:highlight w:val="none"/>
              </w:rPr>
            </w:pPr>
            <w:r>
              <w:rPr>
                <w:rFonts w:hint="eastAsia"/>
                <w:color w:val="auto"/>
                <w:highlight w:val="none"/>
              </w:rPr>
              <w:t>……</w:t>
            </w:r>
          </w:p>
        </w:tc>
      </w:tr>
      <w:tr w14:paraId="3ADA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C2A877D">
            <w:pPr>
              <w:jc w:val="center"/>
              <w:rPr>
                <w:color w:val="auto"/>
                <w:highlight w:val="none"/>
              </w:rPr>
            </w:pPr>
            <w:r>
              <w:rPr>
                <w:rFonts w:hint="eastAsia"/>
                <w:color w:val="auto"/>
                <w:highlight w:val="none"/>
              </w:rPr>
              <w:t>项目名称</w:t>
            </w:r>
          </w:p>
        </w:tc>
        <w:tc>
          <w:tcPr>
            <w:tcW w:w="1548" w:type="dxa"/>
            <w:gridSpan w:val="2"/>
            <w:vAlign w:val="center"/>
          </w:tcPr>
          <w:p w14:paraId="71FB2FAA">
            <w:pPr>
              <w:jc w:val="center"/>
              <w:rPr>
                <w:color w:val="auto"/>
                <w:highlight w:val="none"/>
              </w:rPr>
            </w:pPr>
          </w:p>
        </w:tc>
        <w:tc>
          <w:tcPr>
            <w:tcW w:w="1837" w:type="dxa"/>
            <w:gridSpan w:val="3"/>
            <w:vAlign w:val="center"/>
          </w:tcPr>
          <w:p w14:paraId="620D20E2">
            <w:pPr>
              <w:jc w:val="center"/>
              <w:rPr>
                <w:color w:val="auto"/>
                <w:highlight w:val="none"/>
              </w:rPr>
            </w:pPr>
          </w:p>
        </w:tc>
        <w:tc>
          <w:tcPr>
            <w:tcW w:w="1472" w:type="dxa"/>
            <w:gridSpan w:val="3"/>
            <w:vAlign w:val="center"/>
          </w:tcPr>
          <w:p w14:paraId="241B95AF">
            <w:pPr>
              <w:jc w:val="center"/>
              <w:rPr>
                <w:color w:val="auto"/>
                <w:highlight w:val="none"/>
              </w:rPr>
            </w:pPr>
          </w:p>
        </w:tc>
        <w:tc>
          <w:tcPr>
            <w:tcW w:w="1641" w:type="dxa"/>
            <w:gridSpan w:val="4"/>
            <w:vAlign w:val="center"/>
          </w:tcPr>
          <w:p w14:paraId="5009200C">
            <w:pPr>
              <w:jc w:val="center"/>
              <w:rPr>
                <w:color w:val="auto"/>
                <w:highlight w:val="none"/>
              </w:rPr>
            </w:pPr>
          </w:p>
        </w:tc>
        <w:tc>
          <w:tcPr>
            <w:tcW w:w="1484" w:type="dxa"/>
            <w:gridSpan w:val="2"/>
            <w:vAlign w:val="center"/>
          </w:tcPr>
          <w:p w14:paraId="58C720E9">
            <w:pPr>
              <w:jc w:val="center"/>
              <w:rPr>
                <w:color w:val="auto"/>
                <w:highlight w:val="none"/>
              </w:rPr>
            </w:pPr>
          </w:p>
        </w:tc>
      </w:tr>
      <w:tr w14:paraId="19BE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57D8718">
            <w:pPr>
              <w:jc w:val="center"/>
              <w:rPr>
                <w:color w:val="auto"/>
                <w:highlight w:val="none"/>
              </w:rPr>
            </w:pPr>
            <w:r>
              <w:rPr>
                <w:rFonts w:hint="eastAsia" w:cs="宋体"/>
                <w:color w:val="auto"/>
                <w:highlight w:val="none"/>
              </w:rPr>
              <w:t>建设单位</w:t>
            </w:r>
          </w:p>
        </w:tc>
        <w:tc>
          <w:tcPr>
            <w:tcW w:w="1548" w:type="dxa"/>
            <w:gridSpan w:val="2"/>
            <w:vAlign w:val="center"/>
          </w:tcPr>
          <w:p w14:paraId="5BB52D86">
            <w:pPr>
              <w:jc w:val="center"/>
              <w:rPr>
                <w:color w:val="auto"/>
                <w:highlight w:val="none"/>
              </w:rPr>
            </w:pPr>
          </w:p>
        </w:tc>
        <w:tc>
          <w:tcPr>
            <w:tcW w:w="1837" w:type="dxa"/>
            <w:gridSpan w:val="3"/>
            <w:vAlign w:val="center"/>
          </w:tcPr>
          <w:p w14:paraId="18279410">
            <w:pPr>
              <w:jc w:val="center"/>
              <w:rPr>
                <w:color w:val="auto"/>
                <w:highlight w:val="none"/>
              </w:rPr>
            </w:pPr>
          </w:p>
        </w:tc>
        <w:tc>
          <w:tcPr>
            <w:tcW w:w="1472" w:type="dxa"/>
            <w:gridSpan w:val="3"/>
            <w:vAlign w:val="center"/>
          </w:tcPr>
          <w:p w14:paraId="48B5B4F4">
            <w:pPr>
              <w:jc w:val="center"/>
              <w:rPr>
                <w:color w:val="auto"/>
                <w:highlight w:val="none"/>
              </w:rPr>
            </w:pPr>
          </w:p>
        </w:tc>
        <w:tc>
          <w:tcPr>
            <w:tcW w:w="1641" w:type="dxa"/>
            <w:gridSpan w:val="4"/>
            <w:vAlign w:val="center"/>
          </w:tcPr>
          <w:p w14:paraId="667BC7F5">
            <w:pPr>
              <w:jc w:val="center"/>
              <w:rPr>
                <w:color w:val="auto"/>
                <w:highlight w:val="none"/>
              </w:rPr>
            </w:pPr>
          </w:p>
        </w:tc>
        <w:tc>
          <w:tcPr>
            <w:tcW w:w="1484" w:type="dxa"/>
            <w:gridSpan w:val="2"/>
            <w:vAlign w:val="center"/>
          </w:tcPr>
          <w:p w14:paraId="23D486EC">
            <w:pPr>
              <w:jc w:val="center"/>
              <w:rPr>
                <w:color w:val="auto"/>
                <w:highlight w:val="none"/>
              </w:rPr>
            </w:pPr>
          </w:p>
        </w:tc>
      </w:tr>
      <w:tr w14:paraId="693A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F2A823E">
            <w:pPr>
              <w:jc w:val="center"/>
              <w:rPr>
                <w:color w:val="auto"/>
                <w:highlight w:val="none"/>
              </w:rPr>
            </w:pPr>
            <w:r>
              <w:rPr>
                <w:rFonts w:hint="eastAsia" w:cs="宋体"/>
                <w:color w:val="auto"/>
                <w:highlight w:val="none"/>
              </w:rPr>
              <w:t>建设规模</w:t>
            </w:r>
          </w:p>
        </w:tc>
        <w:tc>
          <w:tcPr>
            <w:tcW w:w="1548" w:type="dxa"/>
            <w:gridSpan w:val="2"/>
            <w:vAlign w:val="center"/>
          </w:tcPr>
          <w:p w14:paraId="2BD43C5E">
            <w:pPr>
              <w:jc w:val="center"/>
              <w:rPr>
                <w:color w:val="auto"/>
                <w:highlight w:val="none"/>
              </w:rPr>
            </w:pPr>
          </w:p>
        </w:tc>
        <w:tc>
          <w:tcPr>
            <w:tcW w:w="1837" w:type="dxa"/>
            <w:gridSpan w:val="3"/>
            <w:vAlign w:val="center"/>
          </w:tcPr>
          <w:p w14:paraId="69F6F8F9">
            <w:pPr>
              <w:jc w:val="center"/>
              <w:rPr>
                <w:color w:val="auto"/>
                <w:highlight w:val="none"/>
              </w:rPr>
            </w:pPr>
          </w:p>
        </w:tc>
        <w:tc>
          <w:tcPr>
            <w:tcW w:w="1472" w:type="dxa"/>
            <w:gridSpan w:val="3"/>
            <w:vAlign w:val="center"/>
          </w:tcPr>
          <w:p w14:paraId="7CC65C74">
            <w:pPr>
              <w:jc w:val="center"/>
              <w:rPr>
                <w:color w:val="auto"/>
                <w:highlight w:val="none"/>
              </w:rPr>
            </w:pPr>
          </w:p>
        </w:tc>
        <w:tc>
          <w:tcPr>
            <w:tcW w:w="1641" w:type="dxa"/>
            <w:gridSpan w:val="4"/>
            <w:vAlign w:val="center"/>
          </w:tcPr>
          <w:p w14:paraId="4AE53720">
            <w:pPr>
              <w:jc w:val="center"/>
              <w:rPr>
                <w:color w:val="auto"/>
                <w:highlight w:val="none"/>
              </w:rPr>
            </w:pPr>
          </w:p>
        </w:tc>
        <w:tc>
          <w:tcPr>
            <w:tcW w:w="1484" w:type="dxa"/>
            <w:gridSpan w:val="2"/>
            <w:vAlign w:val="center"/>
          </w:tcPr>
          <w:p w14:paraId="05701204">
            <w:pPr>
              <w:jc w:val="center"/>
              <w:rPr>
                <w:color w:val="auto"/>
                <w:highlight w:val="none"/>
              </w:rPr>
            </w:pPr>
          </w:p>
        </w:tc>
      </w:tr>
      <w:tr w14:paraId="41A2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45C69E1">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1ABD28B4">
            <w:pPr>
              <w:jc w:val="center"/>
              <w:rPr>
                <w:color w:val="auto"/>
                <w:highlight w:val="none"/>
              </w:rPr>
            </w:pPr>
          </w:p>
        </w:tc>
        <w:tc>
          <w:tcPr>
            <w:tcW w:w="1837" w:type="dxa"/>
            <w:gridSpan w:val="3"/>
            <w:vAlign w:val="center"/>
          </w:tcPr>
          <w:p w14:paraId="2FDFBBE7">
            <w:pPr>
              <w:jc w:val="center"/>
              <w:rPr>
                <w:color w:val="auto"/>
                <w:highlight w:val="none"/>
              </w:rPr>
            </w:pPr>
          </w:p>
        </w:tc>
        <w:tc>
          <w:tcPr>
            <w:tcW w:w="1472" w:type="dxa"/>
            <w:gridSpan w:val="3"/>
            <w:vAlign w:val="center"/>
          </w:tcPr>
          <w:p w14:paraId="54BBB578">
            <w:pPr>
              <w:jc w:val="center"/>
              <w:rPr>
                <w:color w:val="auto"/>
                <w:highlight w:val="none"/>
              </w:rPr>
            </w:pPr>
          </w:p>
        </w:tc>
        <w:tc>
          <w:tcPr>
            <w:tcW w:w="1641" w:type="dxa"/>
            <w:gridSpan w:val="4"/>
            <w:vAlign w:val="center"/>
          </w:tcPr>
          <w:p w14:paraId="227A04C0">
            <w:pPr>
              <w:jc w:val="center"/>
              <w:rPr>
                <w:color w:val="auto"/>
                <w:highlight w:val="none"/>
              </w:rPr>
            </w:pPr>
          </w:p>
        </w:tc>
        <w:tc>
          <w:tcPr>
            <w:tcW w:w="1484" w:type="dxa"/>
            <w:gridSpan w:val="2"/>
            <w:vAlign w:val="center"/>
          </w:tcPr>
          <w:p w14:paraId="34668ABB">
            <w:pPr>
              <w:jc w:val="center"/>
              <w:rPr>
                <w:color w:val="auto"/>
                <w:highlight w:val="none"/>
              </w:rPr>
            </w:pPr>
          </w:p>
        </w:tc>
      </w:tr>
      <w:tr w14:paraId="4D39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57985AE">
            <w:pPr>
              <w:jc w:val="center"/>
              <w:rPr>
                <w:color w:val="auto"/>
                <w:highlight w:val="none"/>
              </w:rPr>
            </w:pPr>
            <w:r>
              <w:rPr>
                <w:rFonts w:hint="eastAsia" w:cs="宋体"/>
                <w:color w:val="auto"/>
                <w:highlight w:val="none"/>
              </w:rPr>
              <w:t>竣工日期</w:t>
            </w:r>
          </w:p>
        </w:tc>
        <w:tc>
          <w:tcPr>
            <w:tcW w:w="1548" w:type="dxa"/>
            <w:gridSpan w:val="2"/>
            <w:vAlign w:val="center"/>
          </w:tcPr>
          <w:p w14:paraId="7A8A3691">
            <w:pPr>
              <w:jc w:val="center"/>
              <w:rPr>
                <w:color w:val="auto"/>
                <w:highlight w:val="none"/>
              </w:rPr>
            </w:pPr>
          </w:p>
        </w:tc>
        <w:tc>
          <w:tcPr>
            <w:tcW w:w="1837" w:type="dxa"/>
            <w:gridSpan w:val="3"/>
            <w:vAlign w:val="center"/>
          </w:tcPr>
          <w:p w14:paraId="7458D411">
            <w:pPr>
              <w:jc w:val="center"/>
              <w:rPr>
                <w:color w:val="auto"/>
                <w:highlight w:val="none"/>
              </w:rPr>
            </w:pPr>
          </w:p>
        </w:tc>
        <w:tc>
          <w:tcPr>
            <w:tcW w:w="1472" w:type="dxa"/>
            <w:gridSpan w:val="3"/>
            <w:vAlign w:val="center"/>
          </w:tcPr>
          <w:p w14:paraId="616AB5F0">
            <w:pPr>
              <w:jc w:val="center"/>
              <w:rPr>
                <w:color w:val="auto"/>
                <w:highlight w:val="none"/>
              </w:rPr>
            </w:pPr>
          </w:p>
        </w:tc>
        <w:tc>
          <w:tcPr>
            <w:tcW w:w="1641" w:type="dxa"/>
            <w:gridSpan w:val="4"/>
            <w:vAlign w:val="center"/>
          </w:tcPr>
          <w:p w14:paraId="5B932BE0">
            <w:pPr>
              <w:jc w:val="center"/>
              <w:rPr>
                <w:color w:val="auto"/>
                <w:highlight w:val="none"/>
              </w:rPr>
            </w:pPr>
          </w:p>
        </w:tc>
        <w:tc>
          <w:tcPr>
            <w:tcW w:w="1484" w:type="dxa"/>
            <w:gridSpan w:val="2"/>
            <w:vAlign w:val="center"/>
          </w:tcPr>
          <w:p w14:paraId="2825DCE4">
            <w:pPr>
              <w:jc w:val="center"/>
              <w:rPr>
                <w:color w:val="auto"/>
                <w:highlight w:val="none"/>
              </w:rPr>
            </w:pPr>
          </w:p>
        </w:tc>
      </w:tr>
      <w:tr w14:paraId="2A4F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AF8AD60">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6B84C38E">
            <w:pPr>
              <w:jc w:val="center"/>
              <w:rPr>
                <w:color w:val="auto"/>
                <w:highlight w:val="none"/>
              </w:rPr>
            </w:pPr>
          </w:p>
        </w:tc>
        <w:tc>
          <w:tcPr>
            <w:tcW w:w="1837" w:type="dxa"/>
            <w:gridSpan w:val="3"/>
            <w:vAlign w:val="center"/>
          </w:tcPr>
          <w:p w14:paraId="46F05341">
            <w:pPr>
              <w:jc w:val="center"/>
              <w:rPr>
                <w:color w:val="auto"/>
                <w:highlight w:val="none"/>
              </w:rPr>
            </w:pPr>
          </w:p>
        </w:tc>
        <w:tc>
          <w:tcPr>
            <w:tcW w:w="1472" w:type="dxa"/>
            <w:gridSpan w:val="3"/>
            <w:vAlign w:val="center"/>
          </w:tcPr>
          <w:p w14:paraId="599BEF4A">
            <w:pPr>
              <w:jc w:val="center"/>
              <w:rPr>
                <w:color w:val="auto"/>
                <w:highlight w:val="none"/>
              </w:rPr>
            </w:pPr>
          </w:p>
        </w:tc>
        <w:tc>
          <w:tcPr>
            <w:tcW w:w="1641" w:type="dxa"/>
            <w:gridSpan w:val="4"/>
            <w:vAlign w:val="center"/>
          </w:tcPr>
          <w:p w14:paraId="60BD5A81">
            <w:pPr>
              <w:jc w:val="center"/>
              <w:rPr>
                <w:color w:val="auto"/>
                <w:highlight w:val="none"/>
              </w:rPr>
            </w:pPr>
          </w:p>
        </w:tc>
        <w:tc>
          <w:tcPr>
            <w:tcW w:w="1484" w:type="dxa"/>
            <w:gridSpan w:val="2"/>
            <w:vAlign w:val="center"/>
          </w:tcPr>
          <w:p w14:paraId="680A6792">
            <w:pPr>
              <w:jc w:val="center"/>
              <w:rPr>
                <w:color w:val="auto"/>
                <w:highlight w:val="none"/>
              </w:rPr>
            </w:pPr>
          </w:p>
        </w:tc>
      </w:tr>
      <w:tr w14:paraId="23AA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7C6A4EC">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0B47E1CD">
            <w:pPr>
              <w:jc w:val="center"/>
              <w:rPr>
                <w:color w:val="auto"/>
                <w:highlight w:val="none"/>
              </w:rPr>
            </w:pPr>
          </w:p>
        </w:tc>
        <w:tc>
          <w:tcPr>
            <w:tcW w:w="1837" w:type="dxa"/>
            <w:gridSpan w:val="3"/>
            <w:vAlign w:val="center"/>
          </w:tcPr>
          <w:p w14:paraId="4213DA0B">
            <w:pPr>
              <w:jc w:val="center"/>
              <w:rPr>
                <w:color w:val="auto"/>
                <w:highlight w:val="none"/>
              </w:rPr>
            </w:pPr>
          </w:p>
        </w:tc>
        <w:tc>
          <w:tcPr>
            <w:tcW w:w="1472" w:type="dxa"/>
            <w:gridSpan w:val="3"/>
            <w:vAlign w:val="center"/>
          </w:tcPr>
          <w:p w14:paraId="4ADEC27F">
            <w:pPr>
              <w:jc w:val="center"/>
              <w:rPr>
                <w:color w:val="auto"/>
                <w:highlight w:val="none"/>
              </w:rPr>
            </w:pPr>
          </w:p>
        </w:tc>
        <w:tc>
          <w:tcPr>
            <w:tcW w:w="1641" w:type="dxa"/>
            <w:gridSpan w:val="4"/>
            <w:vAlign w:val="center"/>
          </w:tcPr>
          <w:p w14:paraId="575ABF2F">
            <w:pPr>
              <w:jc w:val="center"/>
              <w:rPr>
                <w:color w:val="auto"/>
                <w:highlight w:val="none"/>
              </w:rPr>
            </w:pPr>
          </w:p>
        </w:tc>
        <w:tc>
          <w:tcPr>
            <w:tcW w:w="1484" w:type="dxa"/>
            <w:gridSpan w:val="2"/>
            <w:vAlign w:val="center"/>
          </w:tcPr>
          <w:p w14:paraId="1649ACBD">
            <w:pPr>
              <w:jc w:val="center"/>
              <w:rPr>
                <w:color w:val="auto"/>
                <w:highlight w:val="none"/>
              </w:rPr>
            </w:pPr>
          </w:p>
        </w:tc>
      </w:tr>
      <w:tr w14:paraId="704D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46ADBE7">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5C268C62">
            <w:pPr>
              <w:jc w:val="center"/>
              <w:rPr>
                <w:color w:val="auto"/>
                <w:highlight w:val="none"/>
              </w:rPr>
            </w:pPr>
          </w:p>
        </w:tc>
        <w:tc>
          <w:tcPr>
            <w:tcW w:w="1837" w:type="dxa"/>
            <w:gridSpan w:val="3"/>
            <w:vAlign w:val="center"/>
          </w:tcPr>
          <w:p w14:paraId="118701FF">
            <w:pPr>
              <w:jc w:val="center"/>
              <w:rPr>
                <w:color w:val="auto"/>
                <w:highlight w:val="none"/>
              </w:rPr>
            </w:pPr>
          </w:p>
        </w:tc>
        <w:tc>
          <w:tcPr>
            <w:tcW w:w="1472" w:type="dxa"/>
            <w:gridSpan w:val="3"/>
            <w:vAlign w:val="center"/>
          </w:tcPr>
          <w:p w14:paraId="6702A892">
            <w:pPr>
              <w:jc w:val="center"/>
              <w:rPr>
                <w:color w:val="auto"/>
                <w:highlight w:val="none"/>
              </w:rPr>
            </w:pPr>
          </w:p>
        </w:tc>
        <w:tc>
          <w:tcPr>
            <w:tcW w:w="1641" w:type="dxa"/>
            <w:gridSpan w:val="4"/>
            <w:vAlign w:val="center"/>
          </w:tcPr>
          <w:p w14:paraId="0FA548E4">
            <w:pPr>
              <w:jc w:val="center"/>
              <w:rPr>
                <w:color w:val="auto"/>
                <w:highlight w:val="none"/>
              </w:rPr>
            </w:pPr>
          </w:p>
        </w:tc>
        <w:tc>
          <w:tcPr>
            <w:tcW w:w="1484" w:type="dxa"/>
            <w:gridSpan w:val="2"/>
            <w:vAlign w:val="center"/>
          </w:tcPr>
          <w:p w14:paraId="284F6ED2">
            <w:pPr>
              <w:jc w:val="center"/>
              <w:rPr>
                <w:color w:val="auto"/>
                <w:highlight w:val="none"/>
              </w:rPr>
            </w:pPr>
          </w:p>
        </w:tc>
      </w:tr>
      <w:tr w14:paraId="3577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872CA1D">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776929D4">
            <w:pPr>
              <w:jc w:val="center"/>
              <w:rPr>
                <w:color w:val="auto"/>
                <w:highlight w:val="none"/>
              </w:rPr>
            </w:pPr>
          </w:p>
        </w:tc>
        <w:tc>
          <w:tcPr>
            <w:tcW w:w="1837" w:type="dxa"/>
            <w:gridSpan w:val="3"/>
            <w:vAlign w:val="center"/>
          </w:tcPr>
          <w:p w14:paraId="46CC5CAF">
            <w:pPr>
              <w:jc w:val="center"/>
              <w:rPr>
                <w:color w:val="auto"/>
                <w:highlight w:val="none"/>
              </w:rPr>
            </w:pPr>
          </w:p>
        </w:tc>
        <w:tc>
          <w:tcPr>
            <w:tcW w:w="1472" w:type="dxa"/>
            <w:gridSpan w:val="3"/>
            <w:vAlign w:val="center"/>
          </w:tcPr>
          <w:p w14:paraId="5DA3BBEB">
            <w:pPr>
              <w:jc w:val="center"/>
              <w:rPr>
                <w:color w:val="auto"/>
                <w:highlight w:val="none"/>
              </w:rPr>
            </w:pPr>
          </w:p>
        </w:tc>
        <w:tc>
          <w:tcPr>
            <w:tcW w:w="1641" w:type="dxa"/>
            <w:gridSpan w:val="4"/>
            <w:vAlign w:val="center"/>
          </w:tcPr>
          <w:p w14:paraId="69DB2CE8">
            <w:pPr>
              <w:jc w:val="center"/>
              <w:rPr>
                <w:color w:val="auto"/>
                <w:highlight w:val="none"/>
              </w:rPr>
            </w:pPr>
          </w:p>
        </w:tc>
        <w:tc>
          <w:tcPr>
            <w:tcW w:w="1484" w:type="dxa"/>
            <w:gridSpan w:val="2"/>
            <w:vAlign w:val="center"/>
          </w:tcPr>
          <w:p w14:paraId="321A9ADE">
            <w:pPr>
              <w:jc w:val="center"/>
              <w:rPr>
                <w:color w:val="auto"/>
                <w:highlight w:val="none"/>
              </w:rPr>
            </w:pPr>
          </w:p>
        </w:tc>
      </w:tr>
    </w:tbl>
    <w:p w14:paraId="1E947A0B">
      <w:pPr>
        <w:spacing w:line="360" w:lineRule="auto"/>
        <w:rPr>
          <w:rFonts w:ascii="宋体" w:hAnsi="宋体"/>
          <w:color w:val="auto"/>
          <w:highlight w:val="none"/>
        </w:rPr>
      </w:pPr>
      <w:r>
        <w:rPr>
          <w:rFonts w:hint="eastAsia" w:ascii="宋体" w:hAnsi="宋体" w:cs="楷体_GB2312"/>
          <w:color w:val="auto"/>
          <w:highlight w:val="none"/>
        </w:rPr>
        <w:t>备注：</w:t>
      </w:r>
    </w:p>
    <w:p w14:paraId="79A0B62A">
      <w:pPr>
        <w:spacing w:line="360" w:lineRule="auto"/>
        <w:ind w:firstLine="420" w:firstLineChars="200"/>
        <w:rPr>
          <w:rFonts w:ascii="宋体" w:hAnsi="宋体"/>
          <w:color w:val="auto"/>
          <w:highlight w:val="none"/>
        </w:rPr>
      </w:pPr>
      <w:r>
        <w:rPr>
          <w:rFonts w:hint="eastAsia" w:ascii="宋体" w:hAnsi="宋体"/>
          <w:color w:val="auto"/>
          <w:highlight w:val="none"/>
        </w:rPr>
        <w:t>1.供应商可以根据项目情况增减表格内容，项目数可以根据需要增加。</w:t>
      </w:r>
    </w:p>
    <w:p w14:paraId="085AB72A">
      <w:pPr>
        <w:spacing w:line="360" w:lineRule="auto"/>
        <w:ind w:firstLine="420" w:firstLineChars="200"/>
        <w:rPr>
          <w:rFonts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本表后附专职安全生产管理人员的学历证、安全生产考核合格证（C类）、本表所列证书扫描件并加盖供应商电子签章。</w:t>
      </w:r>
    </w:p>
    <w:p w14:paraId="22DEF44B">
      <w:pPr>
        <w:rPr>
          <w:rFonts w:ascii="宋体" w:hAnsi="宋体"/>
          <w:b/>
          <w:bCs/>
          <w:color w:val="auto"/>
          <w:sz w:val="24"/>
          <w:highlight w:val="none"/>
        </w:rPr>
      </w:pPr>
      <w:r>
        <w:rPr>
          <w:rFonts w:ascii="宋体" w:hAnsi="宋体"/>
          <w:b/>
          <w:bCs/>
          <w:color w:val="auto"/>
          <w:sz w:val="24"/>
          <w:highlight w:val="none"/>
        </w:rPr>
        <w:br w:type="page"/>
      </w:r>
    </w:p>
    <w:p w14:paraId="6E8011A5">
      <w:pPr>
        <w:pStyle w:val="37"/>
        <w:snapToGrid w:val="0"/>
        <w:ind w:left="480" w:hanging="480"/>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供应商业绩情况一览表（格式）</w:t>
      </w:r>
    </w:p>
    <w:tbl>
      <w:tblPr>
        <w:tblStyle w:val="4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1"/>
        <w:gridCol w:w="1732"/>
        <w:gridCol w:w="2057"/>
        <w:gridCol w:w="1319"/>
        <w:gridCol w:w="2281"/>
      </w:tblGrid>
      <w:tr w14:paraId="12B56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trPr>
        <w:tc>
          <w:tcPr>
            <w:tcW w:w="935" w:type="pct"/>
            <w:tcBorders>
              <w:top w:val="single" w:color="auto" w:sz="4" w:space="0"/>
              <w:left w:val="single" w:color="auto" w:sz="4" w:space="0"/>
              <w:bottom w:val="single" w:color="auto" w:sz="4" w:space="0"/>
              <w:right w:val="single" w:color="auto" w:sz="4" w:space="0"/>
            </w:tcBorders>
            <w:noWrap w:val="0"/>
            <w:vAlign w:val="center"/>
          </w:tcPr>
          <w:p w14:paraId="60134E6A">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1C1BB71E">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62879575">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合同金额（万元）</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823E02C">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竣工时间</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455B1111">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采购人联系人及</w:t>
            </w:r>
          </w:p>
          <w:p w14:paraId="07981702">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联系电话</w:t>
            </w:r>
          </w:p>
        </w:tc>
      </w:tr>
      <w:tr w14:paraId="3963B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35" w:type="pct"/>
            <w:tcBorders>
              <w:top w:val="single" w:color="auto" w:sz="4" w:space="0"/>
              <w:left w:val="single" w:color="auto" w:sz="4" w:space="0"/>
              <w:bottom w:val="single" w:color="auto" w:sz="4" w:space="0"/>
              <w:right w:val="single" w:color="auto" w:sz="4" w:space="0"/>
            </w:tcBorders>
            <w:noWrap w:val="0"/>
            <w:vAlign w:val="top"/>
          </w:tcPr>
          <w:p w14:paraId="2B578ABF">
            <w:pPr>
              <w:snapToGrid w:val="0"/>
              <w:spacing w:line="240" w:lineRule="exact"/>
              <w:jc w:val="left"/>
              <w:rPr>
                <w:rFonts w:hint="eastAsia" w:ascii="宋体" w:hAnsi="宋体"/>
                <w:color w:val="auto"/>
                <w:sz w:val="24"/>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top"/>
          </w:tcPr>
          <w:p w14:paraId="3B5E4DD4">
            <w:pPr>
              <w:snapToGrid w:val="0"/>
              <w:spacing w:line="240" w:lineRule="exact"/>
              <w:jc w:val="left"/>
              <w:rPr>
                <w:rFonts w:hint="eastAsia" w:ascii="宋体" w:hAnsi="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61D2B01A">
            <w:pPr>
              <w:snapToGrid w:val="0"/>
              <w:spacing w:line="240" w:lineRule="exact"/>
              <w:jc w:val="left"/>
              <w:rPr>
                <w:rFonts w:hint="eastAsia" w:ascii="宋体" w:hAnsi="宋体"/>
                <w:color w:val="auto"/>
                <w:sz w:val="24"/>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6BEA6357">
            <w:pPr>
              <w:snapToGrid w:val="0"/>
              <w:spacing w:line="240" w:lineRule="exact"/>
              <w:jc w:val="left"/>
              <w:rPr>
                <w:rFonts w:hint="eastAsia" w:ascii="宋体" w:hAnsi="宋体"/>
                <w:color w:val="auto"/>
                <w:sz w:val="24"/>
                <w:highlight w:val="none"/>
              </w:rPr>
            </w:pPr>
          </w:p>
        </w:tc>
        <w:tc>
          <w:tcPr>
            <w:tcW w:w="1254" w:type="pct"/>
            <w:tcBorders>
              <w:top w:val="single" w:color="auto" w:sz="4" w:space="0"/>
              <w:left w:val="single" w:color="auto" w:sz="4" w:space="0"/>
              <w:bottom w:val="single" w:color="auto" w:sz="4" w:space="0"/>
              <w:right w:val="single" w:color="auto" w:sz="4" w:space="0"/>
            </w:tcBorders>
            <w:noWrap w:val="0"/>
            <w:vAlign w:val="top"/>
          </w:tcPr>
          <w:p w14:paraId="007F2DD7">
            <w:pPr>
              <w:snapToGrid w:val="0"/>
              <w:spacing w:line="240" w:lineRule="exact"/>
              <w:jc w:val="left"/>
              <w:rPr>
                <w:rFonts w:hint="eastAsia" w:ascii="宋体" w:hAnsi="宋体"/>
                <w:color w:val="auto"/>
                <w:sz w:val="24"/>
                <w:highlight w:val="none"/>
              </w:rPr>
            </w:pPr>
          </w:p>
        </w:tc>
      </w:tr>
      <w:tr w14:paraId="076FD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5" w:type="pct"/>
            <w:tcBorders>
              <w:top w:val="single" w:color="auto" w:sz="4" w:space="0"/>
              <w:left w:val="single" w:color="auto" w:sz="4" w:space="0"/>
              <w:bottom w:val="single" w:color="auto" w:sz="4" w:space="0"/>
              <w:right w:val="single" w:color="auto" w:sz="4" w:space="0"/>
            </w:tcBorders>
            <w:noWrap w:val="0"/>
            <w:vAlign w:val="top"/>
          </w:tcPr>
          <w:p w14:paraId="1FBCDDDF">
            <w:pPr>
              <w:snapToGrid w:val="0"/>
              <w:spacing w:before="50" w:after="120" w:afterLines="50" w:line="400" w:lineRule="exact"/>
              <w:jc w:val="left"/>
              <w:rPr>
                <w:rFonts w:hint="eastAsia" w:ascii="宋体" w:hAnsi="宋体"/>
                <w:color w:val="auto"/>
                <w:sz w:val="24"/>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top"/>
          </w:tcPr>
          <w:p w14:paraId="2BC6352F">
            <w:pPr>
              <w:snapToGrid w:val="0"/>
              <w:spacing w:before="50" w:after="120" w:afterLines="50" w:line="400" w:lineRule="exact"/>
              <w:jc w:val="left"/>
              <w:rPr>
                <w:rFonts w:hint="eastAsia" w:ascii="宋体" w:hAnsi="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3CF12CA0">
            <w:pPr>
              <w:snapToGrid w:val="0"/>
              <w:spacing w:before="50" w:after="120" w:afterLines="50" w:line="400" w:lineRule="exact"/>
              <w:jc w:val="left"/>
              <w:rPr>
                <w:rFonts w:hint="eastAsia" w:ascii="宋体" w:hAnsi="宋体"/>
                <w:color w:val="auto"/>
                <w:sz w:val="24"/>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538D1BF9">
            <w:pPr>
              <w:snapToGrid w:val="0"/>
              <w:spacing w:before="50" w:after="120" w:afterLines="50" w:line="400" w:lineRule="exact"/>
              <w:jc w:val="left"/>
              <w:rPr>
                <w:rFonts w:hint="eastAsia" w:ascii="宋体" w:hAnsi="宋体"/>
                <w:color w:val="auto"/>
                <w:sz w:val="24"/>
                <w:highlight w:val="none"/>
              </w:rPr>
            </w:pPr>
          </w:p>
        </w:tc>
        <w:tc>
          <w:tcPr>
            <w:tcW w:w="1254" w:type="pct"/>
            <w:tcBorders>
              <w:top w:val="single" w:color="auto" w:sz="4" w:space="0"/>
              <w:left w:val="single" w:color="auto" w:sz="4" w:space="0"/>
              <w:bottom w:val="single" w:color="auto" w:sz="4" w:space="0"/>
              <w:right w:val="single" w:color="auto" w:sz="4" w:space="0"/>
            </w:tcBorders>
            <w:noWrap w:val="0"/>
            <w:vAlign w:val="top"/>
          </w:tcPr>
          <w:p w14:paraId="244F0E38">
            <w:pPr>
              <w:snapToGrid w:val="0"/>
              <w:spacing w:before="50" w:after="120" w:afterLines="50" w:line="400" w:lineRule="exact"/>
              <w:jc w:val="left"/>
              <w:rPr>
                <w:rFonts w:hint="eastAsia" w:ascii="宋体" w:hAnsi="宋体"/>
                <w:color w:val="auto"/>
                <w:sz w:val="24"/>
                <w:highlight w:val="none"/>
              </w:rPr>
            </w:pPr>
          </w:p>
        </w:tc>
      </w:tr>
      <w:tr w14:paraId="4F7B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35" w:type="pct"/>
            <w:tcBorders>
              <w:top w:val="single" w:color="auto" w:sz="4" w:space="0"/>
              <w:left w:val="single" w:color="auto" w:sz="4" w:space="0"/>
              <w:bottom w:val="single" w:color="auto" w:sz="4" w:space="0"/>
              <w:right w:val="single" w:color="auto" w:sz="4" w:space="0"/>
            </w:tcBorders>
            <w:noWrap w:val="0"/>
            <w:vAlign w:val="top"/>
          </w:tcPr>
          <w:p w14:paraId="772623A3">
            <w:pPr>
              <w:snapToGrid w:val="0"/>
              <w:spacing w:before="50" w:after="120" w:afterLines="50" w:line="400" w:lineRule="exact"/>
              <w:jc w:val="left"/>
              <w:rPr>
                <w:rFonts w:hint="eastAsia" w:ascii="宋体" w:hAnsi="宋体"/>
                <w:color w:val="auto"/>
                <w:sz w:val="24"/>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top"/>
          </w:tcPr>
          <w:p w14:paraId="76EDBCC0">
            <w:pPr>
              <w:snapToGrid w:val="0"/>
              <w:spacing w:before="50" w:after="120" w:afterLines="50" w:line="400" w:lineRule="exact"/>
              <w:jc w:val="left"/>
              <w:rPr>
                <w:rFonts w:hint="eastAsia" w:ascii="宋体" w:hAnsi="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0D455EE3">
            <w:pPr>
              <w:snapToGrid w:val="0"/>
              <w:spacing w:before="50" w:after="120" w:afterLines="50" w:line="400" w:lineRule="exact"/>
              <w:jc w:val="left"/>
              <w:rPr>
                <w:rFonts w:hint="eastAsia" w:ascii="宋体" w:hAnsi="宋体"/>
                <w:color w:val="auto"/>
                <w:sz w:val="24"/>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45B30D63">
            <w:pPr>
              <w:snapToGrid w:val="0"/>
              <w:spacing w:before="50" w:after="120" w:afterLines="50" w:line="400" w:lineRule="exact"/>
              <w:jc w:val="left"/>
              <w:rPr>
                <w:rFonts w:hint="eastAsia" w:ascii="宋体" w:hAnsi="宋体"/>
                <w:color w:val="auto"/>
                <w:sz w:val="24"/>
                <w:highlight w:val="none"/>
              </w:rPr>
            </w:pPr>
          </w:p>
        </w:tc>
        <w:tc>
          <w:tcPr>
            <w:tcW w:w="1254" w:type="pct"/>
            <w:tcBorders>
              <w:top w:val="single" w:color="auto" w:sz="4" w:space="0"/>
              <w:left w:val="single" w:color="auto" w:sz="4" w:space="0"/>
              <w:bottom w:val="single" w:color="auto" w:sz="4" w:space="0"/>
              <w:right w:val="single" w:color="auto" w:sz="4" w:space="0"/>
            </w:tcBorders>
            <w:noWrap w:val="0"/>
            <w:vAlign w:val="top"/>
          </w:tcPr>
          <w:p w14:paraId="05E3D06F">
            <w:pPr>
              <w:snapToGrid w:val="0"/>
              <w:spacing w:before="50" w:after="120" w:afterLines="50" w:line="400" w:lineRule="exact"/>
              <w:jc w:val="left"/>
              <w:rPr>
                <w:rFonts w:hint="eastAsia" w:ascii="宋体" w:hAnsi="宋体"/>
                <w:color w:val="auto"/>
                <w:sz w:val="24"/>
                <w:highlight w:val="none"/>
              </w:rPr>
            </w:pPr>
          </w:p>
        </w:tc>
      </w:tr>
      <w:tr w14:paraId="01F9C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5" w:type="pct"/>
            <w:tcBorders>
              <w:top w:val="single" w:color="auto" w:sz="4" w:space="0"/>
              <w:left w:val="single" w:color="auto" w:sz="4" w:space="0"/>
              <w:bottom w:val="single" w:color="auto" w:sz="4" w:space="0"/>
              <w:right w:val="single" w:color="auto" w:sz="4" w:space="0"/>
            </w:tcBorders>
            <w:noWrap w:val="0"/>
            <w:vAlign w:val="top"/>
          </w:tcPr>
          <w:p w14:paraId="7ACD0C2A">
            <w:pPr>
              <w:snapToGrid w:val="0"/>
              <w:spacing w:before="50" w:after="120" w:afterLines="50" w:line="400" w:lineRule="exact"/>
              <w:jc w:val="left"/>
              <w:rPr>
                <w:rFonts w:hint="eastAsia" w:ascii="宋体" w:hAnsi="宋体"/>
                <w:color w:val="auto"/>
                <w:sz w:val="24"/>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top"/>
          </w:tcPr>
          <w:p w14:paraId="38AFE77C">
            <w:pPr>
              <w:snapToGrid w:val="0"/>
              <w:spacing w:before="50" w:after="120" w:afterLines="50" w:line="400" w:lineRule="exact"/>
              <w:jc w:val="left"/>
              <w:rPr>
                <w:rFonts w:hint="eastAsia" w:ascii="宋体" w:hAnsi="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26BDF42F">
            <w:pPr>
              <w:snapToGrid w:val="0"/>
              <w:spacing w:before="50" w:after="120" w:afterLines="50" w:line="400" w:lineRule="exact"/>
              <w:jc w:val="left"/>
              <w:rPr>
                <w:rFonts w:hint="eastAsia" w:ascii="宋体" w:hAnsi="宋体"/>
                <w:color w:val="auto"/>
                <w:sz w:val="24"/>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5B6E0F94">
            <w:pPr>
              <w:snapToGrid w:val="0"/>
              <w:spacing w:before="50" w:after="120" w:afterLines="50" w:line="400" w:lineRule="exact"/>
              <w:jc w:val="left"/>
              <w:rPr>
                <w:rFonts w:hint="eastAsia" w:ascii="宋体" w:hAnsi="宋体"/>
                <w:color w:val="auto"/>
                <w:sz w:val="24"/>
                <w:highlight w:val="none"/>
              </w:rPr>
            </w:pPr>
          </w:p>
        </w:tc>
        <w:tc>
          <w:tcPr>
            <w:tcW w:w="1254" w:type="pct"/>
            <w:tcBorders>
              <w:top w:val="single" w:color="auto" w:sz="4" w:space="0"/>
              <w:left w:val="single" w:color="auto" w:sz="4" w:space="0"/>
              <w:bottom w:val="single" w:color="auto" w:sz="4" w:space="0"/>
              <w:right w:val="single" w:color="auto" w:sz="4" w:space="0"/>
            </w:tcBorders>
            <w:noWrap w:val="0"/>
            <w:vAlign w:val="top"/>
          </w:tcPr>
          <w:p w14:paraId="57A5158D">
            <w:pPr>
              <w:snapToGrid w:val="0"/>
              <w:spacing w:before="50" w:after="120" w:afterLines="50" w:line="400" w:lineRule="exact"/>
              <w:jc w:val="left"/>
              <w:rPr>
                <w:rFonts w:hint="eastAsia" w:ascii="宋体" w:hAnsi="宋体"/>
                <w:color w:val="auto"/>
                <w:sz w:val="24"/>
                <w:highlight w:val="none"/>
              </w:rPr>
            </w:pPr>
          </w:p>
        </w:tc>
      </w:tr>
      <w:tr w14:paraId="47331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5" w:type="pct"/>
            <w:tcBorders>
              <w:top w:val="single" w:color="auto" w:sz="4" w:space="0"/>
              <w:left w:val="single" w:color="auto" w:sz="4" w:space="0"/>
              <w:bottom w:val="single" w:color="auto" w:sz="4" w:space="0"/>
              <w:right w:val="single" w:color="auto" w:sz="4" w:space="0"/>
            </w:tcBorders>
            <w:noWrap w:val="0"/>
            <w:vAlign w:val="top"/>
          </w:tcPr>
          <w:p w14:paraId="1E815E3A">
            <w:pPr>
              <w:snapToGrid w:val="0"/>
              <w:spacing w:before="50" w:after="120" w:afterLines="50" w:line="400" w:lineRule="exact"/>
              <w:jc w:val="left"/>
              <w:rPr>
                <w:rFonts w:hint="eastAsia" w:ascii="宋体" w:hAnsi="宋体"/>
                <w:color w:val="auto"/>
                <w:sz w:val="24"/>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top"/>
          </w:tcPr>
          <w:p w14:paraId="159077B9">
            <w:pPr>
              <w:snapToGrid w:val="0"/>
              <w:spacing w:before="50" w:after="120" w:afterLines="50" w:line="400" w:lineRule="exact"/>
              <w:jc w:val="left"/>
              <w:rPr>
                <w:rFonts w:hint="eastAsia" w:ascii="宋体" w:hAnsi="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37A5C951">
            <w:pPr>
              <w:snapToGrid w:val="0"/>
              <w:spacing w:before="50" w:after="120" w:afterLines="50" w:line="400" w:lineRule="exact"/>
              <w:jc w:val="left"/>
              <w:rPr>
                <w:rFonts w:hint="eastAsia" w:ascii="宋体" w:hAnsi="宋体"/>
                <w:color w:val="auto"/>
                <w:sz w:val="24"/>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913439B">
            <w:pPr>
              <w:snapToGrid w:val="0"/>
              <w:spacing w:before="50" w:after="120" w:afterLines="50" w:line="400" w:lineRule="exact"/>
              <w:jc w:val="left"/>
              <w:rPr>
                <w:rFonts w:hint="eastAsia" w:ascii="宋体" w:hAnsi="宋体"/>
                <w:color w:val="auto"/>
                <w:sz w:val="24"/>
                <w:highlight w:val="none"/>
              </w:rPr>
            </w:pPr>
          </w:p>
        </w:tc>
        <w:tc>
          <w:tcPr>
            <w:tcW w:w="1254" w:type="pct"/>
            <w:tcBorders>
              <w:top w:val="single" w:color="auto" w:sz="4" w:space="0"/>
              <w:left w:val="single" w:color="auto" w:sz="4" w:space="0"/>
              <w:bottom w:val="single" w:color="auto" w:sz="4" w:space="0"/>
              <w:right w:val="single" w:color="auto" w:sz="4" w:space="0"/>
            </w:tcBorders>
            <w:noWrap w:val="0"/>
            <w:vAlign w:val="top"/>
          </w:tcPr>
          <w:p w14:paraId="4E86DB5B">
            <w:pPr>
              <w:snapToGrid w:val="0"/>
              <w:spacing w:before="50" w:after="120" w:afterLines="50" w:line="400" w:lineRule="exact"/>
              <w:jc w:val="left"/>
              <w:rPr>
                <w:rFonts w:hint="eastAsia" w:ascii="宋体" w:hAnsi="宋体"/>
                <w:color w:val="auto"/>
                <w:sz w:val="24"/>
                <w:highlight w:val="none"/>
              </w:rPr>
            </w:pPr>
          </w:p>
        </w:tc>
      </w:tr>
    </w:tbl>
    <w:p w14:paraId="6A7FA6D0">
      <w:pPr>
        <w:pStyle w:val="19"/>
        <w:spacing w:before="0" w:after="0" w:line="360" w:lineRule="auto"/>
        <w:contextualSpacing/>
        <w:rPr>
          <w:rFonts w:hint="eastAsia" w:ascii="宋体" w:hAnsi="宋体" w:eastAsia="宋体"/>
          <w:color w:val="auto"/>
          <w:sz w:val="24"/>
          <w:szCs w:val="24"/>
          <w:highlight w:val="none"/>
        </w:rPr>
      </w:pPr>
    </w:p>
    <w:p w14:paraId="039B5F6A">
      <w:pPr>
        <w:pStyle w:val="19"/>
        <w:spacing w:before="0" w:after="0" w:line="360" w:lineRule="auto"/>
        <w:contextualSpacing/>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lang w:val="en-US" w:eastAsia="zh-CN"/>
        </w:rPr>
        <w:t>供应商</w:t>
      </w:r>
      <w:r>
        <w:rPr>
          <w:rFonts w:hint="eastAsia" w:ascii="宋体" w:hAnsi="宋体"/>
          <w:color w:val="auto"/>
          <w:sz w:val="24"/>
          <w:highlight w:val="none"/>
        </w:rPr>
        <w:t>根据评</w:t>
      </w:r>
      <w:r>
        <w:rPr>
          <w:rFonts w:hint="eastAsia" w:ascii="宋体" w:hAnsi="宋体"/>
          <w:color w:val="auto"/>
          <w:sz w:val="24"/>
          <w:highlight w:val="none"/>
          <w:lang w:val="en-US" w:eastAsia="zh-CN"/>
        </w:rPr>
        <w:t>审</w:t>
      </w:r>
      <w:r>
        <w:rPr>
          <w:rFonts w:hint="eastAsia" w:ascii="宋体" w:hAnsi="宋体"/>
          <w:color w:val="auto"/>
          <w:sz w:val="24"/>
          <w:highlight w:val="none"/>
        </w:rPr>
        <w:t>标准具体要求附业绩证明材料。</w:t>
      </w:r>
    </w:p>
    <w:p w14:paraId="75034B77">
      <w:pPr>
        <w:pStyle w:val="19"/>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法定代表人（负责人）或者委托代理人（签字或者电子签名）：</w:t>
      </w:r>
      <w:r>
        <w:rPr>
          <w:rFonts w:hint="eastAsia" w:ascii="宋体" w:hAnsi="宋体" w:eastAsia="宋体"/>
          <w:color w:val="auto"/>
          <w:sz w:val="24"/>
          <w:szCs w:val="24"/>
          <w:highlight w:val="none"/>
          <w:u w:val="single"/>
        </w:rPr>
        <w:t>　　　　　</w:t>
      </w:r>
    </w:p>
    <w:p w14:paraId="76077FD8">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lang w:val="en-US" w:eastAsia="zh-CN"/>
        </w:rPr>
        <w:t>供应商</w:t>
      </w:r>
      <w:r>
        <w:rPr>
          <w:rFonts w:hint="eastAsia" w:ascii="宋体" w:hAnsi="宋体" w:cs="Arial"/>
          <w:color w:val="auto"/>
          <w:sz w:val="24"/>
          <w:highlight w:val="none"/>
        </w:rPr>
        <w:t xml:space="preserve">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7FD68477">
      <w:pPr>
        <w:rPr>
          <w:rFonts w:ascii="宋体" w:hAnsi="宋体"/>
          <w:b/>
          <w:bCs/>
          <w:color w:val="auto"/>
          <w:sz w:val="24"/>
          <w:highlight w:val="none"/>
        </w:rPr>
      </w:pPr>
      <w:r>
        <w:rPr>
          <w:rFonts w:ascii="宋体" w:hAnsi="宋体"/>
          <w:b/>
          <w:bCs/>
          <w:color w:val="auto"/>
          <w:sz w:val="24"/>
          <w:highlight w:val="none"/>
        </w:rPr>
        <w:br w:type="page"/>
      </w:r>
    </w:p>
    <w:p w14:paraId="5889CA3A">
      <w:pPr>
        <w:pStyle w:val="37"/>
        <w:snapToGrid w:val="0"/>
        <w:ind w:left="480" w:hanging="480"/>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供应商获奖情况一览表（格式）</w:t>
      </w:r>
    </w:p>
    <w:tbl>
      <w:tblPr>
        <w:tblStyle w:val="45"/>
        <w:tblW w:w="491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4"/>
        <w:gridCol w:w="1385"/>
        <w:gridCol w:w="2822"/>
        <w:gridCol w:w="3351"/>
      </w:tblGrid>
      <w:tr w14:paraId="6B253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7" w:hRule="atLeast"/>
        </w:trPr>
        <w:tc>
          <w:tcPr>
            <w:tcW w:w="774" w:type="pct"/>
            <w:tcBorders>
              <w:top w:val="single" w:color="auto" w:sz="4" w:space="0"/>
              <w:left w:val="single" w:color="auto" w:sz="4" w:space="0"/>
              <w:bottom w:val="single" w:color="auto" w:sz="4" w:space="0"/>
              <w:right w:val="single" w:color="auto" w:sz="4" w:space="0"/>
            </w:tcBorders>
            <w:noWrap w:val="0"/>
            <w:vAlign w:val="center"/>
          </w:tcPr>
          <w:p w14:paraId="7E435E57">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序号</w:t>
            </w:r>
          </w:p>
        </w:tc>
        <w:tc>
          <w:tcPr>
            <w:tcW w:w="774" w:type="pct"/>
            <w:tcBorders>
              <w:top w:val="single" w:color="auto" w:sz="4" w:space="0"/>
              <w:left w:val="single" w:color="auto" w:sz="4" w:space="0"/>
              <w:bottom w:val="single" w:color="auto" w:sz="4" w:space="0"/>
              <w:right w:val="single" w:color="auto" w:sz="4" w:space="0"/>
            </w:tcBorders>
            <w:noWrap w:val="0"/>
            <w:vAlign w:val="center"/>
          </w:tcPr>
          <w:p w14:paraId="348C5CDA">
            <w:pPr>
              <w:snapToGrid w:val="0"/>
              <w:spacing w:line="24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奖项</w:t>
            </w:r>
            <w:r>
              <w:rPr>
                <w:rFonts w:hint="eastAsia" w:ascii="宋体" w:hAnsi="宋体"/>
                <w:color w:val="auto"/>
                <w:sz w:val="24"/>
                <w:highlight w:val="none"/>
              </w:rPr>
              <w:t>名称</w:t>
            </w:r>
          </w:p>
        </w:tc>
        <w:tc>
          <w:tcPr>
            <w:tcW w:w="1577" w:type="pct"/>
            <w:tcBorders>
              <w:top w:val="single" w:color="auto" w:sz="4" w:space="0"/>
              <w:left w:val="single" w:color="auto" w:sz="4" w:space="0"/>
              <w:bottom w:val="single" w:color="auto" w:sz="4" w:space="0"/>
              <w:right w:val="single" w:color="auto" w:sz="4" w:space="0"/>
            </w:tcBorders>
            <w:noWrap w:val="0"/>
            <w:vAlign w:val="center"/>
          </w:tcPr>
          <w:p w14:paraId="583CFF96">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颁奖单位</w:t>
            </w:r>
          </w:p>
        </w:tc>
        <w:tc>
          <w:tcPr>
            <w:tcW w:w="1873" w:type="pct"/>
            <w:tcBorders>
              <w:top w:val="single" w:color="auto" w:sz="4" w:space="0"/>
              <w:left w:val="single" w:color="auto" w:sz="4" w:space="0"/>
              <w:bottom w:val="single" w:color="auto" w:sz="4" w:space="0"/>
              <w:right w:val="single" w:color="auto" w:sz="4" w:space="0"/>
            </w:tcBorders>
            <w:noWrap w:val="0"/>
            <w:vAlign w:val="center"/>
          </w:tcPr>
          <w:p w14:paraId="2BF24CB4">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获奖时间</w:t>
            </w:r>
          </w:p>
        </w:tc>
      </w:tr>
      <w:tr w14:paraId="30AE8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74" w:type="pct"/>
            <w:tcBorders>
              <w:top w:val="single" w:color="auto" w:sz="4" w:space="0"/>
              <w:left w:val="single" w:color="auto" w:sz="4" w:space="0"/>
              <w:bottom w:val="single" w:color="auto" w:sz="4" w:space="0"/>
              <w:right w:val="single" w:color="auto" w:sz="4" w:space="0"/>
            </w:tcBorders>
            <w:noWrap w:val="0"/>
            <w:vAlign w:val="top"/>
          </w:tcPr>
          <w:p w14:paraId="0E2A009B">
            <w:pPr>
              <w:snapToGrid w:val="0"/>
              <w:spacing w:line="24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74" w:type="pct"/>
            <w:tcBorders>
              <w:top w:val="single" w:color="auto" w:sz="4" w:space="0"/>
              <w:left w:val="single" w:color="auto" w:sz="4" w:space="0"/>
              <w:bottom w:val="single" w:color="auto" w:sz="4" w:space="0"/>
              <w:right w:val="single" w:color="auto" w:sz="4" w:space="0"/>
            </w:tcBorders>
            <w:noWrap w:val="0"/>
            <w:vAlign w:val="top"/>
          </w:tcPr>
          <w:p w14:paraId="1C1F51B1">
            <w:pPr>
              <w:snapToGrid w:val="0"/>
              <w:spacing w:line="240" w:lineRule="exact"/>
              <w:jc w:val="center"/>
              <w:rPr>
                <w:rFonts w:hint="eastAsia" w:ascii="宋体" w:hAnsi="宋体"/>
                <w:color w:val="auto"/>
                <w:sz w:val="24"/>
                <w:highlight w:val="none"/>
              </w:rPr>
            </w:pPr>
          </w:p>
        </w:tc>
        <w:tc>
          <w:tcPr>
            <w:tcW w:w="1577" w:type="pct"/>
            <w:tcBorders>
              <w:top w:val="single" w:color="auto" w:sz="4" w:space="0"/>
              <w:left w:val="single" w:color="auto" w:sz="4" w:space="0"/>
              <w:bottom w:val="single" w:color="auto" w:sz="4" w:space="0"/>
              <w:right w:val="single" w:color="auto" w:sz="4" w:space="0"/>
            </w:tcBorders>
            <w:noWrap w:val="0"/>
            <w:vAlign w:val="top"/>
          </w:tcPr>
          <w:p w14:paraId="109E325D">
            <w:pPr>
              <w:snapToGrid w:val="0"/>
              <w:spacing w:line="240" w:lineRule="exact"/>
              <w:jc w:val="center"/>
              <w:rPr>
                <w:rFonts w:hint="eastAsia" w:ascii="宋体" w:hAnsi="宋体"/>
                <w:color w:val="auto"/>
                <w:sz w:val="24"/>
                <w:highlight w:val="none"/>
              </w:rPr>
            </w:pPr>
          </w:p>
        </w:tc>
        <w:tc>
          <w:tcPr>
            <w:tcW w:w="1873" w:type="pct"/>
            <w:tcBorders>
              <w:top w:val="single" w:color="auto" w:sz="4" w:space="0"/>
              <w:left w:val="single" w:color="auto" w:sz="4" w:space="0"/>
              <w:bottom w:val="single" w:color="auto" w:sz="4" w:space="0"/>
              <w:right w:val="single" w:color="auto" w:sz="4" w:space="0"/>
            </w:tcBorders>
            <w:noWrap w:val="0"/>
            <w:vAlign w:val="top"/>
          </w:tcPr>
          <w:p w14:paraId="5F4B9614">
            <w:pPr>
              <w:snapToGrid w:val="0"/>
              <w:spacing w:line="240" w:lineRule="exact"/>
              <w:jc w:val="center"/>
              <w:rPr>
                <w:rFonts w:hint="eastAsia" w:ascii="宋体" w:hAnsi="宋体"/>
                <w:color w:val="auto"/>
                <w:sz w:val="24"/>
                <w:highlight w:val="none"/>
              </w:rPr>
            </w:pPr>
          </w:p>
        </w:tc>
      </w:tr>
      <w:tr w14:paraId="0F8F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4" w:type="pct"/>
            <w:tcBorders>
              <w:top w:val="single" w:color="auto" w:sz="4" w:space="0"/>
              <w:left w:val="single" w:color="auto" w:sz="4" w:space="0"/>
              <w:bottom w:val="single" w:color="auto" w:sz="4" w:space="0"/>
              <w:right w:val="single" w:color="auto" w:sz="4" w:space="0"/>
            </w:tcBorders>
            <w:noWrap w:val="0"/>
            <w:vAlign w:val="top"/>
          </w:tcPr>
          <w:p w14:paraId="1B7FEFF8">
            <w:pPr>
              <w:snapToGrid w:val="0"/>
              <w:spacing w:before="50" w:after="120" w:afterLines="50" w:line="4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774" w:type="pct"/>
            <w:tcBorders>
              <w:top w:val="single" w:color="auto" w:sz="4" w:space="0"/>
              <w:left w:val="single" w:color="auto" w:sz="4" w:space="0"/>
              <w:bottom w:val="single" w:color="auto" w:sz="4" w:space="0"/>
              <w:right w:val="single" w:color="auto" w:sz="4" w:space="0"/>
            </w:tcBorders>
            <w:noWrap w:val="0"/>
            <w:vAlign w:val="top"/>
          </w:tcPr>
          <w:p w14:paraId="46AE833F">
            <w:pPr>
              <w:snapToGrid w:val="0"/>
              <w:spacing w:before="50" w:after="120" w:afterLines="50" w:line="400" w:lineRule="exact"/>
              <w:jc w:val="center"/>
              <w:rPr>
                <w:rFonts w:hint="eastAsia" w:ascii="宋体" w:hAnsi="宋体"/>
                <w:color w:val="auto"/>
                <w:sz w:val="24"/>
                <w:highlight w:val="none"/>
              </w:rPr>
            </w:pPr>
          </w:p>
        </w:tc>
        <w:tc>
          <w:tcPr>
            <w:tcW w:w="1577" w:type="pct"/>
            <w:tcBorders>
              <w:top w:val="single" w:color="auto" w:sz="4" w:space="0"/>
              <w:left w:val="single" w:color="auto" w:sz="4" w:space="0"/>
              <w:bottom w:val="single" w:color="auto" w:sz="4" w:space="0"/>
              <w:right w:val="single" w:color="auto" w:sz="4" w:space="0"/>
            </w:tcBorders>
            <w:noWrap w:val="0"/>
            <w:vAlign w:val="top"/>
          </w:tcPr>
          <w:p w14:paraId="324426F7">
            <w:pPr>
              <w:snapToGrid w:val="0"/>
              <w:spacing w:before="50" w:after="120" w:afterLines="50" w:line="400" w:lineRule="exact"/>
              <w:jc w:val="center"/>
              <w:rPr>
                <w:rFonts w:hint="eastAsia" w:ascii="宋体" w:hAnsi="宋体"/>
                <w:color w:val="auto"/>
                <w:sz w:val="24"/>
                <w:highlight w:val="none"/>
              </w:rPr>
            </w:pPr>
          </w:p>
        </w:tc>
        <w:tc>
          <w:tcPr>
            <w:tcW w:w="1873" w:type="pct"/>
            <w:tcBorders>
              <w:top w:val="single" w:color="auto" w:sz="4" w:space="0"/>
              <w:left w:val="single" w:color="auto" w:sz="4" w:space="0"/>
              <w:bottom w:val="single" w:color="auto" w:sz="4" w:space="0"/>
              <w:right w:val="single" w:color="auto" w:sz="4" w:space="0"/>
            </w:tcBorders>
            <w:noWrap w:val="0"/>
            <w:vAlign w:val="top"/>
          </w:tcPr>
          <w:p w14:paraId="1082C3A9">
            <w:pPr>
              <w:snapToGrid w:val="0"/>
              <w:spacing w:before="50" w:after="120" w:afterLines="50" w:line="400" w:lineRule="exact"/>
              <w:jc w:val="center"/>
              <w:rPr>
                <w:rFonts w:hint="eastAsia" w:ascii="宋体" w:hAnsi="宋体"/>
                <w:color w:val="auto"/>
                <w:sz w:val="24"/>
                <w:highlight w:val="none"/>
              </w:rPr>
            </w:pPr>
          </w:p>
        </w:tc>
      </w:tr>
      <w:tr w14:paraId="1999A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74" w:type="pct"/>
            <w:tcBorders>
              <w:top w:val="single" w:color="auto" w:sz="4" w:space="0"/>
              <w:left w:val="single" w:color="auto" w:sz="4" w:space="0"/>
              <w:bottom w:val="single" w:color="auto" w:sz="4" w:space="0"/>
              <w:right w:val="single" w:color="auto" w:sz="4" w:space="0"/>
            </w:tcBorders>
            <w:noWrap w:val="0"/>
            <w:vAlign w:val="top"/>
          </w:tcPr>
          <w:p w14:paraId="7AF5BF45">
            <w:pPr>
              <w:snapToGrid w:val="0"/>
              <w:spacing w:before="50" w:after="120" w:afterLines="50" w:line="4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774" w:type="pct"/>
            <w:tcBorders>
              <w:top w:val="single" w:color="auto" w:sz="4" w:space="0"/>
              <w:left w:val="single" w:color="auto" w:sz="4" w:space="0"/>
              <w:bottom w:val="single" w:color="auto" w:sz="4" w:space="0"/>
              <w:right w:val="single" w:color="auto" w:sz="4" w:space="0"/>
            </w:tcBorders>
            <w:noWrap w:val="0"/>
            <w:vAlign w:val="top"/>
          </w:tcPr>
          <w:p w14:paraId="2D28910A">
            <w:pPr>
              <w:snapToGrid w:val="0"/>
              <w:spacing w:before="50" w:after="120" w:afterLines="50" w:line="400" w:lineRule="exact"/>
              <w:jc w:val="center"/>
              <w:rPr>
                <w:rFonts w:hint="eastAsia" w:ascii="宋体" w:hAnsi="宋体"/>
                <w:color w:val="auto"/>
                <w:sz w:val="24"/>
                <w:highlight w:val="none"/>
              </w:rPr>
            </w:pPr>
          </w:p>
        </w:tc>
        <w:tc>
          <w:tcPr>
            <w:tcW w:w="1577" w:type="pct"/>
            <w:tcBorders>
              <w:top w:val="single" w:color="auto" w:sz="4" w:space="0"/>
              <w:left w:val="single" w:color="auto" w:sz="4" w:space="0"/>
              <w:bottom w:val="single" w:color="auto" w:sz="4" w:space="0"/>
              <w:right w:val="single" w:color="auto" w:sz="4" w:space="0"/>
            </w:tcBorders>
            <w:noWrap w:val="0"/>
            <w:vAlign w:val="top"/>
          </w:tcPr>
          <w:p w14:paraId="075A5832">
            <w:pPr>
              <w:snapToGrid w:val="0"/>
              <w:spacing w:before="50" w:after="120" w:afterLines="50" w:line="400" w:lineRule="exact"/>
              <w:jc w:val="center"/>
              <w:rPr>
                <w:rFonts w:hint="eastAsia" w:ascii="宋体" w:hAnsi="宋体"/>
                <w:color w:val="auto"/>
                <w:sz w:val="24"/>
                <w:highlight w:val="none"/>
              </w:rPr>
            </w:pPr>
          </w:p>
        </w:tc>
        <w:tc>
          <w:tcPr>
            <w:tcW w:w="1873" w:type="pct"/>
            <w:tcBorders>
              <w:top w:val="single" w:color="auto" w:sz="4" w:space="0"/>
              <w:left w:val="single" w:color="auto" w:sz="4" w:space="0"/>
              <w:bottom w:val="single" w:color="auto" w:sz="4" w:space="0"/>
              <w:right w:val="single" w:color="auto" w:sz="4" w:space="0"/>
            </w:tcBorders>
            <w:noWrap w:val="0"/>
            <w:vAlign w:val="top"/>
          </w:tcPr>
          <w:p w14:paraId="1308963C">
            <w:pPr>
              <w:snapToGrid w:val="0"/>
              <w:spacing w:before="50" w:after="120" w:afterLines="50" w:line="400" w:lineRule="exact"/>
              <w:jc w:val="center"/>
              <w:rPr>
                <w:rFonts w:hint="eastAsia" w:ascii="宋体" w:hAnsi="宋体"/>
                <w:color w:val="auto"/>
                <w:sz w:val="24"/>
                <w:highlight w:val="none"/>
              </w:rPr>
            </w:pPr>
          </w:p>
        </w:tc>
      </w:tr>
      <w:tr w14:paraId="23E6A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4" w:type="pct"/>
            <w:tcBorders>
              <w:top w:val="single" w:color="auto" w:sz="4" w:space="0"/>
              <w:left w:val="single" w:color="auto" w:sz="4" w:space="0"/>
              <w:bottom w:val="single" w:color="auto" w:sz="4" w:space="0"/>
              <w:right w:val="single" w:color="auto" w:sz="4" w:space="0"/>
            </w:tcBorders>
            <w:noWrap w:val="0"/>
            <w:vAlign w:val="top"/>
          </w:tcPr>
          <w:p w14:paraId="3DD0D062">
            <w:pPr>
              <w:snapToGrid w:val="0"/>
              <w:spacing w:before="50" w:after="120" w:afterLines="50" w:line="400" w:lineRule="exact"/>
              <w:jc w:val="left"/>
              <w:rPr>
                <w:rFonts w:hint="eastAsia" w:ascii="宋体" w:hAnsi="宋体"/>
                <w:color w:val="auto"/>
                <w:sz w:val="24"/>
                <w:highlight w:val="none"/>
              </w:rPr>
            </w:pPr>
          </w:p>
        </w:tc>
        <w:tc>
          <w:tcPr>
            <w:tcW w:w="774" w:type="pct"/>
            <w:tcBorders>
              <w:top w:val="single" w:color="auto" w:sz="4" w:space="0"/>
              <w:left w:val="single" w:color="auto" w:sz="4" w:space="0"/>
              <w:bottom w:val="single" w:color="auto" w:sz="4" w:space="0"/>
              <w:right w:val="single" w:color="auto" w:sz="4" w:space="0"/>
            </w:tcBorders>
            <w:noWrap w:val="0"/>
            <w:vAlign w:val="top"/>
          </w:tcPr>
          <w:p w14:paraId="69D0BAB3">
            <w:pPr>
              <w:snapToGrid w:val="0"/>
              <w:spacing w:before="50" w:after="120" w:afterLines="50" w:line="400" w:lineRule="exact"/>
              <w:jc w:val="left"/>
              <w:rPr>
                <w:rFonts w:hint="eastAsia" w:ascii="宋体" w:hAnsi="宋体"/>
                <w:color w:val="auto"/>
                <w:sz w:val="24"/>
                <w:highlight w:val="none"/>
              </w:rPr>
            </w:pPr>
          </w:p>
        </w:tc>
        <w:tc>
          <w:tcPr>
            <w:tcW w:w="1577" w:type="pct"/>
            <w:tcBorders>
              <w:top w:val="single" w:color="auto" w:sz="4" w:space="0"/>
              <w:left w:val="single" w:color="auto" w:sz="4" w:space="0"/>
              <w:bottom w:val="single" w:color="auto" w:sz="4" w:space="0"/>
              <w:right w:val="single" w:color="auto" w:sz="4" w:space="0"/>
            </w:tcBorders>
            <w:noWrap w:val="0"/>
            <w:vAlign w:val="top"/>
          </w:tcPr>
          <w:p w14:paraId="27A6417D">
            <w:pPr>
              <w:snapToGrid w:val="0"/>
              <w:spacing w:before="50" w:after="120" w:afterLines="50" w:line="400" w:lineRule="exact"/>
              <w:jc w:val="left"/>
              <w:rPr>
                <w:rFonts w:hint="eastAsia" w:ascii="宋体" w:hAnsi="宋体"/>
                <w:color w:val="auto"/>
                <w:sz w:val="24"/>
                <w:highlight w:val="none"/>
              </w:rPr>
            </w:pPr>
          </w:p>
        </w:tc>
        <w:tc>
          <w:tcPr>
            <w:tcW w:w="1873" w:type="pct"/>
            <w:tcBorders>
              <w:top w:val="single" w:color="auto" w:sz="4" w:space="0"/>
              <w:left w:val="single" w:color="auto" w:sz="4" w:space="0"/>
              <w:bottom w:val="single" w:color="auto" w:sz="4" w:space="0"/>
              <w:right w:val="single" w:color="auto" w:sz="4" w:space="0"/>
            </w:tcBorders>
            <w:noWrap w:val="0"/>
            <w:vAlign w:val="top"/>
          </w:tcPr>
          <w:p w14:paraId="01C04AAD">
            <w:pPr>
              <w:snapToGrid w:val="0"/>
              <w:spacing w:before="50" w:after="120" w:afterLines="50" w:line="400" w:lineRule="exact"/>
              <w:jc w:val="left"/>
              <w:rPr>
                <w:rFonts w:hint="eastAsia" w:ascii="宋体" w:hAnsi="宋体"/>
                <w:color w:val="auto"/>
                <w:sz w:val="24"/>
                <w:highlight w:val="none"/>
              </w:rPr>
            </w:pPr>
          </w:p>
        </w:tc>
      </w:tr>
      <w:tr w14:paraId="651A7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74" w:type="pct"/>
            <w:tcBorders>
              <w:top w:val="single" w:color="auto" w:sz="4" w:space="0"/>
              <w:left w:val="single" w:color="auto" w:sz="4" w:space="0"/>
              <w:bottom w:val="single" w:color="auto" w:sz="4" w:space="0"/>
              <w:right w:val="single" w:color="auto" w:sz="4" w:space="0"/>
            </w:tcBorders>
            <w:noWrap w:val="0"/>
            <w:vAlign w:val="top"/>
          </w:tcPr>
          <w:p w14:paraId="7A7B2188">
            <w:pPr>
              <w:snapToGrid w:val="0"/>
              <w:spacing w:before="50" w:after="120" w:afterLines="50" w:line="400" w:lineRule="exact"/>
              <w:jc w:val="left"/>
              <w:rPr>
                <w:rFonts w:hint="eastAsia" w:ascii="宋体" w:hAnsi="宋体"/>
                <w:color w:val="auto"/>
                <w:sz w:val="24"/>
                <w:highlight w:val="none"/>
              </w:rPr>
            </w:pPr>
          </w:p>
        </w:tc>
        <w:tc>
          <w:tcPr>
            <w:tcW w:w="774" w:type="pct"/>
            <w:tcBorders>
              <w:top w:val="single" w:color="auto" w:sz="4" w:space="0"/>
              <w:left w:val="single" w:color="auto" w:sz="4" w:space="0"/>
              <w:bottom w:val="single" w:color="auto" w:sz="4" w:space="0"/>
              <w:right w:val="single" w:color="auto" w:sz="4" w:space="0"/>
            </w:tcBorders>
            <w:noWrap w:val="0"/>
            <w:vAlign w:val="top"/>
          </w:tcPr>
          <w:p w14:paraId="01D576F8">
            <w:pPr>
              <w:snapToGrid w:val="0"/>
              <w:spacing w:before="50" w:after="120" w:afterLines="50" w:line="400" w:lineRule="exact"/>
              <w:jc w:val="left"/>
              <w:rPr>
                <w:rFonts w:hint="eastAsia" w:ascii="宋体" w:hAnsi="宋体"/>
                <w:color w:val="auto"/>
                <w:sz w:val="24"/>
                <w:highlight w:val="none"/>
              </w:rPr>
            </w:pPr>
          </w:p>
        </w:tc>
        <w:tc>
          <w:tcPr>
            <w:tcW w:w="1577" w:type="pct"/>
            <w:tcBorders>
              <w:top w:val="single" w:color="auto" w:sz="4" w:space="0"/>
              <w:left w:val="single" w:color="auto" w:sz="4" w:space="0"/>
              <w:bottom w:val="single" w:color="auto" w:sz="4" w:space="0"/>
              <w:right w:val="single" w:color="auto" w:sz="4" w:space="0"/>
            </w:tcBorders>
            <w:noWrap w:val="0"/>
            <w:vAlign w:val="top"/>
          </w:tcPr>
          <w:p w14:paraId="500FC006">
            <w:pPr>
              <w:snapToGrid w:val="0"/>
              <w:spacing w:before="50" w:after="120" w:afterLines="50" w:line="400" w:lineRule="exact"/>
              <w:jc w:val="left"/>
              <w:rPr>
                <w:rFonts w:hint="eastAsia" w:ascii="宋体" w:hAnsi="宋体"/>
                <w:color w:val="auto"/>
                <w:sz w:val="24"/>
                <w:highlight w:val="none"/>
              </w:rPr>
            </w:pPr>
          </w:p>
        </w:tc>
        <w:tc>
          <w:tcPr>
            <w:tcW w:w="1873" w:type="pct"/>
            <w:tcBorders>
              <w:top w:val="single" w:color="auto" w:sz="4" w:space="0"/>
              <w:left w:val="single" w:color="auto" w:sz="4" w:space="0"/>
              <w:bottom w:val="single" w:color="auto" w:sz="4" w:space="0"/>
              <w:right w:val="single" w:color="auto" w:sz="4" w:space="0"/>
            </w:tcBorders>
            <w:noWrap w:val="0"/>
            <w:vAlign w:val="top"/>
          </w:tcPr>
          <w:p w14:paraId="1C646C9F">
            <w:pPr>
              <w:snapToGrid w:val="0"/>
              <w:spacing w:before="50" w:after="120" w:afterLines="50" w:line="400" w:lineRule="exact"/>
              <w:jc w:val="left"/>
              <w:rPr>
                <w:rFonts w:hint="eastAsia" w:ascii="宋体" w:hAnsi="宋体"/>
                <w:color w:val="auto"/>
                <w:sz w:val="24"/>
                <w:highlight w:val="none"/>
              </w:rPr>
            </w:pPr>
          </w:p>
        </w:tc>
      </w:tr>
    </w:tbl>
    <w:p w14:paraId="2C2451EA">
      <w:pPr>
        <w:pStyle w:val="19"/>
        <w:spacing w:before="0" w:after="0" w:line="360" w:lineRule="auto"/>
        <w:contextualSpacing/>
        <w:rPr>
          <w:rFonts w:hint="eastAsia" w:ascii="宋体" w:hAnsi="宋体" w:eastAsia="宋体"/>
          <w:color w:val="auto"/>
          <w:sz w:val="24"/>
          <w:szCs w:val="24"/>
          <w:highlight w:val="none"/>
        </w:rPr>
      </w:pPr>
    </w:p>
    <w:p w14:paraId="1AFE2B1A">
      <w:pPr>
        <w:pStyle w:val="19"/>
        <w:spacing w:before="0" w:after="0" w:line="360" w:lineRule="auto"/>
        <w:contextualSpacing/>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lang w:val="en-US" w:eastAsia="zh-CN"/>
        </w:rPr>
        <w:t>供应商</w:t>
      </w:r>
      <w:r>
        <w:rPr>
          <w:rFonts w:hint="eastAsia" w:ascii="宋体" w:hAnsi="宋体"/>
          <w:color w:val="auto"/>
          <w:sz w:val="24"/>
          <w:highlight w:val="none"/>
        </w:rPr>
        <w:t>根据评</w:t>
      </w:r>
      <w:r>
        <w:rPr>
          <w:rFonts w:hint="eastAsia" w:ascii="宋体" w:hAnsi="宋体"/>
          <w:color w:val="auto"/>
          <w:sz w:val="24"/>
          <w:highlight w:val="none"/>
          <w:lang w:val="en-US" w:eastAsia="zh-CN"/>
        </w:rPr>
        <w:t>审</w:t>
      </w:r>
      <w:r>
        <w:rPr>
          <w:rFonts w:hint="eastAsia" w:ascii="宋体" w:hAnsi="宋体"/>
          <w:color w:val="auto"/>
          <w:sz w:val="24"/>
          <w:highlight w:val="none"/>
        </w:rPr>
        <w:t>标准具体要求附</w:t>
      </w:r>
      <w:r>
        <w:rPr>
          <w:rFonts w:hint="eastAsia" w:ascii="宋体" w:hAnsi="宋体"/>
          <w:color w:val="auto"/>
          <w:sz w:val="24"/>
          <w:highlight w:val="none"/>
          <w:lang w:val="en-US" w:eastAsia="zh-CN"/>
        </w:rPr>
        <w:t>获奖</w:t>
      </w:r>
      <w:r>
        <w:rPr>
          <w:rFonts w:hint="eastAsia" w:ascii="宋体" w:hAnsi="宋体"/>
          <w:color w:val="auto"/>
          <w:sz w:val="24"/>
          <w:highlight w:val="none"/>
        </w:rPr>
        <w:t>证明材料。</w:t>
      </w:r>
    </w:p>
    <w:p w14:paraId="3A9F1EA0">
      <w:pPr>
        <w:pStyle w:val="19"/>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法定代表人（负责人）或者委托代理人（签字或者电子签名）：</w:t>
      </w:r>
      <w:r>
        <w:rPr>
          <w:rFonts w:hint="eastAsia" w:ascii="宋体" w:hAnsi="宋体" w:eastAsia="宋体"/>
          <w:color w:val="auto"/>
          <w:sz w:val="24"/>
          <w:szCs w:val="24"/>
          <w:highlight w:val="none"/>
          <w:u w:val="single"/>
        </w:rPr>
        <w:t>　　　　　</w:t>
      </w:r>
    </w:p>
    <w:p w14:paraId="03568256">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lang w:val="en-US" w:eastAsia="zh-CN"/>
        </w:rPr>
        <w:t>供应商</w:t>
      </w:r>
      <w:r>
        <w:rPr>
          <w:rFonts w:hint="eastAsia" w:ascii="宋体" w:hAnsi="宋体" w:cs="Arial"/>
          <w:color w:val="auto"/>
          <w:sz w:val="24"/>
          <w:highlight w:val="none"/>
        </w:rPr>
        <w:t xml:space="preserve">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509C199C">
      <w:pPr>
        <w:spacing w:line="36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02FBB2BF">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“政采贷”政策告知函</w:t>
      </w:r>
    </w:p>
    <w:p w14:paraId="4D6D8B9B">
      <w:pPr>
        <w:keepNext w:val="0"/>
        <w:keepLines w:val="0"/>
        <w:pageBreakBefore w:val="0"/>
        <w:kinsoku/>
        <w:wordWrap/>
        <w:overflowPunct/>
        <w:topLinePunct w:val="0"/>
        <w:autoSpaceDE/>
        <w:autoSpaceDN/>
        <w:bidi w:val="0"/>
        <w:spacing w:line="4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各供应商:</w:t>
      </w:r>
    </w:p>
    <w:p w14:paraId="563A04E4">
      <w:pPr>
        <w:keepNext w:val="0"/>
        <w:keepLines w:val="0"/>
        <w:pageBreakBefore w:val="0"/>
        <w:kinsoku/>
        <w:wordWrap/>
        <w:overflowPunct/>
        <w:topLinePunct w:val="0"/>
        <w:autoSpaceDE/>
        <w:autoSpaceDN/>
        <w:bidi w:val="0"/>
        <w:spacing w:line="4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欢迎贵公司参与贺州市平桂区政府采购活动!</w:t>
      </w:r>
    </w:p>
    <w:p w14:paraId="574C2FCE">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Theme="minorEastAsia" w:hAnsiTheme="minorEastAsia" w:eastAsiaTheme="minorEastAsia" w:cstheme="minorEastAsia"/>
          <w:color w:val="auto"/>
          <w:sz w:val="21"/>
          <w:szCs w:val="21"/>
          <w:lang w:eastAsia="zh-CN"/>
        </w:rPr>
        <w:t>等相关材料</w:t>
      </w:r>
      <w:r>
        <w:rPr>
          <w:rFonts w:hint="eastAsia" w:asciiTheme="minorEastAsia" w:hAnsiTheme="minorEastAsia" w:eastAsiaTheme="minorEastAsia" w:cstheme="minorEastAsia"/>
          <w:color w:val="auto"/>
          <w:sz w:val="21"/>
          <w:szCs w:val="21"/>
        </w:rPr>
        <w:t>向金融机构申请贷款，金融机构核实信息，按照双方自愿的原则提供便捷、优惠的贷款服务。</w:t>
      </w:r>
    </w:p>
    <w:p w14:paraId="1DBA6E67">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一、“政采贷”操作流程</w:t>
      </w:r>
    </w:p>
    <w:p w14:paraId="361CF5C5">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进入“广西政府采购网”（</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"http://zfcg.gxzf.gov.cn/" </w:instrText>
      </w:r>
      <w:r>
        <w:rPr>
          <w:rFonts w:hint="eastAsia" w:asciiTheme="minorEastAsia" w:hAnsiTheme="minorEastAsia" w:eastAsiaTheme="minorEastAsia" w:cstheme="minorEastAsia"/>
          <w:color w:val="auto"/>
          <w:sz w:val="21"/>
          <w:szCs w:val="21"/>
          <w:highlight w:val="none"/>
          <w:lang w:eastAsia="zh-CN"/>
        </w:rPr>
        <w:fldChar w:fldCharType="separate"/>
      </w:r>
      <w:r>
        <w:rPr>
          <w:rStyle w:val="56"/>
          <w:rFonts w:hint="eastAsia" w:asciiTheme="minorEastAsia" w:hAnsiTheme="minorEastAsia" w:eastAsiaTheme="minorEastAsia" w:cstheme="minorEastAsia"/>
          <w:color w:val="auto"/>
          <w:sz w:val="21"/>
          <w:szCs w:val="21"/>
          <w:highlight w:val="none"/>
          <w:lang w:eastAsia="zh-CN"/>
        </w:rPr>
        <w:t>http://zfcg.gxzf.gov.cn/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）“办事指南”专栏找到“金融融资”板块，进入“广西政府采购金融服务平台”登录，选择试点银行机构进行合同融资预申请。</w:t>
      </w:r>
    </w:p>
    <w:p w14:paraId="410E88D7">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二、</w:t>
      </w:r>
      <w:r>
        <w:rPr>
          <w:rFonts w:hint="eastAsia" w:asciiTheme="minorEastAsia" w:hAnsiTheme="minorEastAsia" w:eastAsiaTheme="minorEastAsia" w:cstheme="minorEastAsia"/>
          <w:color w:val="auto"/>
          <w:sz w:val="21"/>
          <w:szCs w:val="21"/>
          <w:lang w:val="en-US" w:eastAsia="zh-CN"/>
        </w:rPr>
        <w:t>承接银行联系方式</w:t>
      </w:r>
    </w:p>
    <w:p w14:paraId="1DB35C93">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1.中国建设银行贺州分行</w:t>
      </w:r>
      <w:r>
        <w:rPr>
          <w:rFonts w:hint="eastAsia" w:asciiTheme="minorEastAsia" w:hAnsiTheme="minorEastAsia" w:eastAsiaTheme="minorEastAsia" w:cstheme="minorEastAsia"/>
          <w:color w:val="auto"/>
          <w:sz w:val="21"/>
          <w:szCs w:val="21"/>
          <w:lang w:val="en-US" w:eastAsia="zh-CN"/>
        </w:rPr>
        <w:tab/>
      </w:r>
    </w:p>
    <w:tbl>
      <w:tblPr>
        <w:tblStyle w:val="46"/>
        <w:tblpPr w:leftFromText="180" w:rightFromText="180" w:vertAnchor="text" w:horzAnchor="page" w:tblpX="1551"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379"/>
        <w:gridCol w:w="1311"/>
        <w:gridCol w:w="2128"/>
        <w:gridCol w:w="2598"/>
      </w:tblGrid>
      <w:tr w14:paraId="1641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083" w:type="dxa"/>
            <w:gridSpan w:val="5"/>
            <w:vAlign w:val="bottom"/>
          </w:tcPr>
          <w:p w14:paraId="4BFECBB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中国建设银行贺州分行   总协调人：杨宏毅    职务：公司业务部副总经理  手机号码：18077397188</w:t>
            </w:r>
          </w:p>
        </w:tc>
      </w:tr>
      <w:tr w14:paraId="22EE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tcPr>
          <w:p w14:paraId="0EFEBDE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金融机构</w:t>
            </w:r>
          </w:p>
        </w:tc>
        <w:tc>
          <w:tcPr>
            <w:tcW w:w="2054" w:type="dxa"/>
          </w:tcPr>
          <w:p w14:paraId="68F5931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联系人</w:t>
            </w:r>
          </w:p>
        </w:tc>
        <w:tc>
          <w:tcPr>
            <w:tcW w:w="2115" w:type="dxa"/>
          </w:tcPr>
          <w:p w14:paraId="66EEEDE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2625" w:type="dxa"/>
          </w:tcPr>
          <w:p w14:paraId="0776DED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手机号码</w:t>
            </w:r>
          </w:p>
        </w:tc>
        <w:tc>
          <w:tcPr>
            <w:tcW w:w="4473" w:type="dxa"/>
          </w:tcPr>
          <w:p w14:paraId="7C4D21C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银行地址</w:t>
            </w:r>
          </w:p>
        </w:tc>
      </w:tr>
      <w:tr w14:paraId="2ACE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816" w:type="dxa"/>
            <w:vAlign w:val="center"/>
          </w:tcPr>
          <w:p w14:paraId="1F34512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中国建设银行贺州平桂支行</w:t>
            </w:r>
          </w:p>
        </w:tc>
        <w:tc>
          <w:tcPr>
            <w:tcW w:w="2054" w:type="dxa"/>
            <w:vAlign w:val="center"/>
          </w:tcPr>
          <w:p w14:paraId="79D0B563">
            <w:pPr>
              <w:keepNext w:val="0"/>
              <w:keepLines w:val="0"/>
              <w:pageBreakBefore w:val="0"/>
              <w:widowControl/>
              <w:suppressLineNumbers w:val="0"/>
              <w:kinsoku/>
              <w:wordWrap/>
              <w:overflowPunct/>
              <w:topLinePunct w:val="0"/>
              <w:autoSpaceDE/>
              <w:autoSpaceDN/>
              <w:bidi w:val="0"/>
              <w:spacing w:line="460" w:lineRule="exact"/>
              <w:ind w:firstLine="210" w:firstLineChars="100"/>
              <w:jc w:val="both"/>
              <w:textAlignment w:val="center"/>
              <w:rPr>
                <w:rFonts w:hint="eastAsia" w:asciiTheme="minorEastAsia" w:hAnsiTheme="minorEastAsia" w:eastAsiaTheme="minorEastAsia" w:cstheme="minorEastAsia"/>
                <w:i w:val="0"/>
                <w:iCs w:val="0"/>
                <w:color w:val="auto"/>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邱 伟</w:t>
            </w:r>
          </w:p>
        </w:tc>
        <w:tc>
          <w:tcPr>
            <w:tcW w:w="2115" w:type="dxa"/>
            <w:vAlign w:val="center"/>
          </w:tcPr>
          <w:p w14:paraId="7A2C99D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客户</w:t>
            </w:r>
          </w:p>
          <w:p w14:paraId="3443A680">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经理</w:t>
            </w:r>
          </w:p>
        </w:tc>
        <w:tc>
          <w:tcPr>
            <w:tcW w:w="2625" w:type="dxa"/>
            <w:vAlign w:val="center"/>
          </w:tcPr>
          <w:p w14:paraId="01828271">
            <w:pPr>
              <w:keepNext w:val="0"/>
              <w:keepLines w:val="0"/>
              <w:pageBreakBefore w:val="0"/>
              <w:widowControl/>
              <w:suppressLineNumbers w:val="0"/>
              <w:kinsoku/>
              <w:wordWrap/>
              <w:overflowPunct/>
              <w:topLinePunct w:val="0"/>
              <w:autoSpaceDE/>
              <w:autoSpaceDN/>
              <w:bidi w:val="0"/>
              <w:spacing w:line="460" w:lineRule="exact"/>
              <w:ind w:firstLine="210" w:firstLineChars="100"/>
              <w:jc w:val="center"/>
              <w:textAlignment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18007840720</w:t>
            </w:r>
          </w:p>
        </w:tc>
        <w:tc>
          <w:tcPr>
            <w:tcW w:w="4473" w:type="dxa"/>
            <w:vAlign w:val="bottom"/>
          </w:tcPr>
          <w:p w14:paraId="4CB22E73">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贺州市平桂区平桂大道15号富旺小区1号楼105号商铺</w:t>
            </w:r>
          </w:p>
        </w:tc>
      </w:tr>
    </w:tbl>
    <w:p w14:paraId="5AA9E351">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Theme="minorEastAsia" w:hAnsiTheme="minorEastAsia" w:eastAsiaTheme="minorEastAsia" w:cstheme="minorEastAsia"/>
          <w:color w:val="auto"/>
          <w:sz w:val="21"/>
          <w:szCs w:val="21"/>
          <w:lang w:val="en-US" w:eastAsia="zh-CN"/>
        </w:rPr>
      </w:pPr>
    </w:p>
    <w:p w14:paraId="03C43723">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2.广西北部湾银行</w:t>
      </w:r>
    </w:p>
    <w:tbl>
      <w:tblPr>
        <w:tblStyle w:val="46"/>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26E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00AE55D7">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广西北部湾银行贺州分行    总协调人：杨政     职务：普惠金融部总经理  手机号码：18978413000</w:t>
            </w:r>
          </w:p>
        </w:tc>
      </w:tr>
      <w:tr w14:paraId="04E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3AFD099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金融机构</w:t>
            </w:r>
          </w:p>
        </w:tc>
        <w:tc>
          <w:tcPr>
            <w:tcW w:w="1290" w:type="dxa"/>
            <w:vAlign w:val="top"/>
          </w:tcPr>
          <w:p w14:paraId="65D34B6D">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联系人</w:t>
            </w:r>
          </w:p>
        </w:tc>
        <w:tc>
          <w:tcPr>
            <w:tcW w:w="1215" w:type="dxa"/>
            <w:vAlign w:val="top"/>
          </w:tcPr>
          <w:p w14:paraId="5C50C90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2130" w:type="dxa"/>
            <w:vAlign w:val="top"/>
          </w:tcPr>
          <w:p w14:paraId="3B83027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手机号码</w:t>
            </w:r>
          </w:p>
        </w:tc>
        <w:tc>
          <w:tcPr>
            <w:tcW w:w="2588" w:type="dxa"/>
            <w:vAlign w:val="top"/>
          </w:tcPr>
          <w:p w14:paraId="69FFB99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银行地址</w:t>
            </w:r>
          </w:p>
        </w:tc>
      </w:tr>
      <w:tr w14:paraId="3E5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01EC450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广西北部湾银行贺州市平桂支行</w:t>
            </w:r>
          </w:p>
        </w:tc>
        <w:tc>
          <w:tcPr>
            <w:tcW w:w="1290" w:type="dxa"/>
            <w:vAlign w:val="center"/>
          </w:tcPr>
          <w:p w14:paraId="11C51C6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10" w:firstLineChars="10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刘 乐</w:t>
            </w:r>
          </w:p>
        </w:tc>
        <w:tc>
          <w:tcPr>
            <w:tcW w:w="1215" w:type="dxa"/>
            <w:vAlign w:val="center"/>
          </w:tcPr>
          <w:p w14:paraId="3E383B8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公司客户经理</w:t>
            </w:r>
          </w:p>
        </w:tc>
        <w:tc>
          <w:tcPr>
            <w:tcW w:w="2130" w:type="dxa"/>
            <w:vAlign w:val="center"/>
          </w:tcPr>
          <w:p w14:paraId="4AFD845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14" w:leftChars="145" w:hanging="210" w:hangingChars="10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13036871008</w:t>
            </w:r>
          </w:p>
        </w:tc>
        <w:tc>
          <w:tcPr>
            <w:tcW w:w="2588" w:type="dxa"/>
            <w:vAlign w:val="center"/>
          </w:tcPr>
          <w:p w14:paraId="23DACB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贺州市平桂区平桂大道4号3号楼103号商铺</w:t>
            </w:r>
          </w:p>
        </w:tc>
      </w:tr>
    </w:tbl>
    <w:p w14:paraId="51CB906F">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3.广西贺州桂东农村合作银行</w:t>
      </w:r>
    </w:p>
    <w:tbl>
      <w:tblPr>
        <w:tblStyle w:val="46"/>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1F71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74C16DB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广西贺州桂东农村合作银行   总协调人：卢士强    职务：授信审批部总经理  手机号码：18077409115</w:t>
            </w:r>
          </w:p>
        </w:tc>
      </w:tr>
      <w:tr w14:paraId="6C22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079A248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金融机构</w:t>
            </w:r>
          </w:p>
        </w:tc>
        <w:tc>
          <w:tcPr>
            <w:tcW w:w="1154" w:type="dxa"/>
            <w:vAlign w:val="top"/>
          </w:tcPr>
          <w:p w14:paraId="5AA9750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联系人</w:t>
            </w:r>
          </w:p>
        </w:tc>
        <w:tc>
          <w:tcPr>
            <w:tcW w:w="1230" w:type="dxa"/>
            <w:vAlign w:val="top"/>
          </w:tcPr>
          <w:p w14:paraId="71AEF0C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2160" w:type="dxa"/>
            <w:vAlign w:val="top"/>
          </w:tcPr>
          <w:p w14:paraId="7C5B9F2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手机号码</w:t>
            </w:r>
          </w:p>
        </w:tc>
        <w:tc>
          <w:tcPr>
            <w:tcW w:w="2558" w:type="dxa"/>
            <w:vAlign w:val="top"/>
          </w:tcPr>
          <w:p w14:paraId="1F04032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银行地址</w:t>
            </w:r>
          </w:p>
        </w:tc>
      </w:tr>
      <w:tr w14:paraId="483D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24A6B5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广西贺州桂东农村合作银行平桂支行</w:t>
            </w:r>
          </w:p>
        </w:tc>
        <w:tc>
          <w:tcPr>
            <w:tcW w:w="1154" w:type="dxa"/>
            <w:vAlign w:val="center"/>
          </w:tcPr>
          <w:p w14:paraId="3D0A502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古 睿</w:t>
            </w:r>
          </w:p>
        </w:tc>
        <w:tc>
          <w:tcPr>
            <w:tcW w:w="1230" w:type="dxa"/>
            <w:vAlign w:val="center"/>
          </w:tcPr>
          <w:p w14:paraId="6787DF0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信贷副</w:t>
            </w:r>
          </w:p>
          <w:p w14:paraId="4009633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行长</w:t>
            </w:r>
          </w:p>
        </w:tc>
        <w:tc>
          <w:tcPr>
            <w:tcW w:w="2160" w:type="dxa"/>
            <w:vAlign w:val="center"/>
          </w:tcPr>
          <w:p w14:paraId="07D98DE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18007840375</w:t>
            </w:r>
          </w:p>
        </w:tc>
        <w:tc>
          <w:tcPr>
            <w:tcW w:w="2558" w:type="dxa"/>
            <w:vAlign w:val="center"/>
          </w:tcPr>
          <w:p w14:paraId="3140C18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贺州市平桂区平桂大道财政局一楼</w:t>
            </w:r>
          </w:p>
        </w:tc>
      </w:tr>
    </w:tbl>
    <w:p w14:paraId="34EE0FEF">
      <w:pPr>
        <w:spacing w:line="360" w:lineRule="auto"/>
        <w:jc w:val="center"/>
        <w:rPr>
          <w:rFonts w:hint="eastAsia" w:ascii="方正小标宋简体" w:hAnsi="方正小标宋简体" w:eastAsia="方正小标宋简体" w:cs="方正小标宋简体"/>
          <w:color w:val="auto"/>
          <w:sz w:val="44"/>
          <w:szCs w:val="44"/>
          <w:highlight w:val="none"/>
        </w:rPr>
      </w:pPr>
      <w:r>
        <w:rPr>
          <w:rFonts w:ascii="宋体" w:hAnsi="宋体" w:cs="仿宋_GB2312"/>
          <w:color w:val="auto"/>
          <w:sz w:val="24"/>
          <w:highlight w:val="none"/>
        </w:rPr>
        <w:br w:type="page"/>
      </w:r>
    </w:p>
    <w:p w14:paraId="519EA4F8">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58FAE875">
      <w:pPr>
        <w:pStyle w:val="27"/>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48BE0973">
      <w:pPr>
        <w:pStyle w:val="27"/>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51AADAE4">
      <w:pPr>
        <w:pStyle w:val="27"/>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B9A135C">
      <w:pPr>
        <w:pStyle w:val="27"/>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78AFC80C">
      <w:pPr>
        <w:pStyle w:val="27"/>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2032E6A5">
      <w:pPr>
        <w:pStyle w:val="27"/>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1F20AD69">
      <w:pPr>
        <w:pStyle w:val="27"/>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9E9528A">
      <w:pPr>
        <w:pStyle w:val="27"/>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48176E39">
      <w:pPr>
        <w:pStyle w:val="27"/>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585D3788">
      <w:pPr>
        <w:pStyle w:val="27"/>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6EAB8157">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25A8D68F">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22AA1EAE">
      <w:pPr>
        <w:pStyle w:val="27"/>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09CB3026">
      <w:pPr>
        <w:pStyle w:val="27"/>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59CDA6FB">
      <w:pPr>
        <w:pStyle w:val="27"/>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0DDD6B1B">
      <w:pPr>
        <w:pStyle w:val="27"/>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06533F26">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34BA6FC2">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194347C9">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142E3ED3">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3FC0E497">
      <w:pPr>
        <w:pStyle w:val="27"/>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27D260E7">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D1BB66A">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1A8E6900">
      <w:pPr>
        <w:pStyle w:val="27"/>
        <w:spacing w:line="360" w:lineRule="auto"/>
        <w:ind w:left="25" w:leftChars="12" w:firstLine="352" w:firstLineChars="147"/>
        <w:contextualSpacing/>
        <w:rPr>
          <w:rFonts w:hAnsi="宋体"/>
          <w:color w:val="auto"/>
          <w:sz w:val="24"/>
          <w:szCs w:val="24"/>
          <w:highlight w:val="none"/>
        </w:rPr>
      </w:pPr>
    </w:p>
    <w:p w14:paraId="62AAF1C0">
      <w:pPr>
        <w:pStyle w:val="2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7FBEBCD1">
      <w:pPr>
        <w:pStyle w:val="27"/>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6673933C">
      <w:pPr>
        <w:pStyle w:val="27"/>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08306202">
      <w:pPr>
        <w:pStyle w:val="27"/>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8DCFF94">
      <w:pPr>
        <w:pStyle w:val="27"/>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2C88F4">
      <w:pPr>
        <w:pStyle w:val="27"/>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0462269">
      <w:pPr>
        <w:pStyle w:val="27"/>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684F4B50">
      <w:pPr>
        <w:pStyle w:val="27"/>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D4A0BFF">
      <w:pPr>
        <w:pStyle w:val="27"/>
        <w:snapToGrid w:val="0"/>
        <w:rPr>
          <w:b/>
          <w:color w:val="auto"/>
          <w:sz w:val="24"/>
          <w:szCs w:val="24"/>
          <w:highlight w:val="none"/>
        </w:rPr>
      </w:pPr>
    </w:p>
    <w:p w14:paraId="46CB105B">
      <w:pPr>
        <w:rPr>
          <w:color w:val="auto"/>
          <w:sz w:val="32"/>
          <w:szCs w:val="40"/>
          <w:highlight w:val="none"/>
        </w:rPr>
      </w:pPr>
    </w:p>
    <w:p w14:paraId="0B4B233C">
      <w:pPr>
        <w:rPr>
          <w:color w:val="auto"/>
          <w:sz w:val="32"/>
          <w:szCs w:val="40"/>
          <w:highlight w:val="none"/>
        </w:rPr>
      </w:pPr>
    </w:p>
    <w:p w14:paraId="30790B42">
      <w:pPr>
        <w:rPr>
          <w:color w:val="auto"/>
          <w:sz w:val="32"/>
          <w:szCs w:val="40"/>
          <w:highlight w:val="none"/>
        </w:rPr>
      </w:pPr>
    </w:p>
    <w:p w14:paraId="13B297CB">
      <w:pPr>
        <w:rPr>
          <w:color w:val="auto"/>
          <w:sz w:val="32"/>
          <w:szCs w:val="40"/>
          <w:highlight w:val="none"/>
        </w:rPr>
      </w:pPr>
    </w:p>
    <w:p w14:paraId="50939B28">
      <w:pPr>
        <w:rPr>
          <w:color w:val="auto"/>
          <w:sz w:val="32"/>
          <w:szCs w:val="40"/>
          <w:highlight w:val="none"/>
        </w:rPr>
      </w:pPr>
    </w:p>
    <w:p w14:paraId="6C177012">
      <w:pPr>
        <w:rPr>
          <w:color w:val="auto"/>
          <w:sz w:val="32"/>
          <w:szCs w:val="40"/>
          <w:highlight w:val="none"/>
        </w:rPr>
      </w:pPr>
    </w:p>
    <w:p w14:paraId="70C3649B">
      <w:pPr>
        <w:rPr>
          <w:color w:val="auto"/>
          <w:sz w:val="32"/>
          <w:szCs w:val="40"/>
          <w:highlight w:val="none"/>
        </w:rPr>
      </w:pPr>
    </w:p>
    <w:p w14:paraId="76BD5BF5">
      <w:pPr>
        <w:rPr>
          <w:color w:val="auto"/>
          <w:sz w:val="32"/>
          <w:szCs w:val="40"/>
          <w:highlight w:val="none"/>
        </w:rPr>
      </w:pPr>
    </w:p>
    <w:p w14:paraId="0F79176A">
      <w:pPr>
        <w:rPr>
          <w:color w:val="auto"/>
          <w:sz w:val="32"/>
          <w:szCs w:val="40"/>
          <w:highlight w:val="none"/>
        </w:rPr>
      </w:pPr>
    </w:p>
    <w:p w14:paraId="458F66FE">
      <w:pPr>
        <w:rPr>
          <w:color w:val="auto"/>
          <w:sz w:val="32"/>
          <w:szCs w:val="40"/>
          <w:highlight w:val="none"/>
        </w:rPr>
      </w:pPr>
    </w:p>
    <w:p w14:paraId="3595953F">
      <w:pPr>
        <w:rPr>
          <w:color w:val="auto"/>
          <w:sz w:val="32"/>
          <w:szCs w:val="40"/>
          <w:highlight w:val="none"/>
        </w:rPr>
      </w:pPr>
    </w:p>
    <w:p w14:paraId="09B6F9D4">
      <w:pPr>
        <w:rPr>
          <w:color w:val="auto"/>
          <w:sz w:val="32"/>
          <w:szCs w:val="40"/>
          <w:highlight w:val="none"/>
        </w:rPr>
      </w:pPr>
    </w:p>
    <w:p w14:paraId="1942F20E">
      <w:pPr>
        <w:rPr>
          <w:color w:val="auto"/>
          <w:sz w:val="32"/>
          <w:szCs w:val="40"/>
          <w:highlight w:val="none"/>
        </w:rPr>
      </w:pPr>
    </w:p>
    <w:p w14:paraId="731343D3">
      <w:pPr>
        <w:rPr>
          <w:color w:val="auto"/>
          <w:sz w:val="32"/>
          <w:szCs w:val="40"/>
          <w:highlight w:val="none"/>
        </w:rPr>
      </w:pPr>
    </w:p>
    <w:p w14:paraId="62F99752">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094D28AB">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4195FC2D">
      <w:pPr>
        <w:pStyle w:val="2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7358590F">
      <w:pPr>
        <w:pStyle w:val="2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11D88FED">
      <w:pPr>
        <w:pStyle w:val="2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FC383F1">
      <w:pPr>
        <w:pStyle w:val="2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02482587">
      <w:pPr>
        <w:pStyle w:val="2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0A886B76">
      <w:pPr>
        <w:pStyle w:val="2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688653A2">
      <w:pPr>
        <w:pStyle w:val="27"/>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58B79610">
      <w:pPr>
        <w:pStyle w:val="2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63689A41">
      <w:pPr>
        <w:pStyle w:val="2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04E75B5A">
      <w:pPr>
        <w:pStyle w:val="2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2A5E0DC6">
      <w:pPr>
        <w:pStyle w:val="2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091AC42">
      <w:pPr>
        <w:pStyle w:val="2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1B9EF570">
      <w:pPr>
        <w:pStyle w:val="2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59CAA0F8">
      <w:pPr>
        <w:pStyle w:val="2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3F246CB1">
      <w:pPr>
        <w:pStyle w:val="2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28953EC0">
      <w:pPr>
        <w:pStyle w:val="27"/>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069A9B0">
      <w:pPr>
        <w:pStyle w:val="2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030E83A0">
      <w:pPr>
        <w:pStyle w:val="2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04D95B7C">
      <w:pPr>
        <w:pStyle w:val="27"/>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09D2F71E">
      <w:pPr>
        <w:pStyle w:val="27"/>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670CB625">
      <w:pPr>
        <w:pStyle w:val="27"/>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462781D6">
      <w:pPr>
        <w:pStyle w:val="27"/>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2D9CE9D3">
      <w:pPr>
        <w:pStyle w:val="27"/>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72E8088E">
      <w:pPr>
        <w:pStyle w:val="27"/>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77A0DD6E">
      <w:pPr>
        <w:pStyle w:val="27"/>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2D361712">
      <w:pPr>
        <w:pStyle w:val="27"/>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    年  月  日，向提出质疑，质疑事项为：</w:t>
      </w:r>
    </w:p>
    <w:p w14:paraId="030660D7">
      <w:pPr>
        <w:pStyle w:val="27"/>
        <w:spacing w:line="360" w:lineRule="auto"/>
        <w:ind w:firstLine="241"/>
        <w:rPr>
          <w:rFonts w:hAnsi="宋体"/>
          <w:bCs/>
          <w:color w:val="auto"/>
          <w:sz w:val="24"/>
          <w:szCs w:val="24"/>
          <w:highlight w:val="none"/>
          <w:u w:val="single"/>
        </w:rPr>
      </w:pPr>
    </w:p>
    <w:p w14:paraId="3475A345">
      <w:pPr>
        <w:pStyle w:val="27"/>
        <w:spacing w:line="360" w:lineRule="auto"/>
        <w:ind w:firstLine="241"/>
        <w:rPr>
          <w:rFonts w:hAnsi="宋体"/>
          <w:bCs/>
          <w:color w:val="auto"/>
          <w:sz w:val="24"/>
          <w:szCs w:val="24"/>
          <w:highlight w:val="none"/>
          <w:u w:val="single"/>
        </w:rPr>
      </w:pPr>
    </w:p>
    <w:p w14:paraId="355F406B">
      <w:pPr>
        <w:pStyle w:val="27"/>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 xml:space="preserve">    年  月  日，</w:t>
      </w:r>
      <w:r>
        <w:rPr>
          <w:rFonts w:hint="eastAsia" w:hAnsi="宋体"/>
          <w:bCs/>
          <w:color w:val="auto"/>
          <w:sz w:val="24"/>
          <w:szCs w:val="24"/>
          <w:highlight w:val="none"/>
        </w:rPr>
        <w:t xml:space="preserve">就质疑事项作出了答复/没有在法定期限内作出答复。                                                                                             </w:t>
      </w:r>
    </w:p>
    <w:p w14:paraId="0B634113">
      <w:pPr>
        <w:pStyle w:val="27"/>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0BEAAE15">
      <w:pPr>
        <w:pStyle w:val="27"/>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04BAFA55">
      <w:pPr>
        <w:pStyle w:val="27"/>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74FF2D9C">
      <w:pPr>
        <w:pStyle w:val="27"/>
        <w:spacing w:line="360" w:lineRule="auto"/>
        <w:ind w:left="25" w:leftChars="12" w:firstLine="472" w:firstLineChars="197"/>
        <w:rPr>
          <w:rFonts w:hAnsi="宋体"/>
          <w:color w:val="auto"/>
          <w:sz w:val="24"/>
          <w:szCs w:val="24"/>
          <w:highlight w:val="none"/>
        </w:rPr>
      </w:pPr>
    </w:p>
    <w:p w14:paraId="53C38B29">
      <w:pPr>
        <w:pStyle w:val="27"/>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13C4ADFC">
      <w:pPr>
        <w:pStyle w:val="27"/>
        <w:spacing w:line="360" w:lineRule="auto"/>
        <w:ind w:left="25" w:leftChars="12" w:firstLine="352" w:firstLineChars="147"/>
        <w:rPr>
          <w:rFonts w:hAnsi="宋体"/>
          <w:bCs/>
          <w:color w:val="auto"/>
          <w:sz w:val="24"/>
          <w:szCs w:val="24"/>
          <w:highlight w:val="none"/>
          <w:u w:val="single"/>
        </w:rPr>
      </w:pPr>
    </w:p>
    <w:p w14:paraId="0AA355AB">
      <w:pPr>
        <w:pStyle w:val="27"/>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06CA1260">
      <w:pPr>
        <w:pStyle w:val="27"/>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45293BA8">
      <w:pPr>
        <w:pStyle w:val="27"/>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33682C4">
      <w:pPr>
        <w:pStyle w:val="27"/>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03423CD1">
      <w:pPr>
        <w:pStyle w:val="27"/>
        <w:spacing w:line="360" w:lineRule="auto"/>
        <w:ind w:left="25" w:leftChars="12" w:firstLine="352" w:firstLineChars="147"/>
        <w:rPr>
          <w:rFonts w:hAnsi="宋体"/>
          <w:color w:val="auto"/>
          <w:sz w:val="24"/>
          <w:szCs w:val="24"/>
          <w:highlight w:val="none"/>
        </w:rPr>
      </w:pPr>
    </w:p>
    <w:p w14:paraId="11623A09">
      <w:pPr>
        <w:pStyle w:val="27"/>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097263F">
      <w:pPr>
        <w:pStyle w:val="27"/>
        <w:spacing w:line="360" w:lineRule="auto"/>
        <w:ind w:left="25" w:leftChars="12" w:firstLine="352" w:firstLineChars="147"/>
        <w:rPr>
          <w:rFonts w:hAnsi="宋体"/>
          <w:color w:val="auto"/>
          <w:sz w:val="24"/>
          <w:szCs w:val="24"/>
          <w:highlight w:val="none"/>
        </w:rPr>
      </w:pPr>
    </w:p>
    <w:p w14:paraId="4EBE0DD4">
      <w:pPr>
        <w:pStyle w:val="27"/>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0C89B946">
      <w:pPr>
        <w:pStyle w:val="27"/>
        <w:spacing w:line="360" w:lineRule="auto"/>
        <w:ind w:left="25" w:leftChars="12" w:firstLine="475" w:firstLineChars="197"/>
        <w:rPr>
          <w:rFonts w:hAnsi="宋体"/>
          <w:b/>
          <w:color w:val="auto"/>
          <w:sz w:val="24"/>
          <w:szCs w:val="24"/>
          <w:highlight w:val="none"/>
        </w:rPr>
      </w:pPr>
    </w:p>
    <w:p w14:paraId="52CC709B">
      <w:pPr>
        <w:pStyle w:val="27"/>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5576888F">
      <w:pPr>
        <w:pStyle w:val="27"/>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67CA887">
      <w:pPr>
        <w:pStyle w:val="2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DDDF2EB">
      <w:pPr>
        <w:pStyle w:val="2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349C4B6">
      <w:pPr>
        <w:pStyle w:val="2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558EB7EF">
      <w:pPr>
        <w:pStyle w:val="2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1C711FFF">
      <w:pPr>
        <w:pStyle w:val="27"/>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6C23234">
      <w:pPr>
        <w:pStyle w:val="2"/>
        <w:jc w:val="center"/>
        <w:rPr>
          <w:color w:val="auto"/>
          <w:highlight w:val="none"/>
        </w:rPr>
      </w:pPr>
    </w:p>
    <w:p w14:paraId="22ED6BBB">
      <w:pPr>
        <w:pStyle w:val="2"/>
        <w:jc w:val="center"/>
        <w:rPr>
          <w:color w:val="auto"/>
          <w:highlight w:val="none"/>
        </w:rPr>
      </w:pPr>
    </w:p>
    <w:p w14:paraId="45899659">
      <w:pPr>
        <w:pStyle w:val="2"/>
        <w:jc w:val="center"/>
        <w:rPr>
          <w:color w:val="auto"/>
          <w:highlight w:val="none"/>
        </w:rPr>
      </w:pPr>
    </w:p>
    <w:p w14:paraId="43936E92">
      <w:pPr>
        <w:pStyle w:val="2"/>
        <w:jc w:val="center"/>
        <w:rPr>
          <w:color w:val="auto"/>
          <w:highlight w:val="none"/>
        </w:rPr>
      </w:pPr>
    </w:p>
    <w:p w14:paraId="75EF8680">
      <w:pPr>
        <w:pStyle w:val="2"/>
        <w:jc w:val="center"/>
        <w:rPr>
          <w:color w:val="auto"/>
          <w:highlight w:val="none"/>
        </w:rPr>
      </w:pPr>
    </w:p>
    <w:p w14:paraId="739947D4">
      <w:pPr>
        <w:pStyle w:val="2"/>
        <w:jc w:val="center"/>
        <w:rPr>
          <w:color w:val="auto"/>
          <w:highlight w:val="none"/>
        </w:rPr>
      </w:pPr>
      <w:bookmarkStart w:id="112" w:name="_Toc23551"/>
      <w:r>
        <w:rPr>
          <w:rFonts w:hint="eastAsia"/>
          <w:color w:val="auto"/>
          <w:highlight w:val="none"/>
        </w:rPr>
        <w:t>第七章合同文本</w:t>
      </w:r>
      <w:bookmarkEnd w:id="112"/>
    </w:p>
    <w:p w14:paraId="14964369">
      <w:pPr>
        <w:spacing w:line="520" w:lineRule="exact"/>
        <w:rPr>
          <w:rFonts w:ascii="宋体" w:hAnsi="宋体" w:cs="Courier New"/>
          <w:b/>
          <w:color w:val="auto"/>
          <w:sz w:val="32"/>
          <w:szCs w:val="32"/>
          <w:highlight w:val="none"/>
        </w:rPr>
      </w:pPr>
    </w:p>
    <w:p w14:paraId="4A7B4107">
      <w:pPr>
        <w:widowControl/>
        <w:jc w:val="center"/>
        <w:rPr>
          <w:rFonts w:ascii="宋体" w:hAnsi="宋体" w:cs="宋体"/>
          <w:b/>
          <w:color w:val="auto"/>
          <w:sz w:val="44"/>
          <w:szCs w:val="44"/>
          <w:highlight w:val="none"/>
        </w:rPr>
      </w:pPr>
      <w:r>
        <w:rPr>
          <w:rFonts w:ascii="宋体" w:hAnsi="宋体" w:cs="宋体"/>
          <w:color w:val="auto"/>
          <w:sz w:val="24"/>
          <w:highlight w:val="none"/>
        </w:rPr>
        <w:br w:type="page"/>
      </w:r>
    </w:p>
    <w:p w14:paraId="3207DA2D">
      <w:pPr>
        <w:pageBreakBefore w:val="0"/>
        <w:widowControl w:val="0"/>
        <w:kinsoku/>
        <w:wordWrap/>
        <w:overflowPunct/>
        <w:topLinePunct w:val="0"/>
        <w:bidi w:val="0"/>
        <w:jc w:val="center"/>
        <w:textAlignment w:val="auto"/>
        <w:outlineLvl w:val="9"/>
        <w:rPr>
          <w:b/>
          <w:bCs/>
          <w:color w:val="auto"/>
          <w:sz w:val="40"/>
          <w:szCs w:val="48"/>
          <w:highlight w:val="none"/>
        </w:rPr>
      </w:pPr>
      <w:r>
        <w:rPr>
          <w:rFonts w:hint="eastAsia" w:cs="黑体"/>
          <w:b/>
          <w:bCs/>
          <w:color w:val="auto"/>
          <w:sz w:val="40"/>
          <w:szCs w:val="48"/>
          <w:highlight w:val="none"/>
        </w:rPr>
        <w:t>第一部分合同协议书</w:t>
      </w:r>
    </w:p>
    <w:p w14:paraId="468745E8">
      <w:pPr>
        <w:pageBreakBefore w:val="0"/>
        <w:widowControl w:val="0"/>
        <w:kinsoku/>
        <w:wordWrap/>
        <w:overflowPunct/>
        <w:topLinePunct w:val="0"/>
        <w:bidi w:val="0"/>
        <w:spacing w:line="360" w:lineRule="auto"/>
        <w:textAlignment w:val="auto"/>
        <w:outlineLvl w:val="9"/>
        <w:rPr>
          <w:rFonts w:hint="eastAsia" w:hAnsi="宋体" w:cs="宋体"/>
          <w:color w:val="auto"/>
          <w:highlight w:val="none"/>
        </w:rPr>
      </w:pPr>
    </w:p>
    <w:p w14:paraId="77EB474B">
      <w:pPr>
        <w:pageBreakBefore w:val="0"/>
        <w:widowControl w:val="0"/>
        <w:kinsoku/>
        <w:wordWrap/>
        <w:overflowPunct/>
        <w:topLinePunct w:val="0"/>
        <w:bidi w:val="0"/>
        <w:spacing w:line="360" w:lineRule="auto"/>
        <w:textAlignment w:val="auto"/>
        <w:outlineLvl w:val="9"/>
        <w:rPr>
          <w:rFonts w:hint="eastAsia" w:eastAsia="宋体"/>
          <w:color w:val="auto"/>
          <w:highlight w:val="none"/>
          <w:u w:val="single"/>
          <w:lang w:eastAsia="zh-CN"/>
        </w:rPr>
      </w:pPr>
      <w:r>
        <w:rPr>
          <w:rFonts w:hint="eastAsia" w:hAnsi="宋体" w:cs="宋体"/>
          <w:color w:val="auto"/>
          <w:highlight w:val="none"/>
        </w:rPr>
        <w:t>发包人（全称）：</w:t>
      </w:r>
      <w:r>
        <w:rPr>
          <w:rFonts w:hint="eastAsia" w:hAnsi="宋体"/>
          <w:color w:val="auto"/>
          <w:highlight w:val="none"/>
          <w:u w:val="single"/>
          <w:lang w:eastAsia="zh-CN"/>
        </w:rPr>
        <w:t>贺州市平桂区大平瑶族乡人民政府</w:t>
      </w:r>
    </w:p>
    <w:p w14:paraId="5AE05ADA">
      <w:pPr>
        <w:pageBreakBefore w:val="0"/>
        <w:widowControl w:val="0"/>
        <w:kinsoku/>
        <w:wordWrap/>
        <w:overflowPunct/>
        <w:topLinePunct w:val="0"/>
        <w:bidi w:val="0"/>
        <w:spacing w:line="360" w:lineRule="auto"/>
        <w:textAlignment w:val="auto"/>
        <w:outlineLvl w:val="9"/>
        <w:rPr>
          <w:color w:val="auto"/>
          <w:highlight w:val="none"/>
          <w:u w:val="single"/>
        </w:rPr>
      </w:pPr>
      <w:r>
        <w:rPr>
          <w:rFonts w:hint="eastAsia" w:hAnsi="宋体" w:cs="宋体"/>
          <w:color w:val="auto"/>
          <w:highlight w:val="none"/>
        </w:rPr>
        <w:t>承包人（全称）：</w:t>
      </w:r>
      <w:r>
        <w:rPr>
          <w:rFonts w:hint="eastAsia" w:hAnsi="宋体" w:cs="宋体"/>
          <w:color w:val="auto"/>
          <w:highlight w:val="none"/>
          <w:u w:val="single"/>
        </w:rPr>
        <w:t xml:space="preserve">                         </w:t>
      </w:r>
    </w:p>
    <w:p w14:paraId="1C739103">
      <w:pPr>
        <w:pageBreakBefore w:val="0"/>
        <w:widowControl w:val="0"/>
        <w:kinsoku/>
        <w:wordWrap/>
        <w:overflowPunct/>
        <w:topLinePunct w:val="0"/>
        <w:bidi w:val="0"/>
        <w:spacing w:line="360" w:lineRule="auto"/>
        <w:ind w:firstLine="420" w:firstLineChars="200"/>
        <w:textAlignment w:val="auto"/>
        <w:outlineLvl w:val="9"/>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根据《中华人民共和国民法典》、《中华人民共和国建筑法》及有关法律规定，遵循平等、自愿、公平和诚实信用的原则，双方就工程施工及有关事项协商一致，共同达成如下协议：</w:t>
      </w:r>
      <w:bookmarkStart w:id="113" w:name="_Toc351203481"/>
    </w:p>
    <w:p w14:paraId="6E54355B">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r>
        <w:rPr>
          <w:rFonts w:hint="eastAsia" w:hAnsi="宋体" w:cs="宋体"/>
          <w:b/>
          <w:bCs/>
          <w:color w:val="auto"/>
          <w:highlight w:val="none"/>
        </w:rPr>
        <w:t>一、工程概况</w:t>
      </w:r>
      <w:bookmarkEnd w:id="113"/>
    </w:p>
    <w:p w14:paraId="2C8E3903">
      <w:pPr>
        <w:pageBreakBefore w:val="0"/>
        <w:widowControl w:val="0"/>
        <w:kinsoku/>
        <w:wordWrap/>
        <w:overflowPunct/>
        <w:topLinePunct w:val="0"/>
        <w:bidi w:val="0"/>
        <w:spacing w:line="360" w:lineRule="auto"/>
        <w:ind w:firstLine="411" w:firstLineChars="196"/>
        <w:textAlignment w:val="auto"/>
        <w:outlineLvl w:val="9"/>
        <w:rPr>
          <w:rFonts w:hint="eastAsia" w:hAnsi="宋体" w:eastAsia="宋体" w:cs="宋体"/>
          <w:color w:val="auto"/>
          <w:highlight w:val="none"/>
          <w:u w:val="single"/>
          <w:lang w:eastAsia="zh-CN"/>
        </w:rPr>
      </w:pPr>
      <w:r>
        <w:rPr>
          <w:color w:val="auto"/>
          <w:highlight w:val="none"/>
        </w:rPr>
        <w:t xml:space="preserve">1. </w:t>
      </w:r>
      <w:r>
        <w:rPr>
          <w:rFonts w:hint="eastAsia" w:hAnsi="宋体" w:cs="宋体"/>
          <w:color w:val="auto"/>
          <w:highlight w:val="none"/>
        </w:rPr>
        <w:t>工程名称</w:t>
      </w:r>
      <w:r>
        <w:rPr>
          <w:rFonts w:hint="eastAsia" w:hAnsi="宋体" w:cs="宋体"/>
          <w:color w:val="auto"/>
          <w:highlight w:val="none"/>
          <w:u w:val="single"/>
        </w:rPr>
        <w:t>：</w:t>
      </w:r>
      <w:r>
        <w:rPr>
          <w:rFonts w:hint="eastAsia" w:hAnsi="宋体" w:cs="宋体"/>
          <w:color w:val="auto"/>
          <w:highlight w:val="none"/>
          <w:u w:val="single"/>
          <w:lang w:val="en-US" w:eastAsia="zh-CN"/>
        </w:rPr>
        <w:t xml:space="preserve"> 大平瑶族乡大平村人居环境整治项目  </w:t>
      </w:r>
    </w:p>
    <w:p w14:paraId="590200B1">
      <w:pPr>
        <w:pageBreakBefore w:val="0"/>
        <w:widowControl w:val="0"/>
        <w:kinsoku/>
        <w:wordWrap/>
        <w:overflowPunct/>
        <w:topLinePunct w:val="0"/>
        <w:bidi w:val="0"/>
        <w:spacing w:line="360" w:lineRule="auto"/>
        <w:ind w:firstLine="411" w:firstLineChars="196"/>
        <w:textAlignment w:val="auto"/>
        <w:outlineLvl w:val="9"/>
        <w:rPr>
          <w:color w:val="auto"/>
          <w:highlight w:val="none"/>
        </w:rPr>
      </w:pPr>
      <w:r>
        <w:rPr>
          <w:color w:val="auto"/>
          <w:highlight w:val="none"/>
        </w:rPr>
        <w:t xml:space="preserve">2. </w:t>
      </w:r>
      <w:r>
        <w:rPr>
          <w:rFonts w:hint="eastAsia" w:hAnsi="宋体" w:cs="宋体"/>
          <w:color w:val="auto"/>
          <w:highlight w:val="none"/>
        </w:rPr>
        <w:t>工程地点</w:t>
      </w:r>
      <w:r>
        <w:rPr>
          <w:rFonts w:hint="eastAsia" w:hAnsi="宋体" w:cs="宋体"/>
          <w:color w:val="auto"/>
          <w:highlight w:val="none"/>
          <w:u w:val="single"/>
        </w:rPr>
        <w:t>：平桂区大平瑶族乡境内</w:t>
      </w:r>
      <w:r>
        <w:rPr>
          <w:rFonts w:hint="eastAsia" w:hAnsi="宋体" w:cs="宋体"/>
          <w:color w:val="auto"/>
          <w:highlight w:val="none"/>
          <w:u w:val="single"/>
          <w:lang w:val="en-US" w:eastAsia="zh-CN"/>
        </w:rPr>
        <w:t xml:space="preserve">  </w:t>
      </w:r>
    </w:p>
    <w:p w14:paraId="3BE2F819">
      <w:pPr>
        <w:pageBreakBefore w:val="0"/>
        <w:widowControl w:val="0"/>
        <w:kinsoku/>
        <w:wordWrap/>
        <w:overflowPunct/>
        <w:topLinePunct w:val="0"/>
        <w:bidi w:val="0"/>
        <w:spacing w:line="360" w:lineRule="auto"/>
        <w:ind w:firstLine="411" w:firstLineChars="196"/>
        <w:textAlignment w:val="auto"/>
        <w:outlineLvl w:val="9"/>
        <w:rPr>
          <w:rFonts w:hint="eastAsia" w:eastAsia="宋体"/>
          <w:color w:val="auto"/>
          <w:highlight w:val="none"/>
          <w:lang w:eastAsia="zh-CN"/>
        </w:rPr>
      </w:pPr>
      <w:r>
        <w:rPr>
          <w:color w:val="auto"/>
          <w:highlight w:val="none"/>
        </w:rPr>
        <w:t xml:space="preserve">3. </w:t>
      </w:r>
      <w:r>
        <w:rPr>
          <w:rFonts w:hint="eastAsia" w:hAnsi="宋体" w:cs="宋体"/>
          <w:color w:val="auto"/>
          <w:highlight w:val="none"/>
        </w:rPr>
        <w:t>工程立项批准文号</w:t>
      </w:r>
      <w:r>
        <w:rPr>
          <w:rFonts w:hint="eastAsia" w:hAnsi="宋体" w:cs="宋体"/>
          <w:color w:val="auto"/>
          <w:highlight w:val="none"/>
          <w:u w:val="single"/>
        </w:rPr>
        <w:t xml:space="preserve">：贺平政函[2024]62号 </w:t>
      </w:r>
      <w:r>
        <w:rPr>
          <w:rFonts w:hint="eastAsia" w:hAnsi="宋体" w:cs="宋体"/>
          <w:color w:val="auto"/>
          <w:highlight w:val="none"/>
          <w:u w:val="single"/>
          <w:lang w:val="en-US" w:eastAsia="zh-CN"/>
        </w:rPr>
        <w:t xml:space="preserve"> </w:t>
      </w:r>
    </w:p>
    <w:p w14:paraId="19C3BDFF">
      <w:pPr>
        <w:pageBreakBefore w:val="0"/>
        <w:widowControl w:val="0"/>
        <w:kinsoku/>
        <w:wordWrap/>
        <w:overflowPunct/>
        <w:topLinePunct w:val="0"/>
        <w:bidi w:val="0"/>
        <w:spacing w:line="360" w:lineRule="auto"/>
        <w:ind w:firstLine="411" w:firstLineChars="196"/>
        <w:textAlignment w:val="auto"/>
        <w:outlineLvl w:val="9"/>
        <w:rPr>
          <w:color w:val="auto"/>
          <w:highlight w:val="none"/>
        </w:rPr>
      </w:pPr>
      <w:r>
        <w:rPr>
          <w:color w:val="auto"/>
          <w:highlight w:val="none"/>
        </w:rPr>
        <w:t xml:space="preserve">4. </w:t>
      </w:r>
      <w:r>
        <w:rPr>
          <w:rFonts w:hint="eastAsia" w:hAnsi="宋体" w:cs="宋体"/>
          <w:color w:val="auto"/>
          <w:highlight w:val="none"/>
        </w:rPr>
        <w:t>资金来源：</w:t>
      </w:r>
      <w:r>
        <w:rPr>
          <w:rFonts w:hint="eastAsia"/>
          <w:color w:val="auto"/>
          <w:highlight w:val="none"/>
          <w:u w:val="single"/>
        </w:rPr>
        <w:t>财政资金</w:t>
      </w:r>
      <w:r>
        <w:rPr>
          <w:rFonts w:hint="eastAsia" w:hAnsi="宋体" w:cs="宋体"/>
          <w:color w:val="auto"/>
          <w:highlight w:val="none"/>
        </w:rPr>
        <w:t>。</w:t>
      </w:r>
    </w:p>
    <w:p w14:paraId="1D68E0EE">
      <w:pPr>
        <w:pageBreakBefore w:val="0"/>
        <w:widowControl w:val="0"/>
        <w:kinsoku/>
        <w:wordWrap/>
        <w:overflowPunct/>
        <w:topLinePunct w:val="0"/>
        <w:bidi w:val="0"/>
        <w:spacing w:line="360" w:lineRule="auto"/>
        <w:ind w:firstLine="411" w:firstLineChars="196"/>
        <w:textAlignment w:val="auto"/>
        <w:outlineLvl w:val="9"/>
        <w:rPr>
          <w:color w:val="auto"/>
          <w:highlight w:val="none"/>
        </w:rPr>
      </w:pPr>
      <w:r>
        <w:rPr>
          <w:color w:val="auto"/>
          <w:highlight w:val="none"/>
        </w:rPr>
        <w:t xml:space="preserve">5. </w:t>
      </w:r>
      <w:r>
        <w:rPr>
          <w:rFonts w:hint="eastAsia" w:hAnsi="宋体" w:cs="宋体"/>
          <w:color w:val="auto"/>
          <w:highlight w:val="none"/>
        </w:rPr>
        <w:t>工程内容</w:t>
      </w:r>
      <w:r>
        <w:rPr>
          <w:rFonts w:hint="eastAsia" w:hAnsi="宋体" w:cs="宋体"/>
          <w:color w:val="auto"/>
          <w:highlight w:val="none"/>
          <w:u w:val="single"/>
        </w:rPr>
        <w:t>：本项目为大平瑶族乡大平村人居环境整治项目，包括污水工程（其中DN400高密度聚氯乙烯双壁波纹管HDPE采用承插式胶圈接口及180°砂石基础；DN400高密度聚乙烯管道PE管采用热熔接口及定向牵引）、排水暗渠工程及化粪池（玻璃钢、钢筋混凝土）、过滤池、沉淀池等。</w:t>
      </w:r>
      <w:r>
        <w:rPr>
          <w:rFonts w:hint="eastAsia" w:hAnsi="宋体" w:cs="宋体"/>
          <w:color w:val="auto"/>
          <w:highlight w:val="none"/>
          <w:u w:val="single"/>
          <w:lang w:val="en-US" w:eastAsia="zh-CN"/>
        </w:rPr>
        <w:t xml:space="preserve"> </w:t>
      </w:r>
    </w:p>
    <w:p w14:paraId="6C3E1554">
      <w:pPr>
        <w:pageBreakBefore w:val="0"/>
        <w:widowControl w:val="0"/>
        <w:kinsoku/>
        <w:wordWrap/>
        <w:overflowPunct/>
        <w:topLinePunct w:val="0"/>
        <w:bidi w:val="0"/>
        <w:spacing w:line="360" w:lineRule="auto"/>
        <w:ind w:firstLine="411" w:firstLineChars="196"/>
        <w:textAlignment w:val="auto"/>
        <w:outlineLvl w:val="9"/>
        <w:rPr>
          <w:rFonts w:hAnsi="宋体"/>
          <w:color w:val="auto"/>
          <w:highlight w:val="none"/>
        </w:rPr>
      </w:pPr>
      <w:r>
        <w:rPr>
          <w:color w:val="auto"/>
          <w:highlight w:val="none"/>
        </w:rPr>
        <w:t xml:space="preserve">6. </w:t>
      </w:r>
      <w:r>
        <w:rPr>
          <w:rFonts w:hint="eastAsia" w:hAnsi="宋体" w:cs="宋体"/>
          <w:color w:val="auto"/>
          <w:highlight w:val="none"/>
        </w:rPr>
        <w:t>工程承包范围</w:t>
      </w:r>
      <w:r>
        <w:rPr>
          <w:rFonts w:hint="eastAsia" w:hAnsi="宋体" w:cs="宋体"/>
          <w:color w:val="auto"/>
          <w:highlight w:val="none"/>
          <w:u w:val="single"/>
        </w:rPr>
        <w:t>：</w:t>
      </w:r>
      <w:r>
        <w:rPr>
          <w:rFonts w:hint="eastAsia" w:hAnsi="宋体" w:cs="宋体"/>
          <w:color w:val="auto"/>
          <w:highlight w:val="none"/>
          <w:u w:val="single"/>
          <w:lang w:val="en-US" w:eastAsia="zh-CN"/>
        </w:rPr>
        <w:t xml:space="preserve">                                      。 </w:t>
      </w:r>
    </w:p>
    <w:p w14:paraId="14F9EE8A">
      <w:pPr>
        <w:pageBreakBefore w:val="0"/>
        <w:widowControl w:val="0"/>
        <w:kinsoku/>
        <w:wordWrap/>
        <w:overflowPunct/>
        <w:topLinePunct w:val="0"/>
        <w:bidi w:val="0"/>
        <w:spacing w:line="360" w:lineRule="auto"/>
        <w:ind w:firstLine="407" w:firstLineChars="193"/>
        <w:textAlignment w:val="auto"/>
        <w:outlineLvl w:val="9"/>
        <w:rPr>
          <w:b/>
          <w:bCs/>
          <w:color w:val="auto"/>
          <w:highlight w:val="none"/>
        </w:rPr>
      </w:pPr>
      <w:bookmarkStart w:id="114" w:name="_Toc351203482"/>
      <w:r>
        <w:rPr>
          <w:rFonts w:hint="eastAsia" w:hAnsi="宋体" w:cs="宋体"/>
          <w:b/>
          <w:bCs/>
          <w:color w:val="auto"/>
          <w:highlight w:val="none"/>
        </w:rPr>
        <w:t>二、合同工期</w:t>
      </w:r>
      <w:bookmarkEnd w:id="114"/>
    </w:p>
    <w:p w14:paraId="26C8951F">
      <w:pPr>
        <w:pageBreakBefore w:val="0"/>
        <w:widowControl w:val="0"/>
        <w:kinsoku/>
        <w:wordWrap/>
        <w:overflowPunct/>
        <w:topLinePunct w:val="0"/>
        <w:bidi w:val="0"/>
        <w:spacing w:line="360" w:lineRule="auto"/>
        <w:ind w:firstLine="459"/>
        <w:textAlignment w:val="auto"/>
        <w:outlineLvl w:val="9"/>
        <w:rPr>
          <w:color w:val="auto"/>
          <w:highlight w:val="none"/>
        </w:rPr>
      </w:pPr>
      <w:r>
        <w:rPr>
          <w:rFonts w:hint="eastAsia" w:hAnsi="宋体" w:cs="宋体"/>
          <w:color w:val="auto"/>
          <w:highlight w:val="none"/>
        </w:rPr>
        <w:t>计划开工日期：</w:t>
      </w:r>
      <w:r>
        <w:rPr>
          <w:rFonts w:hAnsi="宋体"/>
          <w:color w:val="auto"/>
          <w:highlight w:val="none"/>
          <w:u w:val="single"/>
        </w:rPr>
        <w:t xml:space="preserve">    年  月  日</w:t>
      </w:r>
      <w:r>
        <w:rPr>
          <w:rFonts w:hAnsi="宋体"/>
          <w:color w:val="auto"/>
          <w:highlight w:val="none"/>
        </w:rPr>
        <w:t>。</w:t>
      </w:r>
      <w:r>
        <w:rPr>
          <w:rFonts w:hint="eastAsia" w:hAnsi="宋体" w:cs="宋体"/>
          <w:color w:val="auto"/>
          <w:highlight w:val="none"/>
        </w:rPr>
        <w:t>（具体以发包人书面通知为准）</w:t>
      </w:r>
    </w:p>
    <w:p w14:paraId="0133F55D">
      <w:pPr>
        <w:pageBreakBefore w:val="0"/>
        <w:widowControl w:val="0"/>
        <w:kinsoku/>
        <w:wordWrap/>
        <w:overflowPunct/>
        <w:topLinePunct w:val="0"/>
        <w:bidi w:val="0"/>
        <w:spacing w:line="360" w:lineRule="auto"/>
        <w:ind w:firstLine="459"/>
        <w:textAlignment w:val="auto"/>
        <w:outlineLvl w:val="9"/>
        <w:rPr>
          <w:color w:val="auto"/>
          <w:highlight w:val="none"/>
        </w:rPr>
      </w:pPr>
      <w:r>
        <w:rPr>
          <w:rFonts w:hint="eastAsia" w:hAnsi="宋体" w:cs="宋体"/>
          <w:color w:val="auto"/>
          <w:highlight w:val="none"/>
        </w:rPr>
        <w:t>计划竣工日期：</w:t>
      </w:r>
      <w:r>
        <w:rPr>
          <w:rFonts w:hAnsi="宋体"/>
          <w:color w:val="auto"/>
          <w:highlight w:val="none"/>
          <w:u w:val="single"/>
        </w:rPr>
        <w:t xml:space="preserve">    年  月  日</w:t>
      </w:r>
      <w:r>
        <w:rPr>
          <w:rFonts w:hint="eastAsia" w:hAnsi="宋体" w:cs="宋体"/>
          <w:color w:val="auto"/>
          <w:highlight w:val="none"/>
        </w:rPr>
        <w:t>。</w:t>
      </w:r>
    </w:p>
    <w:p w14:paraId="42D35238">
      <w:pPr>
        <w:pageBreakBefore w:val="0"/>
        <w:widowControl w:val="0"/>
        <w:kinsoku/>
        <w:wordWrap/>
        <w:overflowPunct/>
        <w:topLinePunct w:val="0"/>
        <w:bidi w:val="0"/>
        <w:spacing w:line="360" w:lineRule="auto"/>
        <w:ind w:firstLine="459"/>
        <w:textAlignment w:val="auto"/>
        <w:outlineLvl w:val="9"/>
        <w:rPr>
          <w:rFonts w:hAnsi="宋体"/>
          <w:color w:val="auto"/>
          <w:highlight w:val="none"/>
        </w:rPr>
      </w:pPr>
      <w:r>
        <w:rPr>
          <w:rFonts w:hint="eastAsia" w:hAnsi="宋体" w:cs="宋体"/>
          <w:color w:val="auto"/>
          <w:highlight w:val="none"/>
        </w:rPr>
        <w:t>工期总日历天数：天。工期总日历天数与根据前述计划开竣工日期计算的工期天数不一致的，以工期总日历天数为准。</w:t>
      </w:r>
    </w:p>
    <w:p w14:paraId="2FE4867A">
      <w:pPr>
        <w:pageBreakBefore w:val="0"/>
        <w:widowControl w:val="0"/>
        <w:kinsoku/>
        <w:wordWrap/>
        <w:overflowPunct/>
        <w:topLinePunct w:val="0"/>
        <w:bidi w:val="0"/>
        <w:spacing w:line="360" w:lineRule="auto"/>
        <w:ind w:firstLine="459"/>
        <w:textAlignment w:val="auto"/>
        <w:outlineLvl w:val="9"/>
        <w:rPr>
          <w:b/>
          <w:bCs/>
          <w:color w:val="auto"/>
          <w:highlight w:val="none"/>
        </w:rPr>
      </w:pPr>
      <w:bookmarkStart w:id="115" w:name="_Toc351203483"/>
      <w:r>
        <w:rPr>
          <w:rFonts w:hint="eastAsia" w:hAnsi="宋体" w:cs="宋体"/>
          <w:b/>
          <w:bCs/>
          <w:color w:val="auto"/>
          <w:highlight w:val="none"/>
        </w:rPr>
        <w:t>三、质量标准</w:t>
      </w:r>
      <w:bookmarkEnd w:id="115"/>
    </w:p>
    <w:p w14:paraId="2F311061">
      <w:pPr>
        <w:pageBreakBefore w:val="0"/>
        <w:widowControl w:val="0"/>
        <w:kinsoku/>
        <w:wordWrap/>
        <w:overflowPunct/>
        <w:topLinePunct w:val="0"/>
        <w:bidi w:val="0"/>
        <w:spacing w:line="360" w:lineRule="auto"/>
        <w:ind w:firstLine="459"/>
        <w:textAlignment w:val="auto"/>
        <w:outlineLvl w:val="9"/>
        <w:rPr>
          <w:rFonts w:hAnsi="宋体"/>
          <w:color w:val="auto"/>
          <w:highlight w:val="none"/>
        </w:rPr>
      </w:pPr>
      <w:r>
        <w:rPr>
          <w:rFonts w:hint="eastAsia" w:hAnsi="宋体" w:cs="宋体"/>
          <w:color w:val="auto"/>
          <w:highlight w:val="none"/>
        </w:rPr>
        <w:t>工程质量符合</w:t>
      </w:r>
      <w:r>
        <w:rPr>
          <w:rFonts w:hint="eastAsia" w:ascii="宋体" w:hAnsi="宋体" w:eastAsia="宋体" w:cs="宋体"/>
          <w:color w:val="auto"/>
          <w:highlight w:val="none"/>
          <w:u w:val="single"/>
        </w:rPr>
        <w:t>合格</w:t>
      </w:r>
      <w:r>
        <w:rPr>
          <w:rFonts w:hint="eastAsia" w:hAnsi="宋体" w:cs="宋体"/>
          <w:color w:val="auto"/>
          <w:highlight w:val="none"/>
        </w:rPr>
        <w:t>标准。</w:t>
      </w:r>
    </w:p>
    <w:p w14:paraId="44796314">
      <w:pPr>
        <w:pageBreakBefore w:val="0"/>
        <w:widowControl w:val="0"/>
        <w:kinsoku/>
        <w:wordWrap/>
        <w:overflowPunct/>
        <w:topLinePunct w:val="0"/>
        <w:bidi w:val="0"/>
        <w:spacing w:line="360" w:lineRule="auto"/>
        <w:ind w:firstLine="459"/>
        <w:textAlignment w:val="auto"/>
        <w:outlineLvl w:val="9"/>
        <w:rPr>
          <w:rFonts w:hint="default" w:hAnsi="宋体" w:eastAsia="宋体"/>
          <w:b/>
          <w:bCs/>
          <w:color w:val="auto"/>
          <w:highlight w:val="none"/>
          <w:lang w:val="en-US" w:eastAsia="zh-CN"/>
        </w:rPr>
      </w:pPr>
      <w:bookmarkStart w:id="116" w:name="_Toc351203484"/>
      <w:r>
        <w:rPr>
          <w:rFonts w:hint="eastAsia" w:hAnsi="宋体" w:cs="宋体"/>
          <w:b/>
          <w:bCs/>
          <w:color w:val="auto"/>
          <w:highlight w:val="none"/>
        </w:rPr>
        <w:t>四、签约合同价</w:t>
      </w:r>
      <w:bookmarkEnd w:id="116"/>
      <w:r>
        <w:rPr>
          <w:rFonts w:hint="eastAsia" w:hAnsi="宋体" w:cs="宋体"/>
          <w:b/>
          <w:bCs/>
          <w:color w:val="auto"/>
          <w:highlight w:val="none"/>
          <w:lang w:val="en-US" w:eastAsia="zh-CN"/>
        </w:rPr>
        <w:t>及支付方式</w:t>
      </w:r>
    </w:p>
    <w:p w14:paraId="4AB2119C">
      <w:pPr>
        <w:pageBreakBefore w:val="0"/>
        <w:widowControl w:val="0"/>
        <w:kinsoku/>
        <w:wordWrap/>
        <w:overflowPunct/>
        <w:topLinePunct w:val="0"/>
        <w:bidi w:val="0"/>
        <w:spacing w:line="360" w:lineRule="auto"/>
        <w:ind w:firstLine="459"/>
        <w:textAlignment w:val="auto"/>
        <w:outlineLvl w:val="9"/>
        <w:rPr>
          <w:color w:val="auto"/>
          <w:highlight w:val="none"/>
        </w:rPr>
      </w:pPr>
      <w:r>
        <w:rPr>
          <w:color w:val="auto"/>
          <w:highlight w:val="none"/>
        </w:rPr>
        <w:t xml:space="preserve">1. </w:t>
      </w:r>
      <w:r>
        <w:rPr>
          <w:rFonts w:hint="eastAsia" w:hAnsi="宋体" w:cs="宋体"/>
          <w:color w:val="auto"/>
          <w:highlight w:val="none"/>
        </w:rPr>
        <w:t>签约合同价为：</w:t>
      </w:r>
    </w:p>
    <w:p w14:paraId="21A2A567">
      <w:pPr>
        <w:pageBreakBefore w:val="0"/>
        <w:widowControl w:val="0"/>
        <w:kinsoku/>
        <w:wordWrap/>
        <w:overflowPunct/>
        <w:topLinePunct w:val="0"/>
        <w:bidi w:val="0"/>
        <w:spacing w:line="360" w:lineRule="auto"/>
        <w:ind w:firstLine="525" w:firstLineChars="250"/>
        <w:textAlignment w:val="auto"/>
        <w:outlineLvl w:val="9"/>
        <w:rPr>
          <w:rFonts w:hAnsi="宋体"/>
          <w:color w:val="auto"/>
          <w:highlight w:val="none"/>
        </w:rPr>
      </w:pPr>
      <w:r>
        <w:rPr>
          <w:rFonts w:hint="eastAsia" w:hAnsi="宋体" w:cs="宋体"/>
          <w:color w:val="auto"/>
          <w:highlight w:val="none"/>
        </w:rPr>
        <w:t>人民币</w:t>
      </w:r>
      <w:r>
        <w:rPr>
          <w:rFonts w:hint="eastAsia" w:hAnsi="宋体" w:cs="宋体"/>
          <w:color w:val="auto"/>
          <w:highlight w:val="none"/>
          <w:u w:val="single"/>
        </w:rPr>
        <w:t>（大写）                （¥        元）</w:t>
      </w:r>
      <w:r>
        <w:rPr>
          <w:rFonts w:hint="eastAsia" w:hAnsi="宋体" w:cs="宋体"/>
          <w:color w:val="auto"/>
          <w:highlight w:val="none"/>
        </w:rPr>
        <w:t>；</w:t>
      </w:r>
    </w:p>
    <w:p w14:paraId="791B71E1">
      <w:pPr>
        <w:pageBreakBefore w:val="0"/>
        <w:widowControl w:val="0"/>
        <w:kinsoku/>
        <w:wordWrap/>
        <w:overflowPunct/>
        <w:topLinePunct w:val="0"/>
        <w:bidi w:val="0"/>
        <w:spacing w:line="360" w:lineRule="auto"/>
        <w:ind w:firstLine="525" w:firstLineChars="250"/>
        <w:textAlignment w:val="auto"/>
        <w:outlineLvl w:val="9"/>
        <w:rPr>
          <w:rFonts w:hAnsi="宋体"/>
          <w:color w:val="auto"/>
          <w:highlight w:val="none"/>
        </w:rPr>
      </w:pPr>
      <w:r>
        <w:rPr>
          <w:rFonts w:hint="eastAsia" w:hAnsi="宋体" w:cs="宋体"/>
          <w:color w:val="auto"/>
          <w:highlight w:val="none"/>
        </w:rPr>
        <w:t>其中：</w:t>
      </w:r>
    </w:p>
    <w:p w14:paraId="3279A882">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01CC7283">
      <w:pPr>
        <w:pageBreakBefore w:val="0"/>
        <w:widowControl w:val="0"/>
        <w:kinsoku/>
        <w:wordWrap/>
        <w:overflowPunct/>
        <w:topLinePunct w:val="0"/>
        <w:bidi w:val="0"/>
        <w:spacing w:line="360" w:lineRule="auto"/>
        <w:ind w:left="420" w:leftChars="200" w:firstLine="525" w:firstLineChars="250"/>
        <w:textAlignment w:val="auto"/>
        <w:outlineLvl w:val="9"/>
        <w:rPr>
          <w:rFonts w:hAnsi="宋体"/>
          <w:color w:val="auto"/>
          <w:highlight w:val="none"/>
        </w:rPr>
      </w:pPr>
      <w:r>
        <w:rPr>
          <w:rFonts w:hint="eastAsia" w:hAnsi="宋体" w:cs="宋体"/>
          <w:color w:val="auto"/>
          <w:highlight w:val="none"/>
        </w:rPr>
        <w:t>人民币</w:t>
      </w:r>
      <w:r>
        <w:rPr>
          <w:rFonts w:hint="eastAsia" w:hAnsi="宋体" w:cs="宋体"/>
          <w:color w:val="auto"/>
          <w:highlight w:val="none"/>
          <w:u w:val="single"/>
        </w:rPr>
        <w:t>（大写）                （¥        元）</w:t>
      </w:r>
      <w:r>
        <w:rPr>
          <w:rFonts w:hint="eastAsia" w:hAnsi="宋体" w:cs="宋体"/>
          <w:color w:val="auto"/>
          <w:highlight w:val="none"/>
        </w:rPr>
        <w:t>；</w:t>
      </w:r>
    </w:p>
    <w:p w14:paraId="666D6DB0">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69557660">
      <w:pPr>
        <w:pageBreakBefore w:val="0"/>
        <w:widowControl w:val="0"/>
        <w:kinsoku/>
        <w:wordWrap/>
        <w:overflowPunct/>
        <w:topLinePunct w:val="0"/>
        <w:bidi w:val="0"/>
        <w:spacing w:line="360" w:lineRule="auto"/>
        <w:ind w:firstLine="945" w:firstLineChars="450"/>
        <w:textAlignment w:val="auto"/>
        <w:outlineLvl w:val="9"/>
        <w:rPr>
          <w:color w:val="auto"/>
          <w:highlight w:val="none"/>
        </w:rPr>
      </w:pPr>
      <w:r>
        <w:rPr>
          <w:rFonts w:hint="eastAsia" w:hAnsi="宋体" w:cs="宋体"/>
          <w:color w:val="auto"/>
          <w:highlight w:val="none"/>
        </w:rPr>
        <w:t>人民币</w:t>
      </w:r>
      <w:r>
        <w:rPr>
          <w:rFonts w:hint="eastAsia" w:hAnsi="宋体" w:cs="宋体"/>
          <w:color w:val="auto"/>
          <w:highlight w:val="none"/>
          <w:u w:val="single"/>
        </w:rPr>
        <w:t>（大写）                （¥        元）</w:t>
      </w:r>
      <w:r>
        <w:rPr>
          <w:rFonts w:hint="eastAsia" w:hAnsi="宋体" w:cs="宋体"/>
          <w:color w:val="auto"/>
          <w:highlight w:val="none"/>
        </w:rPr>
        <w:t>；</w:t>
      </w:r>
    </w:p>
    <w:p w14:paraId="66198215">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7BF35FE5">
      <w:pPr>
        <w:pageBreakBefore w:val="0"/>
        <w:widowControl w:val="0"/>
        <w:kinsoku/>
        <w:wordWrap/>
        <w:overflowPunct/>
        <w:topLinePunct w:val="0"/>
        <w:bidi w:val="0"/>
        <w:spacing w:line="360" w:lineRule="auto"/>
        <w:ind w:firstLine="945" w:firstLineChars="450"/>
        <w:textAlignment w:val="auto"/>
        <w:outlineLvl w:val="9"/>
        <w:rPr>
          <w:color w:val="auto"/>
          <w:highlight w:val="none"/>
        </w:rPr>
      </w:pPr>
      <w:r>
        <w:rPr>
          <w:rFonts w:hint="eastAsia" w:hAnsi="宋体" w:cs="宋体"/>
          <w:color w:val="auto"/>
          <w:highlight w:val="none"/>
        </w:rPr>
        <w:t>人民币</w:t>
      </w:r>
      <w:r>
        <w:rPr>
          <w:rFonts w:hint="eastAsia" w:hAnsi="宋体" w:cs="宋体"/>
          <w:color w:val="auto"/>
          <w:highlight w:val="none"/>
          <w:u w:val="single"/>
        </w:rPr>
        <w:t>（大写）                （¥        元）</w:t>
      </w:r>
      <w:r>
        <w:rPr>
          <w:rFonts w:hint="eastAsia" w:hAnsi="宋体" w:cs="宋体"/>
          <w:color w:val="auto"/>
          <w:highlight w:val="none"/>
        </w:rPr>
        <w:t>；</w:t>
      </w:r>
    </w:p>
    <w:p w14:paraId="59F468DF">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4F33A1C0">
      <w:pPr>
        <w:pageBreakBefore w:val="0"/>
        <w:widowControl w:val="0"/>
        <w:kinsoku/>
        <w:wordWrap/>
        <w:overflowPunct/>
        <w:topLinePunct w:val="0"/>
        <w:bidi w:val="0"/>
        <w:spacing w:line="360" w:lineRule="auto"/>
        <w:ind w:firstLine="945" w:firstLineChars="450"/>
        <w:textAlignment w:val="auto"/>
        <w:outlineLvl w:val="9"/>
        <w:rPr>
          <w:rFonts w:hAnsi="宋体"/>
          <w:color w:val="auto"/>
          <w:highlight w:val="none"/>
        </w:rPr>
      </w:pPr>
      <w:r>
        <w:rPr>
          <w:rFonts w:hint="eastAsia" w:hAnsi="宋体" w:cs="宋体"/>
          <w:color w:val="auto"/>
          <w:highlight w:val="none"/>
        </w:rPr>
        <w:t>人民币</w:t>
      </w:r>
      <w:r>
        <w:rPr>
          <w:rFonts w:hint="eastAsia" w:hAnsi="宋体" w:cs="宋体"/>
          <w:color w:val="auto"/>
          <w:highlight w:val="none"/>
          <w:u w:val="single"/>
        </w:rPr>
        <w:t>（大写）                （¥        元）</w:t>
      </w:r>
      <w:r>
        <w:rPr>
          <w:rFonts w:hint="eastAsia" w:hAnsi="宋体" w:cs="宋体"/>
          <w:color w:val="auto"/>
          <w:highlight w:val="none"/>
        </w:rPr>
        <w:t>。</w:t>
      </w:r>
    </w:p>
    <w:p w14:paraId="2BB6DE19">
      <w:pPr>
        <w:pageBreakBefore w:val="0"/>
        <w:widowControl w:val="0"/>
        <w:kinsoku/>
        <w:wordWrap/>
        <w:overflowPunct/>
        <w:topLinePunct w:val="0"/>
        <w:bidi w:val="0"/>
        <w:spacing w:line="360" w:lineRule="auto"/>
        <w:ind w:firstLine="420" w:firstLineChars="200"/>
        <w:textAlignment w:val="auto"/>
        <w:outlineLvl w:val="9"/>
        <w:rPr>
          <w:rFonts w:hint="eastAsia" w:hAnsi="宋体" w:cs="宋体"/>
          <w:color w:val="auto"/>
          <w:highlight w:val="none"/>
          <w:u w:val="single"/>
        </w:rPr>
      </w:pPr>
      <w:r>
        <w:rPr>
          <w:color w:val="auto"/>
          <w:highlight w:val="none"/>
        </w:rPr>
        <w:t xml:space="preserve">2. </w:t>
      </w:r>
      <w:r>
        <w:rPr>
          <w:rFonts w:hint="eastAsia" w:hAnsi="宋体" w:cs="宋体"/>
          <w:color w:val="auto"/>
          <w:highlight w:val="none"/>
        </w:rPr>
        <w:t>合同价格形式</w:t>
      </w:r>
      <w:r>
        <w:rPr>
          <w:rFonts w:hint="eastAsia" w:hAnsi="宋体" w:cs="宋体"/>
          <w:color w:val="auto"/>
          <w:highlight w:val="none"/>
          <w:u w:val="single"/>
        </w:rPr>
        <w:t>：             。</w:t>
      </w:r>
    </w:p>
    <w:p w14:paraId="2C9F1230">
      <w:pPr>
        <w:pageBreakBefore w:val="0"/>
        <w:widowControl w:val="0"/>
        <w:kinsoku/>
        <w:wordWrap/>
        <w:overflowPunct/>
        <w:topLinePunct w:val="0"/>
        <w:bidi w:val="0"/>
        <w:spacing w:line="360" w:lineRule="auto"/>
        <w:ind w:firstLine="420" w:firstLineChars="200"/>
        <w:textAlignment w:val="auto"/>
        <w:outlineLvl w:val="9"/>
        <w:rPr>
          <w:rFonts w:hint="eastAsia" w:hAnsi="宋体" w:cs="宋体"/>
          <w:color w:val="auto"/>
          <w:highlight w:val="none"/>
          <w:u w:val="single"/>
          <w:lang w:val="en-US" w:eastAsia="zh-CN"/>
        </w:rPr>
      </w:pPr>
      <w:r>
        <w:rPr>
          <w:rFonts w:hint="eastAsia" w:hAnsi="宋体" w:cs="宋体"/>
          <w:color w:val="auto"/>
          <w:highlight w:val="none"/>
          <w:u w:val="single"/>
          <w:lang w:val="en-US" w:eastAsia="zh-CN"/>
        </w:rPr>
        <w:t>3.支付方式：</w:t>
      </w:r>
    </w:p>
    <w:p w14:paraId="1A3C8389">
      <w:pPr>
        <w:pageBreakBefore w:val="0"/>
        <w:widowControl w:val="0"/>
        <w:kinsoku/>
        <w:wordWrap/>
        <w:overflowPunct/>
        <w:topLinePunct w:val="0"/>
        <w:bidi w:val="0"/>
        <w:spacing w:line="360" w:lineRule="auto"/>
        <w:ind w:firstLine="420" w:firstLineChars="200"/>
        <w:textAlignment w:val="auto"/>
        <w:outlineLvl w:val="9"/>
        <w:rPr>
          <w:rFonts w:hint="default" w:hAnsi="宋体" w:cs="宋体"/>
          <w:color w:val="auto"/>
          <w:highlight w:val="none"/>
          <w:u w:val="none"/>
          <w:lang w:val="en-US" w:eastAsia="zh-CN"/>
        </w:rPr>
      </w:pPr>
      <w:r>
        <w:rPr>
          <w:rFonts w:hint="eastAsia" w:hAnsi="宋体" w:cs="宋体"/>
          <w:color w:val="auto"/>
          <w:highlight w:val="none"/>
          <w:u w:val="none"/>
          <w:lang w:val="en-US" w:eastAsia="zh-CN"/>
        </w:rPr>
        <w:t xml:space="preserve">                                                                                 </w:t>
      </w:r>
    </w:p>
    <w:p w14:paraId="4D69528D">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bookmarkStart w:id="117" w:name="_Toc351203485"/>
      <w:r>
        <w:rPr>
          <w:rFonts w:hint="eastAsia" w:hAnsi="宋体" w:cs="宋体"/>
          <w:b/>
          <w:bCs/>
          <w:color w:val="auto"/>
          <w:highlight w:val="none"/>
        </w:rPr>
        <w:t>五、</w:t>
      </w:r>
      <w:bookmarkEnd w:id="117"/>
      <w:r>
        <w:rPr>
          <w:rFonts w:hint="eastAsia" w:hAnsi="宋体" w:cs="宋体"/>
          <w:b/>
          <w:bCs/>
          <w:color w:val="auto"/>
          <w:highlight w:val="none"/>
        </w:rPr>
        <w:t>项目经理</w:t>
      </w:r>
    </w:p>
    <w:p w14:paraId="3F848E87">
      <w:pPr>
        <w:pageBreakBefore w:val="0"/>
        <w:widowControl w:val="0"/>
        <w:kinsoku/>
        <w:wordWrap/>
        <w:overflowPunct/>
        <w:topLinePunct w:val="0"/>
        <w:bidi w:val="0"/>
        <w:spacing w:line="360" w:lineRule="auto"/>
        <w:ind w:firstLine="420" w:firstLineChars="200"/>
        <w:textAlignment w:val="auto"/>
        <w:outlineLvl w:val="9"/>
        <w:rPr>
          <w:rFonts w:hint="eastAsia" w:hAnsi="宋体" w:cs="宋体"/>
          <w:color w:val="auto"/>
          <w:highlight w:val="none"/>
          <w:lang w:val="en-US" w:eastAsia="zh-CN"/>
        </w:rPr>
      </w:pPr>
      <w:r>
        <w:rPr>
          <w:rFonts w:hint="eastAsia" w:hAnsi="宋体" w:cs="宋体"/>
          <w:color w:val="auto"/>
          <w:highlight w:val="none"/>
          <w:lang w:val="en-US" w:eastAsia="zh-CN"/>
        </w:rPr>
        <w:t>1.发包人项目对接人：</w:t>
      </w:r>
    </w:p>
    <w:p w14:paraId="1EAD8822">
      <w:pPr>
        <w:pageBreakBefore w:val="0"/>
        <w:widowControl w:val="0"/>
        <w:kinsoku/>
        <w:wordWrap/>
        <w:overflowPunct/>
        <w:topLinePunct w:val="0"/>
        <w:bidi w:val="0"/>
        <w:spacing w:line="360" w:lineRule="auto"/>
        <w:ind w:firstLine="420" w:firstLineChars="200"/>
        <w:textAlignment w:val="auto"/>
        <w:outlineLvl w:val="9"/>
        <w:rPr>
          <w:rFonts w:hint="default" w:hAnsi="宋体" w:cs="宋体"/>
          <w:color w:val="auto"/>
          <w:highlight w:val="none"/>
          <w:u w:val="single"/>
          <w:lang w:val="en-US" w:eastAsia="zh-CN"/>
        </w:rPr>
      </w:pPr>
      <w:r>
        <w:rPr>
          <w:rFonts w:hint="eastAsia" w:hAnsi="宋体" w:cs="宋体"/>
          <w:color w:val="auto"/>
          <w:highlight w:val="none"/>
          <w:lang w:val="en-US" w:eastAsia="zh-CN"/>
        </w:rPr>
        <w:t>姓名：</w:t>
      </w:r>
      <w:r>
        <w:rPr>
          <w:rFonts w:hint="eastAsia" w:hAnsi="宋体" w:cs="宋体"/>
          <w:color w:val="auto"/>
          <w:highlight w:val="none"/>
          <w:u w:val="single"/>
          <w:lang w:val="en-US" w:eastAsia="zh-CN"/>
        </w:rPr>
        <w:t xml:space="preserve">                ；联系号码：</w:t>
      </w:r>
      <w:r>
        <w:rPr>
          <w:rFonts w:hint="eastAsia" w:hAnsi="宋体" w:cs="宋体"/>
          <w:color w:val="auto"/>
          <w:highlight w:val="none"/>
          <w:u w:val="none"/>
          <w:lang w:val="en-US" w:eastAsia="zh-CN"/>
        </w:rPr>
        <w:t xml:space="preserve">                       </w:t>
      </w:r>
      <w:r>
        <w:rPr>
          <w:rFonts w:hint="eastAsia" w:hAnsi="宋体" w:cs="宋体"/>
          <w:color w:val="auto"/>
          <w:highlight w:val="none"/>
          <w:u w:val="single"/>
          <w:lang w:val="en-US" w:eastAsia="zh-CN"/>
        </w:rPr>
        <w:t>。</w:t>
      </w:r>
    </w:p>
    <w:p w14:paraId="7759F6F2">
      <w:pPr>
        <w:pageBreakBefore w:val="0"/>
        <w:widowControl w:val="0"/>
        <w:numPr>
          <w:ilvl w:val="-1"/>
          <w:numId w:val="0"/>
        </w:numPr>
        <w:kinsoku/>
        <w:wordWrap/>
        <w:overflowPunct/>
        <w:topLinePunct w:val="0"/>
        <w:bidi w:val="0"/>
        <w:spacing w:line="360" w:lineRule="auto"/>
        <w:ind w:firstLine="420" w:firstLineChars="200"/>
        <w:textAlignment w:val="auto"/>
        <w:outlineLvl w:val="9"/>
        <w:rPr>
          <w:rFonts w:hint="eastAsia" w:hAnsi="宋体" w:cs="宋体"/>
          <w:color w:val="auto"/>
          <w:highlight w:val="none"/>
          <w:u w:val="single"/>
        </w:rPr>
      </w:pPr>
      <w:r>
        <w:rPr>
          <w:rFonts w:hint="eastAsia" w:hAnsi="宋体" w:cs="宋体"/>
          <w:color w:val="auto"/>
          <w:highlight w:val="none"/>
          <w:lang w:val="en-US" w:eastAsia="zh-CN"/>
        </w:rPr>
        <w:t>2.</w:t>
      </w:r>
      <w:r>
        <w:rPr>
          <w:rFonts w:hint="eastAsia" w:hAnsi="宋体" w:cs="宋体"/>
          <w:color w:val="auto"/>
          <w:highlight w:val="none"/>
        </w:rPr>
        <w:t>承包人项目经理</w:t>
      </w:r>
      <w:r>
        <w:rPr>
          <w:rFonts w:hint="eastAsia" w:hAnsi="宋体" w:cs="宋体"/>
          <w:color w:val="auto"/>
          <w:highlight w:val="none"/>
          <w:u w:val="none"/>
          <w:lang w:eastAsia="zh-CN"/>
        </w:rPr>
        <w:t>：</w:t>
      </w:r>
    </w:p>
    <w:p w14:paraId="28982703">
      <w:pPr>
        <w:pageBreakBefore w:val="0"/>
        <w:widowControl w:val="0"/>
        <w:kinsoku/>
        <w:wordWrap/>
        <w:overflowPunct/>
        <w:topLinePunct w:val="0"/>
        <w:bidi w:val="0"/>
        <w:spacing w:line="360" w:lineRule="auto"/>
        <w:ind w:firstLine="420" w:firstLineChars="200"/>
        <w:textAlignment w:val="auto"/>
        <w:outlineLvl w:val="9"/>
        <w:rPr>
          <w:rFonts w:hint="eastAsia" w:hAnsi="宋体" w:cs="宋体"/>
          <w:color w:val="auto"/>
          <w:highlight w:val="none"/>
          <w:u w:val="single"/>
        </w:rPr>
      </w:pPr>
      <w:r>
        <w:rPr>
          <w:rFonts w:hint="eastAsia" w:hAnsi="宋体" w:cs="宋体"/>
          <w:color w:val="auto"/>
          <w:highlight w:val="none"/>
          <w:lang w:val="en-US" w:eastAsia="zh-CN"/>
        </w:rPr>
        <w:t>姓名：</w:t>
      </w:r>
      <w:r>
        <w:rPr>
          <w:rFonts w:hint="eastAsia" w:hAnsi="宋体" w:cs="宋体"/>
          <w:color w:val="auto"/>
          <w:highlight w:val="none"/>
          <w:u w:val="single"/>
          <w:lang w:val="en-US" w:eastAsia="zh-CN"/>
        </w:rPr>
        <w:t xml:space="preserve">                ；联系号码：</w:t>
      </w:r>
      <w:r>
        <w:rPr>
          <w:rFonts w:hint="eastAsia" w:hAnsi="宋体" w:cs="宋体"/>
          <w:color w:val="auto"/>
          <w:highlight w:val="none"/>
          <w:u w:val="none"/>
          <w:lang w:val="en-US" w:eastAsia="zh-CN"/>
        </w:rPr>
        <w:t xml:space="preserve">                       </w:t>
      </w:r>
      <w:r>
        <w:rPr>
          <w:rFonts w:hint="eastAsia" w:hAnsi="宋体" w:cs="宋体"/>
          <w:color w:val="auto"/>
          <w:highlight w:val="none"/>
          <w:u w:val="single"/>
          <w:lang w:val="en-US" w:eastAsia="zh-CN"/>
        </w:rPr>
        <w:t>。</w:t>
      </w:r>
    </w:p>
    <w:p w14:paraId="233780B0">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bookmarkStart w:id="118" w:name="_Toc351203486"/>
      <w:r>
        <w:rPr>
          <w:rFonts w:hint="eastAsia" w:hAnsi="宋体" w:cs="宋体"/>
          <w:b/>
          <w:bCs/>
          <w:color w:val="auto"/>
          <w:highlight w:val="none"/>
        </w:rPr>
        <w:t>六、合同文件构成</w:t>
      </w:r>
      <w:bookmarkEnd w:id="118"/>
    </w:p>
    <w:p w14:paraId="67B30BBC">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rFonts w:hint="eastAsia" w:hAnsi="宋体" w:cs="宋体"/>
          <w:color w:val="auto"/>
          <w:highlight w:val="none"/>
        </w:rPr>
        <w:t>本协议书与下列文件一起构成合同文件：</w:t>
      </w:r>
    </w:p>
    <w:p w14:paraId="6EC70428">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（1）合同协议书；</w:t>
      </w:r>
    </w:p>
    <w:p w14:paraId="09E5AC6F">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（2）成交通知书；</w:t>
      </w:r>
    </w:p>
    <w:p w14:paraId="7E0FDED6">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（3）竞标函及竞标函附录；</w:t>
      </w:r>
    </w:p>
    <w:p w14:paraId="70648E71">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（4）专用合同条款及其附件；</w:t>
      </w:r>
    </w:p>
    <w:p w14:paraId="69F1FEA7">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（5）通用合同条款；</w:t>
      </w:r>
    </w:p>
    <w:p w14:paraId="5C7F6A71">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（6）技术标准和要求；</w:t>
      </w:r>
    </w:p>
    <w:p w14:paraId="6612D43B">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（7）图纸；</w:t>
      </w:r>
    </w:p>
    <w:p w14:paraId="3E03919C">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（8）已标价工程量清单或预算书；</w:t>
      </w:r>
    </w:p>
    <w:p w14:paraId="0683EFA6">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（9）磋商文件（含补充通知和答疑）；</w:t>
      </w:r>
    </w:p>
    <w:p w14:paraId="1A69324E">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s="宋体"/>
          <w:color w:val="auto"/>
          <w:highlight w:val="none"/>
        </w:rPr>
      </w:pPr>
      <w:r>
        <w:rPr>
          <w:rFonts w:hint="eastAsia" w:hAnsi="宋体" w:cs="宋体"/>
          <w:color w:val="auto"/>
          <w:highlight w:val="none"/>
        </w:rPr>
        <w:t>（10）其他合同文件（</w:t>
      </w:r>
      <w:r>
        <w:rPr>
          <w:rFonts w:hint="eastAsia" w:ascii="宋体" w:hAnsi="宋体"/>
          <w:color w:val="auto"/>
          <w:highlight w:val="none"/>
        </w:rPr>
        <w:t xml:space="preserve"> 在合同订立及履行过程中形成的与合同有关的文件均构成合同文件组成部分。</w:t>
      </w:r>
      <w:r>
        <w:rPr>
          <w:rFonts w:hint="eastAsia" w:hAnsi="宋体" w:cs="宋体"/>
          <w:color w:val="auto"/>
          <w:highlight w:val="none"/>
        </w:rPr>
        <w:t>）。</w:t>
      </w:r>
    </w:p>
    <w:p w14:paraId="0596A814">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outlineLvl w:val="9"/>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上述各项合同文件包括合同当事人就该项合同文件所作出的补充和修改，属于同一类内容的文件，应以最新签署的为准（违反磋商文件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610EA869">
      <w:pPr>
        <w:pageBreakBefore w:val="0"/>
        <w:widowControl w:val="0"/>
        <w:kinsoku/>
        <w:wordWrap/>
        <w:overflowPunct/>
        <w:topLinePunct w:val="0"/>
        <w:autoSpaceDE w:val="0"/>
        <w:autoSpaceDN w:val="0"/>
        <w:bidi w:val="0"/>
        <w:adjustRightInd w:val="0"/>
        <w:spacing w:line="360" w:lineRule="auto"/>
        <w:ind w:firstLine="422" w:firstLineChars="200"/>
        <w:jc w:val="left"/>
        <w:textAlignment w:val="auto"/>
        <w:outlineLvl w:val="9"/>
        <w:rPr>
          <w:b/>
          <w:bCs/>
          <w:color w:val="auto"/>
          <w:highlight w:val="none"/>
        </w:rPr>
      </w:pPr>
      <w:bookmarkStart w:id="119" w:name="_Toc351203487"/>
      <w:r>
        <w:rPr>
          <w:rFonts w:hint="eastAsia" w:hAnsi="宋体" w:cs="宋体"/>
          <w:b/>
          <w:bCs/>
          <w:color w:val="auto"/>
          <w:highlight w:val="none"/>
        </w:rPr>
        <w:t>七、承诺</w:t>
      </w:r>
      <w:bookmarkEnd w:id="119"/>
    </w:p>
    <w:p w14:paraId="655C76F1">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23E191E2">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234EBC83">
      <w:pPr>
        <w:pageBreakBefore w:val="0"/>
        <w:widowControl w:val="0"/>
        <w:kinsoku/>
        <w:wordWrap/>
        <w:overflowPunct/>
        <w:topLinePunct w:val="0"/>
        <w:bidi w:val="0"/>
        <w:spacing w:line="360" w:lineRule="auto"/>
        <w:ind w:firstLine="420" w:firstLineChars="200"/>
        <w:textAlignment w:val="auto"/>
        <w:outlineLvl w:val="9"/>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20" w:name="_Toc351203488"/>
    </w:p>
    <w:p w14:paraId="381A7801">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r>
        <w:rPr>
          <w:rFonts w:hint="eastAsia" w:hAnsi="宋体" w:cs="宋体"/>
          <w:b/>
          <w:bCs/>
          <w:color w:val="auto"/>
          <w:highlight w:val="none"/>
        </w:rPr>
        <w:t>八、词语含义</w:t>
      </w:r>
      <w:bookmarkEnd w:id="120"/>
    </w:p>
    <w:p w14:paraId="0A5F054F">
      <w:pPr>
        <w:pageBreakBefore w:val="0"/>
        <w:widowControl w:val="0"/>
        <w:kinsoku/>
        <w:wordWrap/>
        <w:overflowPunct/>
        <w:topLinePunct w:val="0"/>
        <w:bidi w:val="0"/>
        <w:spacing w:line="360" w:lineRule="auto"/>
        <w:ind w:firstLine="420" w:firstLineChars="200"/>
        <w:textAlignment w:val="auto"/>
        <w:outlineLvl w:val="9"/>
        <w:rPr>
          <w:rFonts w:hAnsi="宋体"/>
          <w:color w:val="auto"/>
          <w:highlight w:val="none"/>
        </w:rPr>
      </w:pPr>
      <w:r>
        <w:rPr>
          <w:rFonts w:hint="eastAsia" w:hAnsi="宋体" w:cs="宋体"/>
          <w:color w:val="auto"/>
          <w:highlight w:val="none"/>
        </w:rPr>
        <w:t>本协议书中词语含义与第二部分通用合同条款中赋予的含义相同。</w:t>
      </w:r>
    </w:p>
    <w:p w14:paraId="0F4D78A4">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bookmarkStart w:id="121" w:name="_Toc351203489"/>
      <w:r>
        <w:rPr>
          <w:rFonts w:hint="eastAsia" w:hAnsi="宋体" w:cs="宋体"/>
          <w:b/>
          <w:bCs/>
          <w:color w:val="auto"/>
          <w:highlight w:val="none"/>
        </w:rPr>
        <w:t>九、签订时间</w:t>
      </w:r>
      <w:bookmarkEnd w:id="121"/>
    </w:p>
    <w:p w14:paraId="52F3BB0E">
      <w:pPr>
        <w:pageBreakBefore w:val="0"/>
        <w:widowControl w:val="0"/>
        <w:kinsoku/>
        <w:wordWrap/>
        <w:overflowPunct/>
        <w:topLinePunct w:val="0"/>
        <w:bidi w:val="0"/>
        <w:spacing w:line="360" w:lineRule="auto"/>
        <w:ind w:firstLine="420" w:firstLineChars="200"/>
        <w:textAlignment w:val="auto"/>
        <w:outlineLvl w:val="9"/>
        <w:rPr>
          <w:rFonts w:hAnsi="宋体"/>
          <w:color w:val="auto"/>
          <w:highlight w:val="none"/>
        </w:rPr>
      </w:pPr>
      <w:r>
        <w:rPr>
          <w:rFonts w:hint="eastAsia" w:hAnsi="宋体" w:cs="宋体"/>
          <w:color w:val="auto"/>
          <w:highlight w:val="none"/>
        </w:rPr>
        <w:t>本合同于</w:t>
      </w:r>
      <w:r>
        <w:rPr>
          <w:rFonts w:hint="eastAsia" w:hAnsi="宋体" w:cs="宋体"/>
          <w:color w:val="auto"/>
          <w:highlight w:val="none"/>
          <w:u w:val="single"/>
        </w:rPr>
        <w:t xml:space="preserve">    年  月  日</w:t>
      </w:r>
      <w:r>
        <w:rPr>
          <w:rFonts w:hint="eastAsia" w:hAnsi="宋体" w:cs="宋体"/>
          <w:color w:val="auto"/>
          <w:highlight w:val="none"/>
        </w:rPr>
        <w:t>签订。</w:t>
      </w:r>
    </w:p>
    <w:p w14:paraId="5486EAD6">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bookmarkStart w:id="122" w:name="_Toc351203490"/>
      <w:r>
        <w:rPr>
          <w:rFonts w:hint="eastAsia" w:hAnsi="宋体" w:cs="宋体"/>
          <w:b/>
          <w:bCs/>
          <w:color w:val="auto"/>
          <w:highlight w:val="none"/>
        </w:rPr>
        <w:t>十、签订地点</w:t>
      </w:r>
      <w:bookmarkEnd w:id="122"/>
    </w:p>
    <w:p w14:paraId="0D7DF17D">
      <w:pPr>
        <w:pageBreakBefore w:val="0"/>
        <w:widowControl w:val="0"/>
        <w:kinsoku/>
        <w:wordWrap/>
        <w:overflowPunct/>
        <w:topLinePunct w:val="0"/>
        <w:bidi w:val="0"/>
        <w:spacing w:line="360" w:lineRule="auto"/>
        <w:ind w:firstLine="420" w:firstLineChars="200"/>
        <w:textAlignment w:val="auto"/>
        <w:outlineLvl w:val="9"/>
        <w:rPr>
          <w:rFonts w:hAnsi="宋体"/>
          <w:color w:val="auto"/>
          <w:highlight w:val="none"/>
        </w:rPr>
      </w:pPr>
      <w:r>
        <w:rPr>
          <w:rFonts w:hint="eastAsia" w:hAnsi="宋体" w:cs="宋体"/>
          <w:color w:val="auto"/>
          <w:highlight w:val="none"/>
        </w:rPr>
        <w:t>本合同在</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签订。</w:t>
      </w:r>
    </w:p>
    <w:p w14:paraId="3E93324B">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bookmarkStart w:id="123" w:name="_Toc351203491"/>
      <w:r>
        <w:rPr>
          <w:rFonts w:hint="eastAsia" w:hAnsi="宋体" w:cs="宋体"/>
          <w:b/>
          <w:bCs/>
          <w:color w:val="auto"/>
          <w:highlight w:val="none"/>
        </w:rPr>
        <w:t>十一、补充协议</w:t>
      </w:r>
      <w:bookmarkEnd w:id="123"/>
    </w:p>
    <w:p w14:paraId="20FA2D22">
      <w:pPr>
        <w:pageBreakBefore w:val="0"/>
        <w:widowControl w:val="0"/>
        <w:kinsoku/>
        <w:wordWrap/>
        <w:overflowPunct/>
        <w:topLinePunct w:val="0"/>
        <w:bidi w:val="0"/>
        <w:spacing w:line="360" w:lineRule="auto"/>
        <w:ind w:firstLine="420" w:firstLineChars="200"/>
        <w:textAlignment w:val="auto"/>
        <w:outlineLvl w:val="9"/>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761B150E">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bookmarkStart w:id="124" w:name="_Toc351203492"/>
      <w:r>
        <w:rPr>
          <w:rFonts w:hint="eastAsia" w:hAnsi="宋体" w:cs="宋体"/>
          <w:b/>
          <w:bCs/>
          <w:color w:val="auto"/>
          <w:highlight w:val="none"/>
        </w:rPr>
        <w:t>十二、合同生效</w:t>
      </w:r>
      <w:bookmarkEnd w:id="124"/>
    </w:p>
    <w:p w14:paraId="18C02C50">
      <w:pPr>
        <w:pageBreakBefore w:val="0"/>
        <w:widowControl w:val="0"/>
        <w:kinsoku/>
        <w:wordWrap/>
        <w:overflowPunct/>
        <w:topLinePunct w:val="0"/>
        <w:bidi w:val="0"/>
        <w:spacing w:line="360" w:lineRule="auto"/>
        <w:ind w:firstLine="420" w:firstLineChars="200"/>
        <w:textAlignment w:val="auto"/>
        <w:outlineLvl w:val="9"/>
        <w:rPr>
          <w:rFonts w:hAnsi="宋体"/>
          <w:color w:val="auto"/>
          <w:highlight w:val="none"/>
        </w:rPr>
      </w:pPr>
      <w:r>
        <w:rPr>
          <w:rFonts w:hint="eastAsia" w:hAnsi="宋体" w:cs="宋体"/>
          <w:color w:val="auto"/>
          <w:highlight w:val="none"/>
        </w:rPr>
        <w:t>本合同自生效。</w:t>
      </w:r>
    </w:p>
    <w:p w14:paraId="6584416D">
      <w:pPr>
        <w:pageBreakBefore w:val="0"/>
        <w:widowControl w:val="0"/>
        <w:kinsoku/>
        <w:wordWrap/>
        <w:overflowPunct/>
        <w:topLinePunct w:val="0"/>
        <w:bidi w:val="0"/>
        <w:spacing w:line="360" w:lineRule="auto"/>
        <w:ind w:firstLine="422" w:firstLineChars="200"/>
        <w:textAlignment w:val="auto"/>
        <w:outlineLvl w:val="9"/>
        <w:rPr>
          <w:b/>
          <w:bCs/>
          <w:color w:val="auto"/>
          <w:highlight w:val="none"/>
        </w:rPr>
      </w:pPr>
      <w:bookmarkStart w:id="125" w:name="_Toc351203493"/>
      <w:r>
        <w:rPr>
          <w:rFonts w:hint="eastAsia" w:hAnsi="宋体" w:cs="宋体"/>
          <w:b/>
          <w:bCs/>
          <w:color w:val="auto"/>
          <w:highlight w:val="none"/>
        </w:rPr>
        <w:t>十三、合同份数</w:t>
      </w:r>
      <w:bookmarkEnd w:id="125"/>
    </w:p>
    <w:p w14:paraId="513A60F3">
      <w:pPr>
        <w:pageBreakBefore w:val="0"/>
        <w:widowControl w:val="0"/>
        <w:kinsoku/>
        <w:wordWrap/>
        <w:overflowPunct/>
        <w:topLinePunct w:val="0"/>
        <w:bidi w:val="0"/>
        <w:spacing w:line="360" w:lineRule="auto"/>
        <w:ind w:firstLine="420" w:firstLineChars="200"/>
        <w:textAlignment w:val="auto"/>
        <w:outlineLvl w:val="9"/>
        <w:rPr>
          <w:color w:val="auto"/>
          <w:highlight w:val="none"/>
        </w:rPr>
      </w:pPr>
      <w:r>
        <w:rPr>
          <w:rFonts w:hint="eastAsia" w:hAnsi="宋体" w:cs="宋体"/>
          <w:color w:val="auto"/>
          <w:highlight w:val="none"/>
        </w:rPr>
        <w:t>本合同一式</w:t>
      </w:r>
      <w:r>
        <w:rPr>
          <w:rFonts w:hint="eastAsia"/>
          <w:color w:val="auto"/>
          <w:highlight w:val="none"/>
          <w:u w:val="single"/>
          <w:lang w:val="en-US" w:eastAsia="zh-CN"/>
        </w:rPr>
        <w:t>捌</w:t>
      </w:r>
      <w:r>
        <w:rPr>
          <w:rFonts w:hint="eastAsia" w:hAnsi="宋体" w:cs="宋体"/>
          <w:color w:val="auto"/>
          <w:highlight w:val="none"/>
        </w:rPr>
        <w:t>份，均具有同等法律效力，发包人执</w:t>
      </w:r>
      <w:r>
        <w:rPr>
          <w:rFonts w:hint="eastAsia"/>
          <w:color w:val="auto"/>
          <w:highlight w:val="none"/>
          <w:u w:val="single"/>
          <w:lang w:val="en-US" w:eastAsia="zh-CN"/>
        </w:rPr>
        <w:t>叁</w:t>
      </w:r>
      <w:r>
        <w:rPr>
          <w:rFonts w:hint="eastAsia" w:hAnsi="宋体" w:cs="宋体"/>
          <w:color w:val="auto"/>
          <w:highlight w:val="none"/>
        </w:rPr>
        <w:t>份，承包人执</w:t>
      </w:r>
      <w:r>
        <w:rPr>
          <w:rFonts w:hint="eastAsia"/>
          <w:color w:val="auto"/>
          <w:highlight w:val="none"/>
          <w:u w:val="single"/>
          <w:lang w:val="en-US" w:eastAsia="zh-CN"/>
        </w:rPr>
        <w:t>叁</w:t>
      </w:r>
      <w:r>
        <w:rPr>
          <w:rFonts w:hint="eastAsia" w:hAnsi="宋体" w:cs="宋体"/>
          <w:color w:val="auto"/>
          <w:highlight w:val="none"/>
        </w:rPr>
        <w:t>份，代理机构执壹份，自治区采购管理监督部门壹份。</w:t>
      </w:r>
    </w:p>
    <w:p w14:paraId="3C6D9522">
      <w:pPr>
        <w:pageBreakBefore w:val="0"/>
        <w:widowControl w:val="0"/>
        <w:kinsoku/>
        <w:wordWrap/>
        <w:overflowPunct/>
        <w:topLinePunct w:val="0"/>
        <w:bidi w:val="0"/>
        <w:spacing w:line="360" w:lineRule="auto"/>
        <w:textAlignment w:val="auto"/>
        <w:outlineLvl w:val="9"/>
        <w:rPr>
          <w:color w:val="auto"/>
          <w:highlight w:val="none"/>
        </w:rPr>
      </w:pPr>
    </w:p>
    <w:p w14:paraId="47A43AF3">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发包人：</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 xml:space="preserve">）                       </w:t>
      </w:r>
      <w:r>
        <w:rPr>
          <w:rFonts w:hint="eastAsia" w:hAnsi="宋体" w:cs="宋体"/>
          <w:color w:val="auto"/>
          <w:highlight w:val="none"/>
        </w:rPr>
        <w:t>承包人：</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5472846B">
      <w:pPr>
        <w:pageBreakBefore w:val="0"/>
        <w:widowControl w:val="0"/>
        <w:kinsoku/>
        <w:wordWrap/>
        <w:overflowPunct/>
        <w:topLinePunct w:val="0"/>
        <w:bidi w:val="0"/>
        <w:spacing w:line="360" w:lineRule="auto"/>
        <w:textAlignment w:val="auto"/>
        <w:outlineLvl w:val="9"/>
        <w:rPr>
          <w:color w:val="auto"/>
          <w:highlight w:val="none"/>
          <w:u w:val="single"/>
        </w:rPr>
      </w:pPr>
    </w:p>
    <w:p w14:paraId="64B21FAD">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法定代表人或其委托代理人：             法定代表人或其委托代理人：</w:t>
      </w:r>
    </w:p>
    <w:p w14:paraId="63E896B3">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（签字）                              （签字）</w:t>
      </w:r>
    </w:p>
    <w:p w14:paraId="5761442A">
      <w:pPr>
        <w:pageBreakBefore w:val="0"/>
        <w:widowControl w:val="0"/>
        <w:kinsoku/>
        <w:wordWrap/>
        <w:overflowPunct/>
        <w:topLinePunct w:val="0"/>
        <w:bidi w:val="0"/>
        <w:spacing w:line="360" w:lineRule="auto"/>
        <w:textAlignment w:val="auto"/>
        <w:outlineLvl w:val="9"/>
        <w:rPr>
          <w:color w:val="auto"/>
          <w:highlight w:val="none"/>
          <w:u w:val="single"/>
        </w:rPr>
      </w:pPr>
    </w:p>
    <w:p w14:paraId="5ABEE90E">
      <w:pPr>
        <w:pageBreakBefore w:val="0"/>
        <w:widowControl w:val="0"/>
        <w:tabs>
          <w:tab w:val="left" w:pos="4410"/>
        </w:tabs>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 xml:space="preserve">统一社会信用代码：                     </w:t>
      </w:r>
      <w:r>
        <w:rPr>
          <w:rFonts w:hint="eastAsia" w:cs="宋体"/>
          <w:color w:val="auto"/>
          <w:highlight w:val="none"/>
        </w:rPr>
        <w:t>统一</w:t>
      </w:r>
      <w:r>
        <w:rPr>
          <w:rFonts w:hint="eastAsia" w:hAnsi="宋体" w:cs="宋体"/>
          <w:color w:val="auto"/>
          <w:highlight w:val="none"/>
        </w:rPr>
        <w:t>社会信用代码：</w:t>
      </w:r>
    </w:p>
    <w:p w14:paraId="1D0C330E">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地址：                                 地址：</w:t>
      </w:r>
    </w:p>
    <w:p w14:paraId="1F469978">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邮政编码：                             邮政编码：</w:t>
      </w:r>
    </w:p>
    <w:p w14:paraId="65FAD42C">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法定代表人：                           法定代表人：</w:t>
      </w:r>
    </w:p>
    <w:p w14:paraId="25C6A4D2">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委托代理人：                           委托代理人：</w:t>
      </w:r>
    </w:p>
    <w:p w14:paraId="26216C00">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电话：                                 电话：</w:t>
      </w:r>
    </w:p>
    <w:p w14:paraId="41A6511C">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传真：                                 传真：</w:t>
      </w:r>
    </w:p>
    <w:p w14:paraId="6FCA440F">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电子信箱：                             电子信箱：</w:t>
      </w:r>
    </w:p>
    <w:p w14:paraId="7405D455">
      <w:pPr>
        <w:pageBreakBefore w:val="0"/>
        <w:widowControl w:val="0"/>
        <w:kinsoku/>
        <w:wordWrap/>
        <w:overflowPunct/>
        <w:topLinePunct w:val="0"/>
        <w:bidi w:val="0"/>
        <w:spacing w:line="360" w:lineRule="auto"/>
        <w:textAlignment w:val="auto"/>
        <w:outlineLvl w:val="9"/>
        <w:rPr>
          <w:color w:val="auto"/>
          <w:highlight w:val="none"/>
        </w:rPr>
      </w:pPr>
      <w:r>
        <w:rPr>
          <w:rFonts w:hint="eastAsia" w:hAnsi="宋体" w:cs="宋体"/>
          <w:color w:val="auto"/>
          <w:highlight w:val="none"/>
        </w:rPr>
        <w:t>开户银行：                             开户银行：</w:t>
      </w:r>
    </w:p>
    <w:p w14:paraId="1AA91BA7">
      <w:pPr>
        <w:pageBreakBefore w:val="0"/>
        <w:widowControl w:val="0"/>
        <w:kinsoku/>
        <w:wordWrap/>
        <w:overflowPunct/>
        <w:topLinePunct w:val="0"/>
        <w:bidi w:val="0"/>
        <w:textAlignment w:val="auto"/>
        <w:outlineLvl w:val="9"/>
        <w:rPr>
          <w:color w:val="auto"/>
          <w:highlight w:val="none"/>
          <w:u w:val="single"/>
        </w:rPr>
      </w:pPr>
      <w:r>
        <w:rPr>
          <w:rFonts w:hint="eastAsia" w:hAnsi="宋体" w:cs="宋体"/>
          <w:color w:val="auto"/>
          <w:highlight w:val="none"/>
        </w:rPr>
        <w:t>账号：                                 账号：</w:t>
      </w:r>
    </w:p>
    <w:p w14:paraId="120C00DD">
      <w:pPr>
        <w:pageBreakBefore w:val="0"/>
        <w:widowControl w:val="0"/>
        <w:kinsoku/>
        <w:wordWrap/>
        <w:overflowPunct/>
        <w:topLinePunct w:val="0"/>
        <w:bidi w:val="0"/>
        <w:jc w:val="center"/>
        <w:textAlignment w:val="auto"/>
        <w:outlineLvl w:val="9"/>
        <w:rPr>
          <w:b/>
          <w:bCs/>
          <w:color w:val="auto"/>
          <w:sz w:val="40"/>
          <w:szCs w:val="48"/>
          <w:highlight w:val="none"/>
        </w:rPr>
      </w:pPr>
      <w:r>
        <w:rPr>
          <w:rFonts w:ascii="宋体" w:hAnsi="宋体" w:cs="宋体"/>
          <w:color w:val="auto"/>
          <w:sz w:val="24"/>
          <w:highlight w:val="none"/>
        </w:rPr>
        <w:br w:type="page"/>
      </w:r>
      <w:bookmarkStart w:id="126" w:name="_Toc407135192"/>
      <w:bookmarkStart w:id="127" w:name="_Toc389065256"/>
      <w:bookmarkStart w:id="128" w:name="_Toc78449778"/>
      <w:bookmarkStart w:id="129" w:name="_Toc1714491818"/>
      <w:bookmarkStart w:id="130" w:name="_Toc86847323"/>
      <w:bookmarkStart w:id="131" w:name="_Toc373227691"/>
      <w:bookmarkStart w:id="132" w:name="_Toc351203632"/>
      <w:bookmarkStart w:id="133" w:name="_Toc373478338"/>
      <w:r>
        <w:rPr>
          <w:rFonts w:hint="eastAsia" w:cs="黑体"/>
          <w:b/>
          <w:bCs/>
          <w:color w:val="auto"/>
          <w:sz w:val="40"/>
          <w:szCs w:val="48"/>
          <w:highlight w:val="none"/>
        </w:rPr>
        <w:t>第二部分通用合同条款</w:t>
      </w:r>
      <w:bookmarkEnd w:id="126"/>
      <w:bookmarkEnd w:id="127"/>
      <w:bookmarkEnd w:id="128"/>
      <w:bookmarkEnd w:id="129"/>
      <w:bookmarkEnd w:id="130"/>
    </w:p>
    <w:p w14:paraId="70F990F3">
      <w:pPr>
        <w:pageBreakBefore w:val="0"/>
        <w:widowControl w:val="0"/>
        <w:kinsoku/>
        <w:wordWrap/>
        <w:overflowPunct/>
        <w:topLinePunct w:val="0"/>
        <w:bidi w:val="0"/>
        <w:spacing w:line="360" w:lineRule="auto"/>
        <w:ind w:firstLine="420" w:firstLineChars="200"/>
        <w:textAlignment w:val="auto"/>
        <w:outlineLvl w:val="9"/>
        <w:rPr>
          <w:rFonts w:hAnsi="宋体"/>
          <w:color w:val="auto"/>
          <w:kern w:val="0"/>
          <w:highlight w:val="none"/>
        </w:rPr>
      </w:pPr>
    </w:p>
    <w:p w14:paraId="1F6949A4">
      <w:pPr>
        <w:pageBreakBefore w:val="0"/>
        <w:widowControl w:val="0"/>
        <w:kinsoku/>
        <w:wordWrap/>
        <w:overflowPunct/>
        <w:topLinePunct w:val="0"/>
        <w:bidi w:val="0"/>
        <w:spacing w:line="360" w:lineRule="auto"/>
        <w:ind w:firstLine="422" w:firstLineChars="200"/>
        <w:textAlignment w:val="auto"/>
        <w:outlineLvl w:val="9"/>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bookmarkEnd w:id="131"/>
    <w:bookmarkEnd w:id="132"/>
    <w:bookmarkEnd w:id="133"/>
    <w:p w14:paraId="2074D206">
      <w:pPr>
        <w:pStyle w:val="2"/>
        <w:keepNext w:val="0"/>
        <w:keepLines w:val="0"/>
        <w:jc w:val="center"/>
        <w:rPr>
          <w:rFonts w:hint="eastAsia" w:ascii="Times New Roman" w:hAnsi="Times New Roman" w:eastAsia="宋体" w:cs="黑体"/>
          <w:b/>
          <w:bCs/>
          <w:color w:val="auto"/>
          <w:kern w:val="2"/>
          <w:sz w:val="40"/>
          <w:szCs w:val="48"/>
          <w:highlight w:val="none"/>
          <w:lang w:val="en-US" w:eastAsia="zh-CN" w:bidi="ar-SA"/>
        </w:rPr>
      </w:pPr>
      <w:bookmarkStart w:id="134" w:name="_Toc704444909"/>
      <w:bookmarkStart w:id="135" w:name="_Toc407135193"/>
      <w:bookmarkStart w:id="136" w:name="_Toc1204138598"/>
      <w:bookmarkStart w:id="137" w:name="_Toc78449779"/>
      <w:bookmarkStart w:id="138" w:name="_Toc389065257"/>
      <w:r>
        <w:rPr>
          <w:rFonts w:hint="eastAsia" w:ascii="Times New Roman" w:hAnsi="Times New Roman" w:eastAsia="宋体" w:cs="黑体"/>
          <w:b/>
          <w:bCs/>
          <w:color w:val="auto"/>
          <w:kern w:val="2"/>
          <w:sz w:val="40"/>
          <w:szCs w:val="48"/>
          <w:highlight w:val="none"/>
          <w:lang w:val="en-US" w:eastAsia="zh-CN" w:bidi="ar-SA"/>
        </w:rPr>
        <w:t>第三部分 专用合同条款</w:t>
      </w:r>
      <w:bookmarkEnd w:id="134"/>
      <w:bookmarkEnd w:id="135"/>
      <w:bookmarkEnd w:id="136"/>
      <w:bookmarkEnd w:id="137"/>
      <w:bookmarkEnd w:id="138"/>
    </w:p>
    <w:p w14:paraId="72E2F89B">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139" w:name="_Toc21327"/>
      <w:bookmarkStart w:id="140" w:name="_Toc11792"/>
      <w:bookmarkStart w:id="141" w:name="_Toc9850522"/>
      <w:bookmarkStart w:id="142" w:name="_Toc351203649"/>
      <w:bookmarkStart w:id="143" w:name="_Toc389065334"/>
      <w:bookmarkStart w:id="144" w:name="_Toc407135272"/>
      <w:bookmarkStart w:id="145" w:name="_Toc373227769"/>
      <w:bookmarkStart w:id="146" w:name="_Toc373478416"/>
      <w:bookmarkStart w:id="147" w:name="_Toc9850600"/>
      <w:bookmarkStart w:id="148" w:name="_Toc280868717"/>
      <w:bookmarkStart w:id="149" w:name="_Toc280868718"/>
      <w:bookmarkStart w:id="150" w:name="_Toc267251501"/>
      <w:bookmarkStart w:id="151" w:name="_Toc267251492"/>
      <w:bookmarkStart w:id="152" w:name="_Toc267251497"/>
      <w:bookmarkStart w:id="153" w:name="_Toc267251496"/>
      <w:bookmarkStart w:id="154" w:name="_Toc267251499"/>
      <w:bookmarkStart w:id="155" w:name="_Toc267251502"/>
      <w:bookmarkStart w:id="156" w:name="_Toc267251495"/>
      <w:bookmarkStart w:id="157" w:name="_Toc267251491"/>
      <w:bookmarkStart w:id="158" w:name="_Toc267251493"/>
      <w:bookmarkStart w:id="159" w:name="_Toc267251503"/>
      <w:bookmarkStart w:id="160" w:name="_Toc267251494"/>
      <w:bookmarkStart w:id="161" w:name="_Toc267251498"/>
      <w:bookmarkStart w:id="162" w:name="_Toc267251504"/>
      <w:bookmarkStart w:id="163" w:name="_Toc267251506"/>
      <w:bookmarkStart w:id="164" w:name="_Toc267251507"/>
      <w:bookmarkStart w:id="165" w:name="_Toc267251508"/>
      <w:bookmarkStart w:id="166" w:name="_Toc267251511"/>
      <w:bookmarkStart w:id="167" w:name="_Toc267251510"/>
      <w:bookmarkStart w:id="168" w:name="_Toc267251515"/>
      <w:bookmarkStart w:id="169" w:name="_Toc267251514"/>
      <w:bookmarkStart w:id="170" w:name="_Toc267251509"/>
      <w:bookmarkStart w:id="171" w:name="_Toc267251513"/>
      <w:bookmarkStart w:id="172" w:name="_Toc267251442"/>
      <w:bookmarkStart w:id="173" w:name="_Toc304295580"/>
      <w:bookmarkStart w:id="174" w:name="_Toc297048392"/>
      <w:bookmarkStart w:id="175" w:name="_Toc296944545"/>
      <w:bookmarkStart w:id="176" w:name="_Toc297123553"/>
      <w:bookmarkStart w:id="177" w:name="_Toc312678041"/>
      <w:bookmarkStart w:id="178" w:name="_Toc296347205"/>
      <w:bookmarkStart w:id="179" w:name="_Toc389065314"/>
      <w:bookmarkStart w:id="180" w:name="_Toc296891246"/>
      <w:bookmarkStart w:id="181" w:name="_Toc1894565429"/>
      <w:bookmarkStart w:id="182" w:name="_Toc296346707"/>
      <w:bookmarkStart w:id="183" w:name="_Toc1395756356"/>
      <w:bookmarkStart w:id="184" w:name="_Toc292559916"/>
      <w:bookmarkStart w:id="185" w:name="_Toc373227749"/>
      <w:bookmarkStart w:id="186" w:name="_Toc267251461"/>
      <w:bookmarkStart w:id="187" w:name="_Toc296891034"/>
      <w:bookmarkStart w:id="188" w:name="_Toc300935003"/>
      <w:bookmarkStart w:id="189" w:name="_Toc292559411"/>
      <w:bookmarkStart w:id="190" w:name="_Toc303539160"/>
      <w:bookmarkStart w:id="191" w:name="_Toc297120506"/>
      <w:bookmarkStart w:id="192" w:name="_Toc373478396"/>
      <w:bookmarkStart w:id="193" w:name="_Toc407135252"/>
      <w:bookmarkStart w:id="194" w:name="_Toc78449838"/>
      <w:bookmarkStart w:id="195" w:name="_Toc297216212"/>
      <w:bookmarkStart w:id="196" w:name="_Toc296503206"/>
      <w:r>
        <w:rPr>
          <w:rStyle w:val="47"/>
          <w:rFonts w:hint="eastAsia" w:ascii="宋体" w:hAnsi="宋体" w:eastAsia="宋体" w:cs="宋体"/>
          <w:b/>
          <w:bCs/>
          <w:color w:val="auto"/>
          <w:sz w:val="21"/>
          <w:szCs w:val="21"/>
          <w:highlight w:val="none"/>
          <w:shd w:val="clear" w:color="auto" w:fill="auto"/>
          <w:lang w:val="zh-CN"/>
        </w:rPr>
        <w:t>1</w:t>
      </w:r>
      <w:bookmarkStart w:id="197" w:name="_Toc292559361"/>
      <w:bookmarkStart w:id="198" w:name="_Toc297048342"/>
      <w:bookmarkStart w:id="199" w:name="_Toc292559866"/>
      <w:bookmarkStart w:id="200" w:name="_Toc296944495"/>
      <w:bookmarkStart w:id="201" w:name="_Toc296503156"/>
      <w:bookmarkStart w:id="202" w:name="_Toc296347155"/>
      <w:bookmarkStart w:id="203" w:name="_Toc297120456"/>
      <w:bookmarkStart w:id="204" w:name="_Toc296890984"/>
      <w:bookmarkStart w:id="205" w:name="_Toc296891196"/>
      <w:bookmarkStart w:id="206" w:name="_Toc296346657"/>
      <w:r>
        <w:rPr>
          <w:rStyle w:val="47"/>
          <w:rFonts w:hint="eastAsia" w:ascii="宋体" w:hAnsi="宋体" w:eastAsia="宋体" w:cs="宋体"/>
          <w:b/>
          <w:bCs/>
          <w:color w:val="auto"/>
          <w:sz w:val="21"/>
          <w:szCs w:val="21"/>
          <w:highlight w:val="none"/>
          <w:shd w:val="clear" w:color="auto" w:fill="auto"/>
          <w:lang w:val="zh-CN"/>
        </w:rPr>
        <w:t>. 一般约定</w:t>
      </w:r>
      <w:bookmarkEnd w:id="139"/>
      <w:bookmarkEnd w:id="140"/>
      <w:bookmarkEnd w:id="141"/>
    </w:p>
    <w:bookmarkEnd w:id="197"/>
    <w:bookmarkEnd w:id="198"/>
    <w:bookmarkEnd w:id="199"/>
    <w:bookmarkEnd w:id="200"/>
    <w:bookmarkEnd w:id="201"/>
    <w:bookmarkEnd w:id="202"/>
    <w:bookmarkEnd w:id="203"/>
    <w:bookmarkEnd w:id="204"/>
    <w:bookmarkEnd w:id="205"/>
    <w:bookmarkEnd w:id="206"/>
    <w:p w14:paraId="6B33A58B">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07" w:name="_Toc9850523"/>
      <w:bookmarkStart w:id="208" w:name="_Toc373227693"/>
      <w:bookmarkStart w:id="209" w:name="_Toc407135195"/>
      <w:bookmarkStart w:id="210" w:name="_Toc389065259"/>
      <w:bookmarkStart w:id="211" w:name="_Toc373478340"/>
      <w:r>
        <w:rPr>
          <w:rStyle w:val="47"/>
          <w:rFonts w:hint="eastAsia" w:ascii="宋体" w:hAnsi="宋体" w:eastAsia="宋体" w:cs="宋体"/>
          <w:b/>
          <w:bCs/>
          <w:color w:val="auto"/>
          <w:sz w:val="21"/>
          <w:szCs w:val="21"/>
          <w:highlight w:val="none"/>
          <w:shd w:val="clear" w:color="auto" w:fill="auto"/>
          <w:lang w:val="zh-CN"/>
        </w:rPr>
        <w:t>1.1 词语定义</w:t>
      </w:r>
      <w:bookmarkEnd w:id="207"/>
      <w:bookmarkEnd w:id="208"/>
      <w:bookmarkEnd w:id="209"/>
      <w:bookmarkEnd w:id="210"/>
      <w:bookmarkEnd w:id="211"/>
    </w:p>
    <w:p w14:paraId="44DAB719">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1.1.1 合同</w:t>
      </w:r>
    </w:p>
    <w:p w14:paraId="6A9610CC">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1.1.1.10 其他合同文件包括：</w:t>
      </w:r>
      <w:r>
        <w:rPr>
          <w:rStyle w:val="47"/>
          <w:rFonts w:hint="eastAsia" w:ascii="宋体" w:hAnsi="宋体" w:eastAsia="宋体" w:cs="宋体"/>
          <w:color w:val="auto"/>
          <w:szCs w:val="21"/>
          <w:highlight w:val="none"/>
          <w:u w:val="single"/>
          <w:shd w:val="clear" w:color="auto" w:fill="auto"/>
        </w:rPr>
        <w:t xml:space="preserve">  合同当事人约定的与工程施工有关的具有合同约束力的文件或书面协议</w:t>
      </w:r>
      <w:r>
        <w:rPr>
          <w:rStyle w:val="47"/>
          <w:rFonts w:hint="eastAsia" w:ascii="宋体" w:hAnsi="宋体" w:eastAsia="宋体" w:cs="宋体"/>
          <w:color w:val="auto"/>
          <w:szCs w:val="21"/>
          <w:highlight w:val="none"/>
          <w:shd w:val="clear" w:color="auto" w:fill="auto"/>
        </w:rPr>
        <w:t>。</w:t>
      </w:r>
    </w:p>
    <w:p w14:paraId="43F843A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1.1.2 合同当事人及其他相关方</w:t>
      </w:r>
    </w:p>
    <w:p w14:paraId="0AA3AFAE">
      <w:pPr>
        <w:pStyle w:val="246"/>
        <w:spacing w:beforeLines="0" w:afterLines="0" w:line="360" w:lineRule="auto"/>
        <w:ind w:firstLine="420" w:firstLineChars="200"/>
        <w:outlineLvl w:val="0"/>
        <w:rPr>
          <w:rStyle w:val="47"/>
          <w:rFonts w:hint="eastAsia" w:ascii="宋体" w:hAnsi="宋体" w:eastAsia="宋体" w:cs="宋体"/>
          <w:color w:val="auto"/>
          <w:szCs w:val="21"/>
          <w:highlight w:val="none"/>
          <w:shd w:val="clear" w:color="auto" w:fill="auto"/>
        </w:rPr>
      </w:pPr>
      <w:bookmarkStart w:id="212" w:name="_Toc14292"/>
      <w:bookmarkStart w:id="213" w:name="_Toc25688"/>
      <w:r>
        <w:rPr>
          <w:rStyle w:val="47"/>
          <w:rFonts w:hint="eastAsia" w:ascii="宋体" w:hAnsi="宋体" w:eastAsia="宋体" w:cs="宋体"/>
          <w:color w:val="auto"/>
          <w:kern w:val="0"/>
          <w:szCs w:val="21"/>
          <w:highlight w:val="none"/>
          <w:shd w:val="clear" w:color="auto" w:fill="auto"/>
        </w:rPr>
        <w:t>1.1.2.</w:t>
      </w:r>
      <w:r>
        <w:rPr>
          <w:rStyle w:val="47"/>
          <w:rFonts w:hint="eastAsia" w:ascii="宋体" w:hAnsi="宋体" w:eastAsia="宋体" w:cs="宋体"/>
          <w:color w:val="auto"/>
          <w:kern w:val="0"/>
          <w:szCs w:val="21"/>
          <w:highlight w:val="none"/>
          <w:shd w:val="clear" w:color="auto" w:fill="auto"/>
          <w:lang w:val="en-US" w:eastAsia="zh-CN"/>
        </w:rPr>
        <w:t>4</w:t>
      </w:r>
      <w:r>
        <w:rPr>
          <w:rStyle w:val="47"/>
          <w:rFonts w:hint="eastAsia" w:ascii="宋体" w:hAnsi="宋体" w:eastAsia="宋体" w:cs="宋体"/>
          <w:color w:val="auto"/>
          <w:szCs w:val="21"/>
          <w:highlight w:val="none"/>
          <w:shd w:val="clear" w:color="auto" w:fill="auto"/>
        </w:rPr>
        <w:t xml:space="preserve"> 监理人：</w:t>
      </w:r>
      <w:bookmarkEnd w:id="212"/>
      <w:bookmarkEnd w:id="213"/>
    </w:p>
    <w:p w14:paraId="59E9F40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名    称：</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详见监理合同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19347B3">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资质类别和等级：</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详见监理合同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6BED7D8B">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联系电话：</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详见监理合同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DA394F7">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电子信箱：</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详见监理合同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2C9ACB4">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通信地址：</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详见监理合同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E7789D0">
      <w:pPr>
        <w:pStyle w:val="246"/>
        <w:spacing w:beforeLines="0" w:afterLines="0" w:line="360" w:lineRule="auto"/>
        <w:ind w:firstLine="420" w:firstLineChars="200"/>
        <w:outlineLvl w:val="0"/>
        <w:rPr>
          <w:rStyle w:val="47"/>
          <w:rFonts w:hint="eastAsia" w:ascii="宋体" w:hAnsi="宋体" w:eastAsia="宋体" w:cs="宋体"/>
          <w:color w:val="auto"/>
          <w:szCs w:val="21"/>
          <w:highlight w:val="none"/>
          <w:shd w:val="clear" w:color="auto" w:fill="auto"/>
        </w:rPr>
      </w:pPr>
      <w:bookmarkStart w:id="214" w:name="_Toc4525"/>
      <w:bookmarkStart w:id="215" w:name="_Toc17396"/>
      <w:r>
        <w:rPr>
          <w:rStyle w:val="47"/>
          <w:rFonts w:hint="eastAsia" w:ascii="宋体" w:hAnsi="宋体" w:eastAsia="宋体" w:cs="宋体"/>
          <w:color w:val="auto"/>
          <w:szCs w:val="21"/>
          <w:highlight w:val="none"/>
          <w:shd w:val="clear" w:color="auto" w:fill="auto"/>
        </w:rPr>
        <w:t>1.1.2.</w:t>
      </w:r>
      <w:r>
        <w:rPr>
          <w:rStyle w:val="47"/>
          <w:rFonts w:hint="eastAsia" w:ascii="宋体" w:hAnsi="宋体" w:eastAsia="宋体" w:cs="宋体"/>
          <w:color w:val="auto"/>
          <w:szCs w:val="21"/>
          <w:highlight w:val="none"/>
          <w:shd w:val="clear" w:color="auto" w:fill="auto"/>
          <w:lang w:val="en-US" w:eastAsia="zh-CN"/>
        </w:rPr>
        <w:t>5</w:t>
      </w:r>
      <w:r>
        <w:rPr>
          <w:rStyle w:val="47"/>
          <w:rFonts w:hint="eastAsia" w:ascii="宋体" w:hAnsi="宋体" w:eastAsia="宋体" w:cs="宋体"/>
          <w:color w:val="auto"/>
          <w:szCs w:val="21"/>
          <w:highlight w:val="none"/>
          <w:shd w:val="clear" w:color="auto" w:fill="auto"/>
        </w:rPr>
        <w:t>设计人：</w:t>
      </w:r>
      <w:bookmarkEnd w:id="214"/>
      <w:bookmarkEnd w:id="215"/>
    </w:p>
    <w:p w14:paraId="51B2316C">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名    称：</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详见设计合同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AEE8294">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资质类别和等级：</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详见设计合同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647047C1">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联系电话：</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详见设计合同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03EC0A7E">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电子信箱：</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详见设计合同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295321A">
      <w:pPr>
        <w:pStyle w:val="246"/>
        <w:spacing w:beforeLines="0" w:afterLines="0" w:line="360" w:lineRule="auto"/>
        <w:ind w:firstLine="420" w:firstLineChars="200"/>
        <w:rPr>
          <w:rStyle w:val="47"/>
          <w:rFonts w:hint="eastAsia" w:ascii="宋体" w:hAnsi="宋体" w:eastAsia="宋体" w:cs="宋体"/>
          <w:color w:val="auto"/>
          <w:kern w:val="0"/>
          <w:sz w:val="21"/>
          <w:szCs w:val="21"/>
          <w:highlight w:val="none"/>
          <w:shd w:val="clear" w:color="auto" w:fill="auto"/>
          <w:lang w:val="en-US" w:eastAsia="zh-CN" w:bidi="ar-SA"/>
        </w:rPr>
      </w:pPr>
      <w:r>
        <w:rPr>
          <w:rStyle w:val="47"/>
          <w:rFonts w:hint="eastAsia" w:ascii="宋体" w:hAnsi="宋体" w:eastAsia="宋体" w:cs="宋体"/>
          <w:color w:val="auto"/>
          <w:szCs w:val="21"/>
          <w:highlight w:val="none"/>
          <w:shd w:val="clear" w:color="auto" w:fill="auto"/>
        </w:rPr>
        <w:t>通信地址：</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5"/>
          <w:szCs w:val="21"/>
          <w:highlight w:val="none"/>
          <w:u w:val="single" w:color="auto"/>
          <w:lang w:val="en-US" w:eastAsia="zh-CN"/>
        </w:rPr>
        <w:t>详见设计合同</w:t>
      </w:r>
      <w:r>
        <w:rPr>
          <w:rStyle w:val="47"/>
          <w:rFonts w:hint="eastAsia" w:ascii="宋体" w:hAnsi="宋体" w:eastAsia="宋体" w:cs="宋体"/>
          <w:color w:val="auto"/>
          <w:spacing w:val="5"/>
          <w:szCs w:val="21"/>
          <w:highlight w:val="none"/>
          <w:u w:val="single" w:color="auto"/>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6A75D7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lang w:val="en-US" w:eastAsia="zh-CN"/>
        </w:rPr>
      </w:pPr>
      <w:r>
        <w:rPr>
          <w:rStyle w:val="47"/>
          <w:rFonts w:hint="eastAsia" w:ascii="宋体" w:hAnsi="宋体" w:eastAsia="宋体" w:cs="宋体"/>
          <w:color w:val="auto"/>
          <w:szCs w:val="21"/>
          <w:highlight w:val="none"/>
          <w:shd w:val="clear" w:color="auto" w:fill="auto"/>
          <w:lang w:val="en-US" w:eastAsia="zh-CN"/>
        </w:rPr>
        <w:t>1.1.3 工程和设备</w:t>
      </w:r>
    </w:p>
    <w:p w14:paraId="57641FFB">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1.1.3.7 作为施工现场组成部分的其他场所包括：</w:t>
      </w:r>
      <w:r>
        <w:rPr>
          <w:rStyle w:val="47"/>
          <w:rFonts w:hint="eastAsia" w:ascii="宋体" w:hAnsi="宋体" w:eastAsia="宋体" w:cs="宋体"/>
          <w:color w:val="auto"/>
          <w:szCs w:val="21"/>
          <w:highlight w:val="none"/>
          <w:u w:val="single"/>
          <w:shd w:val="clear" w:color="auto" w:fill="auto"/>
        </w:rPr>
        <w:t xml:space="preserve"> 永久及临时占地、施工道路、工棚、施工办公生活区、加工场等。</w:t>
      </w:r>
    </w:p>
    <w:p w14:paraId="0191BC02">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1.1.3.9 永久占地包括：</w:t>
      </w:r>
      <w:r>
        <w:rPr>
          <w:rStyle w:val="47"/>
          <w:rFonts w:hint="eastAsia" w:ascii="宋体" w:hAnsi="宋体" w:eastAsia="宋体" w:cs="宋体"/>
          <w:color w:val="auto"/>
          <w:szCs w:val="21"/>
          <w:highlight w:val="none"/>
          <w:u w:val="single"/>
          <w:shd w:val="clear" w:color="auto" w:fill="auto"/>
        </w:rPr>
        <w:t xml:space="preserve">  按合同约定建造并移交给发包人的工程（包括工程设备）所占用的土地 </w:t>
      </w:r>
      <w:r>
        <w:rPr>
          <w:rStyle w:val="47"/>
          <w:rFonts w:hint="eastAsia" w:ascii="宋体" w:hAnsi="宋体" w:eastAsia="宋体" w:cs="宋体"/>
          <w:color w:val="auto"/>
          <w:kern w:val="0"/>
          <w:szCs w:val="21"/>
          <w:highlight w:val="none"/>
          <w:shd w:val="clear" w:color="auto" w:fill="auto"/>
        </w:rPr>
        <w:t>。</w:t>
      </w:r>
    </w:p>
    <w:p w14:paraId="025B5B9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1.1.3.10 临时占地包括：</w:t>
      </w:r>
      <w:r>
        <w:rPr>
          <w:rStyle w:val="47"/>
          <w:rFonts w:hint="eastAsia" w:ascii="宋体" w:hAnsi="宋体" w:eastAsia="宋体" w:cs="宋体"/>
          <w:color w:val="auto"/>
          <w:szCs w:val="21"/>
          <w:highlight w:val="none"/>
          <w:u w:val="single"/>
          <w:shd w:val="clear" w:color="auto" w:fill="auto"/>
        </w:rPr>
        <w:t xml:space="preserve"> 为完成合同约定的永久工程所修建的各类临时性工程及设施所占用的土地，由承包人根据现场踏勘情况结合施工现场所处位置自行解决并承担相应费用 </w:t>
      </w:r>
      <w:r>
        <w:rPr>
          <w:rStyle w:val="47"/>
          <w:rFonts w:hint="eastAsia" w:ascii="宋体" w:hAnsi="宋体" w:eastAsia="宋体" w:cs="宋体"/>
          <w:color w:val="auto"/>
          <w:kern w:val="0"/>
          <w:szCs w:val="21"/>
          <w:highlight w:val="none"/>
          <w:shd w:val="clear" w:color="auto" w:fill="auto"/>
        </w:rPr>
        <w:t>。</w:t>
      </w:r>
    </w:p>
    <w:p w14:paraId="7C09B0FA">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16" w:name="_Toc407135196"/>
      <w:bookmarkStart w:id="217" w:name="_Toc373227694"/>
      <w:bookmarkStart w:id="218" w:name="_Toc373478341"/>
      <w:bookmarkStart w:id="219" w:name="_Toc9850524"/>
      <w:bookmarkStart w:id="220" w:name="_Toc389065260"/>
      <w:r>
        <w:rPr>
          <w:rStyle w:val="47"/>
          <w:rFonts w:hint="eastAsia" w:ascii="宋体" w:hAnsi="宋体" w:eastAsia="宋体" w:cs="宋体"/>
          <w:b/>
          <w:bCs/>
          <w:color w:val="auto"/>
          <w:sz w:val="21"/>
          <w:szCs w:val="21"/>
          <w:highlight w:val="none"/>
          <w:shd w:val="clear" w:color="auto" w:fill="auto"/>
          <w:lang w:val="zh-CN"/>
        </w:rPr>
        <w:t>1.3 法律</w:t>
      </w:r>
      <w:bookmarkEnd w:id="216"/>
      <w:bookmarkEnd w:id="217"/>
      <w:bookmarkEnd w:id="218"/>
      <w:bookmarkEnd w:id="219"/>
      <w:bookmarkEnd w:id="220"/>
    </w:p>
    <w:p w14:paraId="252AEDC4">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适用于合同的其他规范性文件：</w:t>
      </w:r>
      <w:r>
        <w:rPr>
          <w:rStyle w:val="47"/>
          <w:rFonts w:hint="eastAsia" w:ascii="宋体" w:hAnsi="宋体" w:eastAsia="宋体" w:cs="宋体"/>
          <w:color w:val="auto"/>
          <w:szCs w:val="21"/>
          <w:highlight w:val="none"/>
          <w:u w:val="single"/>
          <w:shd w:val="clear" w:color="auto" w:fill="auto"/>
        </w:rPr>
        <w:t xml:space="preserve"> 包括中华人民共和国法律、行政法规、部门规章，以及工程所在地的地方法规、自治条例、单行条例和地方政府规章。</w:t>
      </w:r>
    </w:p>
    <w:p w14:paraId="64317E49">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21" w:name="_Toc389065261"/>
      <w:bookmarkStart w:id="222" w:name="_Toc9850525"/>
      <w:bookmarkStart w:id="223" w:name="_Toc373478342"/>
      <w:bookmarkStart w:id="224" w:name="_Toc407135197"/>
      <w:bookmarkStart w:id="225" w:name="_Toc373227695"/>
      <w:r>
        <w:rPr>
          <w:rStyle w:val="47"/>
          <w:rFonts w:hint="eastAsia" w:ascii="宋体" w:hAnsi="宋体" w:eastAsia="宋体" w:cs="宋体"/>
          <w:b/>
          <w:bCs/>
          <w:color w:val="auto"/>
          <w:sz w:val="21"/>
          <w:szCs w:val="21"/>
          <w:highlight w:val="none"/>
          <w:shd w:val="clear" w:color="auto" w:fill="auto"/>
          <w:lang w:val="zh-CN"/>
        </w:rPr>
        <w:t>1.4 标准和规范</w:t>
      </w:r>
      <w:bookmarkEnd w:id="221"/>
      <w:bookmarkEnd w:id="222"/>
      <w:bookmarkEnd w:id="223"/>
      <w:bookmarkEnd w:id="224"/>
      <w:bookmarkEnd w:id="225"/>
    </w:p>
    <w:p w14:paraId="2815DEB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1.4.1 适用于工程的标准规范包括：</w:t>
      </w:r>
      <w:r>
        <w:rPr>
          <w:rStyle w:val="47"/>
          <w:rFonts w:hint="eastAsia" w:ascii="宋体" w:hAnsi="宋体" w:eastAsia="宋体" w:cs="宋体"/>
          <w:color w:val="auto"/>
          <w:kern w:val="2"/>
          <w:sz w:val="21"/>
          <w:szCs w:val="21"/>
          <w:highlight w:val="none"/>
          <w:u w:val="single"/>
        </w:rPr>
        <w:t>现行国家、地方、部门有关标准规范</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57C7FF8">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1.4.2 发包人提供国外标准、规范的名称：</w:t>
      </w:r>
      <w:r>
        <w:rPr>
          <w:rStyle w:val="47"/>
          <w:rFonts w:hint="eastAsia" w:ascii="宋体" w:hAnsi="宋体" w:eastAsia="宋体" w:cs="宋体"/>
          <w:color w:val="auto"/>
          <w:szCs w:val="21"/>
          <w:highlight w:val="none"/>
          <w:u w:val="single"/>
          <w:shd w:val="clear" w:color="auto" w:fill="auto"/>
        </w:rPr>
        <w:t xml:space="preserve">  按通用条款执行  </w:t>
      </w:r>
      <w:r>
        <w:rPr>
          <w:rStyle w:val="47"/>
          <w:rFonts w:hint="eastAsia" w:ascii="宋体" w:hAnsi="宋体" w:eastAsia="宋体" w:cs="宋体"/>
          <w:color w:val="auto"/>
          <w:szCs w:val="21"/>
          <w:highlight w:val="none"/>
          <w:shd w:val="clear" w:color="auto" w:fill="auto"/>
        </w:rPr>
        <w:t>；</w:t>
      </w:r>
    </w:p>
    <w:p w14:paraId="6BAF4198">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发包人提供国外标准、规范的份数：</w:t>
      </w:r>
      <w:r>
        <w:rPr>
          <w:rStyle w:val="47"/>
          <w:rFonts w:hint="eastAsia" w:ascii="宋体" w:hAnsi="宋体" w:eastAsia="宋体" w:cs="宋体"/>
          <w:color w:val="auto"/>
          <w:kern w:val="0"/>
          <w:szCs w:val="21"/>
          <w:highlight w:val="none"/>
          <w:u w:val="single"/>
          <w:shd w:val="clear" w:color="auto" w:fill="auto"/>
        </w:rPr>
        <w:t xml:space="preserve">         /             </w:t>
      </w:r>
      <w:r>
        <w:rPr>
          <w:rStyle w:val="47"/>
          <w:rFonts w:hint="eastAsia" w:ascii="宋体" w:hAnsi="宋体" w:eastAsia="宋体" w:cs="宋体"/>
          <w:color w:val="auto"/>
          <w:kern w:val="0"/>
          <w:szCs w:val="21"/>
          <w:highlight w:val="none"/>
          <w:shd w:val="clear" w:color="auto" w:fill="auto"/>
        </w:rPr>
        <w:t>；</w:t>
      </w:r>
    </w:p>
    <w:p w14:paraId="06A6B30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发包人提供国外标准、规范的名称：</w:t>
      </w:r>
      <w:r>
        <w:rPr>
          <w:rStyle w:val="47"/>
          <w:rFonts w:hint="eastAsia" w:ascii="宋体" w:hAnsi="宋体" w:eastAsia="宋体" w:cs="宋体"/>
          <w:color w:val="auto"/>
          <w:kern w:val="0"/>
          <w:szCs w:val="21"/>
          <w:highlight w:val="none"/>
          <w:u w:val="single"/>
          <w:shd w:val="clear" w:color="auto" w:fill="auto"/>
        </w:rPr>
        <w:t xml:space="preserve">          /            </w:t>
      </w:r>
      <w:r>
        <w:rPr>
          <w:rStyle w:val="47"/>
          <w:rFonts w:hint="eastAsia" w:ascii="宋体" w:hAnsi="宋体" w:eastAsia="宋体" w:cs="宋体"/>
          <w:color w:val="auto"/>
          <w:kern w:val="0"/>
          <w:szCs w:val="21"/>
          <w:highlight w:val="none"/>
          <w:shd w:val="clear" w:color="auto" w:fill="auto"/>
        </w:rPr>
        <w:t>。</w:t>
      </w:r>
    </w:p>
    <w:p w14:paraId="75673AC0">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1.4.3 发包人对工程的技术标准和功能要求的特殊要求：</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另行协商确定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616A0062">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26" w:name="_Toc407135198"/>
      <w:bookmarkStart w:id="227" w:name="_Toc389065262"/>
      <w:bookmarkStart w:id="228" w:name="_Toc9850526"/>
      <w:bookmarkStart w:id="229" w:name="_Toc373478343"/>
      <w:bookmarkStart w:id="230" w:name="_Toc373227696"/>
      <w:r>
        <w:rPr>
          <w:rStyle w:val="47"/>
          <w:rFonts w:hint="eastAsia" w:ascii="宋体" w:hAnsi="宋体" w:eastAsia="宋体" w:cs="宋体"/>
          <w:b/>
          <w:bCs/>
          <w:color w:val="auto"/>
          <w:sz w:val="21"/>
          <w:szCs w:val="21"/>
          <w:highlight w:val="none"/>
          <w:shd w:val="clear" w:color="auto" w:fill="auto"/>
          <w:lang w:val="zh-CN"/>
        </w:rPr>
        <w:t>1.5 合同文件的优先顺序</w:t>
      </w:r>
      <w:bookmarkEnd w:id="226"/>
      <w:bookmarkEnd w:id="227"/>
      <w:bookmarkEnd w:id="228"/>
      <w:bookmarkEnd w:id="229"/>
      <w:bookmarkEnd w:id="230"/>
    </w:p>
    <w:p w14:paraId="28EC09F7">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合同文件组成及优先顺序为：</w:t>
      </w:r>
    </w:p>
    <w:p w14:paraId="004349C6">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（1）合同协议书；</w:t>
      </w:r>
    </w:p>
    <w:p w14:paraId="0A925295">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w:t>
      </w:r>
      <w:r>
        <w:rPr>
          <w:rStyle w:val="47"/>
          <w:rFonts w:hint="eastAsia" w:ascii="宋体" w:hAnsi="宋体" w:cs="宋体"/>
          <w:color w:val="auto"/>
          <w:kern w:val="0"/>
          <w:szCs w:val="21"/>
          <w:highlight w:val="none"/>
          <w:shd w:val="clear" w:color="auto" w:fill="auto"/>
          <w:lang w:eastAsia="zh-CN"/>
        </w:rPr>
        <w:t>成交</w:t>
      </w:r>
      <w:r>
        <w:rPr>
          <w:rStyle w:val="47"/>
          <w:rFonts w:hint="eastAsia" w:ascii="宋体" w:hAnsi="宋体" w:eastAsia="宋体" w:cs="宋体"/>
          <w:color w:val="auto"/>
          <w:kern w:val="0"/>
          <w:szCs w:val="21"/>
          <w:highlight w:val="none"/>
          <w:shd w:val="clear" w:color="auto" w:fill="auto"/>
        </w:rPr>
        <w:t>通知书（如有）；</w:t>
      </w:r>
    </w:p>
    <w:p w14:paraId="2397FBF9">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（3）投标函及其附录（如有）；</w:t>
      </w:r>
    </w:p>
    <w:p w14:paraId="0B2D5D14">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（4）专用合同条款及其附件；</w:t>
      </w:r>
    </w:p>
    <w:p w14:paraId="6D0483CB">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（5）通用合同条款；</w:t>
      </w:r>
    </w:p>
    <w:p w14:paraId="6C25FC17">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（6）</w:t>
      </w:r>
      <w:r>
        <w:rPr>
          <w:rStyle w:val="47"/>
          <w:rFonts w:hint="eastAsia" w:ascii="宋体" w:hAnsi="宋体" w:eastAsia="宋体" w:cs="宋体"/>
          <w:color w:val="auto"/>
          <w:kern w:val="0"/>
          <w:szCs w:val="21"/>
          <w:highlight w:val="none"/>
          <w:u w:val="single"/>
          <w:shd w:val="clear" w:color="auto" w:fill="auto"/>
        </w:rPr>
        <w:t xml:space="preserve">  技术标准和要求 </w:t>
      </w:r>
      <w:r>
        <w:rPr>
          <w:rStyle w:val="47"/>
          <w:rFonts w:hint="eastAsia" w:ascii="宋体" w:hAnsi="宋体" w:eastAsia="宋体" w:cs="宋体"/>
          <w:color w:val="auto"/>
          <w:kern w:val="0"/>
          <w:szCs w:val="21"/>
          <w:highlight w:val="none"/>
          <w:shd w:val="clear" w:color="auto" w:fill="auto"/>
        </w:rPr>
        <w:t>；</w:t>
      </w:r>
    </w:p>
    <w:p w14:paraId="2EB7EBF5">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（7）</w:t>
      </w:r>
      <w:r>
        <w:rPr>
          <w:rStyle w:val="47"/>
          <w:rFonts w:hint="eastAsia" w:ascii="宋体" w:hAnsi="宋体" w:eastAsia="宋体" w:cs="宋体"/>
          <w:color w:val="auto"/>
          <w:kern w:val="0"/>
          <w:szCs w:val="21"/>
          <w:highlight w:val="none"/>
          <w:u w:val="single"/>
          <w:shd w:val="clear" w:color="auto" w:fill="auto"/>
        </w:rPr>
        <w:t xml:space="preserve">  图纸（含图纸修改通知单及图纸设计变更文件）  </w:t>
      </w:r>
      <w:r>
        <w:rPr>
          <w:rStyle w:val="47"/>
          <w:rFonts w:hint="eastAsia" w:ascii="宋体" w:hAnsi="宋体" w:eastAsia="宋体" w:cs="宋体"/>
          <w:color w:val="auto"/>
          <w:kern w:val="0"/>
          <w:szCs w:val="21"/>
          <w:highlight w:val="none"/>
          <w:shd w:val="clear" w:color="auto" w:fill="auto"/>
        </w:rPr>
        <w:t>；</w:t>
      </w:r>
    </w:p>
    <w:p w14:paraId="3963DE5D">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（8）</w:t>
      </w:r>
      <w:r>
        <w:rPr>
          <w:rStyle w:val="47"/>
          <w:rFonts w:hint="eastAsia" w:ascii="宋体" w:hAnsi="宋体" w:eastAsia="宋体" w:cs="宋体"/>
          <w:color w:val="auto"/>
          <w:kern w:val="0"/>
          <w:szCs w:val="21"/>
          <w:highlight w:val="none"/>
          <w:u w:val="single"/>
          <w:shd w:val="clear" w:color="auto" w:fill="auto"/>
        </w:rPr>
        <w:t xml:space="preserve"> 已标价工程量清单或预算书 </w:t>
      </w:r>
      <w:r>
        <w:rPr>
          <w:rStyle w:val="47"/>
          <w:rFonts w:hint="eastAsia" w:ascii="宋体" w:hAnsi="宋体" w:eastAsia="宋体" w:cs="宋体"/>
          <w:color w:val="auto"/>
          <w:kern w:val="0"/>
          <w:szCs w:val="21"/>
          <w:highlight w:val="none"/>
          <w:shd w:val="clear" w:color="auto" w:fill="auto"/>
        </w:rPr>
        <w:t>；</w:t>
      </w:r>
    </w:p>
    <w:p w14:paraId="1A468893">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（9）</w:t>
      </w:r>
      <w:r>
        <w:rPr>
          <w:rStyle w:val="47"/>
          <w:rFonts w:hint="eastAsia" w:ascii="宋体" w:hAnsi="宋体" w:eastAsia="宋体" w:cs="宋体"/>
          <w:color w:val="auto"/>
          <w:kern w:val="0"/>
          <w:szCs w:val="21"/>
          <w:highlight w:val="none"/>
          <w:u w:val="single"/>
          <w:shd w:val="clear" w:color="auto" w:fill="auto"/>
        </w:rPr>
        <w:t>其他合同文件</w:t>
      </w:r>
      <w:r>
        <w:rPr>
          <w:rStyle w:val="47"/>
          <w:rFonts w:hint="eastAsia" w:ascii="宋体" w:hAnsi="宋体" w:eastAsia="宋体" w:cs="宋体"/>
          <w:color w:val="auto"/>
          <w:kern w:val="0"/>
          <w:szCs w:val="21"/>
          <w:highlight w:val="none"/>
          <w:shd w:val="clear" w:color="auto" w:fill="auto"/>
        </w:rPr>
        <w:t>；</w:t>
      </w:r>
    </w:p>
    <w:p w14:paraId="111E9CBB">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491D11A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5FBE7BCA">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31" w:name="_Toc373227697"/>
      <w:bookmarkStart w:id="232" w:name="_Toc373478344"/>
      <w:bookmarkStart w:id="233" w:name="_Toc9850527"/>
      <w:bookmarkStart w:id="234" w:name="_Toc407135199"/>
      <w:bookmarkStart w:id="235" w:name="_Toc389065263"/>
      <w:r>
        <w:rPr>
          <w:rStyle w:val="47"/>
          <w:rFonts w:hint="eastAsia" w:ascii="宋体" w:hAnsi="宋体" w:eastAsia="宋体" w:cs="宋体"/>
          <w:b/>
          <w:bCs/>
          <w:color w:val="auto"/>
          <w:sz w:val="21"/>
          <w:szCs w:val="21"/>
          <w:highlight w:val="none"/>
          <w:shd w:val="clear" w:color="auto" w:fill="auto"/>
          <w:lang w:val="zh-CN"/>
        </w:rPr>
        <w:t>1.6 图纸和承包人文件</w:t>
      </w:r>
      <w:bookmarkEnd w:id="231"/>
      <w:bookmarkEnd w:id="232"/>
      <w:bookmarkEnd w:id="233"/>
      <w:bookmarkEnd w:id="234"/>
      <w:bookmarkEnd w:id="235"/>
      <w:r>
        <w:rPr>
          <w:rStyle w:val="47"/>
          <w:rFonts w:hint="eastAsia" w:ascii="宋体" w:hAnsi="宋体" w:eastAsia="宋体" w:cs="宋体"/>
          <w:b/>
          <w:bCs/>
          <w:color w:val="auto"/>
          <w:sz w:val="21"/>
          <w:szCs w:val="21"/>
          <w:highlight w:val="none"/>
          <w:shd w:val="clear" w:color="auto" w:fill="auto"/>
          <w:lang w:val="zh-CN"/>
        </w:rPr>
        <w:tab/>
      </w:r>
    </w:p>
    <w:p w14:paraId="6712D1D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1.6.1 图纸的提供</w:t>
      </w:r>
    </w:p>
    <w:p w14:paraId="540C833D">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发包人向承包人提供图纸的期限：</w:t>
      </w:r>
      <w:r>
        <w:rPr>
          <w:rStyle w:val="47"/>
          <w:rFonts w:hint="eastAsia" w:ascii="宋体" w:hAnsi="宋体" w:eastAsia="宋体" w:cs="宋体"/>
          <w:color w:val="auto"/>
          <w:szCs w:val="21"/>
          <w:highlight w:val="none"/>
          <w:u w:val="single"/>
          <w:shd w:val="clear" w:color="auto" w:fill="auto"/>
        </w:rPr>
        <w:t xml:space="preserve">  合同签订后7日内  </w:t>
      </w:r>
      <w:r>
        <w:rPr>
          <w:rStyle w:val="47"/>
          <w:rFonts w:hint="eastAsia" w:ascii="宋体" w:hAnsi="宋体" w:eastAsia="宋体" w:cs="宋体"/>
          <w:color w:val="auto"/>
          <w:szCs w:val="21"/>
          <w:highlight w:val="none"/>
          <w:shd w:val="clear" w:color="auto" w:fill="auto"/>
        </w:rPr>
        <w:t>；</w:t>
      </w:r>
    </w:p>
    <w:p w14:paraId="6A7A3CB0">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发包人向承包人提供图纸的数量：</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贰</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套（承包人需要增加图纸套数的，发包人应代为复制，复制费用由承包人承担）；</w:t>
      </w:r>
    </w:p>
    <w:p w14:paraId="3D0A327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发包人向承包人提供图纸的内容：</w:t>
      </w:r>
      <w:r>
        <w:rPr>
          <w:rStyle w:val="47"/>
          <w:rFonts w:hint="eastAsia" w:ascii="宋体" w:hAnsi="宋体" w:eastAsia="宋体" w:cs="宋体"/>
          <w:color w:val="auto"/>
          <w:szCs w:val="21"/>
          <w:highlight w:val="none"/>
          <w:u w:val="single"/>
          <w:shd w:val="clear" w:color="auto" w:fill="auto"/>
        </w:rPr>
        <w:t xml:space="preserve"> 本合同发包内容中的全部图纸 </w:t>
      </w:r>
      <w:r>
        <w:rPr>
          <w:rStyle w:val="47"/>
          <w:rFonts w:hint="eastAsia" w:ascii="宋体" w:hAnsi="宋体" w:eastAsia="宋体" w:cs="宋体"/>
          <w:color w:val="auto"/>
          <w:szCs w:val="21"/>
          <w:highlight w:val="none"/>
          <w:shd w:val="clear" w:color="auto" w:fill="auto"/>
        </w:rPr>
        <w:t>。</w:t>
      </w:r>
    </w:p>
    <w:p w14:paraId="4757A5DB">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1.6.4 承包人文件</w:t>
      </w:r>
    </w:p>
    <w:p w14:paraId="45DF9399">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lang w:val="en-US" w:eastAsia="zh-CN"/>
        </w:rPr>
      </w:pPr>
      <w:r>
        <w:rPr>
          <w:rStyle w:val="47"/>
          <w:rFonts w:hint="eastAsia" w:ascii="宋体" w:hAnsi="宋体" w:eastAsia="宋体" w:cs="宋体"/>
          <w:color w:val="auto"/>
          <w:szCs w:val="21"/>
          <w:highlight w:val="none"/>
          <w:shd w:val="clear" w:color="auto" w:fill="auto"/>
        </w:rPr>
        <w:t>需要由承包人提供的文件，包括：</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必要的加工图和大样图，均不是合同计量与支付的依据文件。施工组织设计、专项施工方案、安全应急方案、进度报表、次月进度计划等</w:t>
      </w:r>
      <w:r>
        <w:rPr>
          <w:rStyle w:val="47"/>
          <w:rFonts w:hint="eastAsia" w:ascii="宋体" w:hAnsi="宋体" w:eastAsia="宋体" w:cs="宋体"/>
          <w:color w:val="auto"/>
          <w:kern w:val="2"/>
          <w:sz w:val="21"/>
          <w:szCs w:val="21"/>
          <w:highlight w:val="none"/>
          <w:u w:val="single"/>
          <w:lang w:eastAsia="zh-CN"/>
        </w:rPr>
        <w:t>。</w:t>
      </w:r>
    </w:p>
    <w:p w14:paraId="6463BD79">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承包人提供的文件的期限为：</w:t>
      </w:r>
      <w:r>
        <w:rPr>
          <w:rStyle w:val="47"/>
          <w:rFonts w:hint="eastAsia" w:ascii="宋体" w:hAnsi="宋体" w:eastAsia="宋体" w:cs="宋体"/>
          <w:color w:val="auto"/>
          <w:szCs w:val="21"/>
          <w:highlight w:val="none"/>
          <w:u w:val="single"/>
          <w:shd w:val="clear" w:color="auto" w:fill="auto"/>
        </w:rPr>
        <w:t xml:space="preserve"> 开始施工前7日内  </w:t>
      </w:r>
      <w:r>
        <w:rPr>
          <w:rStyle w:val="47"/>
          <w:rFonts w:hint="eastAsia" w:ascii="宋体" w:hAnsi="宋体" w:eastAsia="宋体" w:cs="宋体"/>
          <w:color w:val="auto"/>
          <w:szCs w:val="21"/>
          <w:highlight w:val="none"/>
          <w:shd w:val="clear" w:color="auto" w:fill="auto"/>
        </w:rPr>
        <w:t>；</w:t>
      </w:r>
    </w:p>
    <w:p w14:paraId="2902D740">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lang w:val="en-US" w:eastAsia="zh-CN"/>
        </w:rPr>
      </w:pPr>
      <w:r>
        <w:rPr>
          <w:rStyle w:val="47"/>
          <w:rFonts w:hint="eastAsia" w:ascii="宋体" w:hAnsi="宋体" w:eastAsia="宋体" w:cs="宋体"/>
          <w:color w:val="auto"/>
          <w:szCs w:val="21"/>
          <w:highlight w:val="none"/>
          <w:shd w:val="clear" w:color="auto" w:fill="auto"/>
        </w:rPr>
        <w:t>承包人提供的文件的数量为：</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包括但不限于</w:t>
      </w:r>
      <w:r>
        <w:rPr>
          <w:rStyle w:val="47"/>
          <w:rFonts w:hint="eastAsia" w:ascii="宋体" w:hAnsi="宋体" w:eastAsia="宋体" w:cs="宋体"/>
          <w:color w:val="auto"/>
          <w:szCs w:val="21"/>
          <w:highlight w:val="none"/>
          <w:u w:val="single"/>
          <w:shd w:val="clear" w:color="auto" w:fill="auto"/>
        </w:rPr>
        <w:t>提供施工组织设计和安全应急方案一式</w:t>
      </w:r>
      <w:r>
        <w:rPr>
          <w:rStyle w:val="47"/>
          <w:rFonts w:hint="eastAsia" w:ascii="宋体" w:hAnsi="宋体" w:eastAsia="宋体" w:cs="宋体"/>
          <w:color w:val="auto"/>
          <w:szCs w:val="21"/>
          <w:highlight w:val="none"/>
          <w:u w:val="single"/>
          <w:shd w:val="clear" w:color="auto" w:fill="auto"/>
          <w:lang w:val="en-US" w:eastAsia="zh-CN"/>
        </w:rPr>
        <w:t>四</w:t>
      </w:r>
      <w:r>
        <w:rPr>
          <w:rStyle w:val="47"/>
          <w:rFonts w:hint="eastAsia" w:ascii="宋体" w:hAnsi="宋体" w:eastAsia="宋体" w:cs="宋体"/>
          <w:color w:val="auto"/>
          <w:szCs w:val="21"/>
          <w:highlight w:val="none"/>
          <w:u w:val="single"/>
          <w:shd w:val="clear" w:color="auto" w:fill="auto"/>
        </w:rPr>
        <w:t>份</w:t>
      </w:r>
      <w:r>
        <w:rPr>
          <w:rStyle w:val="47"/>
          <w:rFonts w:hint="eastAsia" w:ascii="宋体" w:hAnsi="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专项工程合同签订后15天提供专项施工方案一式</w:t>
      </w:r>
      <w:r>
        <w:rPr>
          <w:rStyle w:val="47"/>
          <w:rFonts w:hint="eastAsia" w:ascii="宋体" w:hAnsi="宋体" w:eastAsia="宋体" w:cs="宋体"/>
          <w:color w:val="auto"/>
          <w:szCs w:val="21"/>
          <w:highlight w:val="none"/>
          <w:u w:val="single"/>
          <w:shd w:val="clear" w:color="auto" w:fill="auto"/>
          <w:lang w:val="en-US" w:eastAsia="zh-CN"/>
        </w:rPr>
        <w:t>四</w:t>
      </w:r>
      <w:r>
        <w:rPr>
          <w:rStyle w:val="47"/>
          <w:rFonts w:hint="eastAsia" w:ascii="宋体" w:hAnsi="宋体" w:eastAsia="宋体" w:cs="宋体"/>
          <w:color w:val="auto"/>
          <w:szCs w:val="21"/>
          <w:highlight w:val="none"/>
          <w:u w:val="single"/>
          <w:shd w:val="clear" w:color="auto" w:fill="auto"/>
        </w:rPr>
        <w:t>份</w:t>
      </w:r>
      <w:r>
        <w:rPr>
          <w:rStyle w:val="47"/>
          <w:rFonts w:hint="eastAsia" w:ascii="宋体" w:hAnsi="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每月25日提供本月完成进度报表和次月进度计划一式</w:t>
      </w:r>
      <w:r>
        <w:rPr>
          <w:rStyle w:val="47"/>
          <w:rFonts w:hint="eastAsia" w:ascii="宋体" w:hAnsi="宋体" w:eastAsia="宋体" w:cs="宋体"/>
          <w:color w:val="auto"/>
          <w:szCs w:val="21"/>
          <w:highlight w:val="none"/>
          <w:u w:val="single"/>
          <w:shd w:val="clear" w:color="auto" w:fill="auto"/>
          <w:lang w:val="en-US" w:eastAsia="zh-CN"/>
        </w:rPr>
        <w:t>四</w:t>
      </w:r>
      <w:r>
        <w:rPr>
          <w:rStyle w:val="47"/>
          <w:rFonts w:hint="eastAsia" w:ascii="宋体" w:hAnsi="宋体" w:eastAsia="宋体" w:cs="宋体"/>
          <w:color w:val="auto"/>
          <w:szCs w:val="21"/>
          <w:highlight w:val="none"/>
          <w:u w:val="single"/>
          <w:shd w:val="clear" w:color="auto" w:fill="auto"/>
        </w:rPr>
        <w:t>份</w:t>
      </w:r>
      <w:r>
        <w:rPr>
          <w:rStyle w:val="47"/>
          <w:rFonts w:hint="eastAsia" w:ascii="宋体" w:hAnsi="宋体" w:eastAsia="宋体" w:cs="宋体"/>
          <w:color w:val="auto"/>
          <w:szCs w:val="21"/>
          <w:highlight w:val="none"/>
          <w:u w:val="single"/>
          <w:shd w:val="clear" w:color="auto" w:fill="auto"/>
          <w:lang w:eastAsia="zh-CN"/>
        </w:rPr>
        <w:t>。</w:t>
      </w:r>
    </w:p>
    <w:p w14:paraId="5F5B75B0">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承包人提供的文件的形式为：</w:t>
      </w:r>
      <w:r>
        <w:rPr>
          <w:rStyle w:val="47"/>
          <w:rFonts w:hint="eastAsia" w:ascii="宋体" w:hAnsi="宋体" w:eastAsia="宋体" w:cs="宋体"/>
          <w:color w:val="auto"/>
          <w:szCs w:val="21"/>
          <w:highlight w:val="none"/>
          <w:u w:val="single"/>
          <w:shd w:val="clear" w:color="auto" w:fill="auto"/>
        </w:rPr>
        <w:t xml:space="preserve">  书面</w:t>
      </w:r>
      <w:r>
        <w:rPr>
          <w:rStyle w:val="47"/>
          <w:rFonts w:hint="eastAsia" w:ascii="宋体" w:hAnsi="宋体" w:eastAsia="宋体" w:cs="宋体"/>
          <w:color w:val="auto"/>
          <w:szCs w:val="21"/>
          <w:highlight w:val="none"/>
          <w:u w:val="single"/>
          <w:shd w:val="clear" w:color="auto" w:fill="auto"/>
          <w:lang w:val="en-US" w:eastAsia="zh-CN"/>
        </w:rPr>
        <w:t>及电子文件</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72780F4C">
      <w:pPr>
        <w:pStyle w:val="236"/>
        <w:spacing w:beforeLines="0" w:afterLines="0" w:line="360" w:lineRule="auto"/>
        <w:ind w:firstLine="420" w:firstLineChars="200"/>
        <w:rPr>
          <w:rStyle w:val="47"/>
          <w:rFonts w:hint="eastAsia" w:ascii="宋体" w:hAnsi="宋体" w:eastAsia="宋体" w:cs="宋体"/>
          <w:color w:val="auto"/>
          <w:sz w:val="21"/>
          <w:szCs w:val="21"/>
          <w:highlight w:val="none"/>
          <w:u w:val="single"/>
          <w:shd w:val="clear" w:color="auto" w:fill="auto"/>
        </w:rPr>
      </w:pPr>
      <w:r>
        <w:rPr>
          <w:rStyle w:val="47"/>
          <w:rFonts w:hint="eastAsia" w:ascii="宋体" w:hAnsi="宋体" w:eastAsia="宋体" w:cs="宋体"/>
          <w:color w:val="auto"/>
          <w:sz w:val="21"/>
          <w:szCs w:val="21"/>
          <w:highlight w:val="none"/>
          <w:shd w:val="clear" w:color="auto" w:fill="auto"/>
        </w:rPr>
        <w:t>发包人审批承包人文件的期限：</w:t>
      </w:r>
      <w:r>
        <w:rPr>
          <w:rStyle w:val="47"/>
          <w:rFonts w:hint="eastAsia" w:ascii="宋体" w:hAnsi="宋体" w:eastAsia="宋体" w:cs="宋体"/>
          <w:color w:val="auto"/>
          <w:sz w:val="21"/>
          <w:szCs w:val="21"/>
          <w:highlight w:val="none"/>
          <w:u w:val="single"/>
          <w:shd w:val="clear" w:color="auto" w:fill="auto"/>
        </w:rPr>
        <w:t xml:space="preserve"> 收到提供的</w:t>
      </w:r>
      <w:r>
        <w:rPr>
          <w:rStyle w:val="47"/>
          <w:rFonts w:hint="eastAsia" w:ascii="宋体" w:hAnsi="宋体" w:eastAsia="宋体" w:cs="宋体"/>
          <w:color w:val="auto"/>
          <w:sz w:val="21"/>
          <w:szCs w:val="21"/>
          <w:highlight w:val="none"/>
          <w:u w:val="single"/>
          <w:shd w:val="clear" w:color="auto" w:fill="auto"/>
          <w:lang w:val="en-US" w:eastAsia="zh-CN"/>
        </w:rPr>
        <w:t>合格</w:t>
      </w:r>
      <w:r>
        <w:rPr>
          <w:rStyle w:val="47"/>
          <w:rFonts w:hint="eastAsia" w:ascii="宋体" w:hAnsi="宋体" w:eastAsia="宋体" w:cs="宋体"/>
          <w:color w:val="auto"/>
          <w:sz w:val="21"/>
          <w:szCs w:val="21"/>
          <w:highlight w:val="none"/>
          <w:u w:val="single"/>
          <w:shd w:val="clear" w:color="auto" w:fill="auto"/>
        </w:rPr>
        <w:t>文件后7天内</w:t>
      </w:r>
      <w:r>
        <w:rPr>
          <w:rStyle w:val="47"/>
          <w:rFonts w:hint="eastAsia" w:ascii="宋体" w:hAnsi="宋体" w:eastAsia="宋体" w:cs="宋体"/>
          <w:color w:val="auto"/>
          <w:sz w:val="21"/>
          <w:szCs w:val="21"/>
          <w:highlight w:val="none"/>
          <w:u w:val="single"/>
          <w:shd w:val="clear" w:color="auto" w:fill="auto"/>
          <w:lang w:eastAsia="zh-CN"/>
        </w:rPr>
        <w:t>，</w:t>
      </w:r>
      <w:r>
        <w:rPr>
          <w:rStyle w:val="47"/>
          <w:rFonts w:hint="eastAsia" w:ascii="宋体" w:hAnsi="宋体" w:eastAsia="宋体" w:cs="宋体"/>
          <w:color w:val="auto"/>
          <w:sz w:val="21"/>
          <w:szCs w:val="21"/>
          <w:highlight w:val="none"/>
          <w:u w:val="single"/>
          <w:shd w:val="clear" w:color="auto" w:fill="auto"/>
        </w:rPr>
        <w:t>逾期不确认也不提出书面意见的，视为同意。</w:t>
      </w:r>
    </w:p>
    <w:p w14:paraId="79516FD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1.6.5 现场图纸准备</w:t>
      </w:r>
    </w:p>
    <w:p w14:paraId="48FE2AD7">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关于现场图纸准备的约定：</w:t>
      </w:r>
      <w:r>
        <w:rPr>
          <w:rStyle w:val="47"/>
          <w:rFonts w:hint="eastAsia" w:ascii="宋体" w:hAnsi="宋体" w:eastAsia="宋体" w:cs="宋体"/>
          <w:color w:val="auto"/>
          <w:szCs w:val="21"/>
          <w:highlight w:val="none"/>
          <w:u w:val="single"/>
          <w:shd w:val="clear" w:color="auto" w:fill="auto"/>
        </w:rPr>
        <w:t xml:space="preserve"> 按通用条款执行 </w:t>
      </w:r>
      <w:r>
        <w:rPr>
          <w:rStyle w:val="47"/>
          <w:rFonts w:hint="eastAsia" w:ascii="宋体" w:hAnsi="宋体" w:eastAsia="宋体" w:cs="宋体"/>
          <w:color w:val="auto"/>
          <w:szCs w:val="21"/>
          <w:highlight w:val="none"/>
          <w:shd w:val="clear" w:color="auto" w:fill="auto"/>
        </w:rPr>
        <w:t>。</w:t>
      </w:r>
    </w:p>
    <w:p w14:paraId="0F8DD207">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36" w:name="_Toc389065264"/>
      <w:bookmarkStart w:id="237" w:name="_Toc9850528"/>
      <w:bookmarkStart w:id="238" w:name="_Toc373227698"/>
      <w:bookmarkStart w:id="239" w:name="_Toc407135200"/>
      <w:bookmarkStart w:id="240" w:name="_Toc373478345"/>
      <w:r>
        <w:rPr>
          <w:rStyle w:val="47"/>
          <w:rFonts w:hint="eastAsia" w:ascii="宋体" w:hAnsi="宋体" w:eastAsia="宋体" w:cs="宋体"/>
          <w:b/>
          <w:bCs/>
          <w:color w:val="auto"/>
          <w:sz w:val="21"/>
          <w:szCs w:val="21"/>
          <w:highlight w:val="none"/>
          <w:shd w:val="clear" w:color="auto" w:fill="auto"/>
          <w:lang w:val="zh-CN"/>
        </w:rPr>
        <w:t>1.7 联络</w:t>
      </w:r>
      <w:bookmarkEnd w:id="236"/>
      <w:bookmarkEnd w:id="237"/>
      <w:bookmarkEnd w:id="238"/>
      <w:bookmarkEnd w:id="239"/>
      <w:bookmarkEnd w:id="240"/>
    </w:p>
    <w:p w14:paraId="6330DFA9">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1.7.1发包人和承包人应当在</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7</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天内将与合同有关的通知、批准、证明、证书、指示、指令、要求、请求、同意、意见、确定和决定等书面函件送达对方当事人。</w:t>
      </w:r>
    </w:p>
    <w:p w14:paraId="4A01C6DA">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1.7.2 发包人接收文件的地点：</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6"/>
          <w:szCs w:val="21"/>
          <w:highlight w:val="none"/>
          <w:u w:val="single" w:color="auto"/>
        </w:rPr>
        <w:t>项目所在地发包人项目部</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281B3629">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发包人指定的接收人为：</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6"/>
          <w:szCs w:val="21"/>
          <w:highlight w:val="none"/>
          <w:u w:val="single" w:color="auto"/>
        </w:rPr>
        <w:t>发包人的项目负责人、发包人代表</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38763A8D">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承包人接收文件的地点：</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6"/>
          <w:szCs w:val="21"/>
          <w:highlight w:val="none"/>
          <w:u w:val="single" w:color="auto"/>
        </w:rPr>
        <w:t xml:space="preserve">项目所在地承包人项目经理部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78BD93BC">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承包人指定的接收人为：</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7"/>
          <w:szCs w:val="21"/>
          <w:highlight w:val="none"/>
          <w:u w:val="single" w:color="auto"/>
        </w:rPr>
        <w:t>承包人的项目经理、项</w:t>
      </w:r>
      <w:r>
        <w:rPr>
          <w:rStyle w:val="47"/>
          <w:rFonts w:hint="eastAsia" w:ascii="宋体" w:hAnsi="宋体" w:eastAsia="宋体" w:cs="宋体"/>
          <w:color w:val="auto"/>
          <w:spacing w:val="6"/>
          <w:szCs w:val="21"/>
          <w:highlight w:val="none"/>
          <w:u w:val="single" w:color="auto"/>
        </w:rPr>
        <w:t xml:space="preserve">目技术负责人、施工员或资料员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1D1CC555">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监理人接收文件的地点：</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6"/>
          <w:szCs w:val="21"/>
          <w:highlight w:val="none"/>
          <w:u w:val="single" w:color="auto"/>
        </w:rPr>
        <w:t xml:space="preserve">项目所在地监理人项目监理部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0C26ED24">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监理人指定的接收人为：</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pacing w:val="6"/>
          <w:szCs w:val="21"/>
          <w:highlight w:val="none"/>
          <w:u w:val="single" w:color="auto"/>
        </w:rPr>
        <w:t>监</w:t>
      </w:r>
      <w:r>
        <w:rPr>
          <w:rStyle w:val="47"/>
          <w:rFonts w:hint="eastAsia" w:ascii="宋体" w:hAnsi="宋体" w:eastAsia="宋体" w:cs="宋体"/>
          <w:color w:val="auto"/>
          <w:spacing w:val="7"/>
          <w:szCs w:val="21"/>
          <w:highlight w:val="none"/>
          <w:u w:val="single" w:color="auto"/>
        </w:rPr>
        <w:t>理人的项目总监理</w:t>
      </w:r>
      <w:r>
        <w:rPr>
          <w:rStyle w:val="47"/>
          <w:rFonts w:hint="eastAsia" w:ascii="宋体" w:hAnsi="宋体" w:eastAsia="宋体" w:cs="宋体"/>
          <w:color w:val="auto"/>
          <w:spacing w:val="6"/>
          <w:szCs w:val="21"/>
          <w:highlight w:val="none"/>
          <w:u w:val="single" w:color="auto"/>
        </w:rPr>
        <w:t>工程师、专业监理工程师或监理员</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63716319">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p>
    <w:p w14:paraId="18FB181D">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41" w:name="_Toc373227699"/>
      <w:bookmarkStart w:id="242" w:name="_Toc389065265"/>
      <w:bookmarkStart w:id="243" w:name="_Toc373478346"/>
      <w:bookmarkStart w:id="244" w:name="_Toc407135201"/>
      <w:bookmarkStart w:id="245" w:name="_Toc9850529"/>
      <w:r>
        <w:rPr>
          <w:rStyle w:val="47"/>
          <w:rFonts w:hint="eastAsia" w:ascii="宋体" w:hAnsi="宋体" w:eastAsia="宋体" w:cs="宋体"/>
          <w:b/>
          <w:bCs/>
          <w:color w:val="auto"/>
          <w:sz w:val="21"/>
          <w:szCs w:val="21"/>
          <w:highlight w:val="none"/>
          <w:shd w:val="clear" w:color="auto" w:fill="auto"/>
          <w:lang w:val="zh-CN"/>
        </w:rPr>
        <w:t>1.10 交通运输</w:t>
      </w:r>
      <w:bookmarkEnd w:id="241"/>
      <w:bookmarkEnd w:id="242"/>
      <w:bookmarkEnd w:id="243"/>
      <w:bookmarkEnd w:id="244"/>
      <w:bookmarkEnd w:id="245"/>
    </w:p>
    <w:p w14:paraId="496C4A7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w:t>
      </w:r>
      <w:bookmarkStart w:id="246" w:name="_Toc300934943"/>
      <w:bookmarkStart w:id="247" w:name="_Toc312677986"/>
      <w:bookmarkStart w:id="248" w:name="_Toc304295521"/>
      <w:bookmarkStart w:id="249" w:name="_Toc303539100"/>
      <w:bookmarkStart w:id="250" w:name="_Toc318581155"/>
      <w:r>
        <w:rPr>
          <w:rStyle w:val="47"/>
          <w:rFonts w:hint="eastAsia" w:ascii="宋体" w:hAnsi="宋体" w:eastAsia="宋体" w:cs="宋体"/>
          <w:color w:val="auto"/>
          <w:szCs w:val="21"/>
          <w:highlight w:val="none"/>
          <w:shd w:val="clear" w:color="auto" w:fill="auto"/>
        </w:rPr>
        <w:t>.10.1 出入现场的权利</w:t>
      </w:r>
    </w:p>
    <w:p w14:paraId="40D40B85">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关于出入现场的权利的约定：</w:t>
      </w:r>
      <w:r>
        <w:rPr>
          <w:rStyle w:val="47"/>
          <w:rFonts w:hint="eastAsia" w:ascii="宋体" w:hAnsi="宋体" w:eastAsia="宋体" w:cs="宋体"/>
          <w:color w:val="auto"/>
          <w:szCs w:val="21"/>
          <w:highlight w:val="none"/>
          <w:u w:val="single"/>
          <w:shd w:val="clear" w:color="auto" w:fill="auto"/>
        </w:rPr>
        <w:t xml:space="preserve"> 由承包人按发包人要求负责取得出入施工现场所需的批准手续和全部权利，以及取得因施工所需修建道路、桥梁以及其他基础设施的权利，并承担相关手续费用和建设费用，发包人和监理人有权无偿使用承包人修建的临时道路和交通设施，不需要缴纳任何费用。</w:t>
      </w:r>
    </w:p>
    <w:bookmarkEnd w:id="246"/>
    <w:bookmarkEnd w:id="247"/>
    <w:bookmarkEnd w:id="248"/>
    <w:bookmarkEnd w:id="249"/>
    <w:bookmarkEnd w:id="250"/>
    <w:p w14:paraId="2A8BC4BE">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w:t>
      </w:r>
      <w:bookmarkStart w:id="251" w:name="_Toc300934944"/>
      <w:bookmarkStart w:id="252" w:name="_Toc312677987"/>
      <w:bookmarkStart w:id="253" w:name="_Toc318581156"/>
      <w:bookmarkStart w:id="254" w:name="_Toc304295522"/>
      <w:bookmarkStart w:id="255" w:name="_Toc303539101"/>
      <w:r>
        <w:rPr>
          <w:rStyle w:val="47"/>
          <w:rFonts w:hint="eastAsia" w:ascii="宋体" w:hAnsi="宋体" w:eastAsia="宋体" w:cs="宋体"/>
          <w:color w:val="auto"/>
          <w:szCs w:val="21"/>
          <w:highlight w:val="none"/>
          <w:shd w:val="clear" w:color="auto" w:fill="auto"/>
        </w:rPr>
        <w:t>.10.3 场内交通</w:t>
      </w:r>
    </w:p>
    <w:p w14:paraId="43E4999C">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关于场外交通和场内交通的边界的约定：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本合同标段相应的规划许可的红线划分，以红线作为场内交通和场外交通的边界</w:t>
      </w:r>
      <w:r>
        <w:rPr>
          <w:rStyle w:val="47"/>
          <w:rFonts w:hint="eastAsia" w:ascii="宋体" w:hAnsi="宋体" w:eastAsia="宋体" w:cs="宋体"/>
          <w:color w:val="auto"/>
          <w:szCs w:val="21"/>
          <w:highlight w:val="none"/>
          <w:u w:val="single"/>
          <w:shd w:val="clear" w:color="auto" w:fill="auto"/>
        </w:rPr>
        <w:t xml:space="preserve">  。</w:t>
      </w:r>
    </w:p>
    <w:p w14:paraId="02C8E6A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关于发包人向承包人免费提供满足工程施工需要的场内道路和交通设施的约定：</w:t>
      </w:r>
      <w:r>
        <w:rPr>
          <w:rStyle w:val="47"/>
          <w:rFonts w:hint="eastAsia" w:ascii="宋体" w:hAnsi="宋体" w:eastAsia="宋体" w:cs="宋体"/>
          <w:color w:val="auto"/>
          <w:szCs w:val="21"/>
          <w:highlight w:val="none"/>
          <w:u w:val="single"/>
          <w:shd w:val="clear" w:color="auto" w:fill="auto"/>
        </w:rPr>
        <w:t xml:space="preserve"> 不提供</w:t>
      </w:r>
      <w:r>
        <w:rPr>
          <w:rStyle w:val="47"/>
          <w:rFonts w:hint="eastAsia" w:ascii="宋体" w:hAnsi="宋体" w:eastAsia="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但</w:t>
      </w:r>
      <w:r>
        <w:rPr>
          <w:rStyle w:val="47"/>
          <w:rFonts w:hint="eastAsia" w:ascii="宋体" w:hAnsi="宋体" w:eastAsia="宋体" w:cs="宋体"/>
          <w:color w:val="auto"/>
          <w:kern w:val="2"/>
          <w:sz w:val="21"/>
          <w:szCs w:val="21"/>
          <w:highlight w:val="none"/>
          <w:u w:val="single"/>
        </w:rPr>
        <w:t>工程竣工后承包人须</w:t>
      </w:r>
      <w:r>
        <w:rPr>
          <w:rStyle w:val="47"/>
          <w:rFonts w:hint="eastAsia" w:ascii="宋体" w:hAnsi="宋体" w:eastAsia="宋体" w:cs="宋体"/>
          <w:color w:val="auto"/>
          <w:kern w:val="2"/>
          <w:sz w:val="21"/>
          <w:szCs w:val="21"/>
          <w:highlight w:val="none"/>
          <w:u w:val="single"/>
          <w:lang w:val="en-US" w:eastAsia="zh-CN"/>
        </w:rPr>
        <w:t>自行</w:t>
      </w:r>
      <w:r>
        <w:rPr>
          <w:rStyle w:val="47"/>
          <w:rFonts w:hint="eastAsia" w:ascii="宋体" w:hAnsi="宋体" w:eastAsia="宋体" w:cs="宋体"/>
          <w:color w:val="auto"/>
          <w:kern w:val="2"/>
          <w:sz w:val="21"/>
          <w:szCs w:val="21"/>
          <w:highlight w:val="none"/>
          <w:u w:val="single"/>
        </w:rPr>
        <w:t>恢复，施工现场内临时道路由承包人负责建设并承担相关费用</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bookmarkEnd w:id="251"/>
      <w:bookmarkEnd w:id="252"/>
      <w:bookmarkEnd w:id="253"/>
      <w:bookmarkEnd w:id="254"/>
      <w:bookmarkEnd w:id="255"/>
      <w:bookmarkStart w:id="256" w:name="_Toc318581157"/>
    </w:p>
    <w:p w14:paraId="5DE65A9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1.10.4 超大件和超重件的运输</w:t>
      </w:r>
    </w:p>
    <w:p w14:paraId="63266444">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运输超大件或超重件所需的道路和桥梁临时加固改造费用和其他有关费用由</w:t>
      </w:r>
      <w:r>
        <w:rPr>
          <w:rStyle w:val="47"/>
          <w:rFonts w:hint="eastAsia" w:ascii="宋体" w:hAnsi="宋体" w:eastAsia="宋体" w:cs="宋体"/>
          <w:color w:val="auto"/>
          <w:szCs w:val="21"/>
          <w:highlight w:val="none"/>
          <w:u w:val="single"/>
          <w:shd w:val="clear" w:color="auto" w:fill="auto"/>
        </w:rPr>
        <w:t xml:space="preserve">   承包人   </w:t>
      </w:r>
      <w:r>
        <w:rPr>
          <w:rStyle w:val="47"/>
          <w:rFonts w:hint="eastAsia" w:ascii="宋体" w:hAnsi="宋体" w:eastAsia="宋体" w:cs="宋体"/>
          <w:color w:val="auto"/>
          <w:szCs w:val="21"/>
          <w:highlight w:val="none"/>
          <w:shd w:val="clear" w:color="auto" w:fill="auto"/>
        </w:rPr>
        <w:t>承担。</w:t>
      </w:r>
    </w:p>
    <w:bookmarkEnd w:id="256"/>
    <w:p w14:paraId="63F2E5CB">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57" w:name="_Toc373478347"/>
      <w:bookmarkStart w:id="258" w:name="_Toc373227700"/>
      <w:bookmarkStart w:id="259" w:name="_Toc9850530"/>
      <w:bookmarkStart w:id="260" w:name="_Toc407135202"/>
      <w:bookmarkStart w:id="261" w:name="_Toc389065266"/>
      <w:r>
        <w:rPr>
          <w:rStyle w:val="47"/>
          <w:rFonts w:hint="eastAsia" w:ascii="宋体" w:hAnsi="宋体" w:eastAsia="宋体" w:cs="宋体"/>
          <w:b/>
          <w:bCs/>
          <w:color w:val="auto"/>
          <w:sz w:val="21"/>
          <w:szCs w:val="21"/>
          <w:highlight w:val="none"/>
          <w:shd w:val="clear" w:color="auto" w:fill="auto"/>
          <w:lang w:val="zh-CN"/>
        </w:rPr>
        <w:t>1.11 知识产权</w:t>
      </w:r>
      <w:bookmarkEnd w:id="257"/>
      <w:bookmarkEnd w:id="258"/>
      <w:bookmarkEnd w:id="259"/>
      <w:bookmarkEnd w:id="260"/>
      <w:bookmarkEnd w:id="261"/>
    </w:p>
    <w:p w14:paraId="43E1784D">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1.11.1 关于发包人提供给承包人的图纸、发包人为实施工程自行编制或委托编制的技术规范以及反映发包人关于合同要求或其他类似性质的文件的著作权的归属：</w:t>
      </w:r>
      <w:r>
        <w:rPr>
          <w:rStyle w:val="47"/>
          <w:rFonts w:hint="eastAsia" w:ascii="宋体" w:hAnsi="宋体" w:eastAsia="宋体" w:cs="宋体"/>
          <w:color w:val="auto"/>
          <w:szCs w:val="21"/>
          <w:highlight w:val="none"/>
          <w:u w:val="single"/>
          <w:shd w:val="clear" w:color="auto" w:fill="auto"/>
        </w:rPr>
        <w:t xml:space="preserve">  发包人 </w:t>
      </w:r>
      <w:r>
        <w:rPr>
          <w:rStyle w:val="47"/>
          <w:rFonts w:hint="eastAsia" w:ascii="宋体" w:hAnsi="宋体" w:eastAsia="宋体" w:cs="宋体"/>
          <w:color w:val="auto"/>
          <w:szCs w:val="21"/>
          <w:highlight w:val="none"/>
          <w:shd w:val="clear" w:color="auto" w:fill="auto"/>
        </w:rPr>
        <w:t>。</w:t>
      </w:r>
    </w:p>
    <w:p w14:paraId="77898212">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关于发包人提供的上述文件的使用限制的要求：</w:t>
      </w:r>
      <w:r>
        <w:rPr>
          <w:rStyle w:val="47"/>
          <w:rFonts w:hint="eastAsia" w:ascii="宋体" w:hAnsi="宋体" w:eastAsia="宋体" w:cs="宋体"/>
          <w:color w:val="auto"/>
          <w:szCs w:val="21"/>
          <w:highlight w:val="none"/>
          <w:u w:val="single"/>
          <w:shd w:val="clear" w:color="auto" w:fill="auto"/>
        </w:rPr>
        <w:t xml:space="preserve"> 按通用条款执行 </w:t>
      </w:r>
      <w:r>
        <w:rPr>
          <w:rStyle w:val="47"/>
          <w:rFonts w:hint="eastAsia" w:ascii="宋体" w:hAnsi="宋体" w:eastAsia="宋体" w:cs="宋体"/>
          <w:color w:val="auto"/>
          <w:szCs w:val="21"/>
          <w:highlight w:val="none"/>
          <w:shd w:val="clear" w:color="auto" w:fill="auto"/>
        </w:rPr>
        <w:t>。</w:t>
      </w:r>
    </w:p>
    <w:p w14:paraId="106344EC">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1.11.2 关于承包人为实施工程所编制文件的著作权的归属：</w:t>
      </w:r>
      <w:r>
        <w:rPr>
          <w:rStyle w:val="47"/>
          <w:rFonts w:hint="eastAsia" w:ascii="宋体" w:hAnsi="宋体" w:eastAsia="宋体" w:cs="宋体"/>
          <w:color w:val="auto"/>
          <w:szCs w:val="21"/>
          <w:highlight w:val="none"/>
          <w:u w:val="single"/>
          <w:shd w:val="clear" w:color="auto" w:fill="auto"/>
        </w:rPr>
        <w:t xml:space="preserve"> 发包人 </w:t>
      </w:r>
      <w:r>
        <w:rPr>
          <w:rStyle w:val="47"/>
          <w:rFonts w:hint="eastAsia" w:ascii="宋体" w:hAnsi="宋体" w:eastAsia="宋体" w:cs="宋体"/>
          <w:color w:val="auto"/>
          <w:szCs w:val="21"/>
          <w:highlight w:val="none"/>
          <w:shd w:val="clear" w:color="auto" w:fill="auto"/>
        </w:rPr>
        <w:t>。</w:t>
      </w:r>
    </w:p>
    <w:p w14:paraId="733157DF">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关于承包人提供的上述文件的使用限制的要求：</w:t>
      </w:r>
      <w:r>
        <w:rPr>
          <w:rStyle w:val="47"/>
          <w:rFonts w:hint="eastAsia" w:ascii="宋体" w:hAnsi="宋体" w:eastAsia="宋体" w:cs="宋体"/>
          <w:color w:val="auto"/>
          <w:szCs w:val="21"/>
          <w:highlight w:val="none"/>
          <w:u w:val="single"/>
          <w:shd w:val="clear" w:color="auto" w:fill="auto"/>
        </w:rPr>
        <w:t xml:space="preserve">  未经发包人书面同意，承包人不得为合同以外的目的而复制、使用上述文件或将之提供给第三方 </w:t>
      </w:r>
      <w:r>
        <w:rPr>
          <w:rStyle w:val="47"/>
          <w:rFonts w:hint="eastAsia" w:ascii="宋体" w:hAnsi="宋体" w:eastAsia="宋体" w:cs="宋体"/>
          <w:color w:val="auto"/>
          <w:szCs w:val="21"/>
          <w:highlight w:val="none"/>
          <w:shd w:val="clear" w:color="auto" w:fill="auto"/>
        </w:rPr>
        <w:t>。</w:t>
      </w:r>
    </w:p>
    <w:p w14:paraId="3646F8E6">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1.11.4 承包人在施工过程中所采用的专利、专有技术、技术秘密的使用费的承担方式：</w:t>
      </w:r>
    </w:p>
    <w:p w14:paraId="3A50DF4A">
      <w:pPr>
        <w:pStyle w:val="246"/>
        <w:spacing w:beforeLines="0" w:afterLines="0" w:line="360" w:lineRule="auto"/>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szCs w:val="21"/>
          <w:highlight w:val="none"/>
          <w:u w:val="single"/>
          <w:shd w:val="clear" w:color="auto" w:fill="auto"/>
        </w:rPr>
        <w:t xml:space="preserve">  承包人在使用材料、施工设备、工程设备或采用施工工艺时，因侵犯他人的专利权或其他知识产权所引起的责任，由承包人承担 </w:t>
      </w:r>
      <w:r>
        <w:rPr>
          <w:rStyle w:val="47"/>
          <w:rFonts w:hint="eastAsia" w:ascii="宋体" w:hAnsi="宋体" w:eastAsia="宋体" w:cs="宋体"/>
          <w:color w:val="auto"/>
          <w:kern w:val="0"/>
          <w:szCs w:val="21"/>
          <w:highlight w:val="none"/>
          <w:shd w:val="clear" w:color="auto" w:fill="auto"/>
        </w:rPr>
        <w:t>。</w:t>
      </w:r>
    </w:p>
    <w:p w14:paraId="594609DD">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62" w:name="_Toc407135203"/>
      <w:bookmarkStart w:id="263" w:name="_Toc9850531"/>
      <w:bookmarkStart w:id="264" w:name="_Toc389065267"/>
      <w:bookmarkStart w:id="265" w:name="_Toc373227701"/>
      <w:bookmarkStart w:id="266" w:name="_Toc373478348"/>
      <w:r>
        <w:rPr>
          <w:rStyle w:val="47"/>
          <w:rFonts w:hint="eastAsia" w:ascii="宋体" w:hAnsi="宋体" w:eastAsia="宋体" w:cs="宋体"/>
          <w:b/>
          <w:bCs/>
          <w:color w:val="auto"/>
          <w:sz w:val="21"/>
          <w:szCs w:val="21"/>
          <w:highlight w:val="none"/>
          <w:shd w:val="clear" w:color="auto" w:fill="auto"/>
          <w:lang w:val="zh-CN"/>
        </w:rPr>
        <w:t>1.13工程量清单错误的修正</w:t>
      </w:r>
      <w:bookmarkEnd w:id="262"/>
      <w:bookmarkEnd w:id="263"/>
      <w:bookmarkEnd w:id="264"/>
      <w:bookmarkEnd w:id="265"/>
      <w:bookmarkEnd w:id="266"/>
    </w:p>
    <w:p w14:paraId="0095E5E9">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bookmarkStart w:id="267" w:name="_Toc407135204"/>
      <w:bookmarkStart w:id="268" w:name="_Toc389065268"/>
      <w:bookmarkStart w:id="269" w:name="_Toc351203634"/>
      <w:bookmarkStart w:id="270" w:name="_Toc373478349"/>
      <w:bookmarkStart w:id="271" w:name="_Toc9850532"/>
      <w:bookmarkStart w:id="272" w:name="_Toc373227702"/>
      <w:r>
        <w:rPr>
          <w:rStyle w:val="47"/>
          <w:rFonts w:hint="eastAsia" w:ascii="宋体" w:hAnsi="宋体" w:eastAsia="宋体" w:cs="宋体"/>
          <w:color w:val="auto"/>
          <w:szCs w:val="21"/>
          <w:highlight w:val="none"/>
          <w:shd w:val="clear" w:color="auto" w:fill="auto"/>
        </w:rPr>
        <w:t>出现工程量清单错误时，是否调整合同价格：</w:t>
      </w:r>
      <w:r>
        <w:rPr>
          <w:rStyle w:val="47"/>
          <w:rFonts w:hint="eastAsia" w:ascii="宋体" w:hAnsi="宋体" w:eastAsia="宋体" w:cs="宋体"/>
          <w:color w:val="auto"/>
          <w:szCs w:val="21"/>
          <w:highlight w:val="none"/>
          <w:u w:val="single"/>
          <w:shd w:val="clear" w:color="auto" w:fill="auto"/>
        </w:rPr>
        <w:t>是，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后执行。由于招标工程量清单项目多列或重复列项的，按照投标人投标综合单价确定单价，并调整合同价格。除以上情况之外出现工程量清单错误的，按国家清单计价规范的相关规定调整</w:t>
      </w:r>
      <w:r>
        <w:rPr>
          <w:rStyle w:val="47"/>
          <w:rFonts w:hint="eastAsia" w:ascii="宋体" w:hAnsi="宋体" w:eastAsia="宋体" w:cs="宋体"/>
          <w:color w:val="auto"/>
          <w:szCs w:val="21"/>
          <w:highlight w:val="none"/>
          <w:shd w:val="clear" w:color="auto" w:fill="auto"/>
        </w:rPr>
        <w:t>。</w:t>
      </w:r>
    </w:p>
    <w:p w14:paraId="328E86FE">
      <w:pPr>
        <w:pStyle w:val="246"/>
        <w:widowControl/>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允许调整合同价格的工程量偏差范围</w:t>
      </w:r>
      <w:r>
        <w:rPr>
          <w:rStyle w:val="47"/>
          <w:rFonts w:hint="eastAsia" w:ascii="宋体" w:hAnsi="宋体" w:eastAsia="宋体" w:cs="宋体"/>
          <w:color w:val="auto"/>
          <w:szCs w:val="21"/>
          <w:highlight w:val="none"/>
          <w:shd w:val="clear" w:color="auto" w:fill="auto"/>
        </w:rPr>
        <w:t>及其调整办法</w:t>
      </w:r>
      <w:r>
        <w:rPr>
          <w:rStyle w:val="47"/>
          <w:rFonts w:hint="eastAsia" w:ascii="宋体" w:hAnsi="宋体" w:eastAsia="宋体" w:cs="宋体"/>
          <w:color w:val="auto"/>
          <w:kern w:val="0"/>
          <w:szCs w:val="21"/>
          <w:highlight w:val="none"/>
          <w:shd w:val="clear" w:color="auto" w:fill="auto"/>
        </w:rPr>
        <w:t>：</w:t>
      </w:r>
    </w:p>
    <w:p w14:paraId="09625911">
      <w:pPr>
        <w:pStyle w:val="246"/>
        <w:widowControl/>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szCs w:val="21"/>
          <w:highlight w:val="none"/>
          <w:u w:val="single"/>
          <w:shd w:val="clear" w:color="auto" w:fill="auto"/>
        </w:rPr>
        <w:t>按</w:t>
      </w:r>
      <w:r>
        <w:rPr>
          <w:rStyle w:val="47"/>
          <w:rFonts w:hint="eastAsia" w:ascii="宋体" w:hAnsi="宋体" w:eastAsia="宋体" w:cs="宋体"/>
          <w:color w:val="auto"/>
          <w:kern w:val="0"/>
          <w:szCs w:val="21"/>
          <w:highlight w:val="none"/>
          <w:u w:val="single"/>
          <w:shd w:val="clear" w:color="auto" w:fill="auto"/>
        </w:rPr>
        <w:t>《建设工程工程量清单计价规范（GB5050-2013）》及其广西实施细则、《建设工程工程量清单计算规范（GB5854~50862-2013）》及其广西实施细则等规定</w:t>
      </w:r>
      <w:r>
        <w:rPr>
          <w:rStyle w:val="47"/>
          <w:rFonts w:hint="eastAsia" w:ascii="宋体" w:hAnsi="宋体" w:eastAsia="宋体" w:cs="宋体"/>
          <w:color w:val="auto"/>
          <w:kern w:val="0"/>
          <w:szCs w:val="21"/>
          <w:highlight w:val="none"/>
          <w:shd w:val="clear" w:color="auto" w:fill="auto"/>
        </w:rPr>
        <w:t>。</w:t>
      </w:r>
    </w:p>
    <w:p w14:paraId="6C33AF10">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u w:val="single"/>
        </w:rPr>
      </w:pPr>
      <w:r>
        <w:rPr>
          <w:rStyle w:val="47"/>
          <w:rFonts w:hint="eastAsia" w:ascii="宋体" w:hAnsi="宋体" w:eastAsia="宋体" w:cs="宋体"/>
          <w:color w:val="auto"/>
          <w:kern w:val="2"/>
          <w:sz w:val="21"/>
          <w:szCs w:val="21"/>
          <w:highlight w:val="none"/>
          <w:u w:val="single"/>
        </w:rPr>
        <w:t>对于任一招标工程量清单项目，当工程量偏差和工程变更等原因导致工程量增加幅度超过15%时，可对中标单价进行调整。当工程量增加15%以上时，超出15%工程量的综合单价，应按中标单价×85%予以调低。</w:t>
      </w:r>
    </w:p>
    <w:p w14:paraId="66E96A4C">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u w:val="single"/>
          <w:shd w:val="clear" w:color="auto" w:fill="auto"/>
        </w:rPr>
        <w:t>同时，调整工程价款的，必须按贺政规〔2020〕3号《贺州市人民政府关于进一步重申市本级政府投资项目审批及概算管理有关工作要求的通知》办理报批。不按该规定办理报批调增工程价款的，调增项目不得纳入工程结算</w:t>
      </w:r>
      <w:r>
        <w:rPr>
          <w:rStyle w:val="47"/>
          <w:rFonts w:hint="eastAsia" w:ascii="宋体" w:hAnsi="宋体" w:eastAsia="宋体" w:cs="宋体"/>
          <w:color w:val="auto"/>
          <w:kern w:val="0"/>
          <w:szCs w:val="21"/>
          <w:highlight w:val="none"/>
          <w:shd w:val="clear" w:color="auto" w:fill="auto"/>
        </w:rPr>
        <w:t>。</w:t>
      </w:r>
    </w:p>
    <w:p w14:paraId="1F81A363">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273" w:name="_Toc31964"/>
      <w:bookmarkStart w:id="274" w:name="_Toc22101"/>
      <w:r>
        <w:rPr>
          <w:rStyle w:val="47"/>
          <w:rFonts w:hint="eastAsia" w:ascii="宋体" w:hAnsi="宋体" w:eastAsia="宋体" w:cs="宋体"/>
          <w:b/>
          <w:bCs/>
          <w:color w:val="auto"/>
          <w:sz w:val="21"/>
          <w:szCs w:val="21"/>
          <w:highlight w:val="none"/>
          <w:shd w:val="clear" w:color="auto" w:fill="auto"/>
          <w:lang w:val="zh-CN"/>
        </w:rPr>
        <w:t>2</w:t>
      </w:r>
      <w:bookmarkStart w:id="275" w:name="_Toc292559362"/>
      <w:bookmarkStart w:id="276" w:name="_Toc296346658"/>
      <w:bookmarkStart w:id="277" w:name="_Toc296347156"/>
      <w:bookmarkStart w:id="278" w:name="_Toc292559867"/>
      <w:bookmarkStart w:id="279" w:name="_Toc297048343"/>
      <w:bookmarkStart w:id="280" w:name="_Toc296891197"/>
      <w:bookmarkStart w:id="281" w:name="_Toc297120457"/>
      <w:bookmarkStart w:id="282" w:name="_Toc296890985"/>
      <w:bookmarkStart w:id="283" w:name="_Toc296503157"/>
      <w:bookmarkStart w:id="284" w:name="_Toc296944496"/>
      <w:r>
        <w:rPr>
          <w:rStyle w:val="47"/>
          <w:rFonts w:hint="eastAsia" w:ascii="宋体" w:hAnsi="宋体" w:eastAsia="宋体" w:cs="宋体"/>
          <w:b/>
          <w:bCs/>
          <w:color w:val="auto"/>
          <w:sz w:val="21"/>
          <w:szCs w:val="21"/>
          <w:highlight w:val="none"/>
          <w:shd w:val="clear" w:color="auto" w:fill="auto"/>
          <w:lang w:val="zh-CN"/>
        </w:rPr>
        <w:t>. 发包人</w:t>
      </w:r>
      <w:bookmarkEnd w:id="267"/>
      <w:bookmarkEnd w:id="268"/>
      <w:bookmarkEnd w:id="269"/>
      <w:bookmarkEnd w:id="270"/>
      <w:bookmarkEnd w:id="271"/>
      <w:bookmarkEnd w:id="272"/>
      <w:bookmarkEnd w:id="273"/>
      <w:bookmarkEnd w:id="274"/>
    </w:p>
    <w:bookmarkEnd w:id="275"/>
    <w:bookmarkEnd w:id="276"/>
    <w:bookmarkEnd w:id="277"/>
    <w:bookmarkEnd w:id="278"/>
    <w:bookmarkEnd w:id="279"/>
    <w:bookmarkEnd w:id="280"/>
    <w:bookmarkEnd w:id="281"/>
    <w:bookmarkEnd w:id="282"/>
    <w:bookmarkEnd w:id="283"/>
    <w:bookmarkEnd w:id="284"/>
    <w:p w14:paraId="17A4C531">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85" w:name="_Toc389065269"/>
      <w:bookmarkStart w:id="286" w:name="_Toc407135205"/>
      <w:bookmarkStart w:id="287" w:name="_Toc9850533"/>
      <w:bookmarkStart w:id="288" w:name="_Toc373478350"/>
      <w:bookmarkStart w:id="289" w:name="_Toc373227703"/>
      <w:r>
        <w:rPr>
          <w:rStyle w:val="47"/>
          <w:rFonts w:hint="eastAsia" w:ascii="宋体" w:hAnsi="宋体" w:eastAsia="宋体" w:cs="宋体"/>
          <w:b/>
          <w:bCs/>
          <w:color w:val="auto"/>
          <w:sz w:val="21"/>
          <w:szCs w:val="21"/>
          <w:highlight w:val="none"/>
          <w:shd w:val="clear" w:color="auto" w:fill="auto"/>
          <w:lang w:val="zh-CN"/>
        </w:rPr>
        <w:t>2.2 发包人代表</w:t>
      </w:r>
      <w:bookmarkEnd w:id="285"/>
      <w:bookmarkEnd w:id="286"/>
      <w:bookmarkEnd w:id="287"/>
      <w:bookmarkEnd w:id="288"/>
      <w:bookmarkEnd w:id="289"/>
    </w:p>
    <w:p w14:paraId="2C744BF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发包人代表：</w:t>
      </w:r>
    </w:p>
    <w:p w14:paraId="1CA8280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姓    名：</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另行通知</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65C368D">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身份证号：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另行通知</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76C57DB3">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职    务：</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另行通知</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1D02F0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联系电话：</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另行通知</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72D86DFE">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电子信箱：</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另行通知</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2E4E0758">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通信地址：</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另行通知</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9365D9C">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发包人对发包人代表的授权范围如下：</w:t>
      </w:r>
      <w:r>
        <w:rPr>
          <w:rStyle w:val="47"/>
          <w:rFonts w:hint="eastAsia" w:ascii="宋体" w:hAnsi="宋体" w:eastAsia="宋体" w:cs="宋体"/>
          <w:color w:val="auto"/>
          <w:szCs w:val="21"/>
          <w:highlight w:val="none"/>
          <w:u w:val="single"/>
          <w:shd w:val="clear" w:color="auto" w:fill="auto"/>
        </w:rPr>
        <w:t xml:space="preserve"> 对工程进度、质量进行监督、办理中间交工工程验收手续，负责现场签证，解决由发包人授权处理的事宜 </w:t>
      </w:r>
      <w:r>
        <w:rPr>
          <w:rStyle w:val="47"/>
          <w:rFonts w:hint="eastAsia" w:ascii="宋体" w:hAnsi="宋体" w:eastAsia="宋体" w:cs="宋体"/>
          <w:color w:val="auto"/>
          <w:szCs w:val="21"/>
          <w:highlight w:val="none"/>
          <w:shd w:val="clear" w:color="auto" w:fill="auto"/>
        </w:rPr>
        <w:t>。</w:t>
      </w:r>
    </w:p>
    <w:p w14:paraId="0A4A2B98">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290" w:name="_Toc389065270"/>
      <w:bookmarkStart w:id="291" w:name="_Toc373478351"/>
      <w:bookmarkStart w:id="292" w:name="_Toc407135206"/>
      <w:bookmarkStart w:id="293" w:name="_Toc373227704"/>
      <w:bookmarkStart w:id="294" w:name="_Toc9850534"/>
      <w:r>
        <w:rPr>
          <w:rStyle w:val="47"/>
          <w:rFonts w:hint="eastAsia" w:ascii="宋体" w:hAnsi="宋体" w:eastAsia="宋体" w:cs="宋体"/>
          <w:b/>
          <w:bCs/>
          <w:color w:val="auto"/>
          <w:sz w:val="21"/>
          <w:szCs w:val="21"/>
          <w:highlight w:val="none"/>
          <w:shd w:val="clear" w:color="auto" w:fill="auto"/>
          <w:lang w:val="zh-CN"/>
        </w:rPr>
        <w:t>2.4 施工现场、施工条件和基础资料的提供</w:t>
      </w:r>
      <w:bookmarkEnd w:id="290"/>
      <w:bookmarkEnd w:id="291"/>
      <w:bookmarkEnd w:id="292"/>
      <w:bookmarkEnd w:id="293"/>
      <w:bookmarkEnd w:id="294"/>
    </w:p>
    <w:p w14:paraId="780EB7A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2.4.1 提供施工现场</w:t>
      </w:r>
    </w:p>
    <w:p w14:paraId="73DBAFBD">
      <w:pPr>
        <w:pStyle w:val="236"/>
        <w:spacing w:beforeLines="0" w:afterLines="0" w:line="360" w:lineRule="auto"/>
        <w:ind w:firstLine="420" w:firstLineChars="200"/>
        <w:jc w:val="left"/>
        <w:rPr>
          <w:rStyle w:val="47"/>
          <w:rFonts w:hint="eastAsia" w:ascii="宋体" w:hAnsi="宋体" w:eastAsia="宋体" w:cs="宋体"/>
          <w:color w:val="auto"/>
          <w:sz w:val="21"/>
          <w:szCs w:val="21"/>
          <w:highlight w:val="none"/>
          <w:shd w:val="clear" w:color="auto" w:fill="auto"/>
          <w:lang w:val="en-US" w:eastAsia="zh-CN"/>
        </w:rPr>
      </w:pPr>
      <w:r>
        <w:rPr>
          <w:rStyle w:val="47"/>
          <w:rFonts w:hint="eastAsia" w:ascii="宋体" w:hAnsi="宋体" w:eastAsia="宋体" w:cs="宋体"/>
          <w:color w:val="auto"/>
          <w:sz w:val="21"/>
          <w:szCs w:val="21"/>
          <w:highlight w:val="none"/>
          <w:shd w:val="clear" w:color="auto" w:fill="auto"/>
        </w:rPr>
        <w:t>关于发包人移交施工现场的期限要求：</w:t>
      </w:r>
      <w:r>
        <w:rPr>
          <w:rStyle w:val="47"/>
          <w:rFonts w:hint="eastAsia" w:ascii="宋体" w:hAnsi="宋体" w:eastAsia="宋体" w:cs="宋体"/>
          <w:color w:val="auto"/>
          <w:sz w:val="21"/>
          <w:szCs w:val="21"/>
          <w:highlight w:val="none"/>
          <w:u w:val="single"/>
          <w:shd w:val="clear" w:color="auto" w:fill="auto"/>
        </w:rPr>
        <w:t>施工场地应当在监理人发出的开工通知中载明的开工日期前 7 天具备施工条件并移交给承包人。</w:t>
      </w:r>
    </w:p>
    <w:p w14:paraId="78BC62F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2.4.2 提供施工条件</w:t>
      </w:r>
    </w:p>
    <w:p w14:paraId="19AB06C1">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bookmarkStart w:id="295" w:name="_Toc9850535"/>
      <w:bookmarkStart w:id="296" w:name="_Toc373227705"/>
      <w:bookmarkStart w:id="297" w:name="_Toc389065271"/>
      <w:bookmarkStart w:id="298" w:name="_Toc407135207"/>
      <w:bookmarkStart w:id="299" w:name="_Toc373478352"/>
      <w:r>
        <w:rPr>
          <w:rStyle w:val="47"/>
          <w:rFonts w:hint="eastAsia" w:ascii="宋体" w:hAnsi="宋体" w:eastAsia="宋体" w:cs="宋体"/>
          <w:color w:val="auto"/>
          <w:szCs w:val="21"/>
          <w:highlight w:val="none"/>
          <w:shd w:val="clear" w:color="auto" w:fill="auto"/>
        </w:rPr>
        <w:t>关于发包人应负责提供施工所需要的条件，包括：</w:t>
      </w:r>
      <w:r>
        <w:rPr>
          <w:rStyle w:val="47"/>
          <w:rFonts w:hint="eastAsia" w:ascii="宋体" w:hAnsi="宋体" w:eastAsia="宋体" w:cs="宋体"/>
          <w:color w:val="auto"/>
          <w:szCs w:val="21"/>
          <w:highlight w:val="none"/>
          <w:u w:val="single"/>
          <w:shd w:val="clear" w:color="auto" w:fill="auto"/>
        </w:rPr>
        <w:t>①发包人最迟应当在移交施工场地的同时向承包人提供施工场地内地下管线和地下设施等有关资料，并保证资料的真实、准确和完整，组织设计交底等。②将施工所需的水、电线路接至施工场地的时间、地点和供应要求：发包人于开工前7日负责把水、电接口接至到施工场地，接口后的水、电线路由承包方自行负责。③水准点与坐标控制点交验要求： 于开工前7日内现场交验，双方做好签认工作。④由发包人办理的施工所需证件、批件的名称和完成时间：由发包人负责办理</w:t>
      </w:r>
      <w:r>
        <w:rPr>
          <w:rStyle w:val="47"/>
          <w:rFonts w:hint="eastAsia" w:ascii="宋体" w:hAnsi="宋体" w:eastAsia="宋体" w:cs="宋体"/>
          <w:color w:val="auto"/>
          <w:szCs w:val="21"/>
          <w:highlight w:val="none"/>
          <w:shd w:val="clear" w:color="auto" w:fill="auto"/>
        </w:rPr>
        <w:t>。</w:t>
      </w:r>
    </w:p>
    <w:p w14:paraId="67C0AB98">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2.5 资金来源证明及支付担保</w:t>
      </w:r>
      <w:bookmarkEnd w:id="295"/>
      <w:bookmarkEnd w:id="296"/>
      <w:bookmarkEnd w:id="297"/>
      <w:bookmarkEnd w:id="298"/>
      <w:bookmarkEnd w:id="299"/>
    </w:p>
    <w:p w14:paraId="0F6776C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发包人提供资金来源证明的期限要求：</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7C33C76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发包人是否提供支付担保：</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是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1942A80">
      <w:pPr>
        <w:pStyle w:val="248"/>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firstLine="420" w:firstLineChars="200"/>
        <w:jc w:val="both"/>
        <w:textAlignment w:val="auto"/>
        <w:rPr>
          <w:rStyle w:val="47"/>
          <w:rFonts w:hint="eastAsia" w:ascii="宋体" w:hAnsi="宋体" w:eastAsia="宋体" w:cs="宋体"/>
          <w:color w:val="auto"/>
          <w:sz w:val="21"/>
          <w:szCs w:val="21"/>
          <w:highlight w:val="none"/>
          <w:shd w:val="clear" w:color="auto" w:fill="auto"/>
        </w:rPr>
      </w:pPr>
      <w:r>
        <w:rPr>
          <w:rStyle w:val="47"/>
          <w:rFonts w:hint="eastAsia" w:ascii="宋体" w:hAnsi="宋体" w:eastAsia="宋体" w:cs="宋体"/>
          <w:color w:val="auto"/>
          <w:sz w:val="21"/>
          <w:szCs w:val="21"/>
          <w:highlight w:val="none"/>
          <w:shd w:val="clear" w:color="auto" w:fill="auto"/>
        </w:rPr>
        <w:t>发包人提供支付担保的形式：</w:t>
      </w:r>
      <w:r>
        <w:rPr>
          <w:rStyle w:val="47"/>
          <w:rFonts w:hint="eastAsia" w:ascii="宋体" w:hAnsi="宋体" w:eastAsia="宋体" w:cs="宋体"/>
          <w:color w:val="auto"/>
          <w:sz w:val="21"/>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shd w:val="clear" w:color="auto" w:fill="auto"/>
          <w:lang w:val="en-US" w:eastAsia="zh-CN" w:bidi="ar-SA"/>
        </w:rPr>
        <w:t xml:space="preserve">银行转账、 电汇或网上支付、银行保函、工程担保、工程保证保险     </w:t>
      </w:r>
      <w:r>
        <w:rPr>
          <w:rStyle w:val="47"/>
          <w:rFonts w:hint="eastAsia" w:ascii="宋体" w:hAnsi="宋体" w:eastAsia="宋体" w:cs="宋体"/>
          <w:color w:val="auto"/>
          <w:sz w:val="21"/>
          <w:szCs w:val="21"/>
          <w:highlight w:val="none"/>
          <w:shd w:val="clear" w:color="auto" w:fill="auto"/>
        </w:rPr>
        <w:t>。</w:t>
      </w:r>
    </w:p>
    <w:p w14:paraId="3A965D2A">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300" w:name="_Toc351203635"/>
      <w:bookmarkStart w:id="301" w:name="_Toc9850536"/>
      <w:bookmarkStart w:id="302" w:name="_Toc373478353"/>
      <w:bookmarkStart w:id="303" w:name="_Toc389065272"/>
      <w:bookmarkStart w:id="304" w:name="_Toc29818"/>
      <w:bookmarkStart w:id="305" w:name="_Toc373227706"/>
      <w:bookmarkStart w:id="306" w:name="_Toc10965"/>
      <w:bookmarkStart w:id="307" w:name="_Toc407135208"/>
      <w:r>
        <w:rPr>
          <w:rStyle w:val="47"/>
          <w:rFonts w:hint="eastAsia" w:ascii="宋体" w:hAnsi="宋体" w:eastAsia="宋体" w:cs="宋体"/>
          <w:b/>
          <w:bCs/>
          <w:color w:val="auto"/>
          <w:sz w:val="21"/>
          <w:szCs w:val="21"/>
          <w:highlight w:val="none"/>
          <w:shd w:val="clear" w:color="auto" w:fill="auto"/>
          <w:lang w:val="zh-CN"/>
        </w:rPr>
        <w:t>3</w:t>
      </w:r>
      <w:bookmarkStart w:id="308" w:name="_Toc296890986"/>
      <w:bookmarkStart w:id="309" w:name="_Toc297120458"/>
      <w:bookmarkStart w:id="310" w:name="_Toc292559868"/>
      <w:bookmarkStart w:id="311" w:name="_Toc296944497"/>
      <w:bookmarkStart w:id="312" w:name="_Toc292559363"/>
      <w:bookmarkStart w:id="313" w:name="_Toc296346659"/>
      <w:bookmarkStart w:id="314" w:name="_Toc296347157"/>
      <w:bookmarkStart w:id="315" w:name="_Toc296503158"/>
      <w:bookmarkStart w:id="316" w:name="_Toc297048344"/>
      <w:bookmarkStart w:id="317" w:name="_Toc296891198"/>
      <w:r>
        <w:rPr>
          <w:rStyle w:val="47"/>
          <w:rFonts w:hint="eastAsia" w:ascii="宋体" w:hAnsi="宋体" w:eastAsia="宋体" w:cs="宋体"/>
          <w:b/>
          <w:bCs/>
          <w:color w:val="auto"/>
          <w:sz w:val="21"/>
          <w:szCs w:val="21"/>
          <w:highlight w:val="none"/>
          <w:shd w:val="clear" w:color="auto" w:fill="auto"/>
          <w:lang w:val="zh-CN"/>
        </w:rPr>
        <w:t>. 承包人</w:t>
      </w:r>
      <w:bookmarkEnd w:id="300"/>
      <w:bookmarkEnd w:id="301"/>
      <w:bookmarkEnd w:id="302"/>
      <w:bookmarkEnd w:id="303"/>
      <w:bookmarkEnd w:id="304"/>
      <w:bookmarkEnd w:id="305"/>
      <w:bookmarkEnd w:id="306"/>
      <w:bookmarkEnd w:id="307"/>
    </w:p>
    <w:bookmarkEnd w:id="308"/>
    <w:bookmarkEnd w:id="309"/>
    <w:bookmarkEnd w:id="310"/>
    <w:bookmarkEnd w:id="311"/>
    <w:bookmarkEnd w:id="312"/>
    <w:bookmarkEnd w:id="313"/>
    <w:bookmarkEnd w:id="314"/>
    <w:bookmarkEnd w:id="315"/>
    <w:bookmarkEnd w:id="316"/>
    <w:bookmarkEnd w:id="317"/>
    <w:p w14:paraId="0F162506">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318" w:name="_Toc373478354"/>
      <w:bookmarkStart w:id="319" w:name="_Toc407135209"/>
      <w:bookmarkStart w:id="320" w:name="_Toc9850537"/>
      <w:bookmarkStart w:id="321" w:name="_Toc389065273"/>
      <w:bookmarkStart w:id="322" w:name="_Toc373227707"/>
      <w:r>
        <w:rPr>
          <w:rStyle w:val="47"/>
          <w:rFonts w:hint="eastAsia" w:ascii="宋体" w:hAnsi="宋体" w:eastAsia="宋体" w:cs="宋体"/>
          <w:b/>
          <w:bCs/>
          <w:color w:val="auto"/>
          <w:sz w:val="21"/>
          <w:szCs w:val="21"/>
          <w:highlight w:val="none"/>
          <w:shd w:val="clear" w:color="auto" w:fill="auto"/>
          <w:lang w:val="zh-CN"/>
        </w:rPr>
        <w:t>3.1 承包人的一般义务</w:t>
      </w:r>
      <w:bookmarkEnd w:id="318"/>
      <w:bookmarkEnd w:id="319"/>
      <w:bookmarkEnd w:id="320"/>
      <w:bookmarkEnd w:id="321"/>
      <w:bookmarkEnd w:id="322"/>
    </w:p>
    <w:p w14:paraId="012F70AC">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（1）承包人应按合同约定以及监理人作出的指示，实施、完成全部工程，并修补工程中的任何缺陷。</w:t>
      </w:r>
    </w:p>
    <w:p w14:paraId="01B3E218">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（2）承包人应按合同约定的工作内容和施工进度要求，编制施工组织设计，并对所有施工作业和施工方法的完备性和安全可靠性负责。</w:t>
      </w:r>
    </w:p>
    <w:p w14:paraId="35BEEEE3">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（3）承包人应按约定采取施工安全措施，确保工程及其人员、材料、设备和设施的安全，防止因工程施工造成的人身伤害和财产损失。</w:t>
      </w:r>
    </w:p>
    <w:p w14:paraId="533B4E19">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（4）承包人应确保及时支付专业承包人和劳务分包人的工程款或报酬，及时支付临时聘用人员的工资。</w:t>
      </w:r>
    </w:p>
    <w:p w14:paraId="78061AF8">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（5）承包人应按照约定负责施工场地及其周边环境与生态的保护工作。</w:t>
      </w:r>
    </w:p>
    <w:p w14:paraId="489334E3">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（6）承包人应将本单位形成的工程文件立卷，并负责收集、汇总各分包单位形成的工程档案，及时向发包人移交；</w:t>
      </w:r>
    </w:p>
    <w:p w14:paraId="5A46959D">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（7）承包人应按监理人的指示为他人在施工现场或附近实施与工程有关的其他各项工作提供可能的条件。</w:t>
      </w:r>
    </w:p>
    <w:p w14:paraId="4A5F073B">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（8）工程接收证书颁发前，承包人应负责照管和维护工程。工程接收证书颁发时尚有部分未竣工工程的，承包人还应负责该未竣工工程的照管和维护工作，直至竣工后移交给发包人为止。</w:t>
      </w:r>
    </w:p>
    <w:p w14:paraId="3161F0BB">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kern w:val="0"/>
          <w:szCs w:val="21"/>
          <w:highlight w:val="none"/>
        </w:rPr>
        <w:t>（9）承包人未能按照合同约定履行其他义务的。</w:t>
      </w:r>
    </w:p>
    <w:p w14:paraId="66569A07">
      <w:pPr>
        <w:pStyle w:val="253"/>
        <w:spacing w:beforeLines="0" w:afterLines="0" w:line="360" w:lineRule="auto"/>
        <w:rPr>
          <w:rStyle w:val="47"/>
          <w:rFonts w:hint="eastAsia" w:ascii="宋体" w:hAnsi="宋体" w:eastAsia="宋体" w:cs="宋体"/>
          <w:color w:val="auto"/>
          <w:szCs w:val="21"/>
          <w:highlight w:val="none"/>
        </w:rPr>
      </w:pPr>
    </w:p>
    <w:p w14:paraId="7F69774B">
      <w:pPr>
        <w:pStyle w:val="246"/>
        <w:numPr>
          <w:ilvl w:val="0"/>
          <w:numId w:val="3"/>
        </w:numPr>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承包人提交的竣工资料的内容：</w:t>
      </w:r>
      <w:r>
        <w:rPr>
          <w:rStyle w:val="47"/>
          <w:rFonts w:hint="eastAsia" w:ascii="宋体" w:hAnsi="宋体" w:eastAsia="宋体" w:cs="宋体"/>
          <w:color w:val="auto"/>
          <w:szCs w:val="21"/>
          <w:highlight w:val="none"/>
          <w:u w:val="single"/>
          <w:shd w:val="clear" w:color="auto" w:fill="auto"/>
        </w:rPr>
        <w:t>严格按照国家发布的《建设工程文件归档整理规范》及贺州当地相关政府部门要求编制的完整竣工图纸、资料及电子文档</w:t>
      </w:r>
      <w:r>
        <w:rPr>
          <w:rStyle w:val="47"/>
          <w:rFonts w:hint="eastAsia" w:ascii="宋体" w:hAnsi="宋体" w:eastAsia="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按照法律规定和合同约定编制竣工资料，完成竣工资料立卷及归档，并按如下约定的竣工资料的套数、内容、时间等要求移交发包人</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F8C89F3">
      <w:pPr>
        <w:pStyle w:val="236"/>
        <w:spacing w:beforeLines="0" w:afterLines="0" w:line="360" w:lineRule="auto"/>
        <w:ind w:firstLine="420" w:firstLineChars="200"/>
        <w:jc w:val="left"/>
        <w:rPr>
          <w:rStyle w:val="47"/>
          <w:rFonts w:hint="eastAsia" w:ascii="宋体" w:hAnsi="宋体" w:eastAsia="宋体" w:cs="宋体"/>
          <w:color w:val="auto"/>
          <w:sz w:val="21"/>
          <w:szCs w:val="21"/>
          <w:highlight w:val="none"/>
          <w:shd w:val="clear" w:color="auto" w:fill="auto"/>
        </w:rPr>
      </w:pPr>
      <w:r>
        <w:rPr>
          <w:rStyle w:val="47"/>
          <w:rFonts w:hint="eastAsia" w:ascii="宋体" w:hAnsi="宋体" w:eastAsia="宋体" w:cs="宋体"/>
          <w:color w:val="auto"/>
          <w:sz w:val="21"/>
          <w:szCs w:val="21"/>
          <w:highlight w:val="none"/>
        </w:rPr>
        <w:t>(11)配合发包人及有关部门做好各项检查工作。</w:t>
      </w:r>
    </w:p>
    <w:p w14:paraId="7124B27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承包人需要提交的竣工资料套数：</w:t>
      </w:r>
      <w:r>
        <w:rPr>
          <w:rStyle w:val="47"/>
          <w:rFonts w:hint="eastAsia" w:ascii="宋体" w:hAnsi="宋体" w:eastAsia="宋体" w:cs="宋体"/>
          <w:color w:val="auto"/>
          <w:szCs w:val="21"/>
          <w:highlight w:val="none"/>
          <w:u w:val="single"/>
          <w:shd w:val="clear" w:color="auto" w:fill="auto"/>
        </w:rPr>
        <w:t xml:space="preserve">  一式四份  </w:t>
      </w:r>
      <w:r>
        <w:rPr>
          <w:rStyle w:val="47"/>
          <w:rFonts w:hint="eastAsia" w:ascii="宋体" w:hAnsi="宋体" w:eastAsia="宋体" w:cs="宋体"/>
          <w:color w:val="auto"/>
          <w:szCs w:val="21"/>
          <w:highlight w:val="none"/>
          <w:shd w:val="clear" w:color="auto" w:fill="auto"/>
        </w:rPr>
        <w:t>。</w:t>
      </w:r>
    </w:p>
    <w:p w14:paraId="275BAEE6">
      <w:pPr>
        <w:pStyle w:val="246"/>
        <w:spacing w:beforeLines="0" w:afterLines="0" w:line="360" w:lineRule="auto"/>
        <w:ind w:left="0" w:leftChars="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承包人提交的竣工资料的费用承担：</w:t>
      </w:r>
      <w:r>
        <w:rPr>
          <w:rStyle w:val="47"/>
          <w:rFonts w:hint="eastAsia" w:ascii="宋体" w:hAnsi="宋体" w:eastAsia="宋体" w:cs="宋体"/>
          <w:color w:val="auto"/>
          <w:szCs w:val="21"/>
          <w:highlight w:val="none"/>
          <w:u w:val="single"/>
          <w:shd w:val="clear" w:color="auto" w:fill="auto"/>
        </w:rPr>
        <w:t xml:space="preserve"> 承包人自行承担 </w:t>
      </w:r>
      <w:r>
        <w:rPr>
          <w:rStyle w:val="47"/>
          <w:rFonts w:hint="eastAsia" w:ascii="宋体" w:hAnsi="宋体" w:eastAsia="宋体" w:cs="宋体"/>
          <w:color w:val="auto"/>
          <w:szCs w:val="21"/>
          <w:highlight w:val="none"/>
          <w:shd w:val="clear" w:color="auto" w:fill="auto"/>
        </w:rPr>
        <w:t>。</w:t>
      </w:r>
    </w:p>
    <w:p w14:paraId="7602B115">
      <w:pPr>
        <w:pStyle w:val="246"/>
        <w:spacing w:beforeLines="0" w:afterLines="0" w:line="360" w:lineRule="auto"/>
        <w:ind w:left="0" w:leftChars="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承包人提交的竣工资料移交时间：</w:t>
      </w:r>
      <w:r>
        <w:rPr>
          <w:rStyle w:val="47"/>
          <w:rFonts w:hint="eastAsia" w:ascii="宋体" w:hAnsi="宋体" w:eastAsia="宋体" w:cs="宋体"/>
          <w:color w:val="auto"/>
          <w:szCs w:val="21"/>
          <w:highlight w:val="none"/>
          <w:u w:val="single"/>
          <w:shd w:val="clear" w:color="auto" w:fill="auto"/>
        </w:rPr>
        <w:t xml:space="preserve">  工程竣工交付发包人后一个月内 </w:t>
      </w:r>
      <w:r>
        <w:rPr>
          <w:rStyle w:val="47"/>
          <w:rFonts w:hint="eastAsia" w:ascii="宋体" w:hAnsi="宋体" w:eastAsia="宋体" w:cs="宋体"/>
          <w:color w:val="auto"/>
          <w:szCs w:val="21"/>
          <w:highlight w:val="none"/>
          <w:shd w:val="clear" w:color="auto" w:fill="auto"/>
        </w:rPr>
        <w:t>。</w:t>
      </w:r>
    </w:p>
    <w:p w14:paraId="08F0D31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承包人提交的竣工资料形式要求：</w:t>
      </w:r>
      <w:r>
        <w:rPr>
          <w:rStyle w:val="47"/>
          <w:rFonts w:hint="eastAsia" w:ascii="宋体" w:hAnsi="宋体" w:eastAsia="宋体" w:cs="宋体"/>
          <w:color w:val="auto"/>
          <w:szCs w:val="21"/>
          <w:highlight w:val="none"/>
          <w:u w:val="single"/>
          <w:shd w:val="clear" w:color="auto" w:fill="auto"/>
        </w:rPr>
        <w:t xml:space="preserve">  按建设工程竣工备案要求完善相关资料  </w:t>
      </w:r>
      <w:r>
        <w:rPr>
          <w:rStyle w:val="47"/>
          <w:rFonts w:hint="eastAsia" w:ascii="宋体" w:hAnsi="宋体" w:eastAsia="宋体" w:cs="宋体"/>
          <w:color w:val="auto"/>
          <w:szCs w:val="21"/>
          <w:highlight w:val="none"/>
          <w:shd w:val="clear" w:color="auto" w:fill="auto"/>
        </w:rPr>
        <w:t>。</w:t>
      </w:r>
    </w:p>
    <w:p w14:paraId="7D25AD1F">
      <w:pPr>
        <w:pStyle w:val="246"/>
        <w:numPr>
          <w:ilvl w:val="0"/>
          <w:numId w:val="3"/>
        </w:numPr>
        <w:spacing w:beforeLines="0" w:afterLines="0" w:line="360" w:lineRule="auto"/>
        <w:ind w:left="0" w:leftChars="0"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承包人应履行的其他义务：</w:t>
      </w:r>
    </w:p>
    <w:p w14:paraId="339CD649">
      <w:pPr>
        <w:pStyle w:val="246"/>
        <w:numPr>
          <w:ilvl w:val="0"/>
          <w:numId w:val="0"/>
        </w:numPr>
        <w:spacing w:beforeLines="0" w:afterLines="0" w:line="360" w:lineRule="auto"/>
        <w:ind w:left="0" w:leftChars="0" w:firstLine="420" w:firstLineChars="200"/>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sz w:val="21"/>
          <w:szCs w:val="21"/>
          <w:highlight w:val="none"/>
          <w:u w:val="single"/>
          <w:lang w:val="en-US" w:eastAsia="zh-CN"/>
        </w:rPr>
        <w:t>1</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全面完成合同约定的有关承包人的义务，包括但不限于：</w:t>
      </w:r>
      <w:r>
        <w:rPr>
          <w:rStyle w:val="47"/>
          <w:rFonts w:hint="eastAsia" w:ascii="宋体" w:hAnsi="宋体" w:eastAsia="宋体" w:cs="宋体"/>
          <w:color w:val="auto"/>
          <w:kern w:val="0"/>
          <w:szCs w:val="21"/>
          <w:highlight w:val="none"/>
          <w:u w:val="single"/>
          <w:shd w:val="clear" w:color="auto" w:fill="auto"/>
        </w:rPr>
        <w:t xml:space="preserve"> ①取土场及弃土场</w:t>
      </w:r>
      <w:r>
        <w:rPr>
          <w:rStyle w:val="47"/>
          <w:rFonts w:hint="eastAsia" w:ascii="宋体" w:hAnsi="宋体" w:eastAsia="宋体" w:cs="宋体"/>
          <w:color w:val="auto"/>
          <w:kern w:val="0"/>
          <w:szCs w:val="21"/>
          <w:highlight w:val="none"/>
          <w:u w:val="single"/>
          <w:shd w:val="clear" w:color="auto" w:fill="auto"/>
          <w:lang w:eastAsia="zh-CN"/>
        </w:rPr>
        <w:t>原则上由发包人安排，取土及弃土工程量按实际发生量核算</w:t>
      </w:r>
      <w:r>
        <w:rPr>
          <w:rStyle w:val="47"/>
          <w:rFonts w:hint="eastAsia" w:ascii="宋体" w:hAnsi="宋体" w:eastAsia="宋体" w:cs="宋体"/>
          <w:color w:val="auto"/>
          <w:kern w:val="0"/>
          <w:szCs w:val="21"/>
          <w:highlight w:val="none"/>
          <w:u w:val="single"/>
          <w:shd w:val="clear" w:color="auto" w:fill="auto"/>
        </w:rPr>
        <w:t>，</w:t>
      </w:r>
      <w:r>
        <w:rPr>
          <w:rStyle w:val="47"/>
          <w:rFonts w:hint="eastAsia" w:ascii="宋体" w:hAnsi="宋体" w:eastAsia="宋体" w:cs="宋体"/>
          <w:color w:val="auto"/>
          <w:kern w:val="0"/>
          <w:szCs w:val="21"/>
          <w:highlight w:val="none"/>
          <w:u w:val="single"/>
          <w:shd w:val="clear" w:color="auto" w:fill="auto"/>
          <w:lang w:eastAsia="zh-CN"/>
        </w:rPr>
        <w:t>项目范围内土方无法平衡，存在弃方，发包人有权就弃方工程量进行处理，相关工程量按实际发生量进行核算</w:t>
      </w:r>
      <w:r>
        <w:rPr>
          <w:rStyle w:val="47"/>
          <w:rFonts w:hint="eastAsia" w:ascii="宋体" w:hAnsi="宋体" w:eastAsia="宋体" w:cs="宋体"/>
          <w:color w:val="auto"/>
          <w:kern w:val="0"/>
          <w:szCs w:val="21"/>
          <w:highlight w:val="none"/>
          <w:u w:val="single"/>
          <w:shd w:val="clear" w:color="auto" w:fill="auto"/>
        </w:rPr>
        <w:t>。②向发包人提供的办公和生活房屋及设施的要求：承包人搭建，由承包人承担相应费用。③按时足额将农民工工资保障金存入建设行政主管部门指定的账户</w:t>
      </w:r>
      <w:r>
        <w:rPr>
          <w:rStyle w:val="47"/>
          <w:rFonts w:hint="eastAsia" w:ascii="宋体" w:hAnsi="宋体" w:eastAsia="宋体" w:cs="宋体"/>
          <w:color w:val="auto"/>
          <w:kern w:val="0"/>
          <w:szCs w:val="21"/>
          <w:highlight w:val="none"/>
          <w:u w:val="single"/>
          <w:shd w:val="clear" w:color="auto" w:fill="auto"/>
          <w:lang w:val="en-US" w:eastAsia="zh-CN"/>
        </w:rPr>
        <w:t>或</w:t>
      </w:r>
      <w:r>
        <w:rPr>
          <w:rStyle w:val="47"/>
          <w:rFonts w:hint="eastAsia" w:ascii="宋体" w:hAnsi="宋体" w:eastAsia="宋体" w:cs="宋体"/>
          <w:color w:val="auto"/>
          <w:kern w:val="0"/>
          <w:szCs w:val="21"/>
          <w:highlight w:val="none"/>
          <w:u w:val="single"/>
          <w:shd w:val="clear" w:color="auto" w:fill="auto"/>
        </w:rPr>
        <w:t>提交足额农民工工资保险或保函或工程担保，对农民工工资保障金的使用做出承诺。不尽事宜由双方另行协商确定。④承包人必须配合发包人做好竣工财务决算工作。</w:t>
      </w:r>
    </w:p>
    <w:p w14:paraId="282A6F16">
      <w:pPr>
        <w:pStyle w:val="251"/>
        <w:spacing w:beforeLines="0" w:afterLines="0" w:line="360" w:lineRule="auto"/>
        <w:ind w:firstLine="420" w:firstLineChars="200"/>
        <w:rPr>
          <w:rStyle w:val="47"/>
          <w:rFonts w:hint="eastAsia" w:ascii="宋体" w:hAnsi="宋体" w:eastAsia="宋体" w:cs="宋体"/>
          <w:color w:val="auto"/>
          <w:kern w:val="0"/>
          <w:szCs w:val="21"/>
          <w:highlight w:val="none"/>
          <w:u w:val="single"/>
        </w:rPr>
      </w:pPr>
      <w:r>
        <w:rPr>
          <w:rStyle w:val="47"/>
          <w:rFonts w:hint="eastAsia" w:ascii="宋体" w:hAnsi="宋体" w:eastAsia="宋体" w:cs="宋体"/>
          <w:color w:val="auto"/>
          <w:kern w:val="0"/>
          <w:szCs w:val="21"/>
          <w:highlight w:val="none"/>
        </w:rPr>
        <w:t>2、施工场地周围地下管线和邻近建筑物、构筑物（含文物保护建筑）、古树名木的保护要求及费用承担：</w:t>
      </w:r>
      <w:r>
        <w:rPr>
          <w:rStyle w:val="47"/>
          <w:rFonts w:hint="eastAsia" w:ascii="宋体" w:hAnsi="宋体" w:eastAsia="宋体" w:cs="宋体"/>
          <w:color w:val="auto"/>
          <w:kern w:val="0"/>
          <w:szCs w:val="21"/>
          <w:highlight w:val="none"/>
          <w:u w:val="single"/>
        </w:rPr>
        <w:t>承包人施工时应探明并负责保护且承包费用，施工时如损坏地下管线、邻近建筑物、构筑物，所发生费用由承包人承担</w:t>
      </w:r>
      <w:r>
        <w:rPr>
          <w:rStyle w:val="47"/>
          <w:rFonts w:hint="eastAsia" w:ascii="宋体" w:hAnsi="宋体" w:eastAsia="宋体" w:cs="宋体"/>
          <w:color w:val="auto"/>
          <w:kern w:val="0"/>
          <w:szCs w:val="21"/>
          <w:highlight w:val="none"/>
        </w:rPr>
        <w:t>。</w:t>
      </w:r>
    </w:p>
    <w:p w14:paraId="213C0A7C">
      <w:pPr>
        <w:pStyle w:val="251"/>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kern w:val="0"/>
          <w:szCs w:val="21"/>
          <w:highlight w:val="none"/>
        </w:rPr>
        <w:t>3、</w:t>
      </w:r>
      <w:r>
        <w:rPr>
          <w:rStyle w:val="47"/>
          <w:rFonts w:hint="eastAsia" w:ascii="宋体" w:hAnsi="宋体" w:eastAsia="宋体" w:cs="宋体"/>
          <w:color w:val="auto"/>
          <w:szCs w:val="21"/>
          <w:highlight w:val="none"/>
        </w:rPr>
        <w:t>取土场及弃土场由承包人自行解决，但不得违反相关管理规定，并承担相关费用。</w:t>
      </w:r>
    </w:p>
    <w:p w14:paraId="38AA611E">
      <w:pPr>
        <w:pStyle w:val="251"/>
        <w:snapToGrid w:val="0"/>
        <w:spacing w:beforeLines="0" w:afterLines="0" w:line="360" w:lineRule="auto"/>
        <w:ind w:firstLine="420"/>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szCs w:val="21"/>
          <w:highlight w:val="none"/>
        </w:rPr>
        <w:t>4、图纸会审和设计交底时间：在开工前 7 天内，由承包人组织设计负责单位、施工负责单位、监理单位、发包人进行图纸会审和设计交底。</w:t>
      </w:r>
    </w:p>
    <w:p w14:paraId="6D0FEA83">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323" w:name="_Toc373227708"/>
      <w:bookmarkStart w:id="324" w:name="_Toc407135210"/>
      <w:bookmarkStart w:id="325" w:name="_Toc9850538"/>
      <w:bookmarkStart w:id="326" w:name="_Toc389065274"/>
      <w:bookmarkStart w:id="327" w:name="_Toc373478355"/>
      <w:r>
        <w:rPr>
          <w:rStyle w:val="47"/>
          <w:rFonts w:hint="eastAsia" w:ascii="宋体" w:hAnsi="宋体" w:eastAsia="宋体" w:cs="宋体"/>
          <w:b/>
          <w:bCs/>
          <w:color w:val="auto"/>
          <w:sz w:val="21"/>
          <w:szCs w:val="21"/>
          <w:highlight w:val="none"/>
          <w:shd w:val="clear" w:color="auto" w:fill="auto"/>
          <w:lang w:val="zh-CN"/>
        </w:rPr>
        <w:t>3.2 项目经理</w:t>
      </w:r>
      <w:bookmarkEnd w:id="323"/>
      <w:bookmarkEnd w:id="324"/>
      <w:bookmarkEnd w:id="325"/>
      <w:bookmarkEnd w:id="326"/>
      <w:bookmarkEnd w:id="327"/>
    </w:p>
    <w:p w14:paraId="43A5BBBB">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 xml:space="preserve">3.2.1 </w:t>
      </w:r>
      <w:r>
        <w:rPr>
          <w:rStyle w:val="47"/>
          <w:rFonts w:hint="eastAsia" w:ascii="宋体" w:hAnsi="宋体" w:eastAsia="宋体" w:cs="宋体"/>
          <w:color w:val="auto"/>
          <w:szCs w:val="21"/>
          <w:highlight w:val="none"/>
          <w:shd w:val="clear" w:color="auto" w:fill="auto"/>
        </w:rPr>
        <w:t>项目经理：</w:t>
      </w:r>
    </w:p>
    <w:p w14:paraId="4BBEC434">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姓    名：</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BF1BD9B">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身份证号：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231A949">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建造师执业资格等级：</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913B894">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建造师注册证书号：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34D97D3">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建造师执业印章号：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094325F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安全生产考核合格证书号：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CD9555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联系电话：</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1286176">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电子信箱：</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75DD04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通信地址：</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4DAA6F4">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承包人对项目经理的授权范围如下：</w:t>
      </w:r>
      <w:r>
        <w:rPr>
          <w:rStyle w:val="47"/>
          <w:rFonts w:hint="eastAsia" w:ascii="宋体" w:hAnsi="宋体" w:eastAsia="宋体" w:cs="宋体"/>
          <w:color w:val="auto"/>
          <w:szCs w:val="21"/>
          <w:highlight w:val="none"/>
          <w:u w:val="single"/>
          <w:shd w:val="clear" w:color="auto" w:fill="auto"/>
        </w:rPr>
        <w:t xml:space="preserve"> 项目经理全权代表承包人对本工程的建设进行全面管理，行使合同约定的权利，履行合同约定的义务。承包人的要求、通知均应以书面形式由承包人项目经理签字并加盖承包人项目经理部或承包人公司公章后递交发包人。除此以外，承包人项目经理还要代表承包人接受发包人发出的指示和指令</w:t>
      </w:r>
      <w:r>
        <w:rPr>
          <w:rStyle w:val="47"/>
          <w:rFonts w:hint="eastAsia" w:ascii="宋体" w:hAnsi="宋体" w:eastAsia="宋体" w:cs="宋体"/>
          <w:color w:val="auto"/>
          <w:szCs w:val="21"/>
          <w:highlight w:val="none"/>
          <w:shd w:val="clear" w:color="auto" w:fill="auto"/>
        </w:rPr>
        <w:t>。</w:t>
      </w:r>
    </w:p>
    <w:p w14:paraId="5C071FE0">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关于项目经理每月在施工现场的时间要求：</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项目经理每月在现场时间不得少于22日历天</w:t>
      </w:r>
      <w:r>
        <w:rPr>
          <w:rStyle w:val="47"/>
          <w:rFonts w:hint="eastAsia" w:ascii="宋体" w:hAnsi="宋体" w:eastAsia="宋体" w:cs="宋体"/>
          <w:color w:val="auto"/>
          <w:szCs w:val="21"/>
          <w:highlight w:val="none"/>
          <w:u w:val="single"/>
          <w:shd w:val="clear" w:color="auto" w:fill="auto"/>
        </w:rPr>
        <w:t>。</w:t>
      </w:r>
    </w:p>
    <w:p w14:paraId="107247D9">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szCs w:val="21"/>
          <w:highlight w:val="none"/>
          <w:shd w:val="clear" w:color="auto" w:fill="auto"/>
        </w:rPr>
        <w:t>承包人未提交劳动合同，以及没有为项目经理缴纳社会保险证明的违约责任：</w:t>
      </w:r>
      <w:r>
        <w:rPr>
          <w:rStyle w:val="47"/>
          <w:rFonts w:hint="eastAsia" w:ascii="宋体" w:hAnsi="宋体" w:eastAsia="宋体" w:cs="宋体"/>
          <w:color w:val="auto"/>
          <w:szCs w:val="21"/>
          <w:highlight w:val="none"/>
          <w:u w:val="single"/>
          <w:shd w:val="clear" w:color="auto" w:fill="auto"/>
        </w:rPr>
        <w:t>由承包人承担并按贺州市劳动管理部门相关规定处罚</w:t>
      </w:r>
      <w:r>
        <w:rPr>
          <w:rStyle w:val="47"/>
          <w:rFonts w:hint="eastAsia" w:ascii="宋体" w:hAnsi="宋体" w:eastAsia="宋体" w:cs="宋体"/>
          <w:color w:val="auto"/>
          <w:szCs w:val="21"/>
          <w:highlight w:val="none"/>
          <w:u w:val="single"/>
          <w:shd w:val="clear" w:color="auto" w:fill="auto"/>
          <w:lang w:eastAsia="zh-CN"/>
        </w:rPr>
        <w:t>，</w:t>
      </w:r>
      <w:r>
        <w:rPr>
          <w:rStyle w:val="47"/>
          <w:rFonts w:hint="eastAsia" w:ascii="宋体" w:hAnsi="宋体" w:eastAsia="宋体" w:cs="宋体"/>
          <w:color w:val="auto"/>
          <w:kern w:val="2"/>
          <w:sz w:val="21"/>
          <w:szCs w:val="21"/>
          <w:highlight w:val="none"/>
          <w:u w:val="single"/>
        </w:rPr>
        <w:t>由此影响工程进度或发生其它问题的，由承包人承担责任</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3F93435">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u w:val="single"/>
        </w:rPr>
      </w:pPr>
      <w:r>
        <w:rPr>
          <w:rStyle w:val="47"/>
          <w:rFonts w:hint="eastAsia" w:ascii="宋体" w:hAnsi="宋体" w:eastAsia="宋体" w:cs="宋体"/>
          <w:color w:val="auto"/>
          <w:kern w:val="0"/>
          <w:sz w:val="21"/>
          <w:szCs w:val="21"/>
          <w:highlight w:val="none"/>
          <w:shd w:val="clear" w:color="auto" w:fill="auto"/>
        </w:rPr>
        <w:t>项目经理未经批准，擅自离开施工现场的违约责任：</w:t>
      </w:r>
      <w:r>
        <w:rPr>
          <w:rStyle w:val="47"/>
          <w:rFonts w:hint="eastAsia" w:ascii="宋体" w:hAnsi="宋体" w:eastAsia="宋体" w:cs="宋体"/>
          <w:color w:val="auto"/>
          <w:kern w:val="2"/>
          <w:sz w:val="21"/>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项目经理每月在岗带班时间不得少于当月施工时间的80%。未经发包人同意或正当理由，项目经理每月在岗带班时间少于当月施工时间80%的，少在岗带班一天，发包人有权处违约金3000元/日（人民币）  </w:t>
      </w:r>
      <w:r>
        <w:rPr>
          <w:rStyle w:val="47"/>
          <w:rFonts w:hint="eastAsia" w:ascii="宋体" w:hAnsi="宋体" w:eastAsia="宋体" w:cs="宋体"/>
          <w:color w:val="auto"/>
          <w:kern w:val="2"/>
          <w:sz w:val="21"/>
          <w:szCs w:val="21"/>
          <w:highlight w:val="none"/>
        </w:rPr>
        <w:t>。</w:t>
      </w:r>
      <w:r>
        <w:rPr>
          <w:rStyle w:val="47"/>
          <w:rFonts w:hint="eastAsia" w:ascii="宋体" w:hAnsi="宋体" w:eastAsia="宋体" w:cs="宋体"/>
          <w:b/>
          <w:color w:val="auto"/>
          <w:sz w:val="21"/>
          <w:szCs w:val="21"/>
          <w:highlight w:val="none"/>
          <w:u w:val="single"/>
        </w:rPr>
        <w:t>如确实有急事无法按时考勤或离开工地的</w:t>
      </w:r>
      <w:r>
        <w:rPr>
          <w:rStyle w:val="47"/>
          <w:rFonts w:hint="eastAsia" w:ascii="宋体" w:hAnsi="宋体" w:eastAsia="宋体" w:cs="宋体"/>
          <w:b/>
          <w:color w:val="auto"/>
          <w:sz w:val="21"/>
          <w:szCs w:val="21"/>
          <w:highlight w:val="none"/>
        </w:rPr>
        <w:t>，</w:t>
      </w:r>
      <w:r>
        <w:rPr>
          <w:rStyle w:val="47"/>
          <w:rFonts w:hint="eastAsia" w:ascii="宋体" w:hAnsi="宋体" w:eastAsia="宋体" w:cs="宋体"/>
          <w:b/>
          <w:color w:val="auto"/>
          <w:sz w:val="21"/>
          <w:szCs w:val="21"/>
          <w:highlight w:val="none"/>
          <w:u w:val="single"/>
        </w:rPr>
        <w:t>需向相应级别的业主代表请假</w:t>
      </w:r>
      <w:r>
        <w:rPr>
          <w:rStyle w:val="47"/>
          <w:rFonts w:hint="eastAsia" w:ascii="宋体" w:hAnsi="宋体" w:eastAsia="宋体" w:cs="宋体"/>
          <w:b/>
          <w:color w:val="auto"/>
          <w:sz w:val="21"/>
          <w:szCs w:val="21"/>
          <w:highlight w:val="none"/>
        </w:rPr>
        <w:t>，</w:t>
      </w:r>
      <w:r>
        <w:rPr>
          <w:rStyle w:val="47"/>
          <w:rFonts w:hint="eastAsia" w:ascii="宋体" w:hAnsi="宋体" w:eastAsia="宋体" w:cs="宋体"/>
          <w:b/>
          <w:color w:val="auto"/>
          <w:sz w:val="21"/>
          <w:szCs w:val="21"/>
          <w:highlight w:val="none"/>
          <w:u w:val="single"/>
        </w:rPr>
        <w:t>并填写加盖单位公章的书面请假单</w:t>
      </w:r>
      <w:r>
        <w:rPr>
          <w:rStyle w:val="47"/>
          <w:rFonts w:hint="eastAsia" w:ascii="宋体" w:hAnsi="宋体" w:eastAsia="宋体" w:cs="宋体"/>
          <w:b/>
          <w:color w:val="auto"/>
          <w:sz w:val="21"/>
          <w:szCs w:val="21"/>
          <w:highlight w:val="none"/>
        </w:rPr>
        <w:t>，</w:t>
      </w:r>
      <w:r>
        <w:rPr>
          <w:rStyle w:val="47"/>
          <w:rFonts w:hint="eastAsia" w:ascii="宋体" w:hAnsi="宋体" w:eastAsia="宋体" w:cs="宋体"/>
          <w:b/>
          <w:color w:val="auto"/>
          <w:sz w:val="21"/>
          <w:szCs w:val="21"/>
          <w:highlight w:val="none"/>
          <w:u w:val="single"/>
        </w:rPr>
        <w:t>每月请假累计不得超过4天</w:t>
      </w:r>
      <w:r>
        <w:rPr>
          <w:rStyle w:val="47"/>
          <w:rFonts w:hint="eastAsia" w:ascii="宋体" w:hAnsi="宋体" w:eastAsia="宋体" w:cs="宋体"/>
          <w:b/>
          <w:color w:val="auto"/>
          <w:sz w:val="21"/>
          <w:szCs w:val="21"/>
          <w:highlight w:val="none"/>
        </w:rPr>
        <w:t>。</w:t>
      </w:r>
    </w:p>
    <w:p w14:paraId="492A54C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3.2.3 承包人擅自更换项目经理的违约责任：</w:t>
      </w:r>
      <w:r>
        <w:rPr>
          <w:rStyle w:val="47"/>
          <w:rFonts w:hint="eastAsia" w:ascii="宋体" w:hAnsi="宋体" w:eastAsia="宋体" w:cs="宋体"/>
          <w:color w:val="auto"/>
          <w:szCs w:val="21"/>
          <w:highlight w:val="none"/>
          <w:u w:val="single"/>
          <w:shd w:val="clear" w:color="auto" w:fill="auto"/>
        </w:rPr>
        <w:t>承包人项目经理必须与承包人投标时所承诺的人员一致，并在  （开工日期）  前到任。在监理人向承包人颁发    （竣工证明材料名称）    前，项目经理不得同时兼任其他任何项目的项目经理</w:t>
      </w:r>
      <w:r>
        <w:rPr>
          <w:rStyle w:val="47"/>
          <w:rFonts w:hint="eastAsia" w:ascii="宋体" w:hAnsi="宋体" w:eastAsia="宋体" w:cs="宋体"/>
          <w:color w:val="auto"/>
          <w:kern w:val="0"/>
          <w:szCs w:val="21"/>
          <w:highlight w:val="none"/>
          <w:u w:val="single"/>
          <w:shd w:val="clear" w:color="auto" w:fill="auto"/>
        </w:rPr>
        <w:t>（符合桂建管</w:t>
      </w:r>
      <w:r>
        <w:rPr>
          <w:rStyle w:val="47"/>
          <w:rFonts w:hint="eastAsia" w:ascii="宋体" w:hAnsi="宋体" w:eastAsia="宋体" w:cs="宋体"/>
          <w:color w:val="auto"/>
          <w:szCs w:val="21"/>
          <w:highlight w:val="none"/>
          <w:u w:val="single"/>
          <w:shd w:val="clear" w:color="auto" w:fill="auto"/>
        </w:rPr>
        <w:t>﹝2013﹞</w:t>
      </w:r>
      <w:r>
        <w:rPr>
          <w:rStyle w:val="47"/>
          <w:rFonts w:hint="eastAsia" w:ascii="宋体" w:hAnsi="宋体" w:eastAsia="宋体" w:cs="宋体"/>
          <w:color w:val="auto"/>
          <w:kern w:val="0"/>
          <w:szCs w:val="21"/>
          <w:highlight w:val="none"/>
          <w:u w:val="single"/>
          <w:shd w:val="clear" w:color="auto" w:fill="auto"/>
        </w:rPr>
        <w:t>17号和</w:t>
      </w:r>
      <w:r>
        <w:rPr>
          <w:rStyle w:val="47"/>
          <w:rFonts w:hint="eastAsia" w:ascii="宋体" w:hAnsi="宋体" w:eastAsia="宋体" w:cs="宋体"/>
          <w:color w:val="auto"/>
          <w:szCs w:val="21"/>
          <w:highlight w:val="none"/>
          <w:u w:val="single"/>
          <w:shd w:val="clear" w:color="auto" w:fill="auto"/>
        </w:rPr>
        <w:t>桂建管﹝2014﹞25号</w:t>
      </w:r>
      <w:r>
        <w:rPr>
          <w:rStyle w:val="47"/>
          <w:rFonts w:hint="eastAsia" w:ascii="宋体" w:hAnsi="宋体" w:eastAsia="宋体" w:cs="宋体"/>
          <w:color w:val="auto"/>
          <w:kern w:val="0"/>
          <w:szCs w:val="21"/>
          <w:highlight w:val="none"/>
          <w:u w:val="single"/>
          <w:shd w:val="clear" w:color="auto" w:fill="auto"/>
        </w:rPr>
        <w:t>文除外）</w:t>
      </w:r>
      <w:r>
        <w:rPr>
          <w:rStyle w:val="47"/>
          <w:rFonts w:hint="eastAsia" w:ascii="宋体" w:hAnsi="宋体" w:eastAsia="宋体" w:cs="宋体"/>
          <w:color w:val="auto"/>
          <w:szCs w:val="21"/>
          <w:highlight w:val="none"/>
          <w:u w:val="single"/>
          <w:shd w:val="clear" w:color="auto" w:fill="auto"/>
        </w:rPr>
        <w:t>。未经发包人书面同意，承包人擅自更换项目经理的视为违约，违约金处</w:t>
      </w:r>
      <w:r>
        <w:rPr>
          <w:rStyle w:val="47"/>
          <w:rFonts w:hint="eastAsia" w:ascii="宋体" w:hAnsi="宋体" w:eastAsia="宋体" w:cs="宋体"/>
          <w:color w:val="auto"/>
          <w:szCs w:val="21"/>
          <w:highlight w:val="none"/>
          <w:u w:val="single"/>
          <w:shd w:val="clear" w:color="auto" w:fill="auto"/>
          <w:lang w:val="en-US" w:eastAsia="zh-CN"/>
        </w:rPr>
        <w:t>5</w:t>
      </w:r>
      <w:r>
        <w:rPr>
          <w:rStyle w:val="47"/>
          <w:rFonts w:hint="eastAsia" w:ascii="宋体" w:hAnsi="宋体" w:eastAsia="宋体" w:cs="宋体"/>
          <w:color w:val="auto"/>
          <w:szCs w:val="21"/>
          <w:highlight w:val="none"/>
          <w:u w:val="single"/>
          <w:shd w:val="clear" w:color="auto" w:fill="auto"/>
        </w:rPr>
        <w:t>00</w:t>
      </w:r>
      <w:r>
        <w:rPr>
          <w:rStyle w:val="47"/>
          <w:rFonts w:hint="eastAsia" w:ascii="宋体" w:hAnsi="宋体" w:eastAsia="宋体" w:cs="宋体"/>
          <w:color w:val="auto"/>
          <w:szCs w:val="21"/>
          <w:highlight w:val="none"/>
          <w:u w:val="single"/>
          <w:shd w:val="clear" w:color="auto" w:fill="auto"/>
          <w:lang w:val="en-US" w:eastAsia="zh-CN"/>
        </w:rPr>
        <w:t>0</w:t>
      </w:r>
      <w:r>
        <w:rPr>
          <w:rStyle w:val="47"/>
          <w:rFonts w:hint="eastAsia" w:ascii="宋体" w:hAnsi="宋体" w:eastAsia="宋体" w:cs="宋体"/>
          <w:color w:val="auto"/>
          <w:szCs w:val="21"/>
          <w:highlight w:val="none"/>
          <w:u w:val="single"/>
          <w:shd w:val="clear" w:color="auto" w:fill="auto"/>
        </w:rPr>
        <w:t>元/人•次（人民币）</w:t>
      </w:r>
      <w:r>
        <w:rPr>
          <w:rStyle w:val="47"/>
          <w:rFonts w:hint="eastAsia" w:ascii="宋体" w:hAnsi="宋体" w:eastAsia="宋体" w:cs="宋体"/>
          <w:color w:val="auto"/>
          <w:szCs w:val="21"/>
          <w:highlight w:val="none"/>
          <w:shd w:val="clear" w:color="auto" w:fill="auto"/>
        </w:rPr>
        <w:t>。</w:t>
      </w:r>
    </w:p>
    <w:p w14:paraId="55910EB8">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shd w:val="clear" w:color="auto" w:fill="auto"/>
        </w:rPr>
      </w:pPr>
      <w:r>
        <w:rPr>
          <w:rStyle w:val="47"/>
          <w:rFonts w:hint="eastAsia" w:ascii="宋体" w:hAnsi="宋体" w:eastAsia="宋体" w:cs="宋体"/>
          <w:color w:val="auto"/>
          <w:kern w:val="2"/>
          <w:sz w:val="21"/>
          <w:szCs w:val="21"/>
          <w:highlight w:val="none"/>
          <w:shd w:val="clear" w:color="auto" w:fill="auto"/>
        </w:rPr>
        <w:t>3.2.4 承包人无正当理由拒绝更换项目经理的违约责任：</w:t>
      </w:r>
      <w:r>
        <w:rPr>
          <w:rStyle w:val="47"/>
          <w:rFonts w:hint="eastAsia" w:ascii="宋体" w:hAnsi="宋体" w:eastAsia="宋体" w:cs="宋体"/>
          <w:color w:val="auto"/>
          <w:kern w:val="2"/>
          <w:sz w:val="21"/>
          <w:szCs w:val="21"/>
          <w:highlight w:val="none"/>
          <w:u w:val="none"/>
          <w:shd w:val="clear" w:color="auto" w:fill="auto"/>
        </w:rPr>
        <w:t>因承包人项目经理不称职，发包人要求调换而未及时调换的，视为承包人违约，必须向发包人交纳处罚金</w:t>
      </w:r>
      <w:r>
        <w:rPr>
          <w:rStyle w:val="47"/>
          <w:rFonts w:hint="eastAsia" w:ascii="宋体" w:hAnsi="宋体" w:eastAsia="宋体" w:cs="宋体"/>
          <w:color w:val="auto"/>
          <w:kern w:val="2"/>
          <w:sz w:val="21"/>
          <w:szCs w:val="21"/>
          <w:highlight w:val="none"/>
          <w:u w:val="none"/>
          <w:shd w:val="clear" w:color="auto" w:fill="auto"/>
          <w:lang w:val="en-US" w:eastAsia="zh-CN"/>
        </w:rPr>
        <w:t>5</w:t>
      </w:r>
      <w:r>
        <w:rPr>
          <w:rStyle w:val="47"/>
          <w:rFonts w:hint="eastAsia" w:ascii="宋体" w:hAnsi="宋体" w:eastAsia="宋体" w:cs="宋体"/>
          <w:color w:val="auto"/>
          <w:kern w:val="2"/>
          <w:sz w:val="21"/>
          <w:szCs w:val="21"/>
          <w:highlight w:val="none"/>
          <w:u w:val="none"/>
          <w:shd w:val="clear" w:color="auto" w:fill="auto"/>
        </w:rPr>
        <w:t>000元/人•次（人民币）</w:t>
      </w:r>
      <w:r>
        <w:rPr>
          <w:rStyle w:val="47"/>
          <w:rFonts w:hint="eastAsia" w:ascii="宋体" w:hAnsi="宋体" w:eastAsia="宋体" w:cs="宋体"/>
          <w:color w:val="auto"/>
          <w:kern w:val="2"/>
          <w:sz w:val="21"/>
          <w:szCs w:val="21"/>
          <w:highlight w:val="none"/>
          <w:u w:val="none"/>
          <w:shd w:val="clear" w:color="auto" w:fill="auto"/>
          <w:lang w:eastAsia="zh-CN"/>
        </w:rPr>
        <w:t>，</w:t>
      </w:r>
      <w:r>
        <w:rPr>
          <w:rStyle w:val="47"/>
          <w:rFonts w:hint="eastAsia" w:ascii="宋体" w:hAnsi="宋体" w:eastAsia="宋体" w:cs="宋体"/>
          <w:color w:val="auto"/>
          <w:kern w:val="2"/>
          <w:sz w:val="21"/>
          <w:szCs w:val="21"/>
          <w:highlight w:val="none"/>
          <w:u w:val="none"/>
          <w:shd w:val="clear" w:color="auto" w:fill="auto"/>
        </w:rPr>
        <w:t>且承包人必须无条件更换</w:t>
      </w:r>
      <w:r>
        <w:rPr>
          <w:rStyle w:val="47"/>
          <w:rFonts w:hint="eastAsia" w:ascii="宋体" w:hAnsi="宋体" w:eastAsia="宋体" w:cs="宋体"/>
          <w:color w:val="auto"/>
          <w:kern w:val="2"/>
          <w:sz w:val="21"/>
          <w:szCs w:val="21"/>
          <w:highlight w:val="none"/>
          <w:shd w:val="clear" w:color="auto" w:fill="auto"/>
        </w:rPr>
        <w:t>。</w:t>
      </w:r>
    </w:p>
    <w:p w14:paraId="6CF7D3F4">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328" w:name="_Toc407135211"/>
      <w:bookmarkStart w:id="329" w:name="_Toc373478356"/>
      <w:bookmarkStart w:id="330" w:name="_Toc9850539"/>
      <w:bookmarkStart w:id="331" w:name="_Toc389065275"/>
      <w:bookmarkStart w:id="332" w:name="_Toc373227709"/>
      <w:r>
        <w:rPr>
          <w:rStyle w:val="47"/>
          <w:rFonts w:hint="eastAsia" w:ascii="宋体" w:hAnsi="宋体" w:eastAsia="宋体" w:cs="宋体"/>
          <w:b/>
          <w:bCs/>
          <w:color w:val="auto"/>
          <w:sz w:val="21"/>
          <w:szCs w:val="21"/>
          <w:highlight w:val="none"/>
          <w:shd w:val="clear" w:color="auto" w:fill="auto"/>
          <w:lang w:val="zh-CN"/>
        </w:rPr>
        <w:t>3.3 承包人人员</w:t>
      </w:r>
      <w:bookmarkEnd w:id="328"/>
      <w:bookmarkEnd w:id="329"/>
      <w:bookmarkEnd w:id="330"/>
      <w:bookmarkEnd w:id="331"/>
      <w:bookmarkEnd w:id="332"/>
    </w:p>
    <w:p w14:paraId="3B8A7401">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3.3.1 承包人提交项目管理机构及施工现场管理人员安排报告的期限：</w:t>
      </w:r>
      <w:r>
        <w:rPr>
          <w:rStyle w:val="47"/>
          <w:rFonts w:hint="eastAsia" w:ascii="宋体" w:hAnsi="宋体" w:eastAsia="宋体" w:cs="宋体"/>
          <w:color w:val="auto"/>
          <w:szCs w:val="21"/>
          <w:highlight w:val="none"/>
          <w:u w:val="single"/>
          <w:shd w:val="clear" w:color="auto" w:fill="auto"/>
        </w:rPr>
        <w:t xml:space="preserve"> 发包人移交场地后7日内 </w:t>
      </w:r>
      <w:r>
        <w:rPr>
          <w:rStyle w:val="47"/>
          <w:rFonts w:hint="eastAsia" w:ascii="宋体" w:hAnsi="宋体" w:eastAsia="宋体" w:cs="宋体"/>
          <w:color w:val="auto"/>
          <w:szCs w:val="21"/>
          <w:highlight w:val="none"/>
          <w:shd w:val="clear" w:color="auto" w:fill="auto"/>
        </w:rPr>
        <w:t>。</w:t>
      </w:r>
    </w:p>
    <w:p w14:paraId="7CE49A7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3.3.3 承包人无正当理由拒绝撤换主要施工管理人员的违约责任：</w:t>
      </w:r>
      <w:r>
        <w:rPr>
          <w:rStyle w:val="47"/>
          <w:rFonts w:hint="eastAsia" w:ascii="宋体" w:hAnsi="宋体" w:eastAsia="宋体" w:cs="宋体"/>
          <w:color w:val="auto"/>
          <w:szCs w:val="21"/>
          <w:highlight w:val="none"/>
          <w:u w:val="single"/>
          <w:shd w:val="clear" w:color="auto" w:fill="auto"/>
        </w:rPr>
        <w:t>因承包人主要施工管理人员不称职，发包人要求调换而无正当理由拒绝撤换或未及时调换的，视为承包人违约，必须向发包人交纳处罚金，处罚标准：技术负责人50</w:t>
      </w:r>
      <w:r>
        <w:rPr>
          <w:rStyle w:val="47"/>
          <w:rFonts w:hint="eastAsia" w:ascii="宋体" w:hAnsi="宋体" w:eastAsia="宋体" w:cs="宋体"/>
          <w:color w:val="auto"/>
          <w:szCs w:val="21"/>
          <w:highlight w:val="none"/>
          <w:u w:val="single"/>
          <w:shd w:val="clear" w:color="auto" w:fill="auto"/>
          <w:lang w:val="en-US" w:eastAsia="zh-CN"/>
        </w:rPr>
        <w:t>0</w:t>
      </w:r>
      <w:r>
        <w:rPr>
          <w:rStyle w:val="47"/>
          <w:rFonts w:hint="eastAsia" w:ascii="宋体" w:hAnsi="宋体" w:eastAsia="宋体" w:cs="宋体"/>
          <w:color w:val="auto"/>
          <w:szCs w:val="21"/>
          <w:highlight w:val="none"/>
          <w:u w:val="single"/>
          <w:shd w:val="clear" w:color="auto" w:fill="auto"/>
        </w:rPr>
        <w:t>0元/人•次（人民币）；专业工程师30</w:t>
      </w:r>
      <w:r>
        <w:rPr>
          <w:rStyle w:val="47"/>
          <w:rFonts w:hint="eastAsia" w:ascii="宋体" w:hAnsi="宋体" w:eastAsia="宋体" w:cs="宋体"/>
          <w:color w:val="auto"/>
          <w:szCs w:val="21"/>
          <w:highlight w:val="none"/>
          <w:u w:val="single"/>
          <w:shd w:val="clear" w:color="auto" w:fill="auto"/>
          <w:lang w:val="en-US" w:eastAsia="zh-CN"/>
        </w:rPr>
        <w:t>0</w:t>
      </w:r>
      <w:r>
        <w:rPr>
          <w:rStyle w:val="47"/>
          <w:rFonts w:hint="eastAsia" w:ascii="宋体" w:hAnsi="宋体" w:eastAsia="宋体" w:cs="宋体"/>
          <w:color w:val="auto"/>
          <w:szCs w:val="21"/>
          <w:highlight w:val="none"/>
          <w:u w:val="single"/>
          <w:shd w:val="clear" w:color="auto" w:fill="auto"/>
        </w:rPr>
        <w:t>0元/人•次（人民币）</w:t>
      </w:r>
      <w:r>
        <w:rPr>
          <w:rStyle w:val="47"/>
          <w:rFonts w:hint="eastAsia" w:ascii="宋体" w:hAnsi="宋体" w:eastAsia="宋体" w:cs="宋体"/>
          <w:color w:val="auto"/>
          <w:szCs w:val="21"/>
          <w:highlight w:val="none"/>
          <w:shd w:val="clear" w:color="auto" w:fill="auto"/>
        </w:rPr>
        <w:t>。</w:t>
      </w:r>
    </w:p>
    <w:p w14:paraId="1EFC8D21">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3.3.4 承包人主要施工管理人员离开施工现场的批准要求：</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应经发包人和监理工程师批准</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D91B3E9">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3.3.5 承包人擅自更换主要施工管理人员的违约责任：</w:t>
      </w:r>
      <w:r>
        <w:rPr>
          <w:rStyle w:val="47"/>
          <w:rFonts w:hint="eastAsia" w:ascii="宋体" w:hAnsi="宋体" w:eastAsia="宋体" w:cs="宋体"/>
          <w:color w:val="auto"/>
          <w:szCs w:val="21"/>
          <w:highlight w:val="none"/>
          <w:u w:val="single"/>
          <w:shd w:val="clear" w:color="auto" w:fill="auto"/>
        </w:rPr>
        <w:t>项目技术负责人、</w:t>
      </w:r>
      <w:r>
        <w:rPr>
          <w:rStyle w:val="47"/>
          <w:rFonts w:hint="eastAsia" w:ascii="宋体" w:hAnsi="宋体" w:eastAsia="宋体" w:cs="宋体"/>
          <w:color w:val="auto"/>
          <w:szCs w:val="21"/>
          <w:highlight w:val="none"/>
          <w:u w:val="single"/>
          <w:shd w:val="clear" w:color="auto" w:fill="auto"/>
          <w:lang w:eastAsia="zh-CN"/>
        </w:rPr>
        <w:t>专职安全生产管理人员</w:t>
      </w:r>
      <w:r>
        <w:rPr>
          <w:rStyle w:val="47"/>
          <w:rFonts w:hint="eastAsia" w:ascii="宋体" w:hAnsi="宋体" w:eastAsia="宋体" w:cs="宋体"/>
          <w:color w:val="auto"/>
          <w:szCs w:val="21"/>
          <w:highlight w:val="none"/>
          <w:u w:val="single"/>
          <w:shd w:val="clear" w:color="auto" w:fill="auto"/>
        </w:rPr>
        <w:t>及其承诺的其它在场管理人员未经发包人书面同意不准擅自更换，擅自更换项目技术负责人处</w:t>
      </w:r>
      <w:r>
        <w:rPr>
          <w:rStyle w:val="47"/>
          <w:rFonts w:hint="eastAsia" w:ascii="宋体" w:hAnsi="宋体" w:eastAsia="宋体" w:cs="宋体"/>
          <w:color w:val="auto"/>
          <w:szCs w:val="21"/>
          <w:highlight w:val="none"/>
          <w:u w:val="single"/>
          <w:shd w:val="clear" w:color="auto" w:fill="auto"/>
          <w:lang w:val="en-US" w:eastAsia="zh-CN"/>
        </w:rPr>
        <w:t>3</w:t>
      </w:r>
      <w:r>
        <w:rPr>
          <w:rStyle w:val="47"/>
          <w:rFonts w:hint="eastAsia" w:ascii="宋体" w:hAnsi="宋体" w:eastAsia="宋体" w:cs="宋体"/>
          <w:color w:val="auto"/>
          <w:szCs w:val="21"/>
          <w:highlight w:val="none"/>
          <w:u w:val="single"/>
          <w:shd w:val="clear" w:color="auto" w:fill="auto"/>
          <w:lang w:eastAsia="zh-CN"/>
        </w:rPr>
        <w:t>000</w:t>
      </w:r>
      <w:r>
        <w:rPr>
          <w:rStyle w:val="47"/>
          <w:rFonts w:hint="eastAsia" w:ascii="宋体" w:hAnsi="宋体" w:eastAsia="宋体" w:cs="宋体"/>
          <w:color w:val="auto"/>
          <w:szCs w:val="21"/>
          <w:highlight w:val="none"/>
          <w:u w:val="single"/>
          <w:shd w:val="clear" w:color="auto" w:fill="auto"/>
        </w:rPr>
        <w:t>元/人•次（人民币）违约金；擅自更换</w:t>
      </w:r>
      <w:r>
        <w:rPr>
          <w:rStyle w:val="47"/>
          <w:rFonts w:hint="eastAsia" w:ascii="宋体" w:hAnsi="宋体" w:eastAsia="宋体" w:cs="宋体"/>
          <w:color w:val="auto"/>
          <w:szCs w:val="21"/>
          <w:highlight w:val="none"/>
          <w:u w:val="single"/>
          <w:shd w:val="clear" w:color="auto" w:fill="auto"/>
          <w:lang w:eastAsia="zh-CN"/>
        </w:rPr>
        <w:t>专职安全生产管理人员</w:t>
      </w:r>
      <w:r>
        <w:rPr>
          <w:rStyle w:val="47"/>
          <w:rFonts w:hint="eastAsia" w:ascii="宋体" w:hAnsi="宋体" w:eastAsia="宋体" w:cs="宋体"/>
          <w:color w:val="auto"/>
          <w:szCs w:val="21"/>
          <w:highlight w:val="none"/>
          <w:u w:val="single"/>
          <w:shd w:val="clear" w:color="auto" w:fill="auto"/>
        </w:rPr>
        <w:t>处</w:t>
      </w:r>
      <w:r>
        <w:rPr>
          <w:rStyle w:val="47"/>
          <w:rFonts w:hint="eastAsia" w:ascii="宋体" w:hAnsi="宋体" w:eastAsia="宋体" w:cs="宋体"/>
          <w:color w:val="auto"/>
          <w:szCs w:val="21"/>
          <w:highlight w:val="none"/>
          <w:u w:val="single"/>
          <w:shd w:val="clear" w:color="auto" w:fill="auto"/>
          <w:lang w:val="en-US" w:eastAsia="zh-CN"/>
        </w:rPr>
        <w:t>20</w:t>
      </w:r>
      <w:r>
        <w:rPr>
          <w:rStyle w:val="47"/>
          <w:rFonts w:hint="eastAsia" w:ascii="宋体" w:hAnsi="宋体" w:eastAsia="宋体" w:cs="宋体"/>
          <w:color w:val="auto"/>
          <w:szCs w:val="21"/>
          <w:highlight w:val="none"/>
          <w:u w:val="single"/>
          <w:shd w:val="clear" w:color="auto" w:fill="auto"/>
        </w:rPr>
        <w:t>00元/人•次（人民币）违约金；擅自更换其它在场管理人员处30</w:t>
      </w:r>
      <w:r>
        <w:rPr>
          <w:rStyle w:val="47"/>
          <w:rFonts w:hint="eastAsia" w:ascii="宋体" w:hAnsi="宋体" w:eastAsia="宋体" w:cs="宋体"/>
          <w:color w:val="auto"/>
          <w:szCs w:val="21"/>
          <w:highlight w:val="none"/>
          <w:u w:val="single"/>
          <w:shd w:val="clear" w:color="auto" w:fill="auto"/>
          <w:lang w:val="en-US" w:eastAsia="zh-CN"/>
        </w:rPr>
        <w:t>0</w:t>
      </w:r>
      <w:r>
        <w:rPr>
          <w:rStyle w:val="47"/>
          <w:rFonts w:hint="eastAsia" w:ascii="宋体" w:hAnsi="宋体" w:eastAsia="宋体" w:cs="宋体"/>
          <w:color w:val="auto"/>
          <w:szCs w:val="21"/>
          <w:highlight w:val="none"/>
          <w:u w:val="single"/>
          <w:shd w:val="clear" w:color="auto" w:fill="auto"/>
        </w:rPr>
        <w:t>0元/人•次（人民币）违约金</w:t>
      </w:r>
      <w:r>
        <w:rPr>
          <w:rStyle w:val="47"/>
          <w:rFonts w:hint="eastAsia" w:ascii="宋体" w:hAnsi="宋体" w:eastAsia="宋体" w:cs="宋体"/>
          <w:color w:val="auto"/>
          <w:szCs w:val="21"/>
          <w:highlight w:val="none"/>
          <w:shd w:val="clear" w:color="auto" w:fill="auto"/>
        </w:rPr>
        <w:t>。</w:t>
      </w:r>
    </w:p>
    <w:p w14:paraId="287BCD9A">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承包人主要施工管理人员擅自离开施工现场的违约责任：</w:t>
      </w:r>
      <w:r>
        <w:rPr>
          <w:rStyle w:val="47"/>
          <w:rFonts w:hint="eastAsia" w:ascii="宋体" w:hAnsi="宋体" w:eastAsia="宋体" w:cs="宋体"/>
          <w:color w:val="auto"/>
          <w:szCs w:val="21"/>
          <w:highlight w:val="none"/>
          <w:u w:val="single"/>
          <w:shd w:val="clear" w:color="auto" w:fill="auto"/>
        </w:rPr>
        <w:t>未经发包人同意，项目技术负责人擅自离岗的，视为承包人违约，发包人有权处违约金</w:t>
      </w:r>
      <w:r>
        <w:rPr>
          <w:rStyle w:val="47"/>
          <w:rFonts w:hint="eastAsia" w:ascii="宋体" w:hAnsi="宋体" w:eastAsia="宋体" w:cs="宋体"/>
          <w:color w:val="auto"/>
          <w:szCs w:val="21"/>
          <w:highlight w:val="none"/>
          <w:u w:val="single"/>
          <w:shd w:val="clear" w:color="auto" w:fill="auto"/>
          <w:lang w:val="en-US" w:eastAsia="zh-CN"/>
        </w:rPr>
        <w:t>3</w:t>
      </w:r>
      <w:r>
        <w:rPr>
          <w:rStyle w:val="47"/>
          <w:rFonts w:hint="eastAsia" w:ascii="宋体" w:hAnsi="宋体" w:eastAsia="宋体" w:cs="宋体"/>
          <w:color w:val="auto"/>
          <w:szCs w:val="21"/>
          <w:highlight w:val="none"/>
          <w:u w:val="single"/>
          <w:shd w:val="clear" w:color="auto" w:fill="auto"/>
        </w:rPr>
        <w:t>000元/人•次（人民币）；未经发包人同意，</w:t>
      </w:r>
      <w:r>
        <w:rPr>
          <w:rStyle w:val="47"/>
          <w:rFonts w:hint="eastAsia" w:ascii="宋体" w:hAnsi="宋体" w:eastAsia="宋体" w:cs="宋体"/>
          <w:color w:val="auto"/>
          <w:szCs w:val="21"/>
          <w:highlight w:val="none"/>
          <w:u w:val="single"/>
          <w:shd w:val="clear" w:color="auto" w:fill="auto"/>
          <w:lang w:eastAsia="zh-CN"/>
        </w:rPr>
        <w:t>专职安全生产管理人员</w:t>
      </w:r>
      <w:r>
        <w:rPr>
          <w:rStyle w:val="47"/>
          <w:rFonts w:hint="eastAsia" w:ascii="宋体" w:hAnsi="宋体" w:eastAsia="宋体" w:cs="宋体"/>
          <w:color w:val="auto"/>
          <w:szCs w:val="21"/>
          <w:highlight w:val="none"/>
          <w:u w:val="single"/>
          <w:shd w:val="clear" w:color="auto" w:fill="auto"/>
        </w:rPr>
        <w:t>擅自离岗的，视为承包人违约，发包人有权处违约金</w:t>
      </w:r>
      <w:r>
        <w:rPr>
          <w:rStyle w:val="47"/>
          <w:rFonts w:hint="eastAsia" w:ascii="宋体" w:hAnsi="宋体" w:eastAsia="宋体" w:cs="宋体"/>
          <w:color w:val="auto"/>
          <w:szCs w:val="21"/>
          <w:highlight w:val="none"/>
          <w:u w:val="single"/>
          <w:shd w:val="clear" w:color="auto" w:fill="auto"/>
          <w:lang w:val="en-US" w:eastAsia="zh-CN"/>
        </w:rPr>
        <w:t>20</w:t>
      </w:r>
      <w:r>
        <w:rPr>
          <w:rStyle w:val="47"/>
          <w:rFonts w:hint="eastAsia" w:ascii="宋体" w:hAnsi="宋体" w:eastAsia="宋体" w:cs="宋体"/>
          <w:color w:val="auto"/>
          <w:szCs w:val="21"/>
          <w:highlight w:val="none"/>
          <w:u w:val="single"/>
          <w:shd w:val="clear" w:color="auto" w:fill="auto"/>
        </w:rPr>
        <w:t>00元/人•次（人民币）；其它在场管理人员擅自离岗的，视为承包人违约，发包人有权处违约金</w:t>
      </w:r>
      <w:r>
        <w:rPr>
          <w:rStyle w:val="47"/>
          <w:rFonts w:hint="eastAsia" w:ascii="宋体" w:hAnsi="宋体" w:eastAsia="宋体" w:cs="宋体"/>
          <w:color w:val="auto"/>
          <w:szCs w:val="21"/>
          <w:highlight w:val="none"/>
          <w:u w:val="single"/>
          <w:shd w:val="clear" w:color="auto" w:fill="auto"/>
          <w:lang w:val="en-US" w:eastAsia="zh-CN"/>
        </w:rPr>
        <w:t>10</w:t>
      </w:r>
      <w:r>
        <w:rPr>
          <w:rStyle w:val="47"/>
          <w:rFonts w:hint="eastAsia" w:ascii="宋体" w:hAnsi="宋体" w:eastAsia="宋体" w:cs="宋体"/>
          <w:color w:val="auto"/>
          <w:szCs w:val="21"/>
          <w:highlight w:val="none"/>
          <w:u w:val="single"/>
          <w:shd w:val="clear" w:color="auto" w:fill="auto"/>
        </w:rPr>
        <w:t>00元/人•次（人民币）</w:t>
      </w:r>
      <w:r>
        <w:rPr>
          <w:rStyle w:val="47"/>
          <w:rFonts w:hint="eastAsia" w:ascii="宋体" w:hAnsi="宋体" w:eastAsia="宋体" w:cs="宋体"/>
          <w:color w:val="auto"/>
          <w:szCs w:val="21"/>
          <w:highlight w:val="none"/>
          <w:shd w:val="clear" w:color="auto" w:fill="auto"/>
        </w:rPr>
        <w:t>。</w:t>
      </w:r>
    </w:p>
    <w:p w14:paraId="65846145">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333" w:name="_Toc407135212"/>
      <w:bookmarkStart w:id="334" w:name="_Toc373227710"/>
      <w:bookmarkStart w:id="335" w:name="_Toc389065276"/>
      <w:bookmarkStart w:id="336" w:name="_Toc9850540"/>
      <w:bookmarkStart w:id="337" w:name="_Toc373478357"/>
      <w:r>
        <w:rPr>
          <w:rStyle w:val="47"/>
          <w:rFonts w:hint="eastAsia" w:ascii="宋体" w:hAnsi="宋体" w:eastAsia="宋体" w:cs="宋体"/>
          <w:b/>
          <w:bCs/>
          <w:color w:val="auto"/>
          <w:sz w:val="21"/>
          <w:szCs w:val="21"/>
          <w:highlight w:val="none"/>
          <w:shd w:val="clear" w:color="auto" w:fill="auto"/>
          <w:lang w:val="zh-CN"/>
        </w:rPr>
        <w:t>3</w:t>
      </w:r>
      <w:bookmarkStart w:id="338" w:name="_Toc297216151"/>
      <w:bookmarkStart w:id="339" w:name="_Toc297048345"/>
      <w:bookmarkStart w:id="340" w:name="_Toc292559364"/>
      <w:bookmarkStart w:id="341" w:name="_Toc296347158"/>
      <w:bookmarkStart w:id="342" w:name="_Toc296944498"/>
      <w:bookmarkStart w:id="343" w:name="_Toc297123492"/>
      <w:bookmarkStart w:id="344" w:name="_Toc296346660"/>
      <w:bookmarkStart w:id="345" w:name="_Toc303539102"/>
      <w:bookmarkStart w:id="346" w:name="_Toc304295523"/>
      <w:bookmarkStart w:id="347" w:name="_Toc312677988"/>
      <w:bookmarkStart w:id="348" w:name="_Toc296891199"/>
      <w:bookmarkStart w:id="349" w:name="_Toc300934945"/>
      <w:bookmarkStart w:id="350" w:name="_Toc296503159"/>
      <w:bookmarkStart w:id="351" w:name="_Toc297120459"/>
      <w:bookmarkStart w:id="352" w:name="_Toc296890987"/>
      <w:bookmarkStart w:id="353" w:name="_Toc292559869"/>
      <w:r>
        <w:rPr>
          <w:rStyle w:val="47"/>
          <w:rFonts w:hint="eastAsia" w:ascii="宋体" w:hAnsi="宋体" w:eastAsia="宋体" w:cs="宋体"/>
          <w:b/>
          <w:bCs/>
          <w:color w:val="auto"/>
          <w:sz w:val="21"/>
          <w:szCs w:val="21"/>
          <w:highlight w:val="none"/>
          <w:shd w:val="clear" w:color="auto" w:fill="auto"/>
          <w:lang w:val="zh-CN"/>
        </w:rPr>
        <w:t>.5 分包</w:t>
      </w:r>
      <w:bookmarkEnd w:id="333"/>
      <w:bookmarkEnd w:id="334"/>
      <w:bookmarkEnd w:id="335"/>
      <w:bookmarkEnd w:id="336"/>
      <w:bookmarkEnd w:id="337"/>
    </w:p>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4E28305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w:t>
      </w:r>
      <w:bookmarkStart w:id="354" w:name="_Toc297123493"/>
      <w:bookmarkStart w:id="355" w:name="_Toc292559365"/>
      <w:bookmarkStart w:id="356" w:name="_Toc296346661"/>
      <w:bookmarkStart w:id="357" w:name="_Toc292559870"/>
      <w:bookmarkStart w:id="358" w:name="_Toc312677989"/>
      <w:bookmarkStart w:id="359" w:name="_Toc296503160"/>
      <w:bookmarkStart w:id="360" w:name="_Toc297216152"/>
      <w:bookmarkStart w:id="361" w:name="_Toc304295524"/>
      <w:bookmarkStart w:id="362" w:name="_Toc297048346"/>
      <w:bookmarkStart w:id="363" w:name="_Toc297120460"/>
      <w:bookmarkStart w:id="364" w:name="_Toc303539103"/>
      <w:bookmarkStart w:id="365" w:name="_Toc296890988"/>
      <w:bookmarkStart w:id="366" w:name="_Toc296891200"/>
      <w:bookmarkStart w:id="367" w:name="_Toc318581158"/>
      <w:bookmarkStart w:id="368" w:name="_Toc300934946"/>
      <w:bookmarkStart w:id="369" w:name="_Toc296944499"/>
      <w:bookmarkStart w:id="370" w:name="_Toc296347159"/>
      <w:r>
        <w:rPr>
          <w:rStyle w:val="47"/>
          <w:rFonts w:hint="eastAsia" w:ascii="宋体" w:hAnsi="宋体" w:eastAsia="宋体" w:cs="宋体"/>
          <w:color w:val="auto"/>
          <w:szCs w:val="21"/>
          <w:highlight w:val="none"/>
          <w:shd w:val="clear" w:color="auto" w:fill="auto"/>
        </w:rPr>
        <w:t>.5.1 分包的一般约定</w:t>
      </w:r>
    </w:p>
    <w:p w14:paraId="45E96833">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禁止分包的工程包括：</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本项目禁止分包</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6CD8792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主体结构、关键性工作的范围：</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D3F5E88">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w:t>
      </w:r>
      <w:bookmarkStart w:id="371" w:name="_Toc318581159"/>
      <w:bookmarkStart w:id="372" w:name="_Toc312677990"/>
      <w:r>
        <w:rPr>
          <w:rStyle w:val="47"/>
          <w:rFonts w:hint="eastAsia" w:ascii="宋体" w:hAnsi="宋体" w:eastAsia="宋体" w:cs="宋体"/>
          <w:color w:val="auto"/>
          <w:szCs w:val="21"/>
          <w:highlight w:val="none"/>
          <w:shd w:val="clear" w:color="auto" w:fill="auto"/>
        </w:rPr>
        <w:t>.5.2 分包的确定</w:t>
      </w:r>
    </w:p>
    <w:p w14:paraId="13C9F54C">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允许分包的专业工程包括：</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 </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625FCB44">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其他关于分包的约定：</w:t>
      </w:r>
    </w:p>
    <w:p w14:paraId="1BDA66E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7F86EC84">
      <w:pPr>
        <w:pStyle w:val="246"/>
        <w:spacing w:beforeLines="0" w:afterLines="0" w:line="360" w:lineRule="auto"/>
        <w:ind w:firstLine="420" w:firstLineChars="200"/>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（2）在相关分包合同签订并报送有关建设行政主管部门备案后7天内，承包人应当将一份副本提交给监理人，承包人应保障分包工作不得再次分包。</w:t>
      </w:r>
    </w:p>
    <w:p w14:paraId="1D30C19B">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（3）未经发包人和监理人审批同意的分包工程和分包人，发包人有权拒绝验收分包工程和支付相应款项，由此引起的承包人费用增加和(或)延误的工期由承包人承担。</w:t>
      </w:r>
    </w:p>
    <w:p w14:paraId="457EF53B">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（4）承包人有以下情况之一者，发包人有权解除合同，并视情况扣除其履约保证金：</w:t>
      </w:r>
    </w:p>
    <w:p w14:paraId="4AC83F84">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①个人承包工程，包括本人单位及外单位人员承包，发包人不承认其个人拥有任何资质等级及营业许可资格。没收全部履约保证金。</w:t>
      </w:r>
    </w:p>
    <w:p w14:paraId="684A8F9B">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②几个人联合承包工程，就地组织暗分包队伍，不具备完成本工程的技术、机械能力，被发包人判定为没有能力履行的承包人。没收全部履约保证金。</w:t>
      </w:r>
    </w:p>
    <w:p w14:paraId="5E716D0D">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③就地转包全部的工程，以谋取高额转让费、管理费的承包人。没收全部履约保证金。</w:t>
      </w:r>
    </w:p>
    <w:p w14:paraId="6A4B6768">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④承包人有部分分包现象（其中包括冒充承包人下属单位的挂勾单位，凭口头协议参与施工的分包人及其他暗分包个体户），一经发现核实，发包人将采取驱逐该暗分包人措施。没收全部履约保证金。</w:t>
      </w:r>
    </w:p>
    <w:p w14:paraId="61B08419">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3.5.4 分包合同价款</w:t>
      </w:r>
    </w:p>
    <w:bookmarkEnd w:id="371"/>
    <w:bookmarkEnd w:id="372"/>
    <w:p w14:paraId="20F195AA">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bookmarkStart w:id="373" w:name="_Toc389065277"/>
      <w:bookmarkStart w:id="374" w:name="_Toc373478358"/>
      <w:bookmarkStart w:id="375" w:name="_Toc373227711"/>
      <w:r>
        <w:rPr>
          <w:rStyle w:val="47"/>
          <w:rFonts w:hint="eastAsia" w:ascii="宋体" w:hAnsi="宋体" w:eastAsia="宋体" w:cs="宋体"/>
          <w:color w:val="auto"/>
          <w:szCs w:val="21"/>
          <w:highlight w:val="none"/>
          <w:shd w:val="clear" w:color="auto" w:fill="auto"/>
        </w:rPr>
        <w:t>关于分包合同价款支付的约定：</w:t>
      </w:r>
      <w:r>
        <w:rPr>
          <w:rStyle w:val="47"/>
          <w:rFonts w:hint="eastAsia" w:ascii="宋体" w:hAnsi="宋体" w:eastAsia="宋体" w:cs="宋体"/>
          <w:color w:val="auto"/>
          <w:szCs w:val="21"/>
          <w:highlight w:val="none"/>
          <w:u w:val="single"/>
          <w:shd w:val="clear" w:color="auto" w:fill="auto"/>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2FAA2E1">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376" w:name="_Toc9850541"/>
      <w:bookmarkStart w:id="377" w:name="_Toc407135213"/>
      <w:r>
        <w:rPr>
          <w:rStyle w:val="47"/>
          <w:rFonts w:hint="eastAsia" w:ascii="宋体" w:hAnsi="宋体" w:eastAsia="宋体" w:cs="宋体"/>
          <w:b/>
          <w:bCs/>
          <w:color w:val="auto"/>
          <w:sz w:val="21"/>
          <w:szCs w:val="21"/>
          <w:highlight w:val="none"/>
          <w:shd w:val="clear" w:color="auto" w:fill="auto"/>
          <w:lang w:val="zh-CN"/>
        </w:rPr>
        <w:t>3.6 工程照管与成品、半成品保护</w:t>
      </w:r>
      <w:bookmarkEnd w:id="373"/>
      <w:bookmarkEnd w:id="374"/>
      <w:bookmarkEnd w:id="375"/>
      <w:bookmarkEnd w:id="376"/>
      <w:bookmarkEnd w:id="377"/>
    </w:p>
    <w:p w14:paraId="083479D8">
      <w:pPr>
        <w:pStyle w:val="246"/>
        <w:spacing w:beforeLines="0" w:afterLines="0" w:line="360" w:lineRule="auto"/>
        <w:ind w:firstLine="420" w:firstLineChars="200"/>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承包人负责照管工程及工程相关的材料、工程设备的起始时间：</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sz w:val="21"/>
          <w:szCs w:val="21"/>
          <w:highlight w:val="none"/>
          <w:u w:val="single"/>
        </w:rPr>
        <w:t>从承包人进场到工程竣工验收合格并交付发包人后</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63372FBA">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378" w:name="_Toc389065278"/>
      <w:bookmarkStart w:id="379" w:name="_Toc373227712"/>
      <w:bookmarkStart w:id="380" w:name="_Toc373478359"/>
      <w:bookmarkStart w:id="381" w:name="_Toc9850542"/>
      <w:bookmarkStart w:id="382" w:name="_Toc407135214"/>
      <w:r>
        <w:rPr>
          <w:rStyle w:val="47"/>
          <w:rFonts w:hint="eastAsia" w:ascii="宋体" w:hAnsi="宋体" w:eastAsia="宋体" w:cs="宋体"/>
          <w:b/>
          <w:bCs/>
          <w:color w:val="auto"/>
          <w:sz w:val="21"/>
          <w:szCs w:val="21"/>
          <w:highlight w:val="none"/>
          <w:shd w:val="clear" w:color="auto" w:fill="auto"/>
          <w:lang w:val="zh-CN"/>
        </w:rPr>
        <w:t>3.7 履约</w:t>
      </w:r>
      <w:bookmarkEnd w:id="378"/>
      <w:bookmarkEnd w:id="379"/>
      <w:bookmarkEnd w:id="380"/>
      <w:r>
        <w:rPr>
          <w:rStyle w:val="47"/>
          <w:rFonts w:hint="eastAsia" w:ascii="宋体" w:hAnsi="宋体" w:eastAsia="宋体" w:cs="宋体"/>
          <w:b/>
          <w:bCs/>
          <w:color w:val="auto"/>
          <w:sz w:val="21"/>
          <w:szCs w:val="21"/>
          <w:highlight w:val="none"/>
          <w:shd w:val="clear" w:color="auto" w:fill="auto"/>
          <w:lang w:val="zh-CN"/>
        </w:rPr>
        <w:t>保证金</w:t>
      </w:r>
      <w:bookmarkEnd w:id="381"/>
      <w:bookmarkEnd w:id="382"/>
    </w:p>
    <w:p w14:paraId="1ECAD721">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lang w:val="en-US"/>
        </w:rPr>
      </w:pPr>
      <w:bookmarkStart w:id="383" w:name="_Toc373227713"/>
      <w:bookmarkStart w:id="384" w:name="_Toc351203636"/>
      <w:bookmarkStart w:id="385" w:name="_Toc389065279"/>
      <w:bookmarkStart w:id="386" w:name="_Toc373478360"/>
      <w:r>
        <w:rPr>
          <w:rStyle w:val="47"/>
          <w:rFonts w:hint="eastAsia" w:ascii="宋体" w:hAnsi="宋体" w:eastAsia="宋体" w:cs="宋体"/>
          <w:color w:val="auto"/>
          <w:szCs w:val="21"/>
          <w:highlight w:val="none"/>
          <w:shd w:val="clear" w:color="auto" w:fill="auto"/>
        </w:rPr>
        <w:t>3.7.1承包人是否提供履约担保：</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cs="宋体"/>
          <w:color w:val="auto"/>
          <w:szCs w:val="21"/>
          <w:highlight w:val="none"/>
          <w:u w:val="single"/>
          <w:shd w:val="clear" w:color="auto" w:fill="auto"/>
          <w:lang w:val="en-US" w:eastAsia="zh-CN"/>
        </w:rPr>
        <w:t>否</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u w:val="none"/>
          <w:shd w:val="clear" w:color="auto" w:fill="auto"/>
          <w:lang w:val="en-US" w:eastAsia="zh-CN"/>
        </w:rPr>
        <w:t>。</w:t>
      </w:r>
    </w:p>
    <w:p w14:paraId="3F014929">
      <w:pPr>
        <w:pStyle w:val="251"/>
        <w:spacing w:beforeLines="0" w:afterLines="0" w:line="360" w:lineRule="auto"/>
        <w:ind w:left="0"/>
        <w:rPr>
          <w:rStyle w:val="47"/>
          <w:rFonts w:hint="eastAsia" w:ascii="宋体" w:hAnsi="宋体" w:eastAsia="宋体" w:cs="宋体"/>
          <w:color w:val="auto"/>
          <w:sz w:val="21"/>
          <w:szCs w:val="21"/>
          <w:highlight w:val="none"/>
        </w:rPr>
      </w:pPr>
      <w:bookmarkStart w:id="387" w:name="_Toc9850543"/>
      <w:bookmarkStart w:id="388" w:name="_Toc407135215"/>
      <w:r>
        <w:rPr>
          <w:rStyle w:val="47"/>
          <w:rFonts w:hint="eastAsia" w:ascii="宋体" w:hAnsi="宋体" w:eastAsia="宋体" w:cs="宋体"/>
          <w:color w:val="auto"/>
          <w:spacing w:val="-6"/>
          <w:sz w:val="21"/>
          <w:szCs w:val="21"/>
          <w:highlight w:val="none"/>
          <w:lang w:val="en-US" w:eastAsia="zh-CN"/>
        </w:rPr>
        <w:t>3.7.3</w:t>
      </w:r>
      <w:r>
        <w:rPr>
          <w:rStyle w:val="47"/>
          <w:rFonts w:hint="eastAsia" w:ascii="宋体" w:hAnsi="宋体" w:eastAsia="宋体" w:cs="宋体"/>
          <w:color w:val="auto"/>
          <w:spacing w:val="-3"/>
          <w:sz w:val="21"/>
          <w:szCs w:val="21"/>
          <w:highlight w:val="none"/>
        </w:rPr>
        <w:t xml:space="preserve"> 支付保函</w:t>
      </w:r>
    </w:p>
    <w:p w14:paraId="553D7C3E">
      <w:pPr>
        <w:pStyle w:val="251"/>
        <w:spacing w:before="0" w:beforeLines="0" w:afterLines="0" w:line="360" w:lineRule="auto"/>
        <w:ind w:left="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4"/>
          <w:position w:val="16"/>
          <w:sz w:val="21"/>
          <w:szCs w:val="21"/>
          <w:highlight w:val="none"/>
        </w:rPr>
        <w:t>在以下方式中选择</w:t>
      </w:r>
      <w:r>
        <w:rPr>
          <w:rStyle w:val="47"/>
          <w:rFonts w:hint="eastAsia" w:ascii="宋体" w:hAnsi="宋体" w:eastAsia="宋体" w:cs="宋体"/>
          <w:color w:val="auto"/>
          <w:spacing w:val="-2"/>
          <w:position w:val="16"/>
          <w:sz w:val="21"/>
          <w:szCs w:val="21"/>
          <w:highlight w:val="none"/>
        </w:rPr>
        <w:t>其一， 作为双方对支付保函的约定。</w:t>
      </w:r>
    </w:p>
    <w:p w14:paraId="555D4C20">
      <w:pPr>
        <w:pStyle w:val="251"/>
        <w:spacing w:beforeLines="0" w:afterLines="0" w:line="360" w:lineRule="auto"/>
        <w:ind w:left="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lang w:eastAsia="zh-CN"/>
        </w:rPr>
        <w:t>□</w:t>
      </w:r>
      <w:r>
        <w:rPr>
          <w:rStyle w:val="47"/>
          <w:rFonts w:hint="eastAsia" w:ascii="宋体" w:hAnsi="宋体" w:eastAsia="宋体" w:cs="宋体"/>
          <w:color w:val="auto"/>
          <w:spacing w:val="-2"/>
          <w:sz w:val="21"/>
          <w:szCs w:val="21"/>
          <w:highlight w:val="none"/>
        </w:rPr>
        <w:t>发包</w:t>
      </w:r>
      <w:r>
        <w:rPr>
          <w:rStyle w:val="47"/>
          <w:rFonts w:hint="eastAsia" w:ascii="宋体" w:hAnsi="宋体" w:eastAsia="宋体" w:cs="宋体"/>
          <w:color w:val="auto"/>
          <w:spacing w:val="-1"/>
          <w:sz w:val="21"/>
          <w:szCs w:val="21"/>
          <w:highlight w:val="none"/>
        </w:rPr>
        <w:t>人不提交支付保函。</w:t>
      </w:r>
    </w:p>
    <w:p w14:paraId="73C4FD15">
      <w:pPr>
        <w:pStyle w:val="251"/>
        <w:spacing w:before="0" w:beforeLines="0" w:afterLines="0" w:line="360" w:lineRule="auto"/>
        <w:ind w:left="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1"/>
          <w:sz w:val="21"/>
          <w:szCs w:val="21"/>
          <w:highlight w:val="none"/>
          <w:lang w:eastAsia="zh-CN"/>
        </w:rPr>
        <w:t>☑</w:t>
      </w:r>
      <w:r>
        <w:rPr>
          <w:rStyle w:val="47"/>
          <w:rFonts w:hint="eastAsia" w:ascii="宋体" w:hAnsi="宋体" w:eastAsia="宋体" w:cs="宋体"/>
          <w:color w:val="auto"/>
          <w:spacing w:val="-1"/>
          <w:sz w:val="21"/>
          <w:szCs w:val="21"/>
          <w:highlight w:val="none"/>
        </w:rPr>
        <w:t>发包人提交支付保函的格式</w:t>
      </w:r>
      <w:r>
        <w:rPr>
          <w:rStyle w:val="47"/>
          <w:rFonts w:hint="eastAsia" w:ascii="宋体" w:hAnsi="宋体" w:eastAsia="宋体" w:cs="宋体"/>
          <w:color w:val="auto"/>
          <w:sz w:val="21"/>
          <w:szCs w:val="21"/>
          <w:highlight w:val="none"/>
        </w:rPr>
        <w:t>、金额和时间：</w:t>
      </w:r>
    </w:p>
    <w:p w14:paraId="1C1F7944">
      <w:pPr>
        <w:pStyle w:val="251"/>
        <w:spacing w:before="0" w:beforeLines="0" w:afterLines="0" w:line="360" w:lineRule="auto"/>
        <w:ind w:left="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7"/>
          <w:sz w:val="21"/>
          <w:szCs w:val="21"/>
          <w:highlight w:val="none"/>
        </w:rPr>
        <w:t>(</w:t>
      </w:r>
      <w:r>
        <w:rPr>
          <w:rStyle w:val="47"/>
          <w:rFonts w:hint="eastAsia" w:ascii="宋体" w:hAnsi="宋体" w:eastAsia="宋体" w:cs="宋体"/>
          <w:color w:val="auto"/>
          <w:spacing w:val="21"/>
          <w:sz w:val="21"/>
          <w:szCs w:val="21"/>
          <w:highlight w:val="none"/>
        </w:rPr>
        <w:t>1)保证的范围及保证金额</w:t>
      </w:r>
    </w:p>
    <w:p w14:paraId="6CC99A40">
      <w:pPr>
        <w:pStyle w:val="251"/>
        <w:spacing w:beforeLines="0" w:afterLines="0" w:line="360" w:lineRule="auto"/>
        <w:rPr>
          <w:rStyle w:val="47"/>
          <w:rFonts w:hint="eastAsia" w:ascii="宋体" w:hAnsi="宋体" w:eastAsia="宋体" w:cs="宋体"/>
          <w:color w:val="auto"/>
          <w:sz w:val="21"/>
          <w:szCs w:val="21"/>
          <w:highlight w:val="none"/>
        </w:rPr>
      </w:pPr>
    </w:p>
    <w:p w14:paraId="22A0DF6B">
      <w:pPr>
        <w:pStyle w:val="251"/>
        <w:spacing w:before="0" w:beforeLines="0" w:afterLines="0" w:line="360" w:lineRule="auto"/>
        <w:ind w:left="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①发包人的保证</w:t>
      </w:r>
      <w:r>
        <w:rPr>
          <w:rStyle w:val="47"/>
          <w:rFonts w:hint="eastAsia" w:ascii="宋体" w:hAnsi="宋体" w:eastAsia="宋体" w:cs="宋体"/>
          <w:color w:val="auto"/>
          <w:spacing w:val="1"/>
          <w:sz w:val="21"/>
          <w:szCs w:val="21"/>
          <w:highlight w:val="none"/>
        </w:rPr>
        <w:t>范围是主合同约定的工程款。</w:t>
      </w:r>
    </w:p>
    <w:p w14:paraId="7CD8DEF1">
      <w:pPr>
        <w:pStyle w:val="251"/>
        <w:spacing w:before="0" w:beforeLines="0" w:afterLines="0" w:line="360" w:lineRule="auto"/>
        <w:ind w:left="0" w:right="0" w:firstLine="474"/>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②</w:t>
      </w:r>
      <w:r>
        <w:rPr>
          <w:rStyle w:val="47"/>
          <w:rFonts w:hint="eastAsia" w:ascii="宋体" w:hAnsi="宋体" w:eastAsia="宋体" w:cs="宋体"/>
          <w:color w:val="auto"/>
          <w:spacing w:val="2"/>
          <w:sz w:val="21"/>
          <w:szCs w:val="21"/>
          <w:highlight w:val="none"/>
        </w:rPr>
        <w:t>本保函所称主合同约定的工程款是指主</w:t>
      </w:r>
      <w:r>
        <w:rPr>
          <w:rStyle w:val="47"/>
          <w:rFonts w:hint="eastAsia" w:ascii="宋体" w:hAnsi="宋体" w:eastAsia="宋体" w:cs="宋体"/>
          <w:color w:val="auto"/>
          <w:spacing w:val="1"/>
          <w:sz w:val="21"/>
          <w:szCs w:val="21"/>
          <w:highlight w:val="none"/>
        </w:rPr>
        <w:t>合同约定的除工程质量保证金以外的</w:t>
      </w:r>
      <w:r>
        <w:rPr>
          <w:rStyle w:val="47"/>
          <w:rFonts w:hint="eastAsia" w:ascii="宋体" w:hAnsi="宋体" w:eastAsia="宋体" w:cs="宋体"/>
          <w:color w:val="auto"/>
          <w:sz w:val="21"/>
          <w:szCs w:val="21"/>
          <w:highlight w:val="none"/>
        </w:rPr>
        <w:t xml:space="preserve"> </w:t>
      </w:r>
      <w:r>
        <w:rPr>
          <w:rStyle w:val="47"/>
          <w:rFonts w:hint="eastAsia" w:ascii="宋体" w:hAnsi="宋体" w:eastAsia="宋体" w:cs="宋体"/>
          <w:color w:val="auto"/>
          <w:spacing w:val="-6"/>
          <w:sz w:val="21"/>
          <w:szCs w:val="21"/>
          <w:highlight w:val="none"/>
        </w:rPr>
        <w:t>合</w:t>
      </w:r>
      <w:r>
        <w:rPr>
          <w:rStyle w:val="47"/>
          <w:rFonts w:hint="eastAsia" w:ascii="宋体" w:hAnsi="宋体" w:eastAsia="宋体" w:cs="宋体"/>
          <w:color w:val="auto"/>
          <w:spacing w:val="-3"/>
          <w:sz w:val="21"/>
          <w:szCs w:val="21"/>
          <w:highlight w:val="none"/>
        </w:rPr>
        <w:t>同价款。</w:t>
      </w:r>
    </w:p>
    <w:p w14:paraId="54817AF5">
      <w:pPr>
        <w:pStyle w:val="251"/>
        <w:spacing w:before="0" w:beforeLines="0" w:afterLines="0" w:line="360" w:lineRule="auto"/>
        <w:ind w:left="0" w:right="0" w:firstLine="47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③发包人保证的金额是主合同约定的合同价</w:t>
      </w:r>
      <w:r>
        <w:rPr>
          <w:rStyle w:val="47"/>
          <w:rFonts w:hint="eastAsia" w:ascii="宋体" w:hAnsi="宋体" w:eastAsia="宋体" w:cs="宋体"/>
          <w:color w:val="auto"/>
          <w:spacing w:val="1"/>
          <w:sz w:val="21"/>
          <w:szCs w:val="21"/>
          <w:highlight w:val="none"/>
        </w:rPr>
        <w:t>款扣除建安劳保费、发包人材料价</w:t>
      </w:r>
      <w:r>
        <w:rPr>
          <w:rStyle w:val="47"/>
          <w:rFonts w:hint="eastAsia" w:ascii="宋体" w:hAnsi="宋体" w:eastAsia="宋体" w:cs="宋体"/>
          <w:color w:val="auto"/>
          <w:sz w:val="21"/>
          <w:szCs w:val="21"/>
          <w:highlight w:val="none"/>
        </w:rPr>
        <w:t xml:space="preserve"> </w:t>
      </w:r>
      <w:r>
        <w:rPr>
          <w:rStyle w:val="47"/>
          <w:rFonts w:hint="eastAsia" w:ascii="宋体" w:hAnsi="宋体" w:eastAsia="宋体" w:cs="宋体"/>
          <w:color w:val="auto"/>
          <w:spacing w:val="-2"/>
          <w:sz w:val="21"/>
          <w:szCs w:val="21"/>
          <w:highlight w:val="none"/>
        </w:rPr>
        <w:t>款、暂估专业工程、</w:t>
      </w:r>
      <w:r>
        <w:rPr>
          <w:rStyle w:val="47"/>
          <w:rFonts w:hint="eastAsia" w:ascii="宋体" w:hAnsi="宋体" w:eastAsia="宋体" w:cs="宋体"/>
          <w:color w:val="auto"/>
          <w:spacing w:val="-1"/>
          <w:sz w:val="21"/>
          <w:szCs w:val="21"/>
          <w:highlight w:val="none"/>
        </w:rPr>
        <w:t>暂列金额后的 5%。</w:t>
      </w:r>
    </w:p>
    <w:p w14:paraId="491E6362">
      <w:pPr>
        <w:pStyle w:val="251"/>
        <w:spacing w:beforeLines="0" w:afterLines="0" w:line="360" w:lineRule="auto"/>
        <w:ind w:left="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7"/>
          <w:sz w:val="21"/>
          <w:szCs w:val="21"/>
          <w:highlight w:val="none"/>
        </w:rPr>
        <w:t>(</w:t>
      </w:r>
      <w:r>
        <w:rPr>
          <w:rStyle w:val="47"/>
          <w:rFonts w:hint="eastAsia" w:ascii="宋体" w:hAnsi="宋体" w:eastAsia="宋体" w:cs="宋体"/>
          <w:color w:val="auto"/>
          <w:spacing w:val="21"/>
          <w:sz w:val="21"/>
          <w:szCs w:val="21"/>
          <w:highlight w:val="none"/>
        </w:rPr>
        <w:t>2)保证的方式及保证期间</w:t>
      </w:r>
    </w:p>
    <w:p w14:paraId="12283D43">
      <w:pPr>
        <w:pStyle w:val="251"/>
        <w:spacing w:before="0" w:beforeLines="0" w:afterLines="0" w:line="360" w:lineRule="auto"/>
        <w:ind w:left="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6"/>
          <w:sz w:val="21"/>
          <w:szCs w:val="21"/>
          <w:highlight w:val="none"/>
        </w:rPr>
        <w:t>①发包</w:t>
      </w:r>
      <w:r>
        <w:rPr>
          <w:rStyle w:val="47"/>
          <w:rFonts w:hint="eastAsia" w:ascii="宋体" w:hAnsi="宋体" w:eastAsia="宋体" w:cs="宋体"/>
          <w:color w:val="auto"/>
          <w:spacing w:val="-5"/>
          <w:sz w:val="21"/>
          <w:szCs w:val="21"/>
          <w:highlight w:val="none"/>
        </w:rPr>
        <w:t>人</w:t>
      </w:r>
      <w:r>
        <w:rPr>
          <w:rStyle w:val="47"/>
          <w:rFonts w:hint="eastAsia" w:ascii="宋体" w:hAnsi="宋体" w:eastAsia="宋体" w:cs="宋体"/>
          <w:color w:val="auto"/>
          <w:spacing w:val="-3"/>
          <w:sz w:val="21"/>
          <w:szCs w:val="21"/>
          <w:highlight w:val="none"/>
        </w:rPr>
        <w:t>保证的方式为： 连带责任保证。</w:t>
      </w:r>
    </w:p>
    <w:p w14:paraId="1AB69C5E">
      <w:pPr>
        <w:pStyle w:val="251"/>
        <w:spacing w:before="0" w:beforeLines="0" w:afterLines="0" w:line="360" w:lineRule="auto"/>
        <w:ind w:left="0" w:right="0" w:firstLine="472"/>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②发包人保证的期间为： 自本项目合同生效之日起至主合同约定的工程款</w:t>
      </w:r>
      <w:r>
        <w:rPr>
          <w:rStyle w:val="47"/>
          <w:rFonts w:hint="eastAsia" w:ascii="宋体" w:hAnsi="宋体" w:eastAsia="宋体" w:cs="宋体"/>
          <w:color w:val="auto"/>
          <w:spacing w:val="-1"/>
          <w:sz w:val="21"/>
          <w:szCs w:val="21"/>
          <w:highlight w:val="none"/>
        </w:rPr>
        <w:t>支</w:t>
      </w:r>
      <w:r>
        <w:rPr>
          <w:rStyle w:val="47"/>
          <w:rFonts w:hint="eastAsia" w:ascii="宋体" w:hAnsi="宋体" w:eastAsia="宋体" w:cs="宋体"/>
          <w:color w:val="auto"/>
          <w:sz w:val="21"/>
          <w:szCs w:val="21"/>
          <w:highlight w:val="none"/>
        </w:rPr>
        <w:t xml:space="preserve">付 </w:t>
      </w:r>
      <w:r>
        <w:rPr>
          <w:rStyle w:val="47"/>
          <w:rFonts w:hint="eastAsia" w:ascii="宋体" w:hAnsi="宋体" w:eastAsia="宋体" w:cs="宋体"/>
          <w:color w:val="auto"/>
          <w:spacing w:val="-9"/>
          <w:sz w:val="21"/>
          <w:szCs w:val="21"/>
          <w:highlight w:val="none"/>
        </w:rPr>
        <w:t>完毕之日后 7 日内。</w:t>
      </w:r>
    </w:p>
    <w:p w14:paraId="7926C38C">
      <w:pPr>
        <w:pStyle w:val="246"/>
        <w:keepNext/>
        <w:keepLines/>
        <w:spacing w:before="0" w:beforeLines="0" w:after="0" w:afterLines="0" w:line="360" w:lineRule="auto"/>
        <w:ind w:firstLine="428" w:firstLineChars="200"/>
        <w:outlineLvl w:val="1"/>
        <w:rPr>
          <w:rStyle w:val="47"/>
          <w:rFonts w:hint="eastAsia" w:ascii="宋体" w:hAnsi="宋体" w:eastAsia="宋体" w:cs="宋体"/>
          <w:color w:val="auto"/>
          <w:sz w:val="21"/>
          <w:szCs w:val="21"/>
          <w:highlight w:val="none"/>
        </w:rPr>
      </w:pPr>
      <w:bookmarkStart w:id="389" w:name="_Toc14352"/>
      <w:bookmarkStart w:id="390" w:name="_Toc27799"/>
      <w:r>
        <w:rPr>
          <w:rStyle w:val="47"/>
          <w:rFonts w:hint="eastAsia" w:ascii="宋体" w:hAnsi="宋体" w:eastAsia="宋体" w:cs="宋体"/>
          <w:color w:val="auto"/>
          <w:spacing w:val="2"/>
          <w:sz w:val="21"/>
          <w:szCs w:val="21"/>
          <w:highlight w:val="none"/>
        </w:rPr>
        <w:t>③承包人与发包人协议变更工程款支付日期</w:t>
      </w:r>
      <w:r>
        <w:rPr>
          <w:rStyle w:val="47"/>
          <w:rFonts w:hint="eastAsia" w:ascii="宋体" w:hAnsi="宋体" w:eastAsia="宋体" w:cs="宋体"/>
          <w:color w:val="auto"/>
          <w:spacing w:val="1"/>
          <w:sz w:val="21"/>
          <w:szCs w:val="21"/>
          <w:highlight w:val="none"/>
        </w:rPr>
        <w:t>的，经发包人书面同意后，保证期</w:t>
      </w:r>
      <w:r>
        <w:rPr>
          <w:rStyle w:val="47"/>
          <w:rFonts w:hint="eastAsia" w:ascii="宋体" w:hAnsi="宋体" w:eastAsia="宋体" w:cs="宋体"/>
          <w:color w:val="auto"/>
          <w:sz w:val="21"/>
          <w:szCs w:val="21"/>
          <w:highlight w:val="none"/>
        </w:rPr>
        <w:t xml:space="preserve"> </w:t>
      </w:r>
      <w:r>
        <w:rPr>
          <w:rStyle w:val="47"/>
          <w:rFonts w:hint="eastAsia" w:ascii="宋体" w:hAnsi="宋体" w:eastAsia="宋体" w:cs="宋体"/>
          <w:color w:val="auto"/>
          <w:spacing w:val="1"/>
          <w:sz w:val="21"/>
          <w:szCs w:val="21"/>
          <w:highlight w:val="none"/>
        </w:rPr>
        <w:t>间按照变更后</w:t>
      </w:r>
      <w:r>
        <w:rPr>
          <w:rStyle w:val="47"/>
          <w:rFonts w:hint="eastAsia" w:ascii="宋体" w:hAnsi="宋体" w:eastAsia="宋体" w:cs="宋体"/>
          <w:color w:val="auto"/>
          <w:sz w:val="21"/>
          <w:szCs w:val="21"/>
          <w:highlight w:val="none"/>
        </w:rPr>
        <w:t>的支付日期做相应调整。</w:t>
      </w:r>
      <w:bookmarkEnd w:id="389"/>
      <w:bookmarkEnd w:id="390"/>
    </w:p>
    <w:p w14:paraId="66BE14A8">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391" w:name="_Toc31151"/>
      <w:bookmarkStart w:id="392" w:name="_Toc13691"/>
      <w:r>
        <w:rPr>
          <w:rStyle w:val="47"/>
          <w:rFonts w:hint="eastAsia" w:ascii="宋体" w:hAnsi="宋体" w:eastAsia="宋体" w:cs="宋体"/>
          <w:b/>
          <w:bCs/>
          <w:color w:val="auto"/>
          <w:sz w:val="21"/>
          <w:szCs w:val="21"/>
          <w:highlight w:val="none"/>
          <w:shd w:val="clear" w:color="auto" w:fill="auto"/>
          <w:lang w:val="zh-CN"/>
        </w:rPr>
        <w:t>4</w:t>
      </w:r>
      <w:bookmarkStart w:id="393" w:name="_Toc296346663"/>
      <w:bookmarkStart w:id="394" w:name="_Toc292559871"/>
      <w:bookmarkStart w:id="395" w:name="_Toc296503162"/>
      <w:bookmarkStart w:id="396" w:name="_Toc296347161"/>
      <w:bookmarkStart w:id="397" w:name="_Toc292559366"/>
      <w:bookmarkStart w:id="398" w:name="_Toc297048348"/>
      <w:bookmarkStart w:id="399" w:name="_Toc296890990"/>
      <w:bookmarkStart w:id="400" w:name="_Toc267251413"/>
      <w:bookmarkStart w:id="401" w:name="_Toc296891202"/>
      <w:bookmarkStart w:id="402" w:name="_Toc296944501"/>
      <w:bookmarkStart w:id="403" w:name="_Toc297120462"/>
      <w:r>
        <w:rPr>
          <w:rStyle w:val="47"/>
          <w:rFonts w:hint="eastAsia" w:ascii="宋体" w:hAnsi="宋体" w:eastAsia="宋体" w:cs="宋体"/>
          <w:b/>
          <w:bCs/>
          <w:color w:val="auto"/>
          <w:sz w:val="21"/>
          <w:szCs w:val="21"/>
          <w:highlight w:val="none"/>
          <w:shd w:val="clear" w:color="auto" w:fill="auto"/>
          <w:lang w:val="zh-CN"/>
        </w:rPr>
        <w:t>. 监</w:t>
      </w:r>
      <w:bookmarkEnd w:id="393"/>
      <w:bookmarkEnd w:id="394"/>
      <w:bookmarkEnd w:id="395"/>
      <w:bookmarkEnd w:id="396"/>
      <w:bookmarkEnd w:id="397"/>
      <w:bookmarkEnd w:id="398"/>
      <w:bookmarkEnd w:id="399"/>
      <w:bookmarkEnd w:id="400"/>
      <w:bookmarkEnd w:id="401"/>
      <w:bookmarkEnd w:id="402"/>
      <w:bookmarkEnd w:id="403"/>
      <w:r>
        <w:rPr>
          <w:rStyle w:val="47"/>
          <w:rFonts w:hint="eastAsia" w:ascii="宋体" w:hAnsi="宋体" w:eastAsia="宋体" w:cs="宋体"/>
          <w:b/>
          <w:bCs/>
          <w:color w:val="auto"/>
          <w:sz w:val="21"/>
          <w:szCs w:val="21"/>
          <w:highlight w:val="none"/>
          <w:shd w:val="clear" w:color="auto" w:fill="auto"/>
          <w:lang w:val="zh-CN"/>
        </w:rPr>
        <w:t>理人</w:t>
      </w:r>
      <w:bookmarkEnd w:id="383"/>
      <w:bookmarkEnd w:id="384"/>
      <w:bookmarkEnd w:id="385"/>
      <w:bookmarkEnd w:id="386"/>
      <w:bookmarkEnd w:id="387"/>
      <w:bookmarkEnd w:id="388"/>
      <w:bookmarkEnd w:id="391"/>
      <w:bookmarkEnd w:id="392"/>
    </w:p>
    <w:p w14:paraId="0339159A">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04" w:name="_Toc389065280"/>
      <w:bookmarkStart w:id="405" w:name="_Toc373227714"/>
      <w:bookmarkStart w:id="406" w:name="_Toc9850544"/>
      <w:bookmarkStart w:id="407" w:name="_Toc373478361"/>
      <w:bookmarkStart w:id="408" w:name="_Toc407135216"/>
      <w:r>
        <w:rPr>
          <w:rStyle w:val="47"/>
          <w:rFonts w:hint="eastAsia" w:ascii="宋体" w:hAnsi="宋体" w:eastAsia="宋体" w:cs="宋体"/>
          <w:b/>
          <w:bCs/>
          <w:color w:val="auto"/>
          <w:sz w:val="21"/>
          <w:szCs w:val="21"/>
          <w:highlight w:val="none"/>
          <w:shd w:val="clear" w:color="auto" w:fill="auto"/>
          <w:lang w:val="zh-CN"/>
        </w:rPr>
        <w:t>4.1 监理人的一般规定</w:t>
      </w:r>
      <w:bookmarkEnd w:id="404"/>
      <w:bookmarkEnd w:id="405"/>
      <w:bookmarkEnd w:id="406"/>
      <w:bookmarkEnd w:id="407"/>
      <w:bookmarkEnd w:id="408"/>
    </w:p>
    <w:p w14:paraId="1743E56E">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关于监理人的监理内容：</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1FC9EDF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关于监理人的监理权限：</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4B9D7D3C">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关于监理人在施工现场的办公场所、生活场所的提供和费用承担的约定：</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1782A46E">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09" w:name="_Toc9850545"/>
      <w:bookmarkStart w:id="410" w:name="_Toc389065281"/>
      <w:bookmarkStart w:id="411" w:name="_Toc373227715"/>
      <w:bookmarkStart w:id="412" w:name="_Toc373478362"/>
      <w:bookmarkStart w:id="413" w:name="_Toc407135217"/>
      <w:r>
        <w:rPr>
          <w:rStyle w:val="47"/>
          <w:rFonts w:hint="eastAsia" w:ascii="宋体" w:hAnsi="宋体" w:eastAsia="宋体" w:cs="宋体"/>
          <w:b/>
          <w:bCs/>
          <w:color w:val="auto"/>
          <w:sz w:val="21"/>
          <w:szCs w:val="21"/>
          <w:highlight w:val="none"/>
          <w:shd w:val="clear" w:color="auto" w:fill="auto"/>
          <w:lang w:val="zh-CN"/>
        </w:rPr>
        <w:t>4.2 监理人员</w:t>
      </w:r>
      <w:bookmarkEnd w:id="409"/>
      <w:bookmarkEnd w:id="410"/>
      <w:bookmarkEnd w:id="411"/>
      <w:bookmarkEnd w:id="412"/>
      <w:bookmarkEnd w:id="413"/>
    </w:p>
    <w:p w14:paraId="23CB15D0">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bookmarkStart w:id="414" w:name="_Toc373478363"/>
      <w:bookmarkStart w:id="415" w:name="_Toc373227716"/>
      <w:bookmarkStart w:id="416" w:name="_Toc389065282"/>
      <w:bookmarkStart w:id="417" w:name="_Toc9850546"/>
      <w:bookmarkStart w:id="418" w:name="_Toc407135218"/>
      <w:r>
        <w:rPr>
          <w:rStyle w:val="47"/>
          <w:rFonts w:hint="eastAsia" w:ascii="宋体" w:hAnsi="宋体" w:eastAsia="宋体" w:cs="宋体"/>
          <w:color w:val="auto"/>
          <w:szCs w:val="21"/>
          <w:highlight w:val="none"/>
          <w:shd w:val="clear" w:color="auto" w:fill="auto"/>
        </w:rPr>
        <w:t>总监理工程师：</w:t>
      </w:r>
    </w:p>
    <w:p w14:paraId="6C183CC3">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姓    名：</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6290BFD2">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职    务：</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见本工程监理合同</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szCs w:val="21"/>
          <w:highlight w:val="none"/>
          <w:shd w:val="clear" w:color="auto" w:fill="auto"/>
        </w:rPr>
        <w:t>；</w:t>
      </w:r>
    </w:p>
    <w:p w14:paraId="2BEC4EFC">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监理工程师执业资格证书号：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7913B69E">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联系电话：</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14339789">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电子信箱：</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182984E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通信地址：</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详</w:t>
      </w:r>
      <w:r>
        <w:rPr>
          <w:rStyle w:val="47"/>
          <w:rFonts w:hint="eastAsia" w:ascii="宋体" w:hAnsi="宋体" w:eastAsia="宋体" w:cs="宋体"/>
          <w:color w:val="auto"/>
          <w:szCs w:val="21"/>
          <w:highlight w:val="none"/>
          <w:u w:val="single"/>
          <w:shd w:val="clear" w:color="auto" w:fill="auto"/>
        </w:rPr>
        <w:t xml:space="preserve">见本工程监理合同 </w:t>
      </w:r>
      <w:r>
        <w:rPr>
          <w:rStyle w:val="47"/>
          <w:rFonts w:hint="eastAsia" w:ascii="宋体" w:hAnsi="宋体" w:eastAsia="宋体" w:cs="宋体"/>
          <w:color w:val="auto"/>
          <w:szCs w:val="21"/>
          <w:highlight w:val="none"/>
          <w:shd w:val="clear" w:color="auto" w:fill="auto"/>
        </w:rPr>
        <w:t>；</w:t>
      </w:r>
    </w:p>
    <w:p w14:paraId="232E8AAF">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4.4 商定或确定</w:t>
      </w:r>
      <w:bookmarkEnd w:id="414"/>
      <w:bookmarkEnd w:id="415"/>
      <w:bookmarkEnd w:id="416"/>
      <w:bookmarkEnd w:id="417"/>
      <w:bookmarkEnd w:id="418"/>
    </w:p>
    <w:p w14:paraId="27F1F4B5">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bookmarkStart w:id="419" w:name="_Toc267251418"/>
      <w:r>
        <w:rPr>
          <w:rStyle w:val="47"/>
          <w:rFonts w:hint="eastAsia" w:ascii="宋体" w:hAnsi="宋体" w:eastAsia="宋体" w:cs="宋体"/>
          <w:color w:val="auto"/>
          <w:szCs w:val="21"/>
          <w:highlight w:val="none"/>
          <w:shd w:val="clear" w:color="auto" w:fill="auto"/>
        </w:rPr>
        <w:t>在发包人和承包人不能通过协商达成一致意见时，发包人授权监理人对以下事项进行确定：</w:t>
      </w:r>
    </w:p>
    <w:p w14:paraId="1E48FC9F">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68461249">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06A209AA">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557F702E">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420" w:name="_Toc407135219"/>
      <w:bookmarkStart w:id="421" w:name="_Toc9850547"/>
      <w:bookmarkStart w:id="422" w:name="_Toc373227717"/>
      <w:bookmarkStart w:id="423" w:name="_Toc373478364"/>
      <w:bookmarkStart w:id="424" w:name="_Toc11418"/>
      <w:bookmarkStart w:id="425" w:name="_Toc351203637"/>
      <w:bookmarkStart w:id="426" w:name="_Toc3205"/>
      <w:bookmarkStart w:id="427" w:name="_Toc389065283"/>
      <w:r>
        <w:rPr>
          <w:rStyle w:val="47"/>
          <w:rFonts w:hint="eastAsia" w:ascii="宋体" w:hAnsi="宋体" w:eastAsia="宋体" w:cs="宋体"/>
          <w:b/>
          <w:bCs/>
          <w:color w:val="auto"/>
          <w:sz w:val="21"/>
          <w:szCs w:val="21"/>
          <w:highlight w:val="none"/>
          <w:shd w:val="clear" w:color="auto" w:fill="auto"/>
          <w:lang w:val="zh-CN"/>
        </w:rPr>
        <w:t>5</w:t>
      </w:r>
      <w:bookmarkEnd w:id="419"/>
      <w:bookmarkStart w:id="428" w:name="_Toc296891203"/>
      <w:bookmarkStart w:id="429" w:name="_Toc297048349"/>
      <w:bookmarkStart w:id="430" w:name="_Toc296944502"/>
      <w:bookmarkStart w:id="431" w:name="_Toc292559872"/>
      <w:bookmarkStart w:id="432" w:name="_Toc296347162"/>
      <w:bookmarkStart w:id="433" w:name="_Toc296346664"/>
      <w:bookmarkStart w:id="434" w:name="_Toc296503163"/>
      <w:bookmarkStart w:id="435" w:name="_Toc297120463"/>
      <w:bookmarkStart w:id="436" w:name="_Toc292559367"/>
      <w:bookmarkStart w:id="437" w:name="_Toc296890991"/>
      <w:r>
        <w:rPr>
          <w:rStyle w:val="47"/>
          <w:rFonts w:hint="eastAsia" w:ascii="宋体" w:hAnsi="宋体" w:eastAsia="宋体" w:cs="宋体"/>
          <w:b/>
          <w:bCs/>
          <w:color w:val="auto"/>
          <w:sz w:val="21"/>
          <w:szCs w:val="21"/>
          <w:highlight w:val="none"/>
          <w:shd w:val="clear" w:color="auto" w:fill="auto"/>
          <w:lang w:val="zh-CN"/>
        </w:rPr>
        <w:t>. 工程质量</w:t>
      </w:r>
      <w:bookmarkEnd w:id="420"/>
      <w:bookmarkEnd w:id="421"/>
      <w:bookmarkEnd w:id="422"/>
      <w:bookmarkEnd w:id="423"/>
      <w:bookmarkEnd w:id="424"/>
      <w:bookmarkEnd w:id="425"/>
      <w:bookmarkEnd w:id="426"/>
      <w:bookmarkEnd w:id="427"/>
    </w:p>
    <w:p w14:paraId="49362847">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38" w:name="_Toc9850548"/>
      <w:bookmarkStart w:id="439" w:name="_Toc407135220"/>
      <w:bookmarkStart w:id="440" w:name="_Toc389065284"/>
      <w:bookmarkStart w:id="441" w:name="_Toc373478365"/>
      <w:bookmarkStart w:id="442" w:name="_Toc373227718"/>
      <w:r>
        <w:rPr>
          <w:rStyle w:val="47"/>
          <w:rFonts w:hint="eastAsia" w:ascii="宋体" w:hAnsi="宋体" w:eastAsia="宋体" w:cs="宋体"/>
          <w:b/>
          <w:bCs/>
          <w:color w:val="auto"/>
          <w:sz w:val="21"/>
          <w:szCs w:val="21"/>
          <w:highlight w:val="none"/>
          <w:shd w:val="clear" w:color="auto" w:fill="auto"/>
          <w:lang w:val="zh-CN"/>
        </w:rPr>
        <w:t>5.1 质量要求</w:t>
      </w:r>
      <w:bookmarkEnd w:id="438"/>
      <w:bookmarkEnd w:id="439"/>
      <w:bookmarkEnd w:id="440"/>
      <w:bookmarkEnd w:id="441"/>
      <w:bookmarkEnd w:id="442"/>
    </w:p>
    <w:p w14:paraId="1A28F6FB">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5</w:t>
      </w:r>
      <w:bookmarkStart w:id="443" w:name="_Toc303539106"/>
      <w:bookmarkStart w:id="444" w:name="_Toc312677997"/>
      <w:bookmarkStart w:id="445" w:name="_Toc318581164"/>
      <w:bookmarkStart w:id="446" w:name="_Toc300934949"/>
      <w:bookmarkStart w:id="447" w:name="_Toc304295527"/>
      <w:bookmarkStart w:id="448" w:name="_Toc297216155"/>
      <w:bookmarkStart w:id="449" w:name="_Toc297123496"/>
      <w:r>
        <w:rPr>
          <w:rStyle w:val="47"/>
          <w:rFonts w:hint="eastAsia" w:ascii="宋体" w:hAnsi="宋体" w:eastAsia="宋体" w:cs="宋体"/>
          <w:color w:val="auto"/>
          <w:szCs w:val="21"/>
          <w:highlight w:val="none"/>
          <w:shd w:val="clear" w:color="auto" w:fill="auto"/>
        </w:rPr>
        <w:t>.1.1 特殊质量标准和要求：</w:t>
      </w:r>
      <w:r>
        <w:rPr>
          <w:rStyle w:val="47"/>
          <w:rFonts w:hint="eastAsia" w:ascii="宋体" w:hAnsi="宋体" w:eastAsia="宋体" w:cs="宋体"/>
          <w:color w:val="auto"/>
          <w:szCs w:val="21"/>
          <w:highlight w:val="none"/>
          <w:u w:val="single"/>
          <w:shd w:val="clear" w:color="auto" w:fill="auto"/>
        </w:rPr>
        <w:t xml:space="preserve"> 工程质量符合相关国家现行建设工程质量规范合格要求 </w:t>
      </w:r>
      <w:r>
        <w:rPr>
          <w:rStyle w:val="47"/>
          <w:rFonts w:hint="eastAsia" w:ascii="宋体" w:hAnsi="宋体" w:eastAsia="宋体" w:cs="宋体"/>
          <w:color w:val="auto"/>
          <w:szCs w:val="21"/>
          <w:highlight w:val="none"/>
          <w:shd w:val="clear" w:color="auto" w:fill="auto"/>
        </w:rPr>
        <w:t>。</w:t>
      </w:r>
    </w:p>
    <w:p w14:paraId="527D9FF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关于工程奖项的约定：</w:t>
      </w:r>
      <w:r>
        <w:rPr>
          <w:rStyle w:val="47"/>
          <w:rFonts w:hint="eastAsia" w:ascii="宋体" w:hAnsi="宋体" w:eastAsia="宋体" w:cs="宋体"/>
          <w:color w:val="auto"/>
          <w:szCs w:val="21"/>
          <w:highlight w:val="none"/>
          <w:u w:val="single"/>
          <w:shd w:val="clear" w:color="auto" w:fill="auto"/>
        </w:rPr>
        <w:t xml:space="preserve">无 </w:t>
      </w:r>
      <w:r>
        <w:rPr>
          <w:rStyle w:val="47"/>
          <w:rFonts w:hint="eastAsia" w:ascii="宋体" w:hAnsi="宋体" w:eastAsia="宋体" w:cs="宋体"/>
          <w:color w:val="auto"/>
          <w:szCs w:val="21"/>
          <w:highlight w:val="none"/>
          <w:shd w:val="clear" w:color="auto" w:fill="auto"/>
        </w:rPr>
        <w:t xml:space="preserve">。 </w:t>
      </w:r>
    </w:p>
    <w:p w14:paraId="4112B93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5.3 隐蔽工程检查</w:t>
      </w:r>
    </w:p>
    <w:p w14:paraId="3181AB70">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4262FF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监理人不能按时进行检查时，应提前</w:t>
      </w:r>
      <w:r>
        <w:rPr>
          <w:rStyle w:val="47"/>
          <w:rFonts w:hint="eastAsia" w:ascii="宋体" w:hAnsi="宋体" w:eastAsia="宋体" w:cs="宋体"/>
          <w:color w:val="auto"/>
          <w:szCs w:val="21"/>
          <w:highlight w:val="none"/>
          <w:u w:val="single"/>
          <w:shd w:val="clear" w:color="auto" w:fill="auto"/>
        </w:rPr>
        <w:t xml:space="preserve">  24  </w:t>
      </w:r>
      <w:r>
        <w:rPr>
          <w:rStyle w:val="47"/>
          <w:rFonts w:hint="eastAsia" w:ascii="宋体" w:hAnsi="宋体" w:eastAsia="宋体" w:cs="宋体"/>
          <w:color w:val="auto"/>
          <w:szCs w:val="21"/>
          <w:highlight w:val="none"/>
          <w:shd w:val="clear" w:color="auto" w:fill="auto"/>
        </w:rPr>
        <w:t>小时提交书面延期要求。</w:t>
      </w:r>
    </w:p>
    <w:p w14:paraId="0E8D16C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关于延期最长不得超过：</w:t>
      </w:r>
      <w:r>
        <w:rPr>
          <w:rStyle w:val="47"/>
          <w:rFonts w:hint="eastAsia" w:ascii="宋体" w:hAnsi="宋体" w:eastAsia="宋体" w:cs="宋体"/>
          <w:color w:val="auto"/>
          <w:szCs w:val="21"/>
          <w:highlight w:val="none"/>
          <w:u w:val="single"/>
          <w:shd w:val="clear" w:color="auto" w:fill="auto"/>
        </w:rPr>
        <w:t xml:space="preserve">  48  </w:t>
      </w:r>
      <w:r>
        <w:rPr>
          <w:rStyle w:val="47"/>
          <w:rFonts w:hint="eastAsia" w:ascii="宋体" w:hAnsi="宋体" w:eastAsia="宋体" w:cs="宋体"/>
          <w:color w:val="auto"/>
          <w:szCs w:val="21"/>
          <w:highlight w:val="none"/>
          <w:shd w:val="clear" w:color="auto" w:fill="auto"/>
        </w:rPr>
        <w:t>小时。</w:t>
      </w:r>
    </w:p>
    <w:p w14:paraId="77D4F0B0">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450" w:name="_Toc5553"/>
      <w:bookmarkStart w:id="451" w:name="_Toc373478366"/>
      <w:bookmarkStart w:id="452" w:name="_Toc7610"/>
      <w:bookmarkStart w:id="453" w:name="_Toc351203638"/>
      <w:bookmarkStart w:id="454" w:name="_Toc407135221"/>
      <w:bookmarkStart w:id="455" w:name="_Toc389065285"/>
      <w:bookmarkStart w:id="456" w:name="_Toc9850549"/>
      <w:bookmarkStart w:id="457" w:name="_Toc373227719"/>
      <w:r>
        <w:rPr>
          <w:rStyle w:val="47"/>
          <w:rFonts w:hint="eastAsia" w:ascii="宋体" w:hAnsi="宋体" w:eastAsia="宋体" w:cs="宋体"/>
          <w:b/>
          <w:bCs/>
          <w:color w:val="auto"/>
          <w:sz w:val="21"/>
          <w:szCs w:val="21"/>
          <w:highlight w:val="none"/>
          <w:shd w:val="clear" w:color="auto" w:fill="auto"/>
          <w:lang w:val="zh-CN"/>
        </w:rPr>
        <w:t>6. 安全文明施工与环境保护</w:t>
      </w:r>
      <w:bookmarkEnd w:id="450"/>
      <w:bookmarkEnd w:id="451"/>
      <w:bookmarkEnd w:id="452"/>
      <w:bookmarkEnd w:id="453"/>
      <w:bookmarkEnd w:id="454"/>
      <w:bookmarkEnd w:id="455"/>
      <w:bookmarkEnd w:id="456"/>
      <w:bookmarkEnd w:id="457"/>
    </w:p>
    <w:p w14:paraId="292B718F">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58" w:name="_Toc373478367"/>
      <w:bookmarkStart w:id="459" w:name="_Toc9850550"/>
      <w:bookmarkStart w:id="460" w:name="_Toc407135222"/>
      <w:bookmarkStart w:id="461" w:name="_Toc389065286"/>
      <w:bookmarkStart w:id="462" w:name="_Toc373227720"/>
      <w:r>
        <w:rPr>
          <w:rStyle w:val="47"/>
          <w:rFonts w:hint="eastAsia" w:ascii="宋体" w:hAnsi="宋体" w:eastAsia="宋体" w:cs="宋体"/>
          <w:b/>
          <w:bCs/>
          <w:color w:val="auto"/>
          <w:sz w:val="21"/>
          <w:szCs w:val="21"/>
          <w:highlight w:val="none"/>
          <w:shd w:val="clear" w:color="auto" w:fill="auto"/>
          <w:lang w:val="zh-CN"/>
        </w:rPr>
        <w:t>6.1 安全文明施工</w:t>
      </w:r>
      <w:bookmarkEnd w:id="458"/>
      <w:bookmarkEnd w:id="459"/>
      <w:bookmarkEnd w:id="460"/>
      <w:bookmarkEnd w:id="461"/>
      <w:bookmarkEnd w:id="462"/>
    </w:p>
    <w:p w14:paraId="179EBB0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6.1.1 项目安全生产的达标目标及相应事项的约定：</w:t>
      </w:r>
      <w:r>
        <w:rPr>
          <w:rStyle w:val="47"/>
          <w:rFonts w:hint="eastAsia" w:ascii="宋体" w:hAnsi="宋体" w:eastAsia="宋体" w:cs="宋体"/>
          <w:color w:val="auto"/>
          <w:kern w:val="2"/>
          <w:sz w:val="21"/>
          <w:szCs w:val="21"/>
          <w:highlight w:val="none"/>
          <w:u w:val="single"/>
        </w:rPr>
        <w:t>（JGJ59-2011）的标准和符合《广西壮族自治区建设工程安全文明施工费使用管理细则》（桂建质〔2015〕16号）的要求。承包人应制定《房屋建筑和市政基础设施工程施工扬尘控制工作方案》、《房屋建筑和市政基础设施工程现场文明施工标准》等相关规定并履行好施工扬尘控制、文明施工等责任，承包人必须按照国家环保部门及相关环境管理部门的扬尘治理相关规定和现行规范执行，如未达到国家环保部门及相关环境管理部门的规定及规范要求，则按照现行相关规定进行处罚，且发包人有权追究相应责任并要求整改。承包人需自行办理的有关施工场地交通、环卫和施工噪音管理等手续，并应符合国家相关规定，并自行承担其费用</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5881A36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关于安全文明施工奖项的约定：</w:t>
      </w:r>
      <w:r>
        <w:rPr>
          <w:rStyle w:val="47"/>
          <w:rFonts w:hint="eastAsia" w:ascii="宋体" w:hAnsi="宋体" w:eastAsia="宋体" w:cs="宋体"/>
          <w:color w:val="auto"/>
          <w:szCs w:val="21"/>
          <w:highlight w:val="none"/>
          <w:u w:val="single"/>
          <w:shd w:val="clear" w:color="auto" w:fill="auto"/>
        </w:rPr>
        <w:t xml:space="preserve">   无  </w:t>
      </w:r>
      <w:r>
        <w:rPr>
          <w:rStyle w:val="47"/>
          <w:rFonts w:hint="eastAsia" w:ascii="宋体" w:hAnsi="宋体" w:eastAsia="宋体" w:cs="宋体"/>
          <w:color w:val="auto"/>
          <w:szCs w:val="21"/>
          <w:highlight w:val="none"/>
          <w:shd w:val="clear" w:color="auto" w:fill="auto"/>
        </w:rPr>
        <w:t>。</w:t>
      </w:r>
    </w:p>
    <w:p w14:paraId="16D09352">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6.1.4 关于治安保卫的特别约定：</w:t>
      </w:r>
      <w:r>
        <w:rPr>
          <w:rStyle w:val="47"/>
          <w:rFonts w:hint="eastAsia" w:ascii="宋体" w:hAnsi="宋体" w:eastAsia="宋体" w:cs="宋体"/>
          <w:color w:val="auto"/>
          <w:szCs w:val="21"/>
          <w:highlight w:val="none"/>
          <w:u w:val="single"/>
          <w:shd w:val="clear" w:color="auto" w:fill="auto"/>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2F4C04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关于编制施工场地治安管理计划的约定：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承包人在图纸会审和设计交底之日起7天内报送</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010FC3F0">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6.1.5 文明施工</w:t>
      </w:r>
    </w:p>
    <w:p w14:paraId="125A987C">
      <w:pPr>
        <w:pStyle w:val="24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lang w:eastAsia="zh-CN"/>
        </w:rPr>
      </w:pPr>
      <w:r>
        <w:rPr>
          <w:rStyle w:val="47"/>
          <w:rFonts w:hint="eastAsia" w:ascii="宋体" w:hAnsi="宋体" w:eastAsia="宋体" w:cs="宋体"/>
          <w:color w:val="auto"/>
          <w:szCs w:val="21"/>
          <w:highlight w:val="none"/>
          <w:shd w:val="clear" w:color="auto" w:fill="auto"/>
        </w:rPr>
        <w:t>合同当事人对文明施工的要求：</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要求达到《建筑施工安全检查标准》（JGJ59-2011）的标准和符合《广西壮族自治区建设工程安全文明施工费使用管理细则》（桂建质〔2015〕16号）的要求</w:t>
      </w:r>
      <w:r>
        <w:rPr>
          <w:rStyle w:val="47"/>
          <w:rFonts w:hint="eastAsia" w:ascii="宋体" w:hAnsi="宋体" w:eastAsia="宋体" w:cs="宋体"/>
          <w:color w:val="auto"/>
          <w:kern w:val="2"/>
          <w:sz w:val="21"/>
          <w:szCs w:val="21"/>
          <w:highlight w:val="none"/>
          <w:u w:val="single"/>
          <w:lang w:eastAsia="zh-CN"/>
        </w:rPr>
        <w:t>。</w:t>
      </w:r>
    </w:p>
    <w:p w14:paraId="08400101">
      <w:pPr>
        <w:pStyle w:val="23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lang w:eastAsia="zh-CN"/>
        </w:rPr>
      </w:pPr>
      <w:r>
        <w:rPr>
          <w:rStyle w:val="47"/>
          <w:rFonts w:hint="eastAsia" w:ascii="宋体" w:hAnsi="宋体" w:eastAsia="宋体" w:cs="宋体"/>
          <w:color w:val="auto"/>
          <w:sz w:val="21"/>
          <w:szCs w:val="21"/>
          <w:highlight w:val="none"/>
          <w:u w:val="single"/>
        </w:rPr>
        <w:t>承包人需自行办理的有关施工场地交通</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环卫和施工噪音管理等手续</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并应符合国家相关规定</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并自行承担其费用</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对施工中的地上地下建筑物（构筑物）管线</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电力设施等应按有关规定加强监控测量和保护</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相应的费用由</w:t>
      </w:r>
      <w:r>
        <w:rPr>
          <w:rStyle w:val="47"/>
          <w:rFonts w:hint="eastAsia" w:ascii="宋体" w:hAnsi="宋体" w:eastAsia="宋体" w:cs="宋体"/>
          <w:color w:val="auto"/>
          <w:sz w:val="21"/>
          <w:szCs w:val="21"/>
          <w:highlight w:val="none"/>
          <w:u w:val="single"/>
          <w:lang w:val="en-US" w:eastAsia="zh-CN"/>
        </w:rPr>
        <w:t>承包人</w:t>
      </w:r>
      <w:r>
        <w:rPr>
          <w:rStyle w:val="47"/>
          <w:rFonts w:hint="eastAsia" w:ascii="宋体" w:hAnsi="宋体" w:eastAsia="宋体" w:cs="宋体"/>
          <w:color w:val="auto"/>
          <w:sz w:val="21"/>
          <w:szCs w:val="21"/>
          <w:highlight w:val="none"/>
          <w:u w:val="single"/>
        </w:rPr>
        <w:t>承担</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因保护不当造成的损失及法律责任由责任人承担</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环境保护工作由承包人全权负责</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执行国家和地方相关规定</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施工现场内不得随地抛洒剩饭及生活垃圾等</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更不能将其随意倒至施工区外</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施工区内不得随处大小便</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做到工完场地清</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施工机械设备进场前</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应做好清洁</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保养和维护工作</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出场车辆应有专人打扫</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清洗</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有密封要求的按规定必须达到</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施工期间必须保证周边单位的正常工作及居民的正常生活</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尽量减少粉尘</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噪声</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振动等污染的扰民</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必须按区委区政府及有关部门的临时要求</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调整作业方式</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停止高粉尘</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高噪音作业或爆破作业等</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保证周围建(构)筑物</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地下及地上管线</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地下人防等设施安全</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做到进入现场的施工和作业人员</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配证上岗</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文明施工</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按规定做好施工区域封闭及场地硬化工作</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施工围墙(围挡)等维护设施应安全</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美观</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耐久</w:t>
      </w:r>
      <w:r>
        <w:rPr>
          <w:rStyle w:val="47"/>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u w:val="single"/>
        </w:rPr>
        <w:t>非施工相关人员不许入内</w:t>
      </w:r>
      <w:r>
        <w:rPr>
          <w:rStyle w:val="47"/>
          <w:rFonts w:hint="eastAsia" w:ascii="宋体" w:hAnsi="宋体" w:eastAsia="宋体" w:cs="宋体"/>
          <w:color w:val="auto"/>
          <w:sz w:val="21"/>
          <w:szCs w:val="21"/>
          <w:highlight w:val="none"/>
        </w:rPr>
        <w:t>。</w:t>
      </w:r>
    </w:p>
    <w:p w14:paraId="137AEE0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6.1.6</w:t>
      </w:r>
      <w:r>
        <w:rPr>
          <w:rStyle w:val="47"/>
          <w:rFonts w:hint="eastAsia" w:ascii="宋体" w:hAnsi="宋体" w:eastAsia="宋体" w:cs="宋体"/>
          <w:color w:val="auto"/>
          <w:kern w:val="0"/>
          <w:szCs w:val="21"/>
          <w:highlight w:val="none"/>
          <w:shd w:val="clear" w:color="auto" w:fill="auto"/>
        </w:rPr>
        <w:t>关于安全生产费总额、支付比例、支付期限、转入和结余收回的约定：</w:t>
      </w:r>
    </w:p>
    <w:p w14:paraId="7333D3A4">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（1）本合同价款已包含安全文明施工费</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元。</w:t>
      </w:r>
    </w:p>
    <w:p w14:paraId="1E4BFFA3">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（2）使用要求：专款专用。具体按</w:t>
      </w:r>
      <w:r>
        <w:rPr>
          <w:rStyle w:val="47"/>
          <w:rFonts w:hint="eastAsia" w:ascii="宋体" w:hAnsi="宋体" w:eastAsia="宋体" w:cs="宋体"/>
          <w:color w:val="auto"/>
          <w:kern w:val="0"/>
          <w:szCs w:val="21"/>
          <w:highlight w:val="none"/>
          <w:u w:val="single"/>
          <w:shd w:val="clear" w:color="auto" w:fill="auto"/>
        </w:rPr>
        <w:t>《广西壮族自治区建设工程安全文明施工费使用管理细则》（桂建质〔2015〕16号）</w:t>
      </w:r>
      <w:r>
        <w:rPr>
          <w:rStyle w:val="47"/>
          <w:rFonts w:hint="eastAsia" w:ascii="宋体" w:hAnsi="宋体" w:eastAsia="宋体" w:cs="宋体"/>
          <w:color w:val="auto"/>
          <w:kern w:val="0"/>
          <w:szCs w:val="21"/>
          <w:highlight w:val="none"/>
          <w:shd w:val="clear" w:color="auto" w:fill="auto"/>
        </w:rPr>
        <w:t>和</w:t>
      </w:r>
      <w:r>
        <w:rPr>
          <w:rStyle w:val="47"/>
          <w:rFonts w:hint="eastAsia" w:ascii="宋体" w:hAnsi="宋体" w:eastAsia="宋体" w:cs="宋体"/>
          <w:color w:val="auto"/>
          <w:kern w:val="0"/>
          <w:szCs w:val="21"/>
          <w:highlight w:val="none"/>
          <w:u w:val="single"/>
          <w:shd w:val="clear" w:color="auto" w:fill="auto"/>
        </w:rPr>
        <w:t xml:space="preserve">  贺州  </w:t>
      </w:r>
      <w:r>
        <w:rPr>
          <w:rStyle w:val="47"/>
          <w:rFonts w:hint="eastAsia" w:ascii="宋体" w:hAnsi="宋体" w:eastAsia="宋体" w:cs="宋体"/>
          <w:color w:val="auto"/>
          <w:kern w:val="0"/>
          <w:szCs w:val="21"/>
          <w:highlight w:val="none"/>
          <w:shd w:val="clear" w:color="auto" w:fill="auto"/>
        </w:rPr>
        <w:t>市相关规定执行。</w:t>
      </w:r>
    </w:p>
    <w:p w14:paraId="4BCA50F4">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（3）支付约定：</w:t>
      </w:r>
      <w:r>
        <w:rPr>
          <w:rStyle w:val="47"/>
          <w:rFonts w:hint="eastAsia" w:ascii="宋体" w:hAnsi="宋体" w:eastAsia="宋体" w:cs="宋体"/>
          <w:color w:val="auto"/>
          <w:sz w:val="21"/>
          <w:szCs w:val="21"/>
          <w:highlight w:val="none"/>
          <w:u w:val="single"/>
        </w:rPr>
        <w:t>按【关于印发《贺州市建设工程安全文明施工费使用管理规定》的通知】（贺住建发〔2016〕196号）文件执行</w:t>
      </w:r>
      <w:r>
        <w:rPr>
          <w:rStyle w:val="47"/>
          <w:rFonts w:hint="eastAsia" w:ascii="宋体" w:hAnsi="宋体" w:eastAsia="宋体" w:cs="宋体"/>
          <w:color w:val="auto"/>
          <w:sz w:val="21"/>
          <w:szCs w:val="21"/>
          <w:highlight w:val="none"/>
          <w:u w:val="single"/>
          <w:lang w:eastAsia="zh-CN"/>
        </w:rPr>
        <w:t>，</w:t>
      </w:r>
      <w:r>
        <w:rPr>
          <w:rStyle w:val="47"/>
          <w:rFonts w:hint="eastAsia" w:ascii="宋体" w:hAnsi="宋体" w:eastAsia="宋体" w:cs="宋体"/>
          <w:color w:val="auto"/>
          <w:kern w:val="0"/>
          <w:szCs w:val="21"/>
          <w:highlight w:val="none"/>
          <w:u w:val="single"/>
          <w:shd w:val="clear" w:color="auto" w:fill="auto"/>
        </w:rPr>
        <w:t>安全文明施工费按施工现场文明施工实报实销，直至用完为止</w:t>
      </w:r>
      <w:r>
        <w:rPr>
          <w:rStyle w:val="47"/>
          <w:rFonts w:hint="eastAsia" w:ascii="宋体" w:hAnsi="宋体" w:eastAsia="宋体" w:cs="宋体"/>
          <w:color w:val="auto"/>
          <w:kern w:val="0"/>
          <w:szCs w:val="21"/>
          <w:highlight w:val="none"/>
          <w:u w:val="single"/>
          <w:shd w:val="clear" w:color="auto" w:fill="auto"/>
          <w:lang w:eastAsia="zh-CN"/>
        </w:rPr>
        <w:t>，</w:t>
      </w:r>
      <w:r>
        <w:rPr>
          <w:rStyle w:val="47"/>
          <w:rFonts w:hint="eastAsia" w:ascii="宋体" w:hAnsi="宋体" w:eastAsia="宋体" w:cs="宋体"/>
          <w:color w:val="auto"/>
          <w:kern w:val="0"/>
          <w:szCs w:val="21"/>
          <w:highlight w:val="none"/>
          <w:u w:val="single"/>
          <w:shd w:val="clear" w:color="auto" w:fill="auto"/>
          <w:lang w:val="en-US" w:eastAsia="zh-CN"/>
        </w:rPr>
        <w:t>不足部份默认为承包人在综合单价中考虑</w:t>
      </w:r>
      <w:r>
        <w:rPr>
          <w:rStyle w:val="47"/>
          <w:rFonts w:hint="eastAsia" w:ascii="宋体" w:hAnsi="宋体" w:eastAsia="宋体" w:cs="宋体"/>
          <w:color w:val="auto"/>
          <w:kern w:val="0"/>
          <w:szCs w:val="21"/>
          <w:highlight w:val="none"/>
          <w:shd w:val="clear" w:color="auto" w:fill="auto"/>
        </w:rPr>
        <w:t>。</w:t>
      </w:r>
    </w:p>
    <w:p w14:paraId="244993D5">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（4）建设单位按规定将安全生产费用转入施工单位设立的</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sz w:val="21"/>
          <w:szCs w:val="21"/>
          <w:highlight w:val="none"/>
          <w:u w:val="single"/>
        </w:rPr>
        <w:t>安全生产费用</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专户。</w:t>
      </w:r>
    </w:p>
    <w:p w14:paraId="7D76197C">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（5）工程施工完成后</w:t>
      </w:r>
      <w:r>
        <w:rPr>
          <w:rStyle w:val="47"/>
          <w:rFonts w:hint="eastAsia" w:ascii="宋体" w:hAnsi="宋体" w:eastAsia="宋体" w:cs="宋体"/>
          <w:color w:val="auto"/>
          <w:kern w:val="0"/>
          <w:szCs w:val="21"/>
          <w:highlight w:val="none"/>
          <w:u w:val="single"/>
          <w:shd w:val="clear" w:color="auto" w:fill="auto"/>
        </w:rPr>
        <w:t>安全文明施工</w:t>
      </w:r>
      <w:r>
        <w:rPr>
          <w:rStyle w:val="47"/>
          <w:rFonts w:hint="eastAsia" w:ascii="宋体" w:hAnsi="宋体" w:eastAsia="宋体" w:cs="宋体"/>
          <w:color w:val="auto"/>
          <w:kern w:val="0"/>
          <w:szCs w:val="21"/>
          <w:highlight w:val="none"/>
          <w:shd w:val="clear" w:color="auto" w:fill="auto"/>
        </w:rPr>
        <w:t>费用尚有结余的，结余部分由建设单位收回。</w:t>
      </w:r>
    </w:p>
    <w:p w14:paraId="0CE70F68">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（6）施工单位将</w:t>
      </w:r>
      <w:r>
        <w:rPr>
          <w:rStyle w:val="47"/>
          <w:rFonts w:hint="eastAsia" w:ascii="宋体" w:hAnsi="宋体" w:eastAsia="宋体" w:cs="宋体"/>
          <w:color w:val="auto"/>
          <w:kern w:val="0"/>
          <w:szCs w:val="21"/>
          <w:highlight w:val="none"/>
          <w:u w:val="single"/>
          <w:shd w:val="clear" w:color="auto" w:fill="auto"/>
        </w:rPr>
        <w:t>安全文明施工</w:t>
      </w:r>
      <w:r>
        <w:rPr>
          <w:rStyle w:val="47"/>
          <w:rFonts w:hint="eastAsia" w:ascii="宋体" w:hAnsi="宋体" w:eastAsia="宋体" w:cs="宋体"/>
          <w:color w:val="auto"/>
          <w:kern w:val="0"/>
          <w:szCs w:val="21"/>
          <w:highlight w:val="none"/>
          <w:shd w:val="clear" w:color="auto" w:fill="auto"/>
        </w:rPr>
        <w:t>费用使用情况定期报告建设单位和监理单位，并提供相应的材料接受建设行政主管部门对此事项监管。</w:t>
      </w:r>
    </w:p>
    <w:p w14:paraId="01AD805D">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63" w:name="_Toc373227721"/>
      <w:bookmarkStart w:id="464" w:name="_Toc407135223"/>
      <w:bookmarkStart w:id="465" w:name="_Toc373478368"/>
      <w:bookmarkStart w:id="466" w:name="_Toc9850551"/>
      <w:bookmarkStart w:id="467" w:name="_Toc389065287"/>
      <w:r>
        <w:rPr>
          <w:rStyle w:val="47"/>
          <w:rFonts w:hint="eastAsia" w:ascii="宋体" w:hAnsi="宋体" w:eastAsia="宋体" w:cs="宋体"/>
          <w:b/>
          <w:bCs/>
          <w:color w:val="auto"/>
          <w:sz w:val="21"/>
          <w:szCs w:val="21"/>
          <w:highlight w:val="none"/>
          <w:shd w:val="clear" w:color="auto" w:fill="auto"/>
          <w:lang w:val="zh-CN"/>
        </w:rPr>
        <w:t>6.3 环境保护</w:t>
      </w:r>
      <w:bookmarkEnd w:id="463"/>
      <w:bookmarkEnd w:id="464"/>
      <w:bookmarkEnd w:id="465"/>
      <w:bookmarkEnd w:id="466"/>
      <w:bookmarkEnd w:id="467"/>
    </w:p>
    <w:p w14:paraId="0CEED1F3">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u w:val="single"/>
          <w:shd w:val="clear" w:color="auto" w:fill="auto"/>
        </w:rPr>
        <w:t>因施工需要，经发包人批准，由承包人办理有关施工场地交通、环卫和施工噪音管理等手续，费用由承包人负责。</w:t>
      </w:r>
    </w:p>
    <w:p w14:paraId="3D802D70">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u w:val="single"/>
          <w:shd w:val="clear" w:color="auto" w:fill="auto"/>
        </w:rPr>
        <w:t>经过城市道路的施工车辆，必须按交警、城管、运输等部门相关规定执行。由于施工车辆造成的道路、环境等污染，其责任和费用均由承包人承担。</w:t>
      </w:r>
    </w:p>
    <w:p w14:paraId="15C57E05">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u w:val="single"/>
          <w:shd w:val="clear" w:color="auto" w:fill="auto"/>
        </w:rPr>
        <w:t>工过程中如施工单位占用施工合同中约定土地外的土地，则由此引发的土地权属纠纷和农作物补偿的风险和费用由施工单位自己承担，造成的工程延误不予顺延。</w:t>
      </w:r>
    </w:p>
    <w:p w14:paraId="3A372F6C">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u w:val="single"/>
          <w:shd w:val="clear" w:color="auto" w:fill="auto"/>
        </w:rPr>
        <w:t>施工场地清洁卫生的要求：承包人要保证施工场地清洁符合环境卫生管理的有关规定，清除施工中遗留的废物杂物，竣工交工一个月内清理现场做到工完场清，承担因自身原因或违反有关规定造成的损失和罚款。</w:t>
      </w:r>
    </w:p>
    <w:p w14:paraId="2A3ADB56">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u w:val="single"/>
          <w:shd w:val="clear" w:color="auto" w:fill="auto"/>
        </w:rPr>
        <w:t>承包人必须按照《贺州市扬尘污染防治管理办法》《贺州市人民政府令第4号》相关要求抓好贯彻落实，切实做好扬尘污染防治工作。采取有效防治措施、加强过程监管、落实防治责任。如不能履行《贺州市扬尘污染防治管理办法》规定的相关措施条款的，依法按照《管理办法》相关条例进行相对应的行政处罚。</w:t>
      </w:r>
    </w:p>
    <w:bookmarkEnd w:id="443"/>
    <w:bookmarkEnd w:id="444"/>
    <w:bookmarkEnd w:id="445"/>
    <w:bookmarkEnd w:id="446"/>
    <w:bookmarkEnd w:id="447"/>
    <w:bookmarkEnd w:id="448"/>
    <w:bookmarkEnd w:id="449"/>
    <w:p w14:paraId="485736AA">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468" w:name="_Toc407135224"/>
      <w:bookmarkStart w:id="469" w:name="_Toc351203639"/>
      <w:bookmarkStart w:id="470" w:name="_Toc373227722"/>
      <w:bookmarkStart w:id="471" w:name="_Toc373478369"/>
      <w:bookmarkStart w:id="472" w:name="_Toc22873"/>
      <w:bookmarkStart w:id="473" w:name="_Toc389065288"/>
      <w:bookmarkStart w:id="474" w:name="_Toc9850552"/>
      <w:bookmarkStart w:id="475" w:name="_Toc25808"/>
      <w:r>
        <w:rPr>
          <w:rStyle w:val="47"/>
          <w:rFonts w:hint="eastAsia" w:ascii="宋体" w:hAnsi="宋体" w:eastAsia="宋体" w:cs="宋体"/>
          <w:b/>
          <w:bCs/>
          <w:color w:val="auto"/>
          <w:sz w:val="21"/>
          <w:szCs w:val="21"/>
          <w:highlight w:val="none"/>
          <w:shd w:val="clear" w:color="auto" w:fill="auto"/>
          <w:lang w:val="zh-CN"/>
        </w:rPr>
        <w:t>7. 工期和进度</w:t>
      </w:r>
      <w:bookmarkEnd w:id="468"/>
      <w:bookmarkEnd w:id="469"/>
      <w:bookmarkEnd w:id="470"/>
      <w:bookmarkEnd w:id="471"/>
      <w:bookmarkEnd w:id="472"/>
      <w:bookmarkEnd w:id="473"/>
      <w:bookmarkEnd w:id="474"/>
      <w:bookmarkEnd w:id="475"/>
    </w:p>
    <w:p w14:paraId="20BF2718">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76" w:name="_Toc389065289"/>
      <w:bookmarkStart w:id="477" w:name="_Toc9850553"/>
      <w:bookmarkStart w:id="478" w:name="_Toc373478370"/>
      <w:bookmarkStart w:id="479" w:name="_Toc373227723"/>
      <w:bookmarkStart w:id="480" w:name="_Toc407135225"/>
      <w:r>
        <w:rPr>
          <w:rStyle w:val="47"/>
          <w:rFonts w:hint="eastAsia" w:ascii="宋体" w:hAnsi="宋体" w:eastAsia="宋体" w:cs="宋体"/>
          <w:b/>
          <w:bCs/>
          <w:color w:val="auto"/>
          <w:sz w:val="21"/>
          <w:szCs w:val="21"/>
          <w:highlight w:val="none"/>
          <w:shd w:val="clear" w:color="auto" w:fill="auto"/>
          <w:lang w:val="zh-CN"/>
        </w:rPr>
        <w:t>7.1 施工组织设计</w:t>
      </w:r>
      <w:bookmarkEnd w:id="476"/>
      <w:bookmarkEnd w:id="477"/>
      <w:bookmarkEnd w:id="478"/>
      <w:bookmarkEnd w:id="479"/>
      <w:bookmarkEnd w:id="480"/>
    </w:p>
    <w:p w14:paraId="3479A30D">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7.1.1 合</w:t>
      </w:r>
      <w:r>
        <w:rPr>
          <w:rStyle w:val="47"/>
          <w:rFonts w:hint="eastAsia" w:ascii="宋体" w:hAnsi="宋体" w:eastAsia="宋体" w:cs="宋体"/>
          <w:color w:val="auto"/>
          <w:kern w:val="0"/>
          <w:szCs w:val="21"/>
          <w:highlight w:val="none"/>
          <w:shd w:val="clear" w:color="auto" w:fill="auto"/>
        </w:rPr>
        <w:t>同当事人约定的施工组织设计应包括的其他内容：</w:t>
      </w:r>
      <w:r>
        <w:rPr>
          <w:rStyle w:val="47"/>
          <w:rFonts w:hint="eastAsia" w:ascii="宋体" w:hAnsi="宋体" w:eastAsia="宋体" w:cs="宋体"/>
          <w:color w:val="auto"/>
          <w:szCs w:val="21"/>
          <w:highlight w:val="none"/>
          <w:u w:val="single"/>
          <w:shd w:val="clear" w:color="auto" w:fill="auto"/>
        </w:rPr>
        <w:t xml:space="preserve">  按通用条款第7.1.1条执行</w:t>
      </w:r>
      <w:r>
        <w:rPr>
          <w:rStyle w:val="47"/>
          <w:rFonts w:hint="eastAsia" w:ascii="宋体" w:hAnsi="宋体" w:eastAsia="宋体" w:cs="宋体"/>
          <w:color w:val="auto"/>
          <w:szCs w:val="21"/>
          <w:highlight w:val="none"/>
          <w:u w:val="single"/>
          <w:shd w:val="clear" w:color="auto" w:fill="auto"/>
          <w:lang w:val="en-US" w:eastAsia="zh-CN"/>
        </w:rPr>
        <w:t>并遵守行业管理的有关规定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08E34199">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szCs w:val="21"/>
          <w:highlight w:val="none"/>
          <w:shd w:val="clear" w:color="auto" w:fill="auto"/>
        </w:rPr>
        <w:t xml:space="preserve">7.1.2 </w:t>
      </w:r>
      <w:r>
        <w:rPr>
          <w:rStyle w:val="47"/>
          <w:rFonts w:hint="eastAsia" w:ascii="宋体" w:hAnsi="宋体" w:eastAsia="宋体" w:cs="宋体"/>
          <w:color w:val="auto"/>
          <w:kern w:val="0"/>
          <w:szCs w:val="21"/>
          <w:highlight w:val="none"/>
          <w:shd w:val="clear" w:color="auto" w:fill="auto"/>
        </w:rPr>
        <w:t>施工组织设计的提交和修改</w:t>
      </w:r>
    </w:p>
    <w:p w14:paraId="4A04026E">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承包人提交详细施工组织设计的期限的约定：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承包人在图纸会审和设计交底之日起30天内报送</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737A1D5">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发包人和监理人在收到详细的施工组织设计后确认或提出修改意见的期限：</w:t>
      </w:r>
      <w:r>
        <w:rPr>
          <w:rStyle w:val="47"/>
          <w:rFonts w:hint="eastAsia" w:ascii="宋体" w:hAnsi="宋体" w:eastAsia="宋体" w:cs="宋体"/>
          <w:color w:val="auto"/>
          <w:szCs w:val="21"/>
          <w:highlight w:val="none"/>
          <w:u w:val="single"/>
          <w:shd w:val="clear" w:color="auto" w:fill="auto"/>
        </w:rPr>
        <w:t xml:space="preserve"> 收到承包人报送的施工组织设计后7天内  </w:t>
      </w:r>
      <w:r>
        <w:rPr>
          <w:rStyle w:val="47"/>
          <w:rFonts w:hint="eastAsia" w:ascii="宋体" w:hAnsi="宋体" w:eastAsia="宋体" w:cs="宋体"/>
          <w:color w:val="auto"/>
          <w:szCs w:val="21"/>
          <w:highlight w:val="none"/>
          <w:shd w:val="clear" w:color="auto" w:fill="auto"/>
        </w:rPr>
        <w:t>。</w:t>
      </w:r>
    </w:p>
    <w:p w14:paraId="5CA2EBE6">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81" w:name="_Toc389065290"/>
      <w:bookmarkStart w:id="482" w:name="_Toc373227724"/>
      <w:bookmarkStart w:id="483" w:name="_Toc373478371"/>
      <w:bookmarkStart w:id="484" w:name="_Toc9850554"/>
      <w:bookmarkStart w:id="485" w:name="_Toc407135226"/>
      <w:r>
        <w:rPr>
          <w:rStyle w:val="47"/>
          <w:rFonts w:hint="eastAsia" w:ascii="宋体" w:hAnsi="宋体" w:eastAsia="宋体" w:cs="宋体"/>
          <w:b/>
          <w:bCs/>
          <w:color w:val="auto"/>
          <w:sz w:val="21"/>
          <w:szCs w:val="21"/>
          <w:highlight w:val="none"/>
          <w:shd w:val="clear" w:color="auto" w:fill="auto"/>
          <w:lang w:val="zh-CN"/>
        </w:rPr>
        <w:t>7</w:t>
      </w:r>
      <w:bookmarkStart w:id="486" w:name="_Toc303539123"/>
      <w:bookmarkStart w:id="487" w:name="_Toc312677479"/>
      <w:bookmarkStart w:id="488" w:name="_Toc297216173"/>
      <w:bookmarkStart w:id="489" w:name="_Toc312678005"/>
      <w:bookmarkStart w:id="490" w:name="_Toc304295541"/>
      <w:bookmarkStart w:id="491" w:name="_Toc297123514"/>
      <w:bookmarkStart w:id="492" w:name="_Toc300934966"/>
      <w:r>
        <w:rPr>
          <w:rStyle w:val="47"/>
          <w:rFonts w:hint="eastAsia" w:ascii="宋体" w:hAnsi="宋体" w:eastAsia="宋体" w:cs="宋体"/>
          <w:b/>
          <w:bCs/>
          <w:color w:val="auto"/>
          <w:sz w:val="21"/>
          <w:szCs w:val="21"/>
          <w:highlight w:val="none"/>
          <w:shd w:val="clear" w:color="auto" w:fill="auto"/>
          <w:lang w:val="zh-CN"/>
        </w:rPr>
        <w:t>.2 施工进度计划</w:t>
      </w:r>
      <w:bookmarkEnd w:id="481"/>
      <w:bookmarkEnd w:id="482"/>
      <w:bookmarkEnd w:id="483"/>
      <w:bookmarkEnd w:id="484"/>
      <w:bookmarkEnd w:id="485"/>
    </w:p>
    <w:p w14:paraId="3CB767A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7.2.2 施工进度计划的修订</w:t>
      </w:r>
    </w:p>
    <w:p w14:paraId="099A376B">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 xml:space="preserve">发包人和监理人在收到修订的施工进度计划后确认或提出修改意见的期限： </w:t>
      </w:r>
      <w:r>
        <w:rPr>
          <w:rStyle w:val="47"/>
          <w:rFonts w:hint="eastAsia" w:ascii="宋体" w:hAnsi="宋体" w:eastAsia="宋体" w:cs="宋体"/>
          <w:color w:val="auto"/>
          <w:szCs w:val="21"/>
          <w:highlight w:val="none"/>
          <w:u w:val="single"/>
          <w:shd w:val="clear" w:color="auto" w:fill="auto"/>
        </w:rPr>
        <w:t>收到之日起14</w:t>
      </w:r>
      <w:r>
        <w:rPr>
          <w:rStyle w:val="47"/>
          <w:rFonts w:hint="eastAsia" w:ascii="宋体" w:hAnsi="宋体" w:eastAsia="宋体" w:cs="宋体"/>
          <w:color w:val="auto"/>
          <w:kern w:val="2"/>
          <w:sz w:val="21"/>
          <w:szCs w:val="21"/>
          <w:highlight w:val="none"/>
          <w:u w:val="single"/>
        </w:rPr>
        <w:t>天内</w:t>
      </w:r>
      <w:r>
        <w:rPr>
          <w:rStyle w:val="47"/>
          <w:rFonts w:hint="eastAsia" w:ascii="宋体" w:hAnsi="宋体" w:eastAsia="宋体" w:cs="宋体"/>
          <w:color w:val="auto"/>
          <w:szCs w:val="21"/>
          <w:highlight w:val="none"/>
          <w:u w:val="single"/>
          <w:shd w:val="clear" w:color="auto" w:fill="auto"/>
        </w:rPr>
        <w:t xml:space="preserve">  。</w:t>
      </w:r>
    </w:p>
    <w:p w14:paraId="2BE47896">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93" w:name="_Toc373478372"/>
      <w:bookmarkStart w:id="494" w:name="_Toc407135227"/>
      <w:bookmarkStart w:id="495" w:name="_Toc373227725"/>
      <w:bookmarkStart w:id="496" w:name="_Toc389065291"/>
      <w:bookmarkStart w:id="497" w:name="_Toc9850555"/>
      <w:r>
        <w:rPr>
          <w:rStyle w:val="47"/>
          <w:rFonts w:hint="eastAsia" w:ascii="宋体" w:hAnsi="宋体" w:eastAsia="宋体" w:cs="宋体"/>
          <w:b/>
          <w:bCs/>
          <w:color w:val="auto"/>
          <w:sz w:val="21"/>
          <w:szCs w:val="21"/>
          <w:highlight w:val="none"/>
          <w:shd w:val="clear" w:color="auto" w:fill="auto"/>
          <w:lang w:val="zh-CN"/>
        </w:rPr>
        <w:t>7.3 开工</w:t>
      </w:r>
      <w:bookmarkEnd w:id="493"/>
      <w:bookmarkEnd w:id="494"/>
      <w:bookmarkEnd w:id="495"/>
      <w:bookmarkEnd w:id="496"/>
      <w:bookmarkEnd w:id="497"/>
    </w:p>
    <w:p w14:paraId="2336D17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7.3.1 开工准备</w:t>
      </w:r>
    </w:p>
    <w:p w14:paraId="7F467EDA">
      <w:pPr>
        <w:pStyle w:val="246"/>
        <w:spacing w:beforeLines="0" w:afterLines="0" w:line="360" w:lineRule="auto"/>
        <w:ind w:firstLine="426"/>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关于承包人提交</w:t>
      </w:r>
      <w:r>
        <w:rPr>
          <w:rStyle w:val="47"/>
          <w:rFonts w:hint="eastAsia" w:ascii="宋体" w:hAnsi="宋体" w:eastAsia="宋体" w:cs="宋体"/>
          <w:color w:val="auto"/>
          <w:kern w:val="0"/>
          <w:szCs w:val="21"/>
          <w:highlight w:val="none"/>
          <w:shd w:val="clear" w:color="auto" w:fill="auto"/>
        </w:rPr>
        <w:t>工程开工报审表的期限：</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承包人在图纸会审和设计交底之日起14天内报送</w:t>
      </w:r>
      <w:r>
        <w:rPr>
          <w:rStyle w:val="47"/>
          <w:rFonts w:hint="eastAsia" w:ascii="宋体" w:hAnsi="宋体" w:eastAsia="宋体" w:cs="宋体"/>
          <w:color w:val="auto"/>
          <w:szCs w:val="21"/>
          <w:highlight w:val="none"/>
          <w:shd w:val="clear" w:color="auto" w:fill="auto"/>
        </w:rPr>
        <w:t>。</w:t>
      </w:r>
    </w:p>
    <w:p w14:paraId="7A341C5E">
      <w:pPr>
        <w:pStyle w:val="246"/>
        <w:spacing w:beforeLines="0" w:afterLines="0" w:line="360" w:lineRule="auto"/>
        <w:ind w:firstLine="426"/>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关于发包人应完成的其他开工准备工作及期限：</w:t>
      </w:r>
      <w:r>
        <w:rPr>
          <w:rStyle w:val="47"/>
          <w:rFonts w:hint="eastAsia" w:ascii="宋体" w:hAnsi="宋体" w:eastAsia="宋体" w:cs="宋体"/>
          <w:color w:val="auto"/>
          <w:szCs w:val="21"/>
          <w:highlight w:val="none"/>
          <w:u w:val="single"/>
          <w:shd w:val="clear" w:color="auto" w:fill="auto"/>
        </w:rPr>
        <w:t xml:space="preserve"> 开工令签发之日前7天 </w:t>
      </w:r>
      <w:r>
        <w:rPr>
          <w:rStyle w:val="47"/>
          <w:rFonts w:hint="eastAsia" w:ascii="宋体" w:hAnsi="宋体" w:eastAsia="宋体" w:cs="宋体"/>
          <w:color w:val="auto"/>
          <w:szCs w:val="21"/>
          <w:highlight w:val="none"/>
          <w:shd w:val="clear" w:color="auto" w:fill="auto"/>
        </w:rPr>
        <w:t>。</w:t>
      </w:r>
    </w:p>
    <w:p w14:paraId="4B6C6AD2">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关于承包人应完成的其他开工准备工作及期限：</w:t>
      </w:r>
      <w:r>
        <w:rPr>
          <w:rStyle w:val="47"/>
          <w:rFonts w:hint="eastAsia" w:ascii="宋体" w:hAnsi="宋体" w:eastAsia="宋体" w:cs="宋体"/>
          <w:color w:val="auto"/>
          <w:szCs w:val="21"/>
          <w:highlight w:val="none"/>
          <w:u w:val="single"/>
          <w:shd w:val="clear" w:color="auto" w:fill="auto"/>
        </w:rPr>
        <w:t xml:space="preserve">开工令签发之日前7天 </w:t>
      </w:r>
      <w:r>
        <w:rPr>
          <w:rStyle w:val="47"/>
          <w:rFonts w:hint="eastAsia" w:ascii="宋体" w:hAnsi="宋体" w:eastAsia="宋体" w:cs="宋体"/>
          <w:color w:val="auto"/>
          <w:szCs w:val="21"/>
          <w:highlight w:val="none"/>
          <w:shd w:val="clear" w:color="auto" w:fill="auto"/>
        </w:rPr>
        <w:t>。</w:t>
      </w:r>
    </w:p>
    <w:p w14:paraId="5CD5A733">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7.3.2 开工通知</w:t>
      </w:r>
    </w:p>
    <w:p w14:paraId="30E08858">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因发包人原因造成监理人未能在计划开工日期之日起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90</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天内发出开工通知的，承包人有权提出价格调整要求，或者解除合同。</w:t>
      </w:r>
    </w:p>
    <w:bookmarkEnd w:id="486"/>
    <w:bookmarkEnd w:id="487"/>
    <w:bookmarkEnd w:id="488"/>
    <w:bookmarkEnd w:id="489"/>
    <w:bookmarkEnd w:id="490"/>
    <w:bookmarkEnd w:id="491"/>
    <w:bookmarkEnd w:id="492"/>
    <w:p w14:paraId="4BCBE273">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498" w:name="_Toc373478373"/>
      <w:bookmarkStart w:id="499" w:name="_Toc373227726"/>
      <w:bookmarkStart w:id="500" w:name="_Toc9850556"/>
      <w:bookmarkStart w:id="501" w:name="_Toc407135228"/>
      <w:bookmarkStart w:id="502" w:name="_Toc389065292"/>
      <w:r>
        <w:rPr>
          <w:rStyle w:val="47"/>
          <w:rFonts w:hint="eastAsia" w:ascii="宋体" w:hAnsi="宋体" w:eastAsia="宋体" w:cs="宋体"/>
          <w:b/>
          <w:bCs/>
          <w:color w:val="auto"/>
          <w:sz w:val="21"/>
          <w:szCs w:val="21"/>
          <w:highlight w:val="none"/>
          <w:shd w:val="clear" w:color="auto" w:fill="auto"/>
          <w:lang w:val="zh-CN"/>
        </w:rPr>
        <w:t>7.4 测量放线</w:t>
      </w:r>
      <w:bookmarkEnd w:id="498"/>
      <w:bookmarkEnd w:id="499"/>
      <w:bookmarkEnd w:id="500"/>
      <w:bookmarkEnd w:id="501"/>
      <w:bookmarkEnd w:id="502"/>
    </w:p>
    <w:p w14:paraId="25D3DCED">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7.4.1发包人通过监理人向承包人提供测量基准点、基准线和水准点及其书面资料的期限：</w:t>
      </w:r>
      <w:r>
        <w:rPr>
          <w:rStyle w:val="47"/>
          <w:rFonts w:hint="eastAsia" w:ascii="宋体" w:hAnsi="宋体" w:eastAsia="宋体" w:cs="宋体"/>
          <w:color w:val="auto"/>
          <w:szCs w:val="21"/>
          <w:highlight w:val="none"/>
          <w:u w:val="single"/>
          <w:shd w:val="clear" w:color="auto" w:fill="auto"/>
        </w:rPr>
        <w:t xml:space="preserve">  开工前</w:t>
      </w:r>
      <w:r>
        <w:rPr>
          <w:rStyle w:val="47"/>
          <w:rFonts w:hint="eastAsia" w:ascii="宋体" w:hAnsi="宋体" w:eastAsia="宋体" w:cs="宋体"/>
          <w:color w:val="auto"/>
          <w:szCs w:val="21"/>
          <w:highlight w:val="none"/>
          <w:u w:val="single"/>
          <w:shd w:val="clear" w:color="auto" w:fill="auto"/>
          <w:lang w:val="en-US" w:eastAsia="zh-CN"/>
        </w:rPr>
        <w:t>3</w:t>
      </w:r>
      <w:r>
        <w:rPr>
          <w:rStyle w:val="47"/>
          <w:rFonts w:hint="eastAsia" w:ascii="宋体" w:hAnsi="宋体" w:eastAsia="宋体" w:cs="宋体"/>
          <w:color w:val="auto"/>
          <w:szCs w:val="21"/>
          <w:highlight w:val="none"/>
          <w:u w:val="single"/>
          <w:shd w:val="clear" w:color="auto" w:fill="auto"/>
        </w:rPr>
        <w:t>天</w:t>
      </w:r>
      <w:r>
        <w:rPr>
          <w:rStyle w:val="47"/>
          <w:rFonts w:hint="eastAsia" w:ascii="宋体" w:hAnsi="宋体" w:eastAsia="宋体" w:cs="宋体"/>
          <w:color w:val="auto"/>
          <w:szCs w:val="21"/>
          <w:highlight w:val="none"/>
          <w:u w:val="single"/>
          <w:shd w:val="clear" w:color="auto" w:fill="auto"/>
          <w:lang w:val="en-US" w:eastAsia="zh-CN"/>
        </w:rPr>
        <w:t>内</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9F1409F">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503" w:name="_Toc9850557"/>
      <w:bookmarkStart w:id="504" w:name="_Toc373227727"/>
      <w:bookmarkStart w:id="505" w:name="_Toc373478374"/>
      <w:bookmarkStart w:id="506" w:name="_Toc389065293"/>
      <w:bookmarkStart w:id="507" w:name="_Toc407135229"/>
      <w:r>
        <w:rPr>
          <w:rStyle w:val="47"/>
          <w:rFonts w:hint="eastAsia" w:ascii="宋体" w:hAnsi="宋体" w:eastAsia="宋体" w:cs="宋体"/>
          <w:b/>
          <w:bCs/>
          <w:color w:val="auto"/>
          <w:sz w:val="21"/>
          <w:szCs w:val="21"/>
          <w:highlight w:val="none"/>
          <w:shd w:val="clear" w:color="auto" w:fill="auto"/>
          <w:lang w:val="zh-CN"/>
        </w:rPr>
        <w:t>7</w:t>
      </w:r>
      <w:bookmarkStart w:id="508" w:name="_Toc312678010"/>
      <w:bookmarkStart w:id="509" w:name="_Toc300934968"/>
      <w:bookmarkStart w:id="510" w:name="_Toc303539125"/>
      <w:bookmarkStart w:id="511" w:name="_Toc297216175"/>
      <w:bookmarkStart w:id="512" w:name="_Toc312677484"/>
      <w:bookmarkStart w:id="513" w:name="_Toc304295546"/>
      <w:bookmarkStart w:id="514" w:name="_Toc297123516"/>
      <w:r>
        <w:rPr>
          <w:rStyle w:val="47"/>
          <w:rFonts w:hint="eastAsia" w:ascii="宋体" w:hAnsi="宋体" w:eastAsia="宋体" w:cs="宋体"/>
          <w:b/>
          <w:bCs/>
          <w:color w:val="auto"/>
          <w:sz w:val="21"/>
          <w:szCs w:val="21"/>
          <w:highlight w:val="none"/>
          <w:shd w:val="clear" w:color="auto" w:fill="auto"/>
          <w:lang w:val="zh-CN"/>
        </w:rPr>
        <w:t>.5 工期延误</w:t>
      </w:r>
      <w:bookmarkEnd w:id="503"/>
      <w:bookmarkEnd w:id="504"/>
      <w:bookmarkEnd w:id="505"/>
      <w:bookmarkEnd w:id="506"/>
      <w:bookmarkEnd w:id="507"/>
    </w:p>
    <w:bookmarkEnd w:id="508"/>
    <w:bookmarkEnd w:id="509"/>
    <w:bookmarkEnd w:id="510"/>
    <w:bookmarkEnd w:id="511"/>
    <w:bookmarkEnd w:id="512"/>
    <w:bookmarkEnd w:id="513"/>
    <w:bookmarkEnd w:id="514"/>
    <w:p w14:paraId="326FBF7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7.5.1 因发包人原因导致工期延误</w:t>
      </w:r>
    </w:p>
    <w:p w14:paraId="0879DF66">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（7）因发包人原因导致工期延误的其他情形：</w:t>
      </w:r>
      <w:r>
        <w:rPr>
          <w:rStyle w:val="47"/>
          <w:rFonts w:hint="eastAsia" w:ascii="宋体" w:hAnsi="宋体" w:eastAsia="宋体" w:cs="宋体"/>
          <w:color w:val="auto"/>
          <w:szCs w:val="21"/>
          <w:highlight w:val="none"/>
          <w:u w:val="single"/>
          <w:shd w:val="clear" w:color="auto" w:fill="auto"/>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Style w:val="47"/>
          <w:rFonts w:hint="eastAsia" w:ascii="宋体" w:hAnsi="宋体" w:eastAsia="宋体" w:cs="宋体"/>
          <w:color w:val="auto"/>
          <w:szCs w:val="21"/>
          <w:highlight w:val="none"/>
          <w:shd w:val="clear" w:color="auto" w:fill="auto"/>
        </w:rPr>
        <w:t xml:space="preserve"> 。</w:t>
      </w:r>
    </w:p>
    <w:p w14:paraId="568E7F8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7.5.2 因承包人原因导致工期延误</w:t>
      </w:r>
    </w:p>
    <w:p w14:paraId="3EE815B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双方约定经监理工程师确认，工期相应顺延的情况：</w:t>
      </w:r>
      <w:r>
        <w:rPr>
          <w:rStyle w:val="47"/>
          <w:rFonts w:hint="eastAsia" w:ascii="宋体" w:hAnsi="宋体" w:eastAsia="宋体" w:cs="宋体"/>
          <w:color w:val="auto"/>
          <w:szCs w:val="21"/>
          <w:highlight w:val="none"/>
          <w:u w:val="single"/>
          <w:shd w:val="clear" w:color="auto" w:fill="auto"/>
        </w:rPr>
        <w:t>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Style w:val="47"/>
          <w:rFonts w:hint="eastAsia" w:ascii="宋体" w:hAnsi="宋体" w:eastAsia="宋体" w:cs="宋体"/>
          <w:color w:val="auto"/>
          <w:szCs w:val="21"/>
          <w:highlight w:val="none"/>
          <w:shd w:val="clear" w:color="auto" w:fill="auto"/>
        </w:rPr>
        <w:t>。</w:t>
      </w:r>
    </w:p>
    <w:p w14:paraId="6002BCA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承包人在施工期间，经监理和发包人现场核实，工程进度未能达到施工组织设计的进度要求，施工现场配备的人、材、机未达到施工组织设计要求数量时，视为承包人原因导致工期延误，不顺延工期。</w:t>
      </w:r>
    </w:p>
    <w:p w14:paraId="0DAE3AFE">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因承包人原因造成工期延误，逾期竣工违约金的计算方法为：</w:t>
      </w:r>
      <w:r>
        <w:rPr>
          <w:rStyle w:val="47"/>
          <w:rFonts w:hint="eastAsia" w:ascii="宋体" w:hAnsi="宋体" w:eastAsia="宋体" w:cs="宋体"/>
          <w:color w:val="auto"/>
          <w:szCs w:val="21"/>
          <w:highlight w:val="none"/>
          <w:u w:val="single"/>
          <w:shd w:val="clear" w:color="auto" w:fill="auto"/>
        </w:rPr>
        <w:t>非上述原因，承包人不能按合同约定的时间竣工，承包人应承担违约责任。应向发包人支付误期赔偿费（每延误一天</w:t>
      </w:r>
      <w:r>
        <w:rPr>
          <w:rStyle w:val="47"/>
          <w:rFonts w:hint="eastAsia" w:ascii="宋体" w:hAnsi="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按工程结算造价扣除建安劳保费、发包人材料设备价款、暂估专业工程、暂列金额后的万分之二 处罚</w:t>
      </w:r>
      <w:r>
        <w:rPr>
          <w:rStyle w:val="47"/>
          <w:rFonts w:hint="eastAsia" w:ascii="宋体" w:hAnsi="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 xml:space="preserve">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107E9CB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因承包人原因造成工期延误，逾期竣工违约金的上限：</w:t>
      </w:r>
      <w:r>
        <w:rPr>
          <w:rStyle w:val="47"/>
          <w:rFonts w:hint="eastAsia" w:ascii="宋体" w:hAnsi="宋体" w:eastAsia="宋体" w:cs="宋体"/>
          <w:color w:val="auto"/>
          <w:szCs w:val="21"/>
          <w:highlight w:val="none"/>
          <w:u w:val="single"/>
          <w:shd w:val="clear" w:color="auto" w:fill="auto"/>
        </w:rPr>
        <w:t xml:space="preserve">合同价扣除安全文明施工费、发包人材料设备价款、暂估专业工程、暂列金额后的 </w:t>
      </w:r>
      <w:r>
        <w:rPr>
          <w:rStyle w:val="47"/>
          <w:rFonts w:hint="eastAsia" w:ascii="宋体" w:hAnsi="宋体" w:eastAsia="宋体" w:cs="宋体"/>
          <w:color w:val="auto"/>
          <w:szCs w:val="21"/>
          <w:highlight w:val="none"/>
          <w:u w:val="single"/>
          <w:shd w:val="clear" w:color="auto" w:fill="auto"/>
          <w:lang w:val="en-US" w:eastAsia="zh-CN"/>
        </w:rPr>
        <w:t>2</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78F6F98">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515" w:name="_Toc9850558"/>
      <w:bookmarkStart w:id="516" w:name="_Toc373478375"/>
      <w:bookmarkStart w:id="517" w:name="_Toc373227728"/>
      <w:bookmarkStart w:id="518" w:name="_Toc389065294"/>
      <w:bookmarkStart w:id="519" w:name="_Toc407135230"/>
      <w:r>
        <w:rPr>
          <w:rStyle w:val="47"/>
          <w:rFonts w:hint="eastAsia" w:ascii="宋体" w:hAnsi="宋体" w:eastAsia="宋体" w:cs="宋体"/>
          <w:b/>
          <w:bCs/>
          <w:color w:val="auto"/>
          <w:sz w:val="21"/>
          <w:szCs w:val="21"/>
          <w:highlight w:val="none"/>
          <w:shd w:val="clear" w:color="auto" w:fill="auto"/>
          <w:lang w:val="zh-CN"/>
        </w:rPr>
        <w:t>7</w:t>
      </w:r>
      <w:bookmarkStart w:id="520" w:name="_Toc297216178"/>
      <w:bookmarkStart w:id="521" w:name="_Toc312678015"/>
      <w:bookmarkStart w:id="522" w:name="_Toc304295549"/>
      <w:bookmarkStart w:id="523" w:name="_Toc297123519"/>
      <w:bookmarkStart w:id="524" w:name="_Toc303539128"/>
      <w:bookmarkStart w:id="525" w:name="_Toc300934971"/>
      <w:r>
        <w:rPr>
          <w:rStyle w:val="47"/>
          <w:rFonts w:hint="eastAsia" w:ascii="宋体" w:hAnsi="宋体" w:eastAsia="宋体" w:cs="宋体"/>
          <w:b/>
          <w:bCs/>
          <w:color w:val="auto"/>
          <w:sz w:val="21"/>
          <w:szCs w:val="21"/>
          <w:highlight w:val="none"/>
          <w:shd w:val="clear" w:color="auto" w:fill="auto"/>
          <w:lang w:val="zh-CN"/>
        </w:rPr>
        <w:t>.6 不</w:t>
      </w:r>
      <w:bookmarkEnd w:id="520"/>
      <w:bookmarkEnd w:id="521"/>
      <w:bookmarkEnd w:id="522"/>
      <w:bookmarkEnd w:id="523"/>
      <w:bookmarkEnd w:id="524"/>
      <w:bookmarkEnd w:id="525"/>
      <w:r>
        <w:rPr>
          <w:rStyle w:val="47"/>
          <w:rFonts w:hint="eastAsia" w:ascii="宋体" w:hAnsi="宋体" w:eastAsia="宋体" w:cs="宋体"/>
          <w:b/>
          <w:bCs/>
          <w:color w:val="auto"/>
          <w:sz w:val="21"/>
          <w:szCs w:val="21"/>
          <w:highlight w:val="none"/>
          <w:shd w:val="clear" w:color="auto" w:fill="auto"/>
          <w:lang w:val="zh-CN"/>
        </w:rPr>
        <w:t>利物质条件</w:t>
      </w:r>
      <w:bookmarkEnd w:id="515"/>
      <w:bookmarkEnd w:id="516"/>
      <w:bookmarkEnd w:id="517"/>
      <w:bookmarkEnd w:id="518"/>
      <w:bookmarkEnd w:id="519"/>
    </w:p>
    <w:p w14:paraId="384B72FD">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bookmarkStart w:id="526" w:name="_Toc297123520"/>
      <w:bookmarkStart w:id="527" w:name="_Toc303539129"/>
      <w:bookmarkStart w:id="528" w:name="_Toc300934972"/>
      <w:bookmarkStart w:id="529" w:name="_Toc312678016"/>
      <w:bookmarkStart w:id="530" w:name="_Toc304295550"/>
      <w:bookmarkStart w:id="531" w:name="_Toc318581172"/>
      <w:bookmarkStart w:id="532" w:name="_Toc297216179"/>
      <w:r>
        <w:rPr>
          <w:rStyle w:val="47"/>
          <w:rFonts w:hint="eastAsia" w:ascii="宋体" w:hAnsi="宋体" w:eastAsia="宋体" w:cs="宋体"/>
          <w:color w:val="auto"/>
          <w:szCs w:val="21"/>
          <w:highlight w:val="none"/>
          <w:shd w:val="clear" w:color="auto" w:fill="auto"/>
        </w:rPr>
        <w:t>不利物质条件的其他情形和有关约定：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气象台发布的黄色预警及以上天气、恶劣的霜冻与冰冻天气</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bookmarkEnd w:id="526"/>
    <w:bookmarkEnd w:id="527"/>
    <w:bookmarkEnd w:id="528"/>
    <w:bookmarkEnd w:id="529"/>
    <w:bookmarkEnd w:id="530"/>
    <w:bookmarkEnd w:id="531"/>
    <w:bookmarkEnd w:id="532"/>
    <w:p w14:paraId="629268CE">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533" w:name="_Toc389065295"/>
      <w:bookmarkStart w:id="534" w:name="_Toc407135231"/>
      <w:bookmarkStart w:id="535" w:name="_Toc9850559"/>
      <w:bookmarkStart w:id="536" w:name="_Toc373227729"/>
      <w:bookmarkStart w:id="537" w:name="_Toc373478376"/>
      <w:r>
        <w:rPr>
          <w:rStyle w:val="47"/>
          <w:rFonts w:hint="eastAsia" w:ascii="宋体" w:hAnsi="宋体" w:eastAsia="宋体" w:cs="宋体"/>
          <w:b/>
          <w:bCs/>
          <w:color w:val="auto"/>
          <w:sz w:val="21"/>
          <w:szCs w:val="21"/>
          <w:highlight w:val="none"/>
          <w:shd w:val="clear" w:color="auto" w:fill="auto"/>
          <w:lang w:val="zh-CN"/>
        </w:rPr>
        <w:t>7</w:t>
      </w:r>
      <w:bookmarkStart w:id="538" w:name="_Toc312678017"/>
      <w:bookmarkStart w:id="539" w:name="_Toc300934973"/>
      <w:bookmarkStart w:id="540" w:name="_Toc297216180"/>
      <w:bookmarkStart w:id="541" w:name="_Toc303539130"/>
      <w:bookmarkStart w:id="542" w:name="_Toc304295551"/>
      <w:bookmarkStart w:id="543" w:name="_Toc297123521"/>
      <w:r>
        <w:rPr>
          <w:rStyle w:val="47"/>
          <w:rFonts w:hint="eastAsia" w:ascii="宋体" w:hAnsi="宋体" w:eastAsia="宋体" w:cs="宋体"/>
          <w:b/>
          <w:bCs/>
          <w:color w:val="auto"/>
          <w:sz w:val="21"/>
          <w:szCs w:val="21"/>
          <w:highlight w:val="none"/>
          <w:shd w:val="clear" w:color="auto" w:fill="auto"/>
          <w:lang w:val="zh-CN"/>
        </w:rPr>
        <w:t>.7 异常恶劣的气候条件</w:t>
      </w:r>
      <w:bookmarkEnd w:id="533"/>
      <w:bookmarkEnd w:id="534"/>
      <w:bookmarkEnd w:id="535"/>
      <w:bookmarkEnd w:id="536"/>
      <w:bookmarkEnd w:id="537"/>
    </w:p>
    <w:bookmarkEnd w:id="538"/>
    <w:bookmarkEnd w:id="539"/>
    <w:bookmarkEnd w:id="540"/>
    <w:bookmarkEnd w:id="541"/>
    <w:bookmarkEnd w:id="542"/>
    <w:bookmarkEnd w:id="543"/>
    <w:p w14:paraId="3AD8192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发包人和承包人同意以下情形视为异常恶劣的气候条件：</w:t>
      </w:r>
    </w:p>
    <w:p w14:paraId="6E12E41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w:t>
      </w:r>
      <w:r>
        <w:rPr>
          <w:rStyle w:val="47"/>
          <w:rFonts w:hint="eastAsia" w:ascii="宋体" w:hAnsi="宋体" w:eastAsia="宋体" w:cs="宋体"/>
          <w:color w:val="auto"/>
          <w:szCs w:val="21"/>
          <w:highlight w:val="none"/>
          <w:u w:val="single"/>
          <w:shd w:val="clear" w:color="auto" w:fill="auto"/>
        </w:rPr>
        <w:t xml:space="preserve">日气温超过38摄氏度的高温 </w:t>
      </w:r>
      <w:r>
        <w:rPr>
          <w:rStyle w:val="47"/>
          <w:rFonts w:hint="eastAsia" w:ascii="宋体" w:hAnsi="宋体" w:eastAsia="宋体" w:cs="宋体"/>
          <w:color w:val="auto"/>
          <w:szCs w:val="21"/>
          <w:highlight w:val="none"/>
          <w:shd w:val="clear" w:color="auto" w:fill="auto"/>
        </w:rPr>
        <w:t>；</w:t>
      </w:r>
    </w:p>
    <w:p w14:paraId="5C89E05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w:t>
      </w:r>
      <w:r>
        <w:rPr>
          <w:rStyle w:val="47"/>
          <w:rFonts w:hint="eastAsia" w:ascii="宋体" w:hAnsi="宋体" w:eastAsia="宋体" w:cs="宋体"/>
          <w:color w:val="auto"/>
          <w:szCs w:val="21"/>
          <w:highlight w:val="none"/>
          <w:u w:val="single"/>
          <w:shd w:val="clear" w:color="auto" w:fill="auto"/>
        </w:rPr>
        <w:t xml:space="preserve">日气温低于零摄氏度的严寒  </w:t>
      </w:r>
      <w:r>
        <w:rPr>
          <w:rStyle w:val="47"/>
          <w:rFonts w:hint="eastAsia" w:ascii="宋体" w:hAnsi="宋体" w:eastAsia="宋体" w:cs="宋体"/>
          <w:color w:val="auto"/>
          <w:szCs w:val="21"/>
          <w:highlight w:val="none"/>
          <w:shd w:val="clear" w:color="auto" w:fill="auto"/>
        </w:rPr>
        <w:t>；</w:t>
      </w:r>
    </w:p>
    <w:p w14:paraId="6C41A96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w:t>
      </w:r>
      <w:r>
        <w:rPr>
          <w:rStyle w:val="47"/>
          <w:rFonts w:hint="eastAsia" w:ascii="宋体" w:hAnsi="宋体" w:eastAsia="宋体" w:cs="宋体"/>
          <w:color w:val="auto"/>
          <w:szCs w:val="21"/>
          <w:highlight w:val="none"/>
          <w:u w:val="single"/>
          <w:shd w:val="clear" w:color="auto" w:fill="auto"/>
        </w:rPr>
        <w:t xml:space="preserve">6级以上大风及六级以上的地震 </w:t>
      </w:r>
      <w:r>
        <w:rPr>
          <w:rStyle w:val="47"/>
          <w:rFonts w:hint="eastAsia" w:ascii="宋体" w:hAnsi="宋体" w:eastAsia="宋体" w:cs="宋体"/>
          <w:color w:val="auto"/>
          <w:szCs w:val="21"/>
          <w:highlight w:val="none"/>
          <w:shd w:val="clear" w:color="auto" w:fill="auto"/>
        </w:rPr>
        <w:t>；</w:t>
      </w:r>
    </w:p>
    <w:p w14:paraId="67F8683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（4）</w:t>
      </w:r>
      <w:r>
        <w:rPr>
          <w:rStyle w:val="47"/>
          <w:rFonts w:hint="eastAsia" w:ascii="宋体" w:hAnsi="宋体" w:eastAsia="宋体" w:cs="宋体"/>
          <w:color w:val="auto"/>
          <w:szCs w:val="21"/>
          <w:highlight w:val="none"/>
          <w:u w:val="single"/>
          <w:shd w:val="clear" w:color="auto" w:fill="auto"/>
        </w:rPr>
        <w:t>暴雨</w:t>
      </w:r>
      <w:r>
        <w:rPr>
          <w:rStyle w:val="47"/>
          <w:rFonts w:hint="eastAsia" w:ascii="宋体" w:hAnsi="宋体" w:eastAsia="宋体" w:cs="宋体"/>
          <w:color w:val="auto"/>
          <w:szCs w:val="21"/>
          <w:highlight w:val="none"/>
          <w:u w:val="single"/>
          <w:shd w:val="clear" w:color="auto" w:fill="auto"/>
          <w:lang w:val="en-US" w:eastAsia="zh-CN"/>
        </w:rPr>
        <w:t>及</w:t>
      </w:r>
      <w:r>
        <w:rPr>
          <w:rStyle w:val="47"/>
          <w:rFonts w:hint="eastAsia" w:ascii="宋体" w:hAnsi="宋体" w:eastAsia="宋体" w:cs="宋体"/>
          <w:color w:val="auto"/>
          <w:szCs w:val="21"/>
          <w:highlight w:val="none"/>
          <w:u w:val="single"/>
          <w:shd w:val="clear" w:color="auto" w:fill="auto"/>
        </w:rPr>
        <w:t>以上持续1天的大雨或日降雨量60mm以上暴雨</w:t>
      </w:r>
      <w:r>
        <w:rPr>
          <w:rStyle w:val="47"/>
          <w:rFonts w:hint="eastAsia" w:ascii="宋体" w:hAnsi="宋体" w:eastAsia="宋体" w:cs="宋体"/>
          <w:color w:val="auto"/>
          <w:szCs w:val="21"/>
          <w:highlight w:val="none"/>
          <w:shd w:val="clear" w:color="auto" w:fill="auto"/>
        </w:rPr>
        <w:t>；</w:t>
      </w:r>
    </w:p>
    <w:p w14:paraId="31171AF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（5）</w:t>
      </w:r>
      <w:r>
        <w:rPr>
          <w:rStyle w:val="47"/>
          <w:rFonts w:hint="eastAsia" w:ascii="宋体" w:hAnsi="宋体" w:eastAsia="宋体" w:cs="宋体"/>
          <w:color w:val="auto"/>
          <w:szCs w:val="21"/>
          <w:highlight w:val="none"/>
          <w:u w:val="single"/>
          <w:shd w:val="clear" w:color="auto" w:fill="auto"/>
        </w:rPr>
        <w:t>20年以上未发生过的持续1天的高温天气</w:t>
      </w:r>
      <w:r>
        <w:rPr>
          <w:rStyle w:val="47"/>
          <w:rFonts w:hint="eastAsia" w:ascii="宋体" w:hAnsi="宋体" w:eastAsia="宋体" w:cs="宋体"/>
          <w:color w:val="auto"/>
          <w:szCs w:val="21"/>
          <w:highlight w:val="none"/>
          <w:shd w:val="clear" w:color="auto" w:fill="auto"/>
        </w:rPr>
        <w:t>；</w:t>
      </w:r>
    </w:p>
    <w:p w14:paraId="7B9F39E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（6）</w:t>
      </w:r>
      <w:r>
        <w:rPr>
          <w:rStyle w:val="47"/>
          <w:rFonts w:hint="eastAsia" w:ascii="宋体" w:hAnsi="宋体" w:eastAsia="宋体" w:cs="宋体"/>
          <w:color w:val="auto"/>
          <w:szCs w:val="21"/>
          <w:highlight w:val="none"/>
          <w:u w:val="single"/>
          <w:shd w:val="clear" w:color="auto" w:fill="auto"/>
        </w:rPr>
        <w:t>20年以上未发生过的持续1天的低温天气</w:t>
      </w:r>
      <w:r>
        <w:rPr>
          <w:rStyle w:val="47"/>
          <w:rFonts w:hint="eastAsia" w:ascii="宋体" w:hAnsi="宋体" w:eastAsia="宋体" w:cs="宋体"/>
          <w:color w:val="auto"/>
          <w:szCs w:val="21"/>
          <w:highlight w:val="none"/>
          <w:shd w:val="clear" w:color="auto" w:fill="auto"/>
        </w:rPr>
        <w:t>；</w:t>
      </w:r>
    </w:p>
    <w:p w14:paraId="12AD542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（7）</w:t>
      </w:r>
      <w:r>
        <w:rPr>
          <w:rStyle w:val="47"/>
          <w:rFonts w:hint="eastAsia" w:ascii="宋体" w:hAnsi="宋体" w:eastAsia="宋体" w:cs="宋体"/>
          <w:color w:val="auto"/>
          <w:szCs w:val="21"/>
          <w:highlight w:val="none"/>
          <w:u w:val="single"/>
          <w:shd w:val="clear" w:color="auto" w:fill="auto"/>
        </w:rPr>
        <w:t>造成的工程损坏的冰雹和大雪灾害；其他异常恶劣气候灾害</w:t>
      </w:r>
      <w:r>
        <w:rPr>
          <w:rStyle w:val="47"/>
          <w:rFonts w:hint="eastAsia" w:ascii="宋体" w:hAnsi="宋体" w:eastAsia="宋体" w:cs="宋体"/>
          <w:color w:val="auto"/>
          <w:szCs w:val="21"/>
          <w:highlight w:val="none"/>
          <w:shd w:val="clear" w:color="auto" w:fill="auto"/>
        </w:rPr>
        <w:t>。</w:t>
      </w:r>
    </w:p>
    <w:p w14:paraId="4026FAB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以上标准均按贺州市气象、地震部门公布为准。</w:t>
      </w:r>
    </w:p>
    <w:p w14:paraId="2A9DACA0">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544" w:name="_Toc407135232"/>
      <w:bookmarkStart w:id="545" w:name="_Toc389065296"/>
      <w:bookmarkStart w:id="546" w:name="_Toc373227730"/>
      <w:bookmarkStart w:id="547" w:name="_Toc9850560"/>
      <w:bookmarkStart w:id="548" w:name="_Toc373478377"/>
      <w:r>
        <w:rPr>
          <w:rStyle w:val="47"/>
          <w:rFonts w:hint="eastAsia" w:ascii="宋体" w:hAnsi="宋体" w:eastAsia="宋体" w:cs="宋体"/>
          <w:b/>
          <w:bCs/>
          <w:color w:val="auto"/>
          <w:sz w:val="21"/>
          <w:szCs w:val="21"/>
          <w:highlight w:val="none"/>
          <w:shd w:val="clear" w:color="auto" w:fill="auto"/>
          <w:lang w:val="zh-CN"/>
        </w:rPr>
        <w:t>7.9 提前竣工</w:t>
      </w:r>
      <w:bookmarkEnd w:id="544"/>
      <w:bookmarkEnd w:id="545"/>
      <w:bookmarkEnd w:id="546"/>
      <w:bookmarkEnd w:id="547"/>
      <w:bookmarkEnd w:id="548"/>
    </w:p>
    <w:p w14:paraId="0B82169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7.9.2提前竣工（赶工）增加费的计算方法：</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A7759C5">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549" w:name="_Toc389065297"/>
      <w:bookmarkStart w:id="550" w:name="_Toc351203640"/>
      <w:bookmarkStart w:id="551" w:name="_Toc9822"/>
      <w:bookmarkStart w:id="552" w:name="_Toc373227731"/>
      <w:bookmarkStart w:id="553" w:name="_Toc9850561"/>
      <w:bookmarkStart w:id="554" w:name="_Toc373478378"/>
      <w:bookmarkStart w:id="555" w:name="_Toc17483"/>
      <w:bookmarkStart w:id="556" w:name="_Toc407135233"/>
      <w:r>
        <w:rPr>
          <w:rStyle w:val="47"/>
          <w:rFonts w:hint="eastAsia" w:ascii="宋体" w:hAnsi="宋体" w:eastAsia="宋体" w:cs="宋体"/>
          <w:b/>
          <w:bCs/>
          <w:color w:val="auto"/>
          <w:sz w:val="21"/>
          <w:szCs w:val="21"/>
          <w:highlight w:val="none"/>
          <w:shd w:val="clear" w:color="auto" w:fill="auto"/>
          <w:lang w:val="zh-CN"/>
        </w:rPr>
        <w:t>8. 材料与设备</w:t>
      </w:r>
      <w:bookmarkEnd w:id="549"/>
      <w:bookmarkEnd w:id="550"/>
      <w:bookmarkEnd w:id="551"/>
      <w:bookmarkEnd w:id="552"/>
      <w:bookmarkEnd w:id="553"/>
      <w:bookmarkEnd w:id="554"/>
      <w:bookmarkEnd w:id="555"/>
      <w:bookmarkEnd w:id="556"/>
    </w:p>
    <w:p w14:paraId="219927D8">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en-US" w:eastAsia="zh-CN"/>
        </w:rPr>
      </w:pPr>
      <w:r>
        <w:rPr>
          <w:rStyle w:val="47"/>
          <w:rFonts w:hint="eastAsia" w:ascii="宋体" w:hAnsi="宋体" w:eastAsia="宋体" w:cs="宋体"/>
          <w:b/>
          <w:bCs/>
          <w:color w:val="auto"/>
          <w:sz w:val="21"/>
          <w:szCs w:val="21"/>
          <w:highlight w:val="none"/>
          <w:shd w:val="clear" w:color="auto" w:fill="auto"/>
          <w:lang w:val="en-US" w:eastAsia="zh-CN"/>
        </w:rPr>
        <w:t>8.1发包人供应材料与工程设备</w:t>
      </w:r>
    </w:p>
    <w:p w14:paraId="4C854BFB">
      <w:pPr>
        <w:pStyle w:val="246"/>
        <w:autoSpaceDE/>
        <w:autoSpaceDN/>
        <w:adjustRightInd w:val="0"/>
        <w:spacing w:beforeLines="0" w:afterLines="0" w:line="360" w:lineRule="auto"/>
        <w:ind w:firstLine="420" w:firstLineChars="200"/>
        <w:jc w:val="left"/>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color w:val="auto"/>
          <w:kern w:val="0"/>
          <w:szCs w:val="21"/>
          <w:highlight w:val="none"/>
          <w:shd w:val="clear" w:color="auto" w:fill="auto"/>
        </w:rPr>
        <w:t>本项目工程量清单中《发包人提供主要材料和工程设备一览表》 表-21)明确的材料采用“甲供材”方式供应，在完成招标确定中标人后，由承包人提前七日提供供材需求计划，发包人根据供材需求计划进行供应(供材部分由发包人另行签订供销合同予以明确)。承包方要优先使用完甲供部分，剩余部分由承包方自行采购。甲供部分材料不承担承包方结算审计时核减或核增风险。</w:t>
      </w:r>
    </w:p>
    <w:bookmarkEnd w:id="428"/>
    <w:bookmarkEnd w:id="429"/>
    <w:bookmarkEnd w:id="430"/>
    <w:bookmarkEnd w:id="431"/>
    <w:bookmarkEnd w:id="432"/>
    <w:bookmarkEnd w:id="433"/>
    <w:bookmarkEnd w:id="434"/>
    <w:bookmarkEnd w:id="435"/>
    <w:bookmarkEnd w:id="436"/>
    <w:bookmarkEnd w:id="437"/>
    <w:p w14:paraId="47BD4522">
      <w:pPr>
        <w:pStyle w:val="246"/>
        <w:keepNext/>
        <w:keepLines/>
        <w:spacing w:beforeLines="0" w:afterLines="0" w:line="360" w:lineRule="auto"/>
        <w:outlineLvl w:val="2"/>
        <w:rPr>
          <w:rStyle w:val="47"/>
          <w:rFonts w:hint="eastAsia" w:ascii="宋体" w:hAnsi="宋体" w:eastAsia="宋体" w:cs="宋体"/>
          <w:color w:val="auto"/>
          <w:kern w:val="0"/>
          <w:szCs w:val="21"/>
          <w:highlight w:val="none"/>
          <w:shd w:val="clear" w:color="auto" w:fill="auto"/>
        </w:rPr>
      </w:pPr>
      <w:bookmarkStart w:id="557" w:name="_Toc9850562"/>
      <w:bookmarkStart w:id="558" w:name="_Toc373478379"/>
      <w:bookmarkStart w:id="559" w:name="_Toc407135234"/>
      <w:bookmarkStart w:id="560" w:name="_Toc373227732"/>
      <w:bookmarkStart w:id="561" w:name="_Toc389065298"/>
      <w:r>
        <w:rPr>
          <w:rStyle w:val="47"/>
          <w:rFonts w:hint="eastAsia" w:ascii="宋体" w:hAnsi="宋体" w:eastAsia="宋体" w:cs="宋体"/>
          <w:b/>
          <w:bCs/>
          <w:color w:val="auto"/>
          <w:sz w:val="21"/>
          <w:szCs w:val="21"/>
          <w:highlight w:val="none"/>
          <w:shd w:val="clear" w:color="auto" w:fill="auto"/>
          <w:lang w:val="zh-CN"/>
        </w:rPr>
        <w:t>8.2 承包人采购材料与工程设备</w:t>
      </w:r>
      <w:bookmarkEnd w:id="557"/>
      <w:bookmarkEnd w:id="558"/>
      <w:bookmarkEnd w:id="559"/>
      <w:bookmarkEnd w:id="560"/>
      <w:bookmarkEnd w:id="561"/>
    </w:p>
    <w:p w14:paraId="0A051FB1">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除已标价工程量清单《发包人提供主要材料和工程设备一览表》（表-21）中明确的材料、工程设备外，由承包人负责材料和工程设备的采购、运输和保管。《</w:t>
      </w:r>
      <w:r>
        <w:rPr>
          <w:rStyle w:val="47"/>
          <w:rFonts w:hint="eastAsia" w:ascii="宋体" w:hAnsi="宋体" w:eastAsia="宋体" w:cs="宋体"/>
          <w:color w:val="auto"/>
          <w:szCs w:val="21"/>
          <w:highlight w:val="none"/>
          <w:shd w:val="clear" w:color="auto" w:fill="auto"/>
        </w:rPr>
        <w:t>承包人提供主要材料和工程设备一览表》</w:t>
      </w:r>
      <w:r>
        <w:rPr>
          <w:rStyle w:val="47"/>
          <w:rFonts w:hint="eastAsia" w:ascii="宋体" w:hAnsi="宋体" w:eastAsia="宋体" w:cs="宋体"/>
          <w:color w:val="auto"/>
          <w:kern w:val="0"/>
          <w:szCs w:val="21"/>
          <w:highlight w:val="none"/>
          <w:shd w:val="clear" w:color="auto" w:fill="auto"/>
        </w:rPr>
        <w:t>（表-22）见已标价工程量清单。</w:t>
      </w:r>
    </w:p>
    <w:p w14:paraId="60D83664">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bookmarkStart w:id="562" w:name="_Toc373478380"/>
      <w:bookmarkStart w:id="563" w:name="_Toc389065299"/>
      <w:bookmarkStart w:id="564" w:name="_Toc373227733"/>
      <w:r>
        <w:rPr>
          <w:rStyle w:val="47"/>
          <w:rFonts w:hint="eastAsia" w:ascii="宋体" w:hAnsi="宋体" w:eastAsia="宋体" w:cs="宋体"/>
          <w:color w:val="auto"/>
          <w:szCs w:val="21"/>
          <w:highlight w:val="none"/>
          <w:shd w:val="clear" w:color="auto" w:fill="auto"/>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46D426D">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565" w:name="_Toc9850563"/>
      <w:bookmarkStart w:id="566" w:name="_Toc407135235"/>
      <w:r>
        <w:rPr>
          <w:rStyle w:val="47"/>
          <w:rFonts w:hint="eastAsia" w:ascii="宋体" w:hAnsi="宋体" w:eastAsia="宋体" w:cs="宋体"/>
          <w:b/>
          <w:bCs/>
          <w:color w:val="auto"/>
          <w:sz w:val="21"/>
          <w:szCs w:val="21"/>
          <w:highlight w:val="none"/>
          <w:shd w:val="clear" w:color="auto" w:fill="auto"/>
          <w:lang w:val="zh-CN"/>
        </w:rPr>
        <w:t>8</w:t>
      </w:r>
      <w:bookmarkStart w:id="567" w:name="_Toc297123527"/>
      <w:bookmarkStart w:id="568" w:name="_Toc297216186"/>
      <w:bookmarkStart w:id="569" w:name="_Toc296346668"/>
      <w:bookmarkStart w:id="570" w:name="_Toc304295556"/>
      <w:bookmarkStart w:id="571" w:name="_Toc297120467"/>
      <w:bookmarkStart w:id="572" w:name="_Toc312678019"/>
      <w:bookmarkStart w:id="573" w:name="_Toc296347166"/>
      <w:bookmarkStart w:id="574" w:name="_Toc296503167"/>
      <w:bookmarkStart w:id="575" w:name="_Toc312677493"/>
      <w:bookmarkStart w:id="576" w:name="_Toc292559877"/>
      <w:bookmarkStart w:id="577" w:name="_Toc280868654"/>
      <w:bookmarkStart w:id="578" w:name="_Toc296944506"/>
      <w:bookmarkStart w:id="579" w:name="_Toc297048353"/>
      <w:bookmarkStart w:id="580" w:name="_Toc292559372"/>
      <w:bookmarkStart w:id="581" w:name="_Toc300934979"/>
      <w:bookmarkStart w:id="582" w:name="_Toc303539136"/>
      <w:bookmarkStart w:id="583" w:name="_Toc296891207"/>
      <w:bookmarkStart w:id="584" w:name="_Toc296890995"/>
      <w:bookmarkStart w:id="585" w:name="_Toc280868656"/>
      <w:bookmarkStart w:id="586" w:name="_Toc267251424"/>
      <w:bookmarkStart w:id="587" w:name="_Toc280868655"/>
      <w:r>
        <w:rPr>
          <w:rStyle w:val="47"/>
          <w:rFonts w:hint="eastAsia" w:ascii="宋体" w:hAnsi="宋体" w:eastAsia="宋体" w:cs="宋体"/>
          <w:b/>
          <w:bCs/>
          <w:color w:val="auto"/>
          <w:sz w:val="21"/>
          <w:szCs w:val="21"/>
          <w:highlight w:val="none"/>
          <w:shd w:val="clear" w:color="auto" w:fill="auto"/>
          <w:lang w:val="zh-CN"/>
        </w:rPr>
        <w:t>.4 材料与工程设备的保管与使用</w:t>
      </w:r>
      <w:bookmarkEnd w:id="562"/>
      <w:bookmarkEnd w:id="563"/>
      <w:bookmarkEnd w:id="564"/>
      <w:bookmarkEnd w:id="565"/>
      <w:bookmarkEnd w:id="566"/>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1FE960EF">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8</w:t>
      </w:r>
      <w:bookmarkStart w:id="588" w:name="_Toc292559878"/>
      <w:bookmarkStart w:id="589" w:name="_Toc292559373"/>
      <w:bookmarkStart w:id="590" w:name="_Toc312678020"/>
      <w:bookmarkStart w:id="591" w:name="_Toc296503168"/>
      <w:bookmarkStart w:id="592" w:name="_Toc297123528"/>
      <w:bookmarkStart w:id="593" w:name="_Toc303539137"/>
      <w:bookmarkStart w:id="594" w:name="_Toc318581173"/>
      <w:bookmarkStart w:id="595" w:name="_Toc304295557"/>
      <w:bookmarkStart w:id="596" w:name="_Toc296890996"/>
      <w:bookmarkStart w:id="597" w:name="_Toc297216187"/>
      <w:bookmarkStart w:id="598" w:name="_Toc312677494"/>
      <w:bookmarkStart w:id="599" w:name="_Toc296347167"/>
      <w:bookmarkStart w:id="600" w:name="_Toc300934980"/>
      <w:bookmarkStart w:id="601" w:name="_Toc297048354"/>
      <w:bookmarkStart w:id="602" w:name="_Toc296944507"/>
      <w:bookmarkStart w:id="603" w:name="_Toc296891208"/>
      <w:bookmarkStart w:id="604" w:name="_Toc297120468"/>
      <w:bookmarkStart w:id="605" w:name="_Toc296346669"/>
      <w:r>
        <w:rPr>
          <w:rStyle w:val="47"/>
          <w:rFonts w:hint="eastAsia" w:ascii="宋体" w:hAnsi="宋体" w:eastAsia="宋体" w:cs="宋体"/>
          <w:color w:val="auto"/>
          <w:szCs w:val="21"/>
          <w:highlight w:val="none"/>
          <w:shd w:val="clear" w:color="auto" w:fill="auto"/>
        </w:rPr>
        <w:t>.4.1发包人供应的材料设备的保管费用的承担：</w:t>
      </w:r>
      <w:r>
        <w:rPr>
          <w:rStyle w:val="47"/>
          <w:rFonts w:hint="eastAsia" w:ascii="宋体" w:hAnsi="宋体" w:eastAsia="宋体" w:cs="宋体"/>
          <w:color w:val="auto"/>
          <w:szCs w:val="21"/>
          <w:highlight w:val="none"/>
          <w:u w:val="single"/>
          <w:shd w:val="clear" w:color="auto" w:fill="auto"/>
        </w:rPr>
        <w:t xml:space="preserve"> 由承包人承担 </w:t>
      </w:r>
      <w:r>
        <w:rPr>
          <w:rStyle w:val="47"/>
          <w:rFonts w:hint="eastAsia" w:ascii="宋体" w:hAnsi="宋体" w:eastAsia="宋体" w:cs="宋体"/>
          <w:color w:val="auto"/>
          <w:szCs w:val="21"/>
          <w:highlight w:val="none"/>
          <w:shd w:val="clear" w:color="auto" w:fill="auto"/>
        </w:rPr>
        <w:t>。</w:t>
      </w:r>
    </w:p>
    <w:bookmarkEnd w:id="588"/>
    <w:bookmarkEnd w:id="589"/>
    <w:p w14:paraId="2BC34DEF">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606" w:name="_Toc407135236"/>
      <w:bookmarkStart w:id="607" w:name="_Toc373227734"/>
      <w:bookmarkStart w:id="608" w:name="_Toc373478381"/>
      <w:bookmarkStart w:id="609" w:name="_Toc389065300"/>
      <w:bookmarkStart w:id="610" w:name="_Toc9850564"/>
      <w:r>
        <w:rPr>
          <w:rStyle w:val="47"/>
          <w:rFonts w:hint="eastAsia" w:ascii="宋体" w:hAnsi="宋体" w:eastAsia="宋体" w:cs="宋体"/>
          <w:b/>
          <w:bCs/>
          <w:color w:val="auto"/>
          <w:sz w:val="21"/>
          <w:szCs w:val="21"/>
          <w:highlight w:val="none"/>
          <w:shd w:val="clear" w:color="auto" w:fill="auto"/>
          <w:lang w:val="zh-CN"/>
        </w:rPr>
        <w:t>8.6 样品</w:t>
      </w:r>
      <w:bookmarkEnd w:id="606"/>
      <w:bookmarkEnd w:id="607"/>
      <w:bookmarkEnd w:id="608"/>
      <w:bookmarkEnd w:id="609"/>
      <w:bookmarkEnd w:id="610"/>
    </w:p>
    <w:p w14:paraId="4E8677AF">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8.6.1 样品的报送与封存</w:t>
      </w:r>
    </w:p>
    <w:p w14:paraId="63228394">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需要承包人报送样品的材料或工程设备，样品的种类、名称、规格、数量要求：</w:t>
      </w:r>
      <w:r>
        <w:rPr>
          <w:rStyle w:val="47"/>
          <w:rFonts w:hint="eastAsia" w:ascii="宋体" w:hAnsi="宋体" w:eastAsia="宋体" w:cs="宋体"/>
          <w:color w:val="auto"/>
          <w:szCs w:val="21"/>
          <w:highlight w:val="none"/>
          <w:u w:val="single"/>
          <w:shd w:val="clear" w:color="auto" w:fill="auto"/>
        </w:rPr>
        <w:t>主要材料涉及品种、款式、颜色等方面内容的，承包人应提交准备合格的材料样品送发包人选定。</w:t>
      </w:r>
    </w:p>
    <w:p w14:paraId="33B87275">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611" w:name="_Toc373478382"/>
      <w:bookmarkStart w:id="612" w:name="_Toc373227735"/>
      <w:bookmarkStart w:id="613" w:name="_Toc389065301"/>
      <w:bookmarkStart w:id="614" w:name="_Toc9850565"/>
      <w:bookmarkStart w:id="615" w:name="_Toc407135237"/>
      <w:r>
        <w:rPr>
          <w:rStyle w:val="47"/>
          <w:rFonts w:hint="eastAsia" w:ascii="宋体" w:hAnsi="宋体" w:eastAsia="宋体" w:cs="宋体"/>
          <w:b/>
          <w:bCs/>
          <w:color w:val="auto"/>
          <w:sz w:val="21"/>
          <w:szCs w:val="21"/>
          <w:highlight w:val="none"/>
          <w:shd w:val="clear" w:color="auto" w:fill="auto"/>
          <w:lang w:val="zh-CN"/>
        </w:rPr>
        <w:t>8.8 施工设备和临时设施</w:t>
      </w:r>
      <w:bookmarkEnd w:id="611"/>
      <w:bookmarkEnd w:id="612"/>
      <w:bookmarkEnd w:id="613"/>
      <w:bookmarkEnd w:id="614"/>
      <w:bookmarkEnd w:id="615"/>
    </w:p>
    <w:p w14:paraId="152849C8">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8.8.1 承包人提供的施工设备和临时设施</w:t>
      </w:r>
    </w:p>
    <w:p w14:paraId="1EC84294">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除专用合同条款另有约定的其他独立承包人和监理人指示的他人提供条件外，承包人运入施工场地的所有施工设备以及在施工场地建设的临时设施仅限于用于合同工程。</w:t>
      </w:r>
    </w:p>
    <w:p w14:paraId="19EC1745">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关于修建临时设施费用承担的约定：</w:t>
      </w:r>
    </w:p>
    <w:p w14:paraId="767AECE1">
      <w:pPr>
        <w:pStyle w:val="23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rPr>
      </w:pPr>
      <w:r>
        <w:rPr>
          <w:rStyle w:val="47"/>
          <w:rFonts w:hint="eastAsia" w:ascii="宋体" w:hAnsi="宋体" w:eastAsia="宋体" w:cs="宋体"/>
          <w:color w:val="auto"/>
          <w:kern w:val="2"/>
          <w:sz w:val="21"/>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4DCE0731">
      <w:pPr>
        <w:pStyle w:val="23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rPr>
      </w:pPr>
      <w:r>
        <w:rPr>
          <w:rStyle w:val="47"/>
          <w:rFonts w:hint="eastAsia" w:ascii="宋体" w:hAnsi="宋体" w:eastAsia="宋体" w:cs="宋体"/>
          <w:color w:val="auto"/>
          <w:kern w:val="2"/>
          <w:sz w:val="21"/>
          <w:szCs w:val="21"/>
          <w:highlight w:val="none"/>
          <w:u w:val="single"/>
        </w:rPr>
        <w:t>②承包人负责合同实施期间其合同段内临时交通道路（含场内外连接公共交通道路）和交通设施的修建、维修、养护和交通管理工作，并承担一切费用。</w:t>
      </w:r>
    </w:p>
    <w:p w14:paraId="1D0C1254">
      <w:pPr>
        <w:pStyle w:val="236"/>
        <w:autoSpaceDE/>
        <w:autoSpaceDN/>
        <w:adjustRightInd w:val="0"/>
        <w:spacing w:beforeLines="0" w:afterLines="0" w:line="360" w:lineRule="auto"/>
        <w:ind w:firstLine="420" w:firstLineChars="200"/>
        <w:jc w:val="left"/>
        <w:rPr>
          <w:rStyle w:val="47"/>
          <w:rFonts w:hint="eastAsia" w:ascii="宋体" w:hAnsi="宋体" w:eastAsia="宋体" w:cs="宋体"/>
          <w:color w:val="auto"/>
          <w:sz w:val="21"/>
          <w:szCs w:val="21"/>
          <w:highlight w:val="none"/>
          <w:shd w:val="clear" w:color="auto" w:fill="auto"/>
        </w:rPr>
      </w:pPr>
      <w:r>
        <w:rPr>
          <w:rStyle w:val="47"/>
          <w:rFonts w:hint="eastAsia" w:ascii="宋体" w:hAnsi="宋体" w:eastAsia="宋体" w:cs="宋体"/>
          <w:color w:val="auto"/>
          <w:kern w:val="2"/>
          <w:sz w:val="21"/>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D466172">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8.8.2 发包人提供的施工设备和临时设施</w:t>
      </w:r>
    </w:p>
    <w:p w14:paraId="2B7BA7B2">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发包人提供的施工设备和临时设施：</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7FD700FC">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发包人提供的施工设备和临时设施的运行、维护、拆除、清运费用的承担人：</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01503EAF">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616" w:name="_Toc373478383"/>
      <w:bookmarkStart w:id="617" w:name="_Toc9850566"/>
      <w:bookmarkStart w:id="618" w:name="_Toc351203641"/>
      <w:bookmarkStart w:id="619" w:name="_Toc407135238"/>
      <w:bookmarkStart w:id="620" w:name="_Toc2472"/>
      <w:bookmarkStart w:id="621" w:name="_Toc373227736"/>
      <w:bookmarkStart w:id="622" w:name="_Toc18546"/>
      <w:bookmarkStart w:id="623" w:name="_Toc389065302"/>
      <w:r>
        <w:rPr>
          <w:rStyle w:val="47"/>
          <w:rFonts w:hint="eastAsia" w:ascii="宋体" w:hAnsi="宋体" w:eastAsia="宋体" w:cs="宋体"/>
          <w:b/>
          <w:bCs/>
          <w:color w:val="auto"/>
          <w:sz w:val="21"/>
          <w:szCs w:val="21"/>
          <w:highlight w:val="none"/>
          <w:shd w:val="clear" w:color="auto" w:fill="auto"/>
          <w:lang w:val="zh-CN"/>
        </w:rPr>
        <w:t>9</w:t>
      </w:r>
      <w:bookmarkEnd w:id="585"/>
      <w:bookmarkEnd w:id="586"/>
      <w:bookmarkEnd w:id="587"/>
      <w:bookmarkStart w:id="624" w:name="_Toc297216192"/>
      <w:bookmarkStart w:id="625" w:name="_Toc312678021"/>
      <w:bookmarkStart w:id="626" w:name="_Toc303539139"/>
      <w:bookmarkStart w:id="627" w:name="_Toc297123533"/>
      <w:bookmarkStart w:id="628" w:name="_Toc304295559"/>
      <w:bookmarkStart w:id="629" w:name="_Toc312677495"/>
      <w:bookmarkStart w:id="630" w:name="_Toc300934982"/>
      <w:bookmarkStart w:id="631" w:name="_Toc292559883"/>
      <w:bookmarkStart w:id="632" w:name="_Toc292559378"/>
      <w:bookmarkStart w:id="633" w:name="_Toc267251428"/>
      <w:bookmarkStart w:id="634" w:name="_Toc296503173"/>
      <w:bookmarkStart w:id="635" w:name="_Toc297048359"/>
      <w:bookmarkStart w:id="636" w:name="_Toc296944512"/>
      <w:bookmarkStart w:id="637" w:name="_Toc296346674"/>
      <w:bookmarkStart w:id="638" w:name="_Toc296347172"/>
      <w:bookmarkStart w:id="639" w:name="_Toc297120473"/>
      <w:bookmarkStart w:id="640" w:name="_Toc296891001"/>
      <w:bookmarkStart w:id="641" w:name="_Toc267251427"/>
      <w:bookmarkStart w:id="642" w:name="_Toc296891213"/>
      <w:r>
        <w:rPr>
          <w:rStyle w:val="47"/>
          <w:rFonts w:hint="eastAsia" w:ascii="宋体" w:hAnsi="宋体" w:eastAsia="宋体" w:cs="宋体"/>
          <w:b/>
          <w:bCs/>
          <w:color w:val="auto"/>
          <w:sz w:val="21"/>
          <w:szCs w:val="21"/>
          <w:highlight w:val="none"/>
          <w:shd w:val="clear" w:color="auto" w:fill="auto"/>
          <w:lang w:val="zh-CN"/>
        </w:rPr>
        <w:t>. 试验与检验</w:t>
      </w:r>
      <w:bookmarkEnd w:id="616"/>
      <w:bookmarkEnd w:id="617"/>
      <w:bookmarkEnd w:id="618"/>
      <w:bookmarkEnd w:id="619"/>
      <w:bookmarkEnd w:id="620"/>
      <w:bookmarkEnd w:id="621"/>
      <w:bookmarkEnd w:id="622"/>
      <w:bookmarkEnd w:id="623"/>
    </w:p>
    <w:bookmarkEnd w:id="624"/>
    <w:bookmarkEnd w:id="625"/>
    <w:bookmarkEnd w:id="626"/>
    <w:bookmarkEnd w:id="627"/>
    <w:bookmarkEnd w:id="628"/>
    <w:bookmarkEnd w:id="629"/>
    <w:bookmarkEnd w:id="630"/>
    <w:p w14:paraId="262F0A28">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643" w:name="_Toc373478384"/>
      <w:bookmarkStart w:id="644" w:name="_Toc9850567"/>
      <w:bookmarkStart w:id="645" w:name="_Toc407135239"/>
      <w:bookmarkStart w:id="646" w:name="_Toc373227737"/>
      <w:bookmarkStart w:id="647" w:name="_Toc389065303"/>
      <w:r>
        <w:rPr>
          <w:rStyle w:val="47"/>
          <w:rFonts w:hint="eastAsia" w:ascii="宋体" w:hAnsi="宋体" w:eastAsia="宋体" w:cs="宋体"/>
          <w:b/>
          <w:bCs/>
          <w:color w:val="auto"/>
          <w:sz w:val="21"/>
          <w:szCs w:val="21"/>
          <w:highlight w:val="none"/>
          <w:shd w:val="clear" w:color="auto" w:fill="auto"/>
          <w:lang w:val="zh-CN"/>
        </w:rPr>
        <w:t>9</w:t>
      </w:r>
      <w:bookmarkStart w:id="648" w:name="_Toc297216193"/>
      <w:bookmarkStart w:id="649" w:name="_Toc300934983"/>
      <w:bookmarkStart w:id="650" w:name="_Toc304295560"/>
      <w:bookmarkStart w:id="651" w:name="_Toc303539140"/>
      <w:bookmarkStart w:id="652" w:name="_Toc312678022"/>
      <w:bookmarkStart w:id="653" w:name="_Toc312677496"/>
      <w:bookmarkStart w:id="654" w:name="_Toc297123534"/>
      <w:r>
        <w:rPr>
          <w:rStyle w:val="47"/>
          <w:rFonts w:hint="eastAsia" w:ascii="宋体" w:hAnsi="宋体" w:eastAsia="宋体" w:cs="宋体"/>
          <w:b/>
          <w:bCs/>
          <w:color w:val="auto"/>
          <w:sz w:val="21"/>
          <w:szCs w:val="21"/>
          <w:highlight w:val="none"/>
          <w:shd w:val="clear" w:color="auto" w:fill="auto"/>
          <w:lang w:val="zh-CN"/>
        </w:rPr>
        <w:t>.1 试验设备与试验人员</w:t>
      </w:r>
      <w:bookmarkEnd w:id="643"/>
      <w:bookmarkEnd w:id="644"/>
      <w:bookmarkEnd w:id="645"/>
      <w:bookmarkEnd w:id="646"/>
      <w:bookmarkEnd w:id="647"/>
    </w:p>
    <w:bookmarkEnd w:id="648"/>
    <w:bookmarkEnd w:id="649"/>
    <w:bookmarkEnd w:id="650"/>
    <w:bookmarkEnd w:id="651"/>
    <w:bookmarkEnd w:id="652"/>
    <w:bookmarkEnd w:id="653"/>
    <w:bookmarkEnd w:id="654"/>
    <w:p w14:paraId="0492751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9</w:t>
      </w:r>
      <w:bookmarkStart w:id="655" w:name="_Toc300934984"/>
      <w:bookmarkStart w:id="656" w:name="_Toc312678023"/>
      <w:bookmarkStart w:id="657" w:name="_Toc312677497"/>
      <w:bookmarkStart w:id="658" w:name="_Toc303539141"/>
      <w:bookmarkStart w:id="659" w:name="_Toc304295561"/>
      <w:bookmarkStart w:id="660" w:name="_Toc297216194"/>
      <w:bookmarkStart w:id="661" w:name="_Toc297123535"/>
      <w:bookmarkStart w:id="662" w:name="_Toc318581174"/>
      <w:r>
        <w:rPr>
          <w:rStyle w:val="47"/>
          <w:rFonts w:hint="eastAsia" w:ascii="宋体" w:hAnsi="宋体" w:eastAsia="宋体" w:cs="宋体"/>
          <w:color w:val="auto"/>
          <w:szCs w:val="21"/>
          <w:highlight w:val="none"/>
          <w:shd w:val="clear" w:color="auto" w:fill="auto"/>
        </w:rPr>
        <w:t>.1.2 试验设备</w:t>
      </w:r>
    </w:p>
    <w:p w14:paraId="52D0995C">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施工现场需要配置的试验场所：</w:t>
      </w:r>
      <w:bookmarkEnd w:id="655"/>
      <w:bookmarkEnd w:id="656"/>
      <w:bookmarkEnd w:id="657"/>
      <w:bookmarkEnd w:id="658"/>
      <w:bookmarkEnd w:id="659"/>
      <w:bookmarkEnd w:id="660"/>
      <w:bookmarkEnd w:id="661"/>
      <w:bookmarkStart w:id="663" w:name="_Toc303539142"/>
      <w:bookmarkStart w:id="664" w:name="_Toc300934985"/>
      <w:bookmarkStart w:id="665" w:name="_Toc297216195"/>
      <w:bookmarkStart w:id="666" w:name="_Toc304295562"/>
      <w:bookmarkStart w:id="667" w:name="_Toc312678024"/>
      <w:bookmarkStart w:id="668" w:name="_Toc297123536"/>
      <w:bookmarkStart w:id="669" w:name="_Toc312677498"/>
      <w:r>
        <w:rPr>
          <w:rStyle w:val="47"/>
          <w:rFonts w:hint="eastAsia" w:ascii="宋体" w:hAnsi="宋体" w:eastAsia="宋体" w:cs="宋体"/>
          <w:color w:val="auto"/>
          <w:szCs w:val="21"/>
          <w:highlight w:val="none"/>
          <w:u w:val="single"/>
          <w:shd w:val="clear" w:color="auto" w:fill="auto"/>
        </w:rPr>
        <w:t xml:space="preserve">  由承包人承担  </w:t>
      </w:r>
      <w:r>
        <w:rPr>
          <w:rStyle w:val="47"/>
          <w:rFonts w:hint="eastAsia" w:ascii="宋体" w:hAnsi="宋体" w:eastAsia="宋体" w:cs="宋体"/>
          <w:color w:val="auto"/>
          <w:szCs w:val="21"/>
          <w:highlight w:val="none"/>
          <w:shd w:val="clear" w:color="auto" w:fill="auto"/>
        </w:rPr>
        <w:t>。</w:t>
      </w:r>
    </w:p>
    <w:p w14:paraId="6B6C06E7">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施工现场需要配备的试验设备：</w:t>
      </w:r>
      <w:r>
        <w:rPr>
          <w:rStyle w:val="47"/>
          <w:rFonts w:hint="eastAsia" w:ascii="宋体" w:hAnsi="宋体" w:eastAsia="宋体" w:cs="宋体"/>
          <w:color w:val="auto"/>
          <w:szCs w:val="21"/>
          <w:highlight w:val="none"/>
          <w:u w:val="single"/>
          <w:shd w:val="clear" w:color="auto" w:fill="auto"/>
        </w:rPr>
        <w:t xml:space="preserve">  由承包人承担  </w:t>
      </w:r>
      <w:r>
        <w:rPr>
          <w:rStyle w:val="47"/>
          <w:rFonts w:hint="eastAsia" w:ascii="宋体" w:hAnsi="宋体" w:eastAsia="宋体" w:cs="宋体"/>
          <w:color w:val="auto"/>
          <w:szCs w:val="21"/>
          <w:highlight w:val="none"/>
          <w:shd w:val="clear" w:color="auto" w:fill="auto"/>
        </w:rPr>
        <w:t>。</w:t>
      </w:r>
    </w:p>
    <w:p w14:paraId="44C9C6F8">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施工现场需要具备的其他试验条件：</w:t>
      </w:r>
      <w:r>
        <w:rPr>
          <w:rStyle w:val="47"/>
          <w:rFonts w:hint="eastAsia" w:ascii="宋体" w:hAnsi="宋体" w:eastAsia="宋体" w:cs="宋体"/>
          <w:color w:val="auto"/>
          <w:szCs w:val="21"/>
          <w:highlight w:val="none"/>
          <w:u w:val="single"/>
          <w:shd w:val="clear" w:color="auto" w:fill="auto"/>
        </w:rPr>
        <w:t xml:space="preserve">  由承包人承担  </w:t>
      </w:r>
      <w:r>
        <w:rPr>
          <w:rStyle w:val="47"/>
          <w:rFonts w:hint="eastAsia" w:ascii="宋体" w:hAnsi="宋体" w:eastAsia="宋体" w:cs="宋体"/>
          <w:color w:val="auto"/>
          <w:szCs w:val="21"/>
          <w:highlight w:val="none"/>
          <w:shd w:val="clear" w:color="auto" w:fill="auto"/>
        </w:rPr>
        <w:t>。</w:t>
      </w:r>
    </w:p>
    <w:p w14:paraId="7647B05D">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670" w:name="_Toc373227738"/>
      <w:bookmarkStart w:id="671" w:name="_Toc373478385"/>
      <w:bookmarkStart w:id="672" w:name="_Toc407135240"/>
      <w:bookmarkStart w:id="673" w:name="_Toc389065304"/>
      <w:bookmarkStart w:id="674" w:name="_Toc9850568"/>
      <w:r>
        <w:rPr>
          <w:rStyle w:val="47"/>
          <w:rFonts w:hint="eastAsia" w:ascii="宋体" w:hAnsi="宋体" w:eastAsia="宋体" w:cs="宋体"/>
          <w:b/>
          <w:bCs/>
          <w:color w:val="auto"/>
          <w:sz w:val="21"/>
          <w:szCs w:val="21"/>
          <w:highlight w:val="none"/>
          <w:shd w:val="clear" w:color="auto" w:fill="auto"/>
          <w:lang w:val="zh-CN"/>
        </w:rPr>
        <w:t>9.4 现场工艺试验</w:t>
      </w:r>
      <w:bookmarkEnd w:id="670"/>
      <w:bookmarkEnd w:id="671"/>
      <w:bookmarkEnd w:id="672"/>
      <w:bookmarkEnd w:id="673"/>
      <w:bookmarkEnd w:id="674"/>
      <w:r>
        <w:rPr>
          <w:rStyle w:val="47"/>
          <w:rFonts w:hint="eastAsia" w:ascii="宋体" w:hAnsi="宋体" w:eastAsia="宋体" w:cs="宋体"/>
          <w:b/>
          <w:bCs/>
          <w:color w:val="auto"/>
          <w:sz w:val="21"/>
          <w:szCs w:val="21"/>
          <w:highlight w:val="none"/>
          <w:shd w:val="clear" w:color="auto" w:fill="auto"/>
          <w:lang w:val="zh-CN"/>
        </w:rPr>
        <w:t xml:space="preserve"> </w:t>
      </w:r>
    </w:p>
    <w:p w14:paraId="0B92575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现场工艺试验的有关约定：</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3F1D1C89">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675" w:name="_Toc407135241"/>
      <w:bookmarkStart w:id="676" w:name="_Toc9850569"/>
      <w:bookmarkStart w:id="677" w:name="OLE_LINK1"/>
      <w:r>
        <w:rPr>
          <w:rStyle w:val="47"/>
          <w:rFonts w:hint="eastAsia" w:ascii="宋体" w:hAnsi="宋体" w:eastAsia="宋体" w:cs="宋体"/>
          <w:b/>
          <w:bCs/>
          <w:color w:val="auto"/>
          <w:sz w:val="21"/>
          <w:szCs w:val="21"/>
          <w:highlight w:val="none"/>
          <w:shd w:val="clear" w:color="auto" w:fill="auto"/>
          <w:lang w:val="zh-CN"/>
        </w:rPr>
        <w:t>9.5 检验费用</w:t>
      </w:r>
      <w:bookmarkEnd w:id="675"/>
      <w:bookmarkEnd w:id="676"/>
    </w:p>
    <w:p w14:paraId="78CAFA47">
      <w:pPr>
        <w:pStyle w:val="246"/>
        <w:spacing w:beforeLines="0" w:afterLines="0" w:line="360" w:lineRule="auto"/>
        <w:ind w:firstLine="411" w:firstLineChars="196"/>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根据《建设工程质量检测管理办法》（建设部令第</w:t>
      </w:r>
      <w:r>
        <w:rPr>
          <w:rStyle w:val="47"/>
          <w:rFonts w:hint="eastAsia" w:ascii="宋体" w:hAnsi="宋体" w:eastAsia="宋体" w:cs="宋体"/>
          <w:color w:val="auto"/>
          <w:szCs w:val="21"/>
          <w:highlight w:val="none"/>
          <w:shd w:val="clear" w:color="auto" w:fill="auto"/>
          <w:lang w:val="en-US" w:eastAsia="zh-CN"/>
        </w:rPr>
        <w:t>57</w:t>
      </w:r>
      <w:r>
        <w:rPr>
          <w:rStyle w:val="47"/>
          <w:rFonts w:hint="eastAsia" w:ascii="宋体" w:hAnsi="宋体" w:eastAsia="宋体" w:cs="宋体"/>
          <w:color w:val="auto"/>
          <w:szCs w:val="21"/>
          <w:highlight w:val="none"/>
          <w:shd w:val="clear" w:color="auto" w:fill="auto"/>
        </w:rPr>
        <w:t>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662"/>
    <w:bookmarkEnd w:id="663"/>
    <w:bookmarkEnd w:id="664"/>
    <w:bookmarkEnd w:id="665"/>
    <w:bookmarkEnd w:id="666"/>
    <w:bookmarkEnd w:id="667"/>
    <w:bookmarkEnd w:id="668"/>
    <w:bookmarkEnd w:id="669"/>
    <w:bookmarkEnd w:id="677"/>
    <w:p w14:paraId="7FD7818F">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678" w:name="_Toc351203642"/>
      <w:bookmarkStart w:id="679" w:name="_Toc389065305"/>
      <w:bookmarkStart w:id="680" w:name="_Toc407135242"/>
      <w:bookmarkStart w:id="681" w:name="_Toc28453"/>
      <w:bookmarkStart w:id="682" w:name="_Toc27758"/>
      <w:bookmarkStart w:id="683" w:name="_Toc9850570"/>
      <w:bookmarkStart w:id="684" w:name="_Toc373227739"/>
      <w:bookmarkStart w:id="685" w:name="_Toc373478386"/>
      <w:r>
        <w:rPr>
          <w:rStyle w:val="47"/>
          <w:rFonts w:hint="eastAsia" w:ascii="宋体" w:hAnsi="宋体" w:eastAsia="宋体" w:cs="宋体"/>
          <w:b/>
          <w:bCs/>
          <w:color w:val="auto"/>
          <w:sz w:val="21"/>
          <w:szCs w:val="21"/>
          <w:highlight w:val="none"/>
          <w:shd w:val="clear" w:color="auto" w:fill="auto"/>
          <w:lang w:val="zh-CN"/>
        </w:rPr>
        <w:t>1</w:t>
      </w:r>
      <w:bookmarkEnd w:id="631"/>
      <w:bookmarkEnd w:id="632"/>
      <w:bookmarkEnd w:id="633"/>
      <w:bookmarkEnd w:id="634"/>
      <w:bookmarkEnd w:id="635"/>
      <w:bookmarkEnd w:id="636"/>
      <w:bookmarkEnd w:id="637"/>
      <w:bookmarkEnd w:id="638"/>
      <w:bookmarkEnd w:id="639"/>
      <w:bookmarkEnd w:id="640"/>
      <w:bookmarkEnd w:id="641"/>
      <w:bookmarkEnd w:id="642"/>
      <w:bookmarkStart w:id="686" w:name="_Toc296891233"/>
      <w:bookmarkStart w:id="687" w:name="_Toc296503193"/>
      <w:bookmarkStart w:id="688" w:name="_Toc303539146"/>
      <w:bookmarkStart w:id="689" w:name="_Toc297123540"/>
      <w:bookmarkStart w:id="690" w:name="_Toc292559903"/>
      <w:bookmarkStart w:id="691" w:name="_Toc300934989"/>
      <w:bookmarkStart w:id="692" w:name="_Toc296346694"/>
      <w:bookmarkStart w:id="693" w:name="_Toc296944532"/>
      <w:bookmarkStart w:id="694" w:name="_Toc297048379"/>
      <w:bookmarkStart w:id="695" w:name="_Toc292559398"/>
      <w:bookmarkStart w:id="696" w:name="_Toc296891021"/>
      <w:bookmarkStart w:id="697" w:name="_Toc297120493"/>
      <w:bookmarkStart w:id="698" w:name="_Toc304295566"/>
      <w:bookmarkStart w:id="699" w:name="_Toc296347192"/>
      <w:bookmarkStart w:id="700" w:name="_Toc297216199"/>
      <w:bookmarkStart w:id="701" w:name="_Toc312677499"/>
      <w:bookmarkStart w:id="702" w:name="_Toc312678025"/>
      <w:bookmarkStart w:id="703" w:name="_Toc267251441"/>
      <w:bookmarkStart w:id="704" w:name="_Toc267251440"/>
      <w:bookmarkStart w:id="705" w:name="_Toc267251439"/>
      <w:bookmarkStart w:id="706" w:name="_Toc267251433"/>
      <w:bookmarkStart w:id="707" w:name="_Toc267251437"/>
      <w:bookmarkStart w:id="708" w:name="_Toc267251435"/>
      <w:r>
        <w:rPr>
          <w:rStyle w:val="47"/>
          <w:rFonts w:hint="eastAsia" w:ascii="宋体" w:hAnsi="宋体" w:eastAsia="宋体" w:cs="宋体"/>
          <w:b/>
          <w:bCs/>
          <w:color w:val="auto"/>
          <w:sz w:val="21"/>
          <w:szCs w:val="21"/>
          <w:highlight w:val="none"/>
          <w:shd w:val="clear" w:color="auto" w:fill="auto"/>
          <w:lang w:val="zh-CN"/>
        </w:rPr>
        <w:t>0. 变更</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bookmarkEnd w:id="701"/>
    <w:bookmarkEnd w:id="702"/>
    <w:p w14:paraId="55E8B7B6">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709" w:name="_Toc373478387"/>
      <w:bookmarkStart w:id="710" w:name="_Toc389065306"/>
      <w:bookmarkStart w:id="711" w:name="_Toc407135243"/>
      <w:bookmarkStart w:id="712" w:name="_Toc9850571"/>
      <w:bookmarkStart w:id="713" w:name="_Toc373227740"/>
      <w:r>
        <w:rPr>
          <w:rStyle w:val="47"/>
          <w:rFonts w:hint="eastAsia" w:ascii="宋体" w:hAnsi="宋体" w:eastAsia="宋体" w:cs="宋体"/>
          <w:b/>
          <w:bCs/>
          <w:color w:val="auto"/>
          <w:sz w:val="21"/>
          <w:szCs w:val="21"/>
          <w:highlight w:val="none"/>
          <w:shd w:val="clear" w:color="auto" w:fill="auto"/>
          <w:lang w:val="zh-CN"/>
        </w:rPr>
        <w:t>1</w:t>
      </w:r>
      <w:bookmarkStart w:id="714" w:name="_Toc297123541"/>
      <w:bookmarkStart w:id="715" w:name="_Toc304295567"/>
      <w:bookmarkStart w:id="716" w:name="_Toc297048380"/>
      <w:bookmarkStart w:id="717" w:name="_Toc296347193"/>
      <w:bookmarkStart w:id="718" w:name="_Toc296891022"/>
      <w:bookmarkStart w:id="719" w:name="_Toc296891234"/>
      <w:bookmarkStart w:id="720" w:name="_Toc303539147"/>
      <w:bookmarkStart w:id="721" w:name="_Toc296944533"/>
      <w:bookmarkStart w:id="722" w:name="_Toc300934990"/>
      <w:bookmarkStart w:id="723" w:name="_Toc296346695"/>
      <w:bookmarkStart w:id="724" w:name="_Toc292559399"/>
      <w:bookmarkStart w:id="725" w:name="_Toc297216200"/>
      <w:bookmarkStart w:id="726" w:name="_Toc292559904"/>
      <w:bookmarkStart w:id="727" w:name="_Toc296503194"/>
      <w:bookmarkStart w:id="728" w:name="_Toc297120494"/>
      <w:bookmarkStart w:id="729" w:name="_Toc312678026"/>
      <w:bookmarkStart w:id="730" w:name="_Toc312677500"/>
      <w:r>
        <w:rPr>
          <w:rStyle w:val="47"/>
          <w:rFonts w:hint="eastAsia" w:ascii="宋体" w:hAnsi="宋体" w:eastAsia="宋体" w:cs="宋体"/>
          <w:b/>
          <w:bCs/>
          <w:color w:val="auto"/>
          <w:sz w:val="21"/>
          <w:szCs w:val="21"/>
          <w:highlight w:val="none"/>
          <w:shd w:val="clear" w:color="auto" w:fill="auto"/>
          <w:lang w:val="zh-CN"/>
        </w:rPr>
        <w:t>0.1 变更的范围</w:t>
      </w:r>
      <w:bookmarkEnd w:id="709"/>
      <w:bookmarkEnd w:id="710"/>
      <w:bookmarkEnd w:id="711"/>
      <w:bookmarkEnd w:id="712"/>
      <w:bookmarkEnd w:id="713"/>
    </w:p>
    <w:p w14:paraId="728770A5">
      <w:pPr>
        <w:pStyle w:val="246"/>
        <w:spacing w:beforeLines="0" w:afterLines="0" w:line="360" w:lineRule="auto"/>
        <w:ind w:firstLine="426"/>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关于变更的范围的约定：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设计变更、施工变更或施工过程中出现新增项目、招标文件中的暂定价款项目等均属工程变更（所有工程变更须经设计及监理审核确认，最后经发包人书面批准后方能有效</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2B81C2EA">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731" w:name="_Toc373227741"/>
      <w:bookmarkStart w:id="732" w:name="_Toc389065307"/>
      <w:bookmarkStart w:id="733" w:name="_Toc373478388"/>
      <w:bookmarkStart w:id="734" w:name="_Toc407135244"/>
      <w:bookmarkStart w:id="735" w:name="_Toc9850572"/>
      <w:r>
        <w:rPr>
          <w:rStyle w:val="47"/>
          <w:rFonts w:hint="eastAsia" w:ascii="宋体" w:hAnsi="宋体" w:eastAsia="宋体" w:cs="宋体"/>
          <w:b/>
          <w:bCs/>
          <w:color w:val="auto"/>
          <w:sz w:val="21"/>
          <w:szCs w:val="21"/>
          <w:highlight w:val="none"/>
          <w:shd w:val="clear" w:color="auto" w:fill="auto"/>
          <w:lang w:val="zh-CN"/>
        </w:rPr>
        <w:t>10.3 变更程序</w:t>
      </w:r>
      <w:bookmarkEnd w:id="731"/>
      <w:bookmarkEnd w:id="732"/>
      <w:bookmarkEnd w:id="733"/>
      <w:bookmarkEnd w:id="734"/>
      <w:bookmarkEnd w:id="735"/>
    </w:p>
    <w:p w14:paraId="6184116A">
      <w:pPr>
        <w:pStyle w:val="246"/>
        <w:spacing w:beforeLines="0" w:afterLines="0" w:line="360" w:lineRule="auto"/>
        <w:ind w:firstLine="441" w:firstLineChars="210"/>
        <w:rPr>
          <w:rStyle w:val="47"/>
          <w:rFonts w:hint="eastAsia" w:ascii="宋体" w:hAnsi="宋体" w:eastAsia="宋体" w:cs="宋体"/>
          <w:color w:val="auto"/>
          <w:sz w:val="21"/>
          <w:szCs w:val="21"/>
          <w:highlight w:val="none"/>
          <w:shd w:val="clear" w:color="auto" w:fill="auto"/>
        </w:rPr>
      </w:pPr>
      <w:r>
        <w:rPr>
          <w:rStyle w:val="47"/>
          <w:rFonts w:hint="eastAsia" w:ascii="宋体" w:hAnsi="宋体" w:eastAsia="宋体" w:cs="宋体"/>
          <w:color w:val="auto"/>
          <w:sz w:val="21"/>
          <w:szCs w:val="21"/>
          <w:highlight w:val="none"/>
          <w:shd w:val="clear" w:color="auto" w:fill="auto"/>
        </w:rPr>
        <w:t>10.3.1国有投资项目：</w:t>
      </w:r>
    </w:p>
    <w:p w14:paraId="73AC5349">
      <w:pPr>
        <w:pStyle w:val="246"/>
        <w:spacing w:beforeLines="0" w:afterLines="0" w:line="360" w:lineRule="auto"/>
        <w:ind w:firstLine="441" w:firstLineChars="210"/>
        <w:rPr>
          <w:rStyle w:val="47"/>
          <w:rFonts w:hint="eastAsia" w:ascii="宋体" w:hAnsi="宋体" w:eastAsia="宋体" w:cs="宋体"/>
          <w:bCs/>
          <w:color w:val="auto"/>
          <w:sz w:val="21"/>
          <w:szCs w:val="21"/>
          <w:highlight w:val="none"/>
          <w:shd w:val="clear" w:color="auto" w:fill="auto"/>
        </w:rPr>
      </w:pPr>
      <w:r>
        <w:rPr>
          <w:rStyle w:val="47"/>
          <w:rFonts w:hint="eastAsia" w:ascii="宋体" w:hAnsi="宋体" w:eastAsia="宋体" w:cs="宋体"/>
          <w:bCs/>
          <w:color w:val="auto"/>
          <w:sz w:val="21"/>
          <w:szCs w:val="21"/>
          <w:highlight w:val="none"/>
          <w:shd w:val="clear" w:color="auto" w:fill="auto"/>
        </w:rPr>
        <w:t>⑴设计变更和工程签证，按各市政府或相关部门的规定办理。属不可抗力（自然灾害、突发事件等）造成变更的，按特事特办原则予以办理。</w:t>
      </w:r>
    </w:p>
    <w:p w14:paraId="49968154">
      <w:pPr>
        <w:pStyle w:val="246"/>
        <w:spacing w:beforeLines="0" w:afterLines="0" w:line="360" w:lineRule="auto"/>
        <w:ind w:firstLine="441" w:firstLineChars="210"/>
        <w:rPr>
          <w:rStyle w:val="47"/>
          <w:rFonts w:hint="eastAsia" w:ascii="宋体" w:hAnsi="宋体" w:eastAsia="宋体" w:cs="宋体"/>
          <w:bCs/>
          <w:color w:val="auto"/>
          <w:sz w:val="21"/>
          <w:szCs w:val="21"/>
          <w:highlight w:val="none"/>
          <w:shd w:val="clear" w:color="auto" w:fill="auto"/>
        </w:rPr>
      </w:pPr>
      <w:r>
        <w:rPr>
          <w:rStyle w:val="47"/>
          <w:rFonts w:hint="eastAsia" w:ascii="宋体" w:hAnsi="宋体" w:eastAsia="宋体" w:cs="宋体"/>
          <w:bCs/>
          <w:color w:val="auto"/>
          <w:sz w:val="21"/>
          <w:szCs w:val="21"/>
          <w:highlight w:val="none"/>
          <w:shd w:val="clear" w:color="auto" w:fill="auto"/>
        </w:rPr>
        <w:t>⑵建设单位在实施项目过程中，若发生单价变动，由发包人、承包人、监理或造价咨询等单位共同商定并签字确认。</w:t>
      </w:r>
    </w:p>
    <w:p w14:paraId="419197EE">
      <w:pPr>
        <w:pStyle w:val="246"/>
        <w:spacing w:beforeLines="0" w:afterLines="0" w:line="360" w:lineRule="auto"/>
        <w:ind w:firstLine="441" w:firstLineChars="210"/>
        <w:rPr>
          <w:rStyle w:val="47"/>
          <w:rFonts w:hint="eastAsia" w:ascii="宋体" w:hAnsi="宋体" w:eastAsia="宋体" w:cs="宋体"/>
          <w:bCs/>
          <w:color w:val="auto"/>
          <w:sz w:val="21"/>
          <w:szCs w:val="21"/>
          <w:highlight w:val="none"/>
          <w:shd w:val="clear" w:color="auto" w:fill="auto"/>
        </w:rPr>
      </w:pPr>
      <w:r>
        <w:rPr>
          <w:rStyle w:val="47"/>
          <w:rFonts w:hint="eastAsia" w:ascii="宋体" w:hAnsi="宋体" w:eastAsia="宋体" w:cs="宋体"/>
          <w:bCs/>
          <w:color w:val="auto"/>
          <w:sz w:val="21"/>
          <w:szCs w:val="21"/>
          <w:highlight w:val="none"/>
          <w:shd w:val="clear" w:color="auto" w:fill="auto"/>
        </w:rPr>
        <w:t>⑶ 当合同规定的合同价款调整情况发生后，承包人未在规定时间内通知发包人，或者未在规定时间内提出调整报告，发包人可以根据有关资料，决定是否调整和调整的金额，并书面通知承包人。</w:t>
      </w:r>
    </w:p>
    <w:p w14:paraId="2BB54DCE">
      <w:pPr>
        <w:pStyle w:val="246"/>
        <w:spacing w:beforeLines="0" w:afterLines="0" w:line="360" w:lineRule="auto"/>
        <w:ind w:firstLine="420" w:firstLineChars="200"/>
        <w:jc w:val="left"/>
        <w:rPr>
          <w:rStyle w:val="47"/>
          <w:rFonts w:hint="eastAsia" w:ascii="宋体" w:hAnsi="宋体" w:eastAsia="宋体" w:cs="宋体"/>
          <w:color w:val="auto"/>
          <w:sz w:val="21"/>
          <w:szCs w:val="21"/>
          <w:highlight w:val="none"/>
          <w:shd w:val="clear" w:color="auto" w:fill="auto"/>
        </w:rPr>
      </w:pPr>
      <w:r>
        <w:rPr>
          <w:rStyle w:val="47"/>
          <w:rFonts w:hint="eastAsia" w:ascii="宋体" w:hAnsi="宋体" w:eastAsia="宋体" w:cs="宋体"/>
          <w:color w:val="auto"/>
          <w:sz w:val="21"/>
          <w:szCs w:val="21"/>
          <w:highlight w:val="none"/>
          <w:shd w:val="clear" w:color="auto" w:fill="auto"/>
        </w:rPr>
        <w:t>10.3.2 非国有投资项目：</w:t>
      </w:r>
      <w:r>
        <w:rPr>
          <w:rStyle w:val="47"/>
          <w:rFonts w:hint="eastAsia" w:ascii="宋体" w:hAnsi="宋体" w:eastAsia="宋体" w:cs="宋体"/>
          <w:color w:val="auto"/>
          <w:sz w:val="21"/>
          <w:szCs w:val="21"/>
          <w:highlight w:val="none"/>
          <w:u w:val="single"/>
          <w:shd w:val="clear" w:color="auto" w:fill="auto"/>
        </w:rPr>
        <w:t xml:space="preserve">         /        </w:t>
      </w:r>
      <w:r>
        <w:rPr>
          <w:rStyle w:val="47"/>
          <w:rFonts w:hint="eastAsia" w:ascii="宋体" w:hAnsi="宋体" w:eastAsia="宋体" w:cs="宋体"/>
          <w:color w:val="auto"/>
          <w:sz w:val="21"/>
          <w:szCs w:val="21"/>
          <w:highlight w:val="none"/>
          <w:shd w:val="clear" w:color="auto" w:fill="auto"/>
        </w:rPr>
        <w:t>。</w:t>
      </w:r>
    </w:p>
    <w:p w14:paraId="11B382C2">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736" w:name="_Toc407135245"/>
      <w:bookmarkStart w:id="737" w:name="_Toc373478389"/>
      <w:bookmarkStart w:id="738" w:name="_Toc389065308"/>
      <w:bookmarkStart w:id="739" w:name="_Toc9850573"/>
      <w:bookmarkStart w:id="740" w:name="_Toc373227742"/>
      <w:r>
        <w:rPr>
          <w:rStyle w:val="47"/>
          <w:rFonts w:hint="eastAsia" w:ascii="宋体" w:hAnsi="宋体" w:eastAsia="宋体" w:cs="宋体"/>
          <w:b/>
          <w:bCs/>
          <w:color w:val="auto"/>
          <w:sz w:val="21"/>
          <w:szCs w:val="21"/>
          <w:highlight w:val="none"/>
          <w:shd w:val="clear" w:color="auto" w:fill="auto"/>
          <w:lang w:val="zh-CN"/>
        </w:rPr>
        <w:t>10.4 变更估价</w:t>
      </w:r>
      <w:bookmarkEnd w:id="736"/>
      <w:bookmarkEnd w:id="737"/>
      <w:bookmarkEnd w:id="738"/>
      <w:bookmarkEnd w:id="739"/>
      <w:bookmarkEnd w:id="740"/>
    </w:p>
    <w:p w14:paraId="7848B753">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10.4.1 变更估价原则</w:t>
      </w:r>
    </w:p>
    <w:p w14:paraId="6423B8E7">
      <w:pPr>
        <w:pStyle w:val="23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rPr>
      </w:pPr>
      <w:r>
        <w:rPr>
          <w:rStyle w:val="47"/>
          <w:rFonts w:hint="eastAsia" w:ascii="宋体" w:hAnsi="宋体" w:eastAsia="宋体" w:cs="宋体"/>
          <w:color w:val="auto"/>
          <w:kern w:val="2"/>
          <w:sz w:val="21"/>
          <w:szCs w:val="21"/>
          <w:highlight w:val="none"/>
          <w:shd w:val="clear" w:color="auto" w:fill="auto"/>
        </w:rPr>
        <w:t xml:space="preserve">关于变更估价的约定:  </w:t>
      </w:r>
      <w:bookmarkStart w:id="741" w:name="_Toc251051742"/>
      <w:r>
        <w:rPr>
          <w:rStyle w:val="47"/>
          <w:rFonts w:hint="eastAsia" w:ascii="宋体" w:hAnsi="宋体" w:eastAsia="宋体" w:cs="宋体"/>
          <w:color w:val="auto"/>
          <w:kern w:val="2"/>
          <w:sz w:val="21"/>
          <w:szCs w:val="21"/>
          <w:highlight w:val="none"/>
          <w:u w:val="single"/>
          <w:shd w:val="clear" w:color="auto" w:fill="auto"/>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%(中标价/招标控制价)</w:t>
      </w:r>
      <w:r>
        <w:rPr>
          <w:rStyle w:val="47"/>
          <w:rFonts w:hint="eastAsia" w:ascii="宋体" w:hAnsi="宋体" w:eastAsia="宋体" w:cs="宋体"/>
          <w:color w:val="auto"/>
          <w:kern w:val="2"/>
          <w:sz w:val="21"/>
          <w:szCs w:val="21"/>
          <w:highlight w:val="none"/>
          <w:u w:val="single"/>
          <w:shd w:val="clear" w:color="auto" w:fill="auto"/>
          <w:lang w:val="en-US" w:eastAsia="zh-CN"/>
        </w:rPr>
        <w:t>，□不乘下浮系数</w:t>
      </w:r>
      <w:r>
        <w:rPr>
          <w:rStyle w:val="47"/>
          <w:rFonts w:hint="eastAsia" w:ascii="宋体" w:hAnsi="宋体" w:eastAsia="宋体" w:cs="宋体"/>
          <w:color w:val="auto"/>
          <w:kern w:val="2"/>
          <w:sz w:val="21"/>
          <w:szCs w:val="21"/>
          <w:highlight w:val="none"/>
          <w:u w:val="single"/>
          <w:shd w:val="clear" w:color="auto" w:fill="auto"/>
          <w:lang w:eastAsia="zh-CN"/>
        </w:rPr>
        <w:t>）</w:t>
      </w:r>
      <w:r>
        <w:rPr>
          <w:rStyle w:val="47"/>
          <w:rFonts w:hint="eastAsia" w:ascii="宋体" w:hAnsi="宋体" w:eastAsia="宋体" w:cs="宋体"/>
          <w:color w:val="auto"/>
          <w:kern w:val="2"/>
          <w:sz w:val="21"/>
          <w:szCs w:val="21"/>
          <w:highlight w:val="none"/>
          <w:u w:val="single"/>
          <w:shd w:val="clear" w:color="auto" w:fill="auto"/>
        </w:rPr>
        <w:t>计算，其中</w:t>
      </w:r>
      <w:r>
        <w:rPr>
          <w:rStyle w:val="47"/>
          <w:rFonts w:hint="eastAsia" w:ascii="宋体" w:hAnsi="宋体" w:eastAsia="宋体" w:cs="宋体"/>
          <w:color w:val="auto"/>
          <w:kern w:val="2"/>
          <w:sz w:val="21"/>
          <w:szCs w:val="21"/>
          <w:highlight w:val="none"/>
          <w:u w:val="single"/>
          <w:shd w:val="clear" w:color="auto" w:fill="auto"/>
          <w:lang w:eastAsia="zh-CN"/>
        </w:rPr>
        <w:t>：施工期间材料设备价格主要按照</w:t>
      </w:r>
      <w:r>
        <w:rPr>
          <w:rStyle w:val="47"/>
          <w:rFonts w:hint="eastAsia" w:ascii="宋体" w:hAnsi="宋体" w:eastAsia="宋体" w:cs="宋体"/>
          <w:color w:val="auto"/>
          <w:kern w:val="2"/>
          <w:sz w:val="21"/>
          <w:szCs w:val="21"/>
          <w:highlight w:val="none"/>
          <w:u w:val="single"/>
          <w:shd w:val="clear" w:color="auto" w:fill="auto"/>
        </w:rPr>
        <w:t>《贺州市建设工程造价信息》20</w:t>
      </w:r>
      <w:r>
        <w:rPr>
          <w:rStyle w:val="47"/>
          <w:rFonts w:hint="eastAsia" w:ascii="宋体" w:hAnsi="宋体" w:eastAsia="宋体" w:cs="宋体"/>
          <w:color w:val="auto"/>
          <w:kern w:val="2"/>
          <w:sz w:val="21"/>
          <w:szCs w:val="21"/>
          <w:highlight w:val="none"/>
          <w:u w:val="single"/>
          <w:shd w:val="clear" w:color="auto" w:fill="auto"/>
          <w:lang w:eastAsia="zh-CN"/>
        </w:rPr>
        <w:t>2</w:t>
      </w:r>
      <w:r>
        <w:rPr>
          <w:rStyle w:val="47"/>
          <w:rFonts w:hint="eastAsia" w:ascii="宋体" w:hAnsi="宋体" w:eastAsia="宋体" w:cs="宋体"/>
          <w:color w:val="auto"/>
          <w:kern w:val="2"/>
          <w:sz w:val="21"/>
          <w:szCs w:val="21"/>
          <w:highlight w:val="none"/>
          <w:u w:val="single"/>
          <w:shd w:val="clear" w:color="auto" w:fill="auto"/>
          <w:lang w:val="en-US" w:eastAsia="zh-CN"/>
        </w:rPr>
        <w:t>4</w:t>
      </w:r>
      <w:r>
        <w:rPr>
          <w:rStyle w:val="47"/>
          <w:rFonts w:hint="eastAsia" w:ascii="宋体" w:hAnsi="宋体" w:eastAsia="宋体" w:cs="宋体"/>
          <w:color w:val="auto"/>
          <w:kern w:val="2"/>
          <w:sz w:val="21"/>
          <w:szCs w:val="21"/>
          <w:highlight w:val="none"/>
          <w:u w:val="single"/>
          <w:shd w:val="clear" w:color="auto" w:fill="auto"/>
        </w:rPr>
        <w:t>年第</w:t>
      </w:r>
      <w:r>
        <w:rPr>
          <w:rStyle w:val="47"/>
          <w:rFonts w:hint="eastAsia" w:ascii="宋体" w:hAnsi="宋体" w:eastAsia="宋体" w:cs="宋体"/>
          <w:color w:val="auto"/>
          <w:kern w:val="2"/>
          <w:sz w:val="21"/>
          <w:szCs w:val="21"/>
          <w:highlight w:val="none"/>
          <w:u w:val="single"/>
          <w:shd w:val="clear" w:color="auto" w:fill="auto"/>
          <w:lang w:val="en-US" w:eastAsia="zh-CN"/>
        </w:rPr>
        <w:t>5</w:t>
      </w:r>
      <w:r>
        <w:rPr>
          <w:rStyle w:val="47"/>
          <w:rFonts w:hint="eastAsia" w:ascii="宋体" w:hAnsi="宋体" w:eastAsia="宋体" w:cs="宋体"/>
          <w:color w:val="auto"/>
          <w:kern w:val="2"/>
          <w:sz w:val="21"/>
          <w:szCs w:val="21"/>
          <w:highlight w:val="none"/>
          <w:u w:val="single"/>
          <w:shd w:val="clear" w:color="auto" w:fill="auto"/>
        </w:rPr>
        <w:t>期的相应价格信息进行计算；《贺州市建设工程造价信息》没有相应价格信息的按市场价计算；无定额可套的，根据市场价格协商确定综合价格；对于政府及国有资金投资的项目，新增项目的单价必须经财政或招标人审定</w:t>
      </w:r>
      <w:bookmarkEnd w:id="741"/>
      <w:r>
        <w:rPr>
          <w:rStyle w:val="47"/>
          <w:rFonts w:hint="eastAsia" w:ascii="宋体" w:hAnsi="宋体" w:eastAsia="宋体" w:cs="宋体"/>
          <w:color w:val="auto"/>
          <w:kern w:val="2"/>
          <w:sz w:val="21"/>
          <w:szCs w:val="21"/>
          <w:highlight w:val="none"/>
          <w:u w:val="single"/>
          <w:shd w:val="clear" w:color="auto" w:fill="auto"/>
        </w:rPr>
        <w:t>。</w:t>
      </w:r>
    </w:p>
    <w:p w14:paraId="18AB2B4E">
      <w:pPr>
        <w:pStyle w:val="236"/>
        <w:spacing w:beforeLines="0" w:afterLines="0" w:line="360" w:lineRule="auto"/>
        <w:ind w:firstLine="420" w:firstLineChars="200"/>
        <w:jc w:val="left"/>
        <w:rPr>
          <w:rStyle w:val="47"/>
          <w:rFonts w:hint="eastAsia" w:ascii="宋体" w:hAnsi="宋体" w:eastAsia="宋体" w:cs="宋体"/>
          <w:color w:val="auto"/>
          <w:kern w:val="2"/>
          <w:sz w:val="21"/>
          <w:szCs w:val="21"/>
          <w:highlight w:val="none"/>
          <w:shd w:val="clear" w:color="auto" w:fill="auto"/>
        </w:rPr>
      </w:pPr>
      <w:r>
        <w:rPr>
          <w:rStyle w:val="47"/>
          <w:rFonts w:hint="eastAsia" w:ascii="宋体" w:hAnsi="宋体" w:eastAsia="宋体" w:cs="宋体"/>
          <w:color w:val="auto"/>
          <w:kern w:val="2"/>
          <w:sz w:val="21"/>
          <w:szCs w:val="21"/>
          <w:highlight w:val="none"/>
          <w:u w:val="single"/>
          <w:shd w:val="clear" w:color="auto" w:fill="auto"/>
        </w:rPr>
        <w:t>工程变更导致实际完成的变更工程量与已标价清单或预算书中列明的该项目工程量有偏差时，其综合单价的确定按专用条款“1.13工程量清单错误的修正”执行</w:t>
      </w:r>
      <w:r>
        <w:rPr>
          <w:rStyle w:val="47"/>
          <w:rFonts w:hint="eastAsia" w:ascii="宋体" w:hAnsi="宋体" w:eastAsia="宋体" w:cs="宋体"/>
          <w:color w:val="auto"/>
          <w:kern w:val="2"/>
          <w:sz w:val="21"/>
          <w:szCs w:val="21"/>
          <w:highlight w:val="none"/>
          <w:shd w:val="clear" w:color="auto" w:fill="auto"/>
        </w:rPr>
        <w:t>。</w:t>
      </w:r>
    </w:p>
    <w:p w14:paraId="52B0F86C">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742" w:name="_Toc373478390"/>
      <w:bookmarkStart w:id="743" w:name="_Toc407135246"/>
      <w:bookmarkStart w:id="744" w:name="_Toc373227743"/>
      <w:bookmarkStart w:id="745" w:name="_Toc389065309"/>
      <w:bookmarkStart w:id="746" w:name="_Toc9850574"/>
      <w:r>
        <w:rPr>
          <w:rStyle w:val="47"/>
          <w:rFonts w:hint="eastAsia" w:ascii="宋体" w:hAnsi="宋体" w:eastAsia="宋体" w:cs="宋体"/>
          <w:b/>
          <w:bCs/>
          <w:color w:val="auto"/>
          <w:sz w:val="21"/>
          <w:szCs w:val="21"/>
          <w:highlight w:val="none"/>
          <w:shd w:val="clear" w:color="auto" w:fill="auto"/>
          <w:lang w:val="zh-CN"/>
        </w:rPr>
        <w:t>1</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Start w:id="747" w:name="_Toc296347196"/>
      <w:bookmarkStart w:id="748" w:name="_Toc296346698"/>
      <w:bookmarkStart w:id="749" w:name="_Toc292559907"/>
      <w:bookmarkStart w:id="750" w:name="_Toc303539150"/>
      <w:bookmarkStart w:id="751" w:name="_Toc297123544"/>
      <w:bookmarkStart w:id="752" w:name="_Toc297216203"/>
      <w:bookmarkStart w:id="753" w:name="_Toc297120497"/>
      <w:bookmarkStart w:id="754" w:name="_Toc296944536"/>
      <w:bookmarkStart w:id="755" w:name="_Toc296891237"/>
      <w:bookmarkStart w:id="756" w:name="_Toc297048383"/>
      <w:bookmarkStart w:id="757" w:name="_Toc296891025"/>
      <w:bookmarkStart w:id="758" w:name="_Toc292559402"/>
      <w:bookmarkStart w:id="759" w:name="_Toc300934993"/>
      <w:bookmarkStart w:id="760" w:name="_Toc296503197"/>
      <w:bookmarkStart w:id="761" w:name="_Toc312678029"/>
      <w:bookmarkStart w:id="762" w:name="_Toc304295570"/>
      <w:bookmarkStart w:id="763" w:name="_Toc312677503"/>
      <w:r>
        <w:rPr>
          <w:rStyle w:val="47"/>
          <w:rFonts w:hint="eastAsia" w:ascii="宋体" w:hAnsi="宋体" w:eastAsia="宋体" w:cs="宋体"/>
          <w:b/>
          <w:bCs/>
          <w:color w:val="auto"/>
          <w:sz w:val="21"/>
          <w:szCs w:val="21"/>
          <w:highlight w:val="none"/>
          <w:shd w:val="clear" w:color="auto" w:fill="auto"/>
          <w:lang w:val="zh-CN"/>
        </w:rPr>
        <w:t>0.5 承</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4" w:name="_Toc296503203"/>
      <w:bookmarkStart w:id="765" w:name="_Toc296891031"/>
      <w:bookmarkStart w:id="766" w:name="_Toc292559913"/>
      <w:bookmarkStart w:id="767" w:name="_Toc297120503"/>
      <w:bookmarkStart w:id="768" w:name="_Toc296891243"/>
      <w:bookmarkStart w:id="769" w:name="_Toc300934994"/>
      <w:bookmarkStart w:id="770" w:name="_Toc297048389"/>
      <w:bookmarkStart w:id="771" w:name="_Toc297123545"/>
      <w:bookmarkStart w:id="772" w:name="_Toc296346704"/>
      <w:bookmarkStart w:id="773" w:name="_Toc297216204"/>
      <w:bookmarkStart w:id="774" w:name="_Toc296944542"/>
      <w:bookmarkStart w:id="775" w:name="_Toc303539151"/>
      <w:bookmarkStart w:id="776" w:name="_Toc296347202"/>
      <w:bookmarkStart w:id="777" w:name="_Toc292559408"/>
      <w:r>
        <w:rPr>
          <w:rStyle w:val="47"/>
          <w:rFonts w:hint="eastAsia" w:ascii="宋体" w:hAnsi="宋体" w:eastAsia="宋体" w:cs="宋体"/>
          <w:b/>
          <w:bCs/>
          <w:color w:val="auto"/>
          <w:sz w:val="21"/>
          <w:szCs w:val="21"/>
          <w:highlight w:val="none"/>
          <w:shd w:val="clear" w:color="auto" w:fill="auto"/>
          <w:lang w:val="zh-CN"/>
        </w:rPr>
        <w:t>包人的合理化建议</w:t>
      </w:r>
      <w:bookmarkEnd w:id="742"/>
      <w:bookmarkEnd w:id="743"/>
      <w:bookmarkEnd w:id="744"/>
      <w:bookmarkEnd w:id="745"/>
      <w:bookmarkEnd w:id="746"/>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14:paraId="46D5370E">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监理人审查承包人合理化建议的期限：</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kern w:val="2"/>
          <w:sz w:val="21"/>
          <w:szCs w:val="21"/>
          <w:highlight w:val="none"/>
          <w:u w:val="single"/>
        </w:rPr>
        <w:t>提交合理化建议后14天内</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D41384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发包人审批承包人合理化建议的期限：</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 xml:space="preserve"> </w:t>
      </w:r>
      <w:r>
        <w:rPr>
          <w:rStyle w:val="47"/>
          <w:rFonts w:hint="eastAsia" w:ascii="宋体" w:hAnsi="宋体" w:eastAsia="宋体" w:cs="宋体"/>
          <w:color w:val="auto"/>
          <w:kern w:val="2"/>
          <w:sz w:val="21"/>
          <w:szCs w:val="21"/>
          <w:highlight w:val="none"/>
          <w:u w:val="single"/>
        </w:rPr>
        <w:t>提交合理化建议后14天内</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1FD2F69C">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承</w:t>
      </w:r>
      <w:bookmarkStart w:id="778" w:name="_Toc296347203"/>
      <w:bookmarkStart w:id="779" w:name="_Toc296891032"/>
      <w:bookmarkStart w:id="780" w:name="_Toc303539152"/>
      <w:bookmarkStart w:id="781" w:name="_Toc312678030"/>
      <w:bookmarkStart w:id="782" w:name="_Toc318581175"/>
      <w:bookmarkStart w:id="783" w:name="_Toc296944543"/>
      <w:bookmarkStart w:id="784" w:name="_Toc300934995"/>
      <w:bookmarkStart w:id="785" w:name="_Toc297216205"/>
      <w:bookmarkStart w:id="786" w:name="_Toc292559409"/>
      <w:bookmarkStart w:id="787" w:name="_Toc297123546"/>
      <w:bookmarkStart w:id="788" w:name="_Toc296346705"/>
      <w:bookmarkStart w:id="789" w:name="_Toc304295571"/>
      <w:bookmarkStart w:id="790" w:name="_Toc297120504"/>
      <w:bookmarkStart w:id="791" w:name="_Toc297048390"/>
      <w:bookmarkStart w:id="792" w:name="_Toc312677504"/>
      <w:bookmarkStart w:id="793" w:name="_Toc296891244"/>
      <w:bookmarkStart w:id="794" w:name="_Toc292559914"/>
      <w:bookmarkStart w:id="795" w:name="_Toc296503204"/>
      <w:r>
        <w:rPr>
          <w:rStyle w:val="47"/>
          <w:rFonts w:hint="eastAsia" w:ascii="宋体" w:hAnsi="宋体" w:eastAsia="宋体" w:cs="宋体"/>
          <w:color w:val="auto"/>
          <w:szCs w:val="21"/>
          <w:highlight w:val="none"/>
          <w:shd w:val="clear" w:color="auto" w:fill="auto"/>
        </w:rPr>
        <w:t>包人提出的合理化建议降低了合同价格或者提高了工程经济效益的奖励的方法和金额为：</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7FC96152">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796" w:name="_Toc373478391"/>
      <w:bookmarkStart w:id="797" w:name="_Toc407135247"/>
      <w:bookmarkStart w:id="798" w:name="_Toc389065310"/>
      <w:bookmarkStart w:id="799" w:name="_Toc373227744"/>
      <w:bookmarkStart w:id="800" w:name="_Toc9850575"/>
      <w:r>
        <w:rPr>
          <w:rStyle w:val="47"/>
          <w:rFonts w:hint="eastAsia" w:ascii="宋体" w:hAnsi="宋体" w:eastAsia="宋体" w:cs="宋体"/>
          <w:b/>
          <w:bCs/>
          <w:color w:val="auto"/>
          <w:sz w:val="21"/>
          <w:szCs w:val="21"/>
          <w:highlight w:val="none"/>
          <w:shd w:val="clear" w:color="auto" w:fill="auto"/>
          <w:lang w:val="zh-CN"/>
        </w:rPr>
        <w:t>1</w:t>
      </w:r>
      <w:bookmarkStart w:id="801" w:name="_Toc296944538"/>
      <w:bookmarkStart w:id="802" w:name="_Toc292559404"/>
      <w:bookmarkStart w:id="803" w:name="_Toc296891027"/>
      <w:bookmarkStart w:id="804" w:name="_Toc292559909"/>
      <w:bookmarkStart w:id="805" w:name="_Toc297048385"/>
      <w:bookmarkStart w:id="806" w:name="_Toc297123548"/>
      <w:bookmarkStart w:id="807" w:name="_Toc296503199"/>
      <w:bookmarkStart w:id="808" w:name="_Toc303539154"/>
      <w:bookmarkStart w:id="809" w:name="_Toc296346700"/>
      <w:bookmarkStart w:id="810" w:name="_Toc312678033"/>
      <w:bookmarkStart w:id="811" w:name="_Toc312677507"/>
      <w:bookmarkStart w:id="812" w:name="_Toc296891239"/>
      <w:bookmarkStart w:id="813" w:name="_Toc300934997"/>
      <w:bookmarkStart w:id="814" w:name="_Toc296347198"/>
      <w:bookmarkStart w:id="815" w:name="_Toc304295574"/>
      <w:bookmarkStart w:id="816" w:name="_Toc297120499"/>
      <w:bookmarkStart w:id="817" w:name="_Toc297216207"/>
      <w:r>
        <w:rPr>
          <w:rStyle w:val="47"/>
          <w:rFonts w:hint="eastAsia" w:ascii="宋体" w:hAnsi="宋体" w:eastAsia="宋体" w:cs="宋体"/>
          <w:b/>
          <w:bCs/>
          <w:color w:val="auto"/>
          <w:sz w:val="21"/>
          <w:szCs w:val="21"/>
          <w:highlight w:val="none"/>
          <w:shd w:val="clear" w:color="auto" w:fill="auto"/>
          <w:lang w:val="zh-CN"/>
        </w:rPr>
        <w:t>0.7 暂估价</w:t>
      </w:r>
      <w:bookmarkEnd w:id="796"/>
      <w:bookmarkEnd w:id="797"/>
      <w:bookmarkEnd w:id="798"/>
      <w:bookmarkEnd w:id="799"/>
      <w:bookmarkEnd w:id="800"/>
    </w:p>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14:paraId="254FE10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bookmarkStart w:id="818" w:name="_Toc373227745"/>
      <w:bookmarkStart w:id="819" w:name="_Toc373478392"/>
      <w:bookmarkStart w:id="820" w:name="_Toc9850576"/>
      <w:bookmarkStart w:id="821" w:name="_Toc407135248"/>
      <w:bookmarkStart w:id="822" w:name="_Toc389065311"/>
      <w:r>
        <w:rPr>
          <w:rStyle w:val="47"/>
          <w:rFonts w:hint="eastAsia" w:ascii="宋体" w:hAnsi="宋体" w:eastAsia="宋体" w:cs="宋体"/>
          <w:color w:val="auto"/>
          <w:kern w:val="0"/>
          <w:szCs w:val="21"/>
          <w:highlight w:val="none"/>
          <w:shd w:val="clear" w:color="auto" w:fill="auto"/>
        </w:rPr>
        <w:t>暂估价材料和工程设备的明细详见已标价工程量清单《</w:t>
      </w:r>
      <w:r>
        <w:rPr>
          <w:rStyle w:val="47"/>
          <w:rFonts w:hint="eastAsia" w:ascii="宋体" w:hAnsi="宋体" w:eastAsia="宋体" w:cs="宋体"/>
          <w:color w:val="auto"/>
          <w:szCs w:val="21"/>
          <w:highlight w:val="none"/>
          <w:shd w:val="clear" w:color="auto" w:fill="auto"/>
        </w:rPr>
        <w:t>材料（工程设备）暂估价格及调整表》</w:t>
      </w:r>
      <w:r>
        <w:rPr>
          <w:rStyle w:val="47"/>
          <w:rFonts w:hint="eastAsia" w:ascii="宋体" w:hAnsi="宋体" w:eastAsia="宋体" w:cs="宋体"/>
          <w:color w:val="auto"/>
          <w:kern w:val="0"/>
          <w:szCs w:val="21"/>
          <w:highlight w:val="none"/>
          <w:shd w:val="clear" w:color="auto" w:fill="auto"/>
        </w:rPr>
        <w:t>（表12-2）和《</w:t>
      </w:r>
      <w:r>
        <w:rPr>
          <w:rStyle w:val="47"/>
          <w:rFonts w:hint="eastAsia" w:ascii="宋体" w:hAnsi="宋体" w:eastAsia="宋体" w:cs="宋体"/>
          <w:color w:val="auto"/>
          <w:szCs w:val="21"/>
          <w:highlight w:val="none"/>
          <w:shd w:val="clear" w:color="auto" w:fill="auto"/>
        </w:rPr>
        <w:t>专业工程暂估价表》（</w:t>
      </w:r>
      <w:r>
        <w:rPr>
          <w:rStyle w:val="47"/>
          <w:rFonts w:hint="eastAsia" w:ascii="宋体" w:hAnsi="宋体" w:eastAsia="宋体" w:cs="宋体"/>
          <w:color w:val="auto"/>
          <w:kern w:val="0"/>
          <w:szCs w:val="21"/>
          <w:highlight w:val="none"/>
          <w:shd w:val="clear" w:color="auto" w:fill="auto"/>
        </w:rPr>
        <w:t>表12-3）。</w:t>
      </w:r>
    </w:p>
    <w:p w14:paraId="66D9ED8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10.7.1 依法必须招标的暂估价项目</w:t>
      </w:r>
    </w:p>
    <w:p w14:paraId="670DC3A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对于依法必须招标的暂估价项目的确认和批准采取第</w:t>
      </w:r>
      <w:r>
        <w:rPr>
          <w:rStyle w:val="47"/>
          <w:rFonts w:hint="eastAsia" w:ascii="宋体" w:hAnsi="宋体" w:eastAsia="宋体" w:cs="宋体"/>
          <w:color w:val="auto"/>
          <w:szCs w:val="21"/>
          <w:highlight w:val="none"/>
          <w:u w:val="single"/>
          <w:shd w:val="clear" w:color="auto" w:fill="auto"/>
        </w:rPr>
        <w:t xml:space="preserve">  2   </w:t>
      </w:r>
      <w:r>
        <w:rPr>
          <w:rStyle w:val="47"/>
          <w:rFonts w:hint="eastAsia" w:ascii="宋体" w:hAnsi="宋体" w:eastAsia="宋体" w:cs="宋体"/>
          <w:color w:val="auto"/>
          <w:szCs w:val="21"/>
          <w:highlight w:val="none"/>
          <w:shd w:val="clear" w:color="auto" w:fill="auto"/>
        </w:rPr>
        <w:t>种方式确定。</w:t>
      </w:r>
    </w:p>
    <w:p w14:paraId="51177906">
      <w:pPr>
        <w:pStyle w:val="246"/>
        <w:widowControl/>
        <w:spacing w:beforeLines="0" w:afterLines="0" w:line="360" w:lineRule="auto"/>
        <w:ind w:firstLine="424" w:firstLineChars="201"/>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b/>
          <w:color w:val="auto"/>
          <w:kern w:val="0"/>
          <w:szCs w:val="21"/>
          <w:highlight w:val="none"/>
          <w:shd w:val="clear" w:color="auto" w:fill="auto"/>
        </w:rPr>
        <w:t>第1种方式：</w:t>
      </w:r>
      <w:r>
        <w:rPr>
          <w:rStyle w:val="47"/>
          <w:rFonts w:hint="eastAsia" w:ascii="宋体" w:hAnsi="宋体" w:eastAsia="宋体" w:cs="宋体"/>
          <w:color w:val="auto"/>
          <w:kern w:val="0"/>
          <w:szCs w:val="21"/>
          <w:highlight w:val="none"/>
          <w:shd w:val="clear" w:color="auto" w:fill="auto"/>
        </w:rPr>
        <w:t>对于依法必须招标的暂估价项目，由承包人招标，对该暂估价项目的确认和批准按照以下约定执行：</w:t>
      </w:r>
    </w:p>
    <w:p w14:paraId="0940022F">
      <w:pPr>
        <w:pStyle w:val="246"/>
        <w:widowControl/>
        <w:spacing w:beforeLines="0" w:afterLines="0" w:line="360" w:lineRule="auto"/>
        <w:ind w:firstLine="422" w:firstLineChars="201"/>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EF0F64B">
      <w:pPr>
        <w:pStyle w:val="246"/>
        <w:widowControl/>
        <w:spacing w:beforeLines="0" w:afterLines="0" w:line="360" w:lineRule="auto"/>
        <w:ind w:firstLine="422" w:firstLineChars="201"/>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21394E07">
      <w:pPr>
        <w:pStyle w:val="246"/>
        <w:widowControl/>
        <w:spacing w:beforeLines="0" w:afterLines="0" w:line="360" w:lineRule="auto"/>
        <w:ind w:firstLine="422" w:firstLineChars="201"/>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3FBF76C">
      <w:pPr>
        <w:pStyle w:val="246"/>
        <w:spacing w:beforeLines="0" w:afterLines="0" w:line="360" w:lineRule="auto"/>
        <w:ind w:firstLine="422"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b/>
          <w:color w:val="auto"/>
          <w:szCs w:val="21"/>
          <w:highlight w:val="none"/>
          <w:shd w:val="clear" w:color="auto" w:fill="auto"/>
        </w:rPr>
        <w:t>第2种方式：</w:t>
      </w:r>
      <w:r>
        <w:rPr>
          <w:rStyle w:val="47"/>
          <w:rFonts w:hint="eastAsia" w:ascii="宋体" w:hAnsi="宋体" w:eastAsia="宋体" w:cs="宋体"/>
          <w:color w:val="auto"/>
          <w:szCs w:val="21"/>
          <w:highlight w:val="none"/>
          <w:shd w:val="clear" w:color="auto" w:fill="auto"/>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A9AC4D3">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10.7.2 不属于依法必须招标的暂估价项目</w:t>
      </w:r>
    </w:p>
    <w:p w14:paraId="49F93F7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对于不属于依法必须招标的暂估价项目的确认和批准采取第</w:t>
      </w:r>
      <w:r>
        <w:rPr>
          <w:rStyle w:val="47"/>
          <w:rFonts w:hint="eastAsia" w:ascii="宋体" w:hAnsi="宋体" w:eastAsia="宋体" w:cs="宋体"/>
          <w:color w:val="auto"/>
          <w:szCs w:val="21"/>
          <w:highlight w:val="none"/>
          <w:u w:val="single"/>
          <w:shd w:val="clear" w:color="auto" w:fill="auto"/>
        </w:rPr>
        <w:t xml:space="preserve"> 1 </w:t>
      </w:r>
      <w:r>
        <w:rPr>
          <w:rStyle w:val="47"/>
          <w:rFonts w:hint="eastAsia" w:ascii="宋体" w:hAnsi="宋体" w:eastAsia="宋体" w:cs="宋体"/>
          <w:color w:val="auto"/>
          <w:szCs w:val="21"/>
          <w:highlight w:val="none"/>
          <w:shd w:val="clear" w:color="auto" w:fill="auto"/>
        </w:rPr>
        <w:t>种方式确定。</w:t>
      </w:r>
    </w:p>
    <w:p w14:paraId="3F6CD3CD">
      <w:pPr>
        <w:pStyle w:val="246"/>
        <w:widowControl/>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第1种方式：对于不属于依法必须招标的暂估价项目，按本项约定确认和批准：</w:t>
      </w:r>
    </w:p>
    <w:p w14:paraId="22CAF778">
      <w:pPr>
        <w:pStyle w:val="246"/>
        <w:widowControl/>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36FA485">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14:paraId="4A9FCE4A">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szCs w:val="21"/>
          <w:highlight w:val="none"/>
          <w:shd w:val="clear" w:color="auto" w:fill="auto"/>
        </w:rPr>
        <w:t>第</w:t>
      </w:r>
      <w:r>
        <w:rPr>
          <w:rStyle w:val="47"/>
          <w:rFonts w:hint="eastAsia" w:ascii="宋体" w:hAnsi="宋体" w:eastAsia="宋体" w:cs="宋体"/>
          <w:color w:val="auto"/>
          <w:szCs w:val="21"/>
          <w:highlight w:val="none"/>
          <w:shd w:val="clear" w:color="auto" w:fill="auto"/>
          <w:lang w:val="en-US" w:eastAsia="zh-CN"/>
        </w:rPr>
        <w:t>3</w:t>
      </w:r>
      <w:r>
        <w:rPr>
          <w:rStyle w:val="47"/>
          <w:rFonts w:hint="eastAsia" w:ascii="宋体" w:hAnsi="宋体" w:eastAsia="宋体" w:cs="宋体"/>
          <w:color w:val="auto"/>
          <w:szCs w:val="21"/>
          <w:highlight w:val="none"/>
          <w:shd w:val="clear" w:color="auto" w:fill="auto"/>
        </w:rPr>
        <w:t>种方式：</w:t>
      </w:r>
      <w:r>
        <w:rPr>
          <w:rStyle w:val="47"/>
          <w:rFonts w:hint="eastAsia" w:ascii="宋体" w:hAnsi="宋体" w:eastAsia="宋体" w:cs="宋体"/>
          <w:color w:val="auto"/>
          <w:kern w:val="0"/>
          <w:szCs w:val="21"/>
          <w:highlight w:val="none"/>
          <w:shd w:val="clear" w:color="auto" w:fill="auto"/>
        </w:rPr>
        <w:t>承包人直接实施的暂估价项目</w:t>
      </w:r>
    </w:p>
    <w:p w14:paraId="6ED89925">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承包人直接实施的暂估价项目的约定：</w:t>
      </w:r>
      <w:r>
        <w:rPr>
          <w:rStyle w:val="47"/>
          <w:rFonts w:hint="eastAsia" w:ascii="宋体" w:hAnsi="宋体" w:eastAsia="宋体" w:cs="宋体"/>
          <w:color w:val="auto"/>
          <w:szCs w:val="21"/>
          <w:highlight w:val="none"/>
          <w:u w:val="single"/>
          <w:shd w:val="clear" w:color="auto" w:fill="auto"/>
        </w:rPr>
        <w:t>承包人具备实施暂估价项目的资格和条件的，经发包人和承包人协商一致后，可由承包人自行实施暂估价项目，合同当事人可以在合同条款约定具体事项</w:t>
      </w:r>
      <w:r>
        <w:rPr>
          <w:rStyle w:val="47"/>
          <w:rFonts w:hint="eastAsia" w:ascii="宋体" w:hAnsi="宋体" w:eastAsia="宋体" w:cs="宋体"/>
          <w:color w:val="auto"/>
          <w:szCs w:val="21"/>
          <w:highlight w:val="none"/>
          <w:shd w:val="clear" w:color="auto" w:fill="auto"/>
        </w:rPr>
        <w:t>。</w:t>
      </w:r>
    </w:p>
    <w:p w14:paraId="14EFF377">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10.8 暂列金额</w:t>
      </w:r>
      <w:bookmarkEnd w:id="818"/>
      <w:bookmarkEnd w:id="819"/>
      <w:bookmarkEnd w:id="820"/>
      <w:bookmarkEnd w:id="821"/>
      <w:bookmarkEnd w:id="822"/>
    </w:p>
    <w:p w14:paraId="35078292">
      <w:pPr>
        <w:pStyle w:val="236"/>
        <w:spacing w:beforeLines="0" w:afterLines="0" w:line="360" w:lineRule="auto"/>
        <w:ind w:firstLine="210" w:firstLineChars="100"/>
        <w:rPr>
          <w:rStyle w:val="47"/>
          <w:rFonts w:hint="eastAsia" w:ascii="宋体" w:hAnsi="宋体" w:eastAsia="宋体" w:cs="宋体"/>
          <w:color w:val="auto"/>
          <w:kern w:val="0"/>
          <w:sz w:val="21"/>
          <w:szCs w:val="21"/>
          <w:highlight w:val="none"/>
          <w:shd w:val="clear" w:color="auto" w:fill="auto"/>
        </w:rPr>
      </w:pPr>
      <w:bookmarkStart w:id="823" w:name="_Toc373478394"/>
      <w:bookmarkStart w:id="824" w:name="_Toc389065313"/>
      <w:bookmarkStart w:id="825" w:name="_Toc407135250"/>
      <w:bookmarkStart w:id="826" w:name="_Toc373227747"/>
      <w:bookmarkStart w:id="827" w:name="_Toc9850578"/>
      <w:bookmarkStart w:id="828" w:name="_Toc296347200"/>
      <w:bookmarkStart w:id="829" w:name="_Toc297216209"/>
      <w:bookmarkStart w:id="830" w:name="_Toc292559911"/>
      <w:bookmarkStart w:id="831" w:name="_Toc296891029"/>
      <w:bookmarkStart w:id="832" w:name="_Toc300935000"/>
      <w:bookmarkStart w:id="833" w:name="_Toc296346702"/>
      <w:bookmarkStart w:id="834" w:name="_Toc296503201"/>
      <w:bookmarkStart w:id="835" w:name="_Toc304295577"/>
      <w:bookmarkStart w:id="836" w:name="_Toc292559406"/>
      <w:bookmarkStart w:id="837" w:name="_Toc296891241"/>
      <w:bookmarkStart w:id="838" w:name="_Toc297048387"/>
      <w:bookmarkStart w:id="839" w:name="_Toc296944540"/>
      <w:bookmarkStart w:id="840" w:name="_Toc312678039"/>
      <w:bookmarkStart w:id="841" w:name="_Toc297120501"/>
      <w:bookmarkStart w:id="842" w:name="_Toc297123550"/>
      <w:bookmarkStart w:id="843" w:name="_Toc303539157"/>
      <w:r>
        <w:rPr>
          <w:rStyle w:val="47"/>
          <w:rFonts w:hint="eastAsia" w:ascii="宋体" w:hAnsi="宋体" w:eastAsia="宋体" w:cs="宋体"/>
          <w:color w:val="auto"/>
          <w:kern w:val="0"/>
          <w:sz w:val="21"/>
          <w:szCs w:val="21"/>
          <w:highlight w:val="none"/>
          <w:shd w:val="clear" w:color="auto" w:fill="auto"/>
        </w:rPr>
        <w:t>合同当事人关于暂列金额使用的约定：</w:t>
      </w:r>
    </w:p>
    <w:p w14:paraId="0EA0DFA8">
      <w:pPr>
        <w:pStyle w:val="236"/>
        <w:spacing w:beforeLines="0" w:afterLines="0" w:line="360" w:lineRule="auto"/>
        <w:ind w:firstLine="210" w:firstLineChars="100"/>
        <w:rPr>
          <w:rStyle w:val="47"/>
          <w:rFonts w:hint="eastAsia" w:ascii="宋体" w:hAnsi="宋体" w:eastAsia="宋体" w:cs="宋体"/>
          <w:color w:val="auto"/>
          <w:kern w:val="0"/>
          <w:sz w:val="21"/>
          <w:szCs w:val="21"/>
          <w:highlight w:val="none"/>
          <w:u w:val="single"/>
          <w:shd w:val="clear" w:color="auto" w:fill="auto"/>
        </w:rPr>
      </w:pPr>
      <w:r>
        <w:rPr>
          <w:rStyle w:val="47"/>
          <w:rFonts w:hint="eastAsia" w:ascii="宋体" w:hAnsi="宋体" w:eastAsia="宋体" w:cs="宋体"/>
          <w:color w:val="auto"/>
          <w:kern w:val="0"/>
          <w:sz w:val="21"/>
          <w:szCs w:val="21"/>
          <w:highlight w:val="none"/>
          <w:u w:val="single"/>
          <w:shd w:val="clear" w:color="auto" w:fill="auto"/>
        </w:rPr>
        <w:t xml:space="preserve">（1）已签约合同价中的暂列金额由发包人掌握使用。 </w:t>
      </w:r>
    </w:p>
    <w:p w14:paraId="005C411A">
      <w:pPr>
        <w:pStyle w:val="236"/>
        <w:spacing w:beforeLines="0" w:afterLines="0" w:line="360" w:lineRule="auto"/>
        <w:ind w:firstLine="210" w:firstLineChars="100"/>
        <w:rPr>
          <w:rStyle w:val="47"/>
          <w:rFonts w:hint="eastAsia" w:ascii="宋体" w:hAnsi="宋体" w:eastAsia="宋体" w:cs="宋体"/>
          <w:color w:val="auto"/>
          <w:kern w:val="0"/>
          <w:sz w:val="21"/>
          <w:szCs w:val="21"/>
          <w:highlight w:val="none"/>
          <w:shd w:val="clear" w:color="auto" w:fill="auto"/>
        </w:rPr>
      </w:pPr>
      <w:r>
        <w:rPr>
          <w:rStyle w:val="47"/>
          <w:rFonts w:hint="eastAsia" w:ascii="宋体" w:hAnsi="宋体" w:eastAsia="宋体" w:cs="宋体"/>
          <w:color w:val="auto"/>
          <w:kern w:val="0"/>
          <w:sz w:val="21"/>
          <w:szCs w:val="21"/>
          <w:highlight w:val="none"/>
          <w:u w:val="single"/>
          <w:shd w:val="clear" w:color="auto" w:fill="auto"/>
        </w:rPr>
        <w:t>（2）发包人按照规定所作支付后，暂列金额如有余额归发包人</w:t>
      </w:r>
      <w:r>
        <w:rPr>
          <w:rStyle w:val="47"/>
          <w:rFonts w:hint="eastAsia" w:ascii="宋体" w:hAnsi="宋体" w:eastAsia="宋体" w:cs="宋体"/>
          <w:color w:val="auto"/>
          <w:kern w:val="0"/>
          <w:sz w:val="21"/>
          <w:szCs w:val="21"/>
          <w:highlight w:val="none"/>
          <w:shd w:val="clear" w:color="auto" w:fill="auto"/>
        </w:rPr>
        <w:t>。</w:t>
      </w:r>
    </w:p>
    <w:p w14:paraId="56C92B0F">
      <w:pPr>
        <w:pStyle w:val="236"/>
        <w:keepNext/>
        <w:keepLines/>
        <w:spacing w:before="0" w:beforeLines="0" w:beforeAutospacing="0" w:after="0" w:afterLines="0" w:afterAutospacing="0" w:line="360" w:lineRule="auto"/>
        <w:outlineLvl w:val="2"/>
        <w:rPr>
          <w:rStyle w:val="47"/>
          <w:rFonts w:hint="eastAsia" w:ascii="宋体" w:hAnsi="宋体" w:eastAsia="宋体" w:cs="宋体"/>
          <w:b/>
          <w:bCs/>
          <w:color w:val="auto"/>
          <w:kern w:val="2"/>
          <w:sz w:val="21"/>
          <w:szCs w:val="21"/>
          <w:highlight w:val="none"/>
        </w:rPr>
      </w:pPr>
      <w:bookmarkStart w:id="844" w:name="_Toc493774810"/>
      <w:bookmarkStart w:id="845" w:name="_Toc373227746"/>
      <w:bookmarkStart w:id="846" w:name="_Toc512691449"/>
      <w:bookmarkStart w:id="847" w:name="_Toc508894111"/>
      <w:bookmarkStart w:id="848" w:name="_Toc407135249"/>
      <w:bookmarkStart w:id="849" w:name="_Toc35872313"/>
      <w:bookmarkStart w:id="850" w:name="_Toc373478393"/>
      <w:bookmarkStart w:id="851" w:name="_Toc494549246"/>
      <w:bookmarkStart w:id="852" w:name="_Toc389065312"/>
      <w:bookmarkStart w:id="853" w:name="_Toc485400642"/>
      <w:bookmarkStart w:id="854" w:name="_Toc351203643"/>
      <w:r>
        <w:rPr>
          <w:rStyle w:val="47"/>
          <w:rFonts w:hint="eastAsia" w:ascii="宋体" w:hAnsi="宋体" w:eastAsia="宋体" w:cs="宋体"/>
          <w:b/>
          <w:bCs/>
          <w:color w:val="auto"/>
          <w:kern w:val="2"/>
          <w:sz w:val="21"/>
          <w:szCs w:val="21"/>
          <w:highlight w:val="none"/>
        </w:rPr>
        <w:t>11.价格调整</w:t>
      </w:r>
      <w:bookmarkEnd w:id="844"/>
      <w:bookmarkEnd w:id="845"/>
      <w:bookmarkEnd w:id="846"/>
      <w:bookmarkEnd w:id="847"/>
      <w:bookmarkEnd w:id="848"/>
      <w:bookmarkEnd w:id="849"/>
      <w:bookmarkEnd w:id="850"/>
      <w:bookmarkEnd w:id="851"/>
      <w:bookmarkEnd w:id="852"/>
      <w:bookmarkEnd w:id="853"/>
      <w:bookmarkEnd w:id="854"/>
    </w:p>
    <w:p w14:paraId="1561768B">
      <w:pPr>
        <w:pStyle w:val="23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SA"/>
        </w:rPr>
      </w:pPr>
      <w:r>
        <w:rPr>
          <w:rStyle w:val="47"/>
          <w:rFonts w:hint="eastAsia" w:ascii="宋体" w:hAnsi="宋体" w:eastAsia="宋体" w:cs="宋体"/>
          <w:color w:val="auto"/>
          <w:kern w:val="2"/>
          <w:sz w:val="21"/>
          <w:szCs w:val="21"/>
          <w:highlight w:val="none"/>
          <w:u w:val="single"/>
          <w:shd w:val="clear" w:color="auto" w:fill="auto"/>
          <w:lang w:val="en-US" w:eastAsia="zh-CN" w:bidi="ar-SA"/>
        </w:rPr>
        <w:t>①法律变化引起的调整；</w:t>
      </w:r>
    </w:p>
    <w:p w14:paraId="3B05816B">
      <w:pPr>
        <w:pStyle w:val="23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SA"/>
        </w:rPr>
      </w:pPr>
      <w:r>
        <w:rPr>
          <w:rStyle w:val="47"/>
          <w:rFonts w:hint="eastAsia" w:ascii="宋体" w:hAnsi="宋体" w:eastAsia="宋体" w:cs="宋体"/>
          <w:color w:val="auto"/>
          <w:kern w:val="2"/>
          <w:sz w:val="21"/>
          <w:szCs w:val="21"/>
          <w:highlight w:val="none"/>
          <w:u w:val="single"/>
          <w:shd w:val="clear" w:color="auto" w:fill="auto"/>
          <w:lang w:val="en-US" w:eastAsia="zh-CN" w:bidi="ar-SA"/>
        </w:rPr>
        <w:t>②工程变更、项目特征不符、工程量清单缺项、工程量偏差引起的调整；</w:t>
      </w:r>
    </w:p>
    <w:p w14:paraId="400DFE3C">
      <w:pPr>
        <w:pStyle w:val="23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SA"/>
        </w:rPr>
      </w:pPr>
      <w:r>
        <w:rPr>
          <w:rStyle w:val="47"/>
          <w:rFonts w:hint="eastAsia" w:ascii="宋体" w:hAnsi="宋体" w:eastAsia="宋体" w:cs="宋体"/>
          <w:color w:val="auto"/>
          <w:kern w:val="2"/>
          <w:sz w:val="21"/>
          <w:szCs w:val="21"/>
          <w:highlight w:val="none"/>
          <w:u w:val="single"/>
          <w:shd w:val="clear" w:color="auto" w:fill="auto"/>
          <w:lang w:val="en-US" w:eastAsia="zh-CN" w:bidi="ar-SA"/>
        </w:rPr>
        <w:t>③计日工引起的调整。</w:t>
      </w:r>
    </w:p>
    <w:p w14:paraId="6738A600">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11.1 市场价格波动引起的调整</w:t>
      </w:r>
      <w:bookmarkEnd w:id="823"/>
      <w:bookmarkEnd w:id="824"/>
      <w:bookmarkEnd w:id="825"/>
      <w:bookmarkEnd w:id="826"/>
      <w:bookmarkEnd w:id="827"/>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53EDF92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市场价格波动是否调整合同价格的约定：</w:t>
      </w:r>
      <w:r>
        <w:rPr>
          <w:rStyle w:val="47"/>
          <w:rFonts w:hint="eastAsia" w:ascii="宋体" w:hAnsi="宋体" w:eastAsia="宋体" w:cs="宋体"/>
          <w:color w:val="auto"/>
          <w:szCs w:val="21"/>
          <w:highlight w:val="none"/>
          <w:u w:val="single"/>
          <w:shd w:val="clear" w:color="auto" w:fill="auto"/>
        </w:rPr>
        <w:t>是，物价波动引起合同价格变化的</w:t>
      </w:r>
      <w:r>
        <w:rPr>
          <w:rStyle w:val="47"/>
          <w:rFonts w:hint="eastAsia" w:ascii="宋体" w:hAnsi="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合同履行期间材料单价涨幅以基准价格为基础超过 5%时，或材料单价跌幅以在《已标价工程量清单》或预算书中载明的主要材料、工程设备单价为基础超过 5%时，其超过部分据实调整；关于基准价格的约定：招标的工程以招标控制价确定的市场价格确定为基期材料价格；人工、机械费按照我区建设行政主管部门或其授权的工程造价管理机构发布的人工费、机械台班单价或机械使用费系数进行调整；新增项目和工程量变化造成措施费增加取费部分按原中标措施费比例调整，施工方案部分按业主、监 理批准的方案套取相关定额计取，造成规费、税金变化按有关规定作相应调整。</w:t>
      </w:r>
    </w:p>
    <w:p w14:paraId="0803DF0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因市场价格波动调整合同价格，采用以下第</w:t>
      </w:r>
      <w:r>
        <w:rPr>
          <w:rStyle w:val="47"/>
          <w:rFonts w:hint="eastAsia" w:ascii="宋体" w:hAnsi="宋体" w:eastAsia="宋体" w:cs="宋体"/>
          <w:color w:val="auto"/>
          <w:szCs w:val="21"/>
          <w:highlight w:val="none"/>
          <w:u w:val="single"/>
          <w:shd w:val="clear" w:color="auto" w:fill="auto"/>
        </w:rPr>
        <w:t xml:space="preserve">  2  </w:t>
      </w:r>
      <w:r>
        <w:rPr>
          <w:rStyle w:val="47"/>
          <w:rFonts w:hint="eastAsia" w:ascii="宋体" w:hAnsi="宋体" w:eastAsia="宋体" w:cs="宋体"/>
          <w:color w:val="auto"/>
          <w:szCs w:val="21"/>
          <w:highlight w:val="none"/>
          <w:shd w:val="clear" w:color="auto" w:fill="auto"/>
        </w:rPr>
        <w:t>种方式对合同价格进行调整：</w:t>
      </w:r>
    </w:p>
    <w:p w14:paraId="6860F1D8">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第1种方式：采用价格指数进行价格调整。</w:t>
      </w:r>
    </w:p>
    <w:p w14:paraId="72DAA0B7">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关于各可调因子、定值和变值权重，以及基本价格指数及其来源的约定：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 xml:space="preserve">；  </w:t>
      </w:r>
    </w:p>
    <w:p w14:paraId="5040052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第2种方式：采用造价信息进行价格调整。</w:t>
      </w:r>
    </w:p>
    <w:p w14:paraId="6737BF2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（1）允许调整的主要材料和设备、基期价格、风险系数、投标报价详见《承包人提供主要材料和设备一览表》（表-22）。</w:t>
      </w:r>
    </w:p>
    <w:p w14:paraId="1E5E0B68">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（2）主要材料和设备确认价：</w:t>
      </w:r>
    </w:p>
    <w:p w14:paraId="5A6CD1E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按施工期间《</w:t>
      </w:r>
      <w:r>
        <w:rPr>
          <w:rStyle w:val="47"/>
          <w:rFonts w:hint="eastAsia" w:ascii="宋体" w:hAnsi="宋体" w:eastAsia="宋体" w:cs="宋体"/>
          <w:color w:val="auto"/>
          <w:szCs w:val="21"/>
          <w:highlight w:val="none"/>
          <w:u w:val="single"/>
          <w:shd w:val="clear" w:color="auto" w:fill="auto"/>
        </w:rPr>
        <w:t xml:space="preserve">  贺州 </w:t>
      </w:r>
      <w:r>
        <w:rPr>
          <w:rStyle w:val="47"/>
          <w:rFonts w:hint="eastAsia" w:ascii="宋体" w:hAnsi="宋体" w:eastAsia="宋体" w:cs="宋体"/>
          <w:color w:val="auto"/>
          <w:szCs w:val="21"/>
          <w:highlight w:val="none"/>
          <w:shd w:val="clear" w:color="auto" w:fill="auto"/>
        </w:rPr>
        <w:t>市建设工程造价信息》材料信息价的加权平均价计算，信息价没有的按通用条款规定确定。</w:t>
      </w:r>
    </w:p>
    <w:p w14:paraId="2F75614E">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（3）价差计算方法：</w:t>
      </w:r>
    </w:p>
    <w:p w14:paraId="78C2F77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①《承包人提供主要材料和设备一览表》（表-22）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FFE394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②承包人在《承包人提供主要材料和设备一览表》（表-22）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1E2401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③承包人在《承包人提供主要材料和设备一览表》（表-22）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288F300F">
      <w:pPr>
        <w:pStyle w:val="246"/>
        <w:spacing w:beforeLines="0" w:afterLines="0" w:line="360" w:lineRule="auto"/>
        <w:ind w:firstLine="645"/>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第3种方式：</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 xml:space="preserve"> 。</w:t>
      </w:r>
    </w:p>
    <w:bookmarkEnd w:id="703"/>
    <w:bookmarkEnd w:id="704"/>
    <w:bookmarkEnd w:id="705"/>
    <w:bookmarkEnd w:id="706"/>
    <w:bookmarkEnd w:id="707"/>
    <w:bookmarkEnd w:id="708"/>
    <w:p w14:paraId="24E09E3C">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855" w:name="_Toc296891245"/>
      <w:bookmarkStart w:id="856" w:name="_Toc296503205"/>
      <w:bookmarkStart w:id="857" w:name="_Toc296944544"/>
      <w:bookmarkStart w:id="858" w:name="_Toc296347204"/>
      <w:bookmarkStart w:id="859" w:name="_Toc292559410"/>
      <w:bookmarkStart w:id="860" w:name="_Toc296346706"/>
      <w:bookmarkStart w:id="861" w:name="_Toc292559915"/>
      <w:bookmarkStart w:id="862" w:name="_Toc297048391"/>
      <w:bookmarkStart w:id="863" w:name="_Toc297120505"/>
      <w:bookmarkStart w:id="864" w:name="_Toc296891033"/>
      <w:bookmarkStart w:id="865" w:name="_Toc26238"/>
      <w:bookmarkStart w:id="866" w:name="_Toc373478395"/>
      <w:bookmarkStart w:id="867" w:name="_Toc9850579"/>
      <w:bookmarkStart w:id="868" w:name="_Toc373227748"/>
      <w:bookmarkStart w:id="869" w:name="_Toc351203644"/>
      <w:bookmarkStart w:id="870" w:name="_Toc1380"/>
      <w:bookmarkStart w:id="871" w:name="_Toc407135251"/>
      <w:bookmarkStart w:id="872" w:name="_Toc312678040"/>
      <w:bookmarkStart w:id="873" w:name="_Toc300935002"/>
      <w:bookmarkStart w:id="874" w:name="_Toc303539159"/>
      <w:bookmarkStart w:id="875" w:name="_Toc297123552"/>
      <w:bookmarkStart w:id="876" w:name="_Toc304295579"/>
      <w:bookmarkStart w:id="877" w:name="_Toc297216211"/>
      <w:r>
        <w:rPr>
          <w:rStyle w:val="47"/>
          <w:rFonts w:hint="eastAsia" w:ascii="宋体" w:hAnsi="宋体" w:eastAsia="宋体" w:cs="宋体"/>
          <w:b/>
          <w:bCs/>
          <w:color w:val="auto"/>
          <w:sz w:val="21"/>
          <w:szCs w:val="21"/>
          <w:highlight w:val="none"/>
          <w:shd w:val="clear" w:color="auto" w:fill="auto"/>
          <w:lang w:val="zh-CN"/>
        </w:rPr>
        <w:t xml:space="preserve">12. </w:t>
      </w:r>
      <w:bookmarkEnd w:id="855"/>
      <w:bookmarkEnd w:id="856"/>
      <w:bookmarkEnd w:id="857"/>
      <w:bookmarkEnd w:id="858"/>
      <w:bookmarkEnd w:id="859"/>
      <w:bookmarkEnd w:id="860"/>
      <w:bookmarkEnd w:id="861"/>
      <w:bookmarkEnd w:id="862"/>
      <w:bookmarkEnd w:id="863"/>
      <w:bookmarkEnd w:id="864"/>
      <w:r>
        <w:rPr>
          <w:rStyle w:val="47"/>
          <w:rFonts w:hint="eastAsia" w:ascii="宋体" w:hAnsi="宋体" w:eastAsia="宋体" w:cs="宋体"/>
          <w:b/>
          <w:bCs/>
          <w:color w:val="auto"/>
          <w:sz w:val="21"/>
          <w:szCs w:val="21"/>
          <w:highlight w:val="none"/>
          <w:shd w:val="clear" w:color="auto" w:fill="auto"/>
          <w:lang w:val="zh-CN"/>
        </w:rPr>
        <w:t>合同价格、计量与支付</w:t>
      </w:r>
      <w:bookmarkEnd w:id="865"/>
      <w:bookmarkEnd w:id="866"/>
      <w:bookmarkEnd w:id="867"/>
      <w:bookmarkEnd w:id="868"/>
      <w:bookmarkEnd w:id="869"/>
      <w:bookmarkEnd w:id="870"/>
      <w:bookmarkEnd w:id="871"/>
    </w:p>
    <w:bookmarkEnd w:id="872"/>
    <w:bookmarkEnd w:id="873"/>
    <w:bookmarkEnd w:id="874"/>
    <w:bookmarkEnd w:id="875"/>
    <w:bookmarkEnd w:id="876"/>
    <w:bookmarkEnd w:id="877"/>
    <w:p w14:paraId="0D4981F8">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878" w:name="_Toc9850580"/>
      <w:r>
        <w:rPr>
          <w:rStyle w:val="47"/>
          <w:rFonts w:hint="eastAsia" w:ascii="宋体" w:hAnsi="宋体" w:eastAsia="宋体" w:cs="宋体"/>
          <w:b/>
          <w:bCs/>
          <w:color w:val="auto"/>
          <w:sz w:val="21"/>
          <w:szCs w:val="21"/>
          <w:highlight w:val="none"/>
          <w:shd w:val="clear" w:color="auto" w:fill="auto"/>
          <w:lang w:val="zh-CN"/>
        </w:rPr>
        <w:t>12.1 合同价格形式</w:t>
      </w:r>
      <w:bookmarkEnd w:id="878"/>
    </w:p>
    <w:p w14:paraId="4A55F81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bookmarkStart w:id="879" w:name="_Toc389065315"/>
      <w:bookmarkStart w:id="880" w:name="_Toc373478397"/>
      <w:bookmarkStart w:id="881" w:name="_Toc373227750"/>
      <w:bookmarkStart w:id="882" w:name="_Toc300935004"/>
      <w:bookmarkStart w:id="883" w:name="_Toc297123554"/>
      <w:bookmarkStart w:id="884" w:name="_Toc312678042"/>
      <w:bookmarkStart w:id="885" w:name="_Toc304295581"/>
      <w:bookmarkStart w:id="886" w:name="_Toc303539161"/>
      <w:bookmarkStart w:id="887" w:name="_Toc297216213"/>
      <w:bookmarkStart w:id="888" w:name="_Toc296347206"/>
      <w:bookmarkStart w:id="889" w:name="_Toc292559412"/>
      <w:bookmarkStart w:id="890" w:name="_Toc296891035"/>
      <w:bookmarkStart w:id="891" w:name="_Toc296891247"/>
      <w:bookmarkStart w:id="892" w:name="_Toc297120507"/>
      <w:bookmarkStart w:id="893" w:name="_Toc296346708"/>
      <w:bookmarkStart w:id="894" w:name="_Toc296944546"/>
      <w:bookmarkStart w:id="895" w:name="_Toc292559917"/>
      <w:bookmarkStart w:id="896" w:name="_Toc296503207"/>
      <w:bookmarkStart w:id="897" w:name="_Toc297048393"/>
      <w:r>
        <w:rPr>
          <w:rStyle w:val="47"/>
          <w:rFonts w:hint="eastAsia" w:ascii="宋体" w:hAnsi="宋体" w:eastAsia="宋体" w:cs="宋体"/>
          <w:color w:val="auto"/>
          <w:szCs w:val="21"/>
          <w:highlight w:val="none"/>
          <w:shd w:val="clear" w:color="auto" w:fill="auto"/>
        </w:rPr>
        <w:t>本工程采用</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综合单价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合同价格形式，合同价格包含增值税，本工程计价时采用的增值税计税方法为：</w:t>
      </w:r>
      <w:r>
        <w:rPr>
          <w:rStyle w:val="47"/>
          <w:rFonts w:hint="eastAsia" w:ascii="宋体" w:hAnsi="宋体" w:eastAsia="宋体" w:cs="宋体"/>
          <w:color w:val="auto"/>
          <w:szCs w:val="21"/>
          <w:highlight w:val="none"/>
          <w:shd w:val="clear" w:color="auto" w:fill="auto"/>
          <w:lang w:eastAsia="zh-CN"/>
        </w:rPr>
        <w:t>☑</w:t>
      </w:r>
      <w:r>
        <w:rPr>
          <w:rStyle w:val="47"/>
          <w:rFonts w:hint="eastAsia" w:ascii="宋体" w:hAnsi="宋体" w:eastAsia="宋体" w:cs="宋体"/>
          <w:color w:val="auto"/>
          <w:szCs w:val="21"/>
          <w:highlight w:val="none"/>
          <w:shd w:val="clear" w:color="auto" w:fill="auto"/>
        </w:rPr>
        <w:t xml:space="preserve">一般计税法   </w:t>
      </w:r>
      <w:r>
        <w:rPr>
          <w:rStyle w:val="47"/>
          <w:rFonts w:hint="eastAsia" w:ascii="宋体" w:hAnsi="宋体" w:eastAsia="宋体" w:cs="宋体"/>
          <w:color w:val="auto"/>
          <w:szCs w:val="21"/>
          <w:highlight w:val="none"/>
          <w:shd w:val="clear" w:color="auto" w:fill="auto"/>
          <w:lang w:eastAsia="zh-CN"/>
        </w:rPr>
        <w:t>□</w:t>
      </w:r>
      <w:r>
        <w:rPr>
          <w:rStyle w:val="47"/>
          <w:rFonts w:hint="eastAsia" w:ascii="宋体" w:hAnsi="宋体" w:eastAsia="宋体" w:cs="宋体"/>
          <w:color w:val="auto"/>
          <w:szCs w:val="21"/>
          <w:highlight w:val="none"/>
          <w:shd w:val="clear" w:color="auto" w:fill="auto"/>
        </w:rPr>
        <w:t>简易计税法。</w:t>
      </w:r>
    </w:p>
    <w:p w14:paraId="7D78BC1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（1）单价合同。</w:t>
      </w:r>
    </w:p>
    <w:p w14:paraId="5D512EE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采用综合单价合同方式时，工程量按建设单位、监理单位、施工单位三方确认的竣工图结算。</w:t>
      </w:r>
    </w:p>
    <w:p w14:paraId="6EED7C0F">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综合单价包含的风险范围：</w:t>
      </w:r>
      <w:r>
        <w:rPr>
          <w:rStyle w:val="47"/>
          <w:rFonts w:hint="eastAsia" w:ascii="宋体" w:hAnsi="宋体" w:eastAsia="宋体" w:cs="宋体"/>
          <w:color w:val="auto"/>
          <w:szCs w:val="21"/>
          <w:highlight w:val="none"/>
          <w:u w:val="single"/>
          <w:shd w:val="clear" w:color="auto" w:fill="auto"/>
        </w:rPr>
        <w:t>除工程变更、项目特征不符、工程量清单缺项、工程量偏差、政策性调整、本工程《承包人提供主要材料和设备一览表》中约定的材料和设备价格变动风险以外的其他风险因素。</w:t>
      </w:r>
    </w:p>
    <w:p w14:paraId="1DB1DE8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 xml:space="preserve">风险范围以外合同价格的调整方法： </w:t>
      </w:r>
    </w:p>
    <w:p w14:paraId="2091006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①工程变更、项目特征不符、工程量清单缺项：按10.4.1变更估价原则的约定调整。</w:t>
      </w:r>
    </w:p>
    <w:p w14:paraId="218DAD8E">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②工程量偏差：按1.13工程量清单错误修正的约定调整。</w:t>
      </w:r>
    </w:p>
    <w:p w14:paraId="337341E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③政策性调整：按自治区住房城乡建设厅或工程所在地住房城乡建设主管部门颁布的文件执行。</w:t>
      </w:r>
    </w:p>
    <w:p w14:paraId="704A5EF8">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④其它：</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336D36B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（2）总价合同。</w:t>
      </w:r>
    </w:p>
    <w:p w14:paraId="6B0239A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总价包含的风险范围：包含除工程变更、政策性调整、</w:t>
      </w:r>
      <w:r>
        <w:rPr>
          <w:rStyle w:val="47"/>
          <w:rFonts w:hint="eastAsia" w:ascii="宋体" w:hAnsi="宋体" w:eastAsia="宋体" w:cs="宋体"/>
          <w:color w:val="auto"/>
          <w:szCs w:val="21"/>
          <w:highlight w:val="none"/>
          <w:u w:val="single"/>
          <w:shd w:val="clear" w:color="auto" w:fill="auto"/>
        </w:rPr>
        <w:t xml:space="preserve">本工程《承包人提供主要材料和设备一览表》中约定的材料和设备价格变动风险以外的其他风险。除工程变更外，结算时不再对招标施工图对应的工程量重新计量    </w:t>
      </w:r>
      <w:r>
        <w:rPr>
          <w:rStyle w:val="47"/>
          <w:rFonts w:hint="eastAsia" w:ascii="宋体" w:hAnsi="宋体" w:eastAsia="宋体" w:cs="宋体"/>
          <w:color w:val="auto"/>
          <w:szCs w:val="21"/>
          <w:highlight w:val="none"/>
          <w:shd w:val="clear" w:color="auto" w:fill="auto"/>
        </w:rPr>
        <w:t>。</w:t>
      </w:r>
    </w:p>
    <w:p w14:paraId="4BB33EEF">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风险范围以外合同价格的调整方法：</w:t>
      </w:r>
    </w:p>
    <w:p w14:paraId="5A74F48F">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①工程变更：按10.4.1变更估价原则的约定调整。</w:t>
      </w:r>
    </w:p>
    <w:p w14:paraId="615EA63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②政策性调整：按自治区住房城乡建设厅或工程所在地住房城乡建设主管部门颁布的文件执行。</w:t>
      </w:r>
    </w:p>
    <w:p w14:paraId="62C1C89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③材料价格风险：按11.1的约定调整。</w:t>
      </w:r>
    </w:p>
    <w:p w14:paraId="4C5DC02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fldChar w:fldCharType="begin"/>
      </w:r>
      <w:r>
        <w:rPr>
          <w:rStyle w:val="47"/>
          <w:rFonts w:hint="eastAsia" w:ascii="宋体" w:hAnsi="宋体" w:eastAsia="宋体" w:cs="宋体"/>
          <w:color w:val="auto"/>
          <w:szCs w:val="21"/>
          <w:highlight w:val="none"/>
          <w:shd w:val="clear" w:color="auto" w:fill="auto"/>
        </w:rPr>
        <w:instrText xml:space="preserve"> = 4 \* GB3 </w:instrText>
      </w:r>
      <w:r>
        <w:rPr>
          <w:rStyle w:val="47"/>
          <w:rFonts w:hint="eastAsia" w:ascii="宋体" w:hAnsi="宋体" w:eastAsia="宋体" w:cs="宋体"/>
          <w:color w:val="auto"/>
          <w:szCs w:val="21"/>
          <w:highlight w:val="none"/>
          <w:shd w:val="clear" w:color="auto" w:fill="auto"/>
        </w:rPr>
        <w:fldChar w:fldCharType="separate"/>
      </w:r>
      <w:r>
        <w:rPr>
          <w:rStyle w:val="47"/>
          <w:rFonts w:hint="eastAsia" w:ascii="宋体" w:hAnsi="宋体" w:eastAsia="宋体" w:cs="宋体"/>
          <w:color w:val="auto"/>
          <w:szCs w:val="21"/>
          <w:highlight w:val="none"/>
          <w:shd w:val="clear" w:color="auto" w:fill="auto"/>
        </w:rPr>
        <w:t>4</w:t>
      </w:r>
      <w:r>
        <w:rPr>
          <w:rStyle w:val="47"/>
          <w:rFonts w:hint="eastAsia" w:ascii="宋体" w:hAnsi="宋体" w:eastAsia="宋体" w:cs="宋体"/>
          <w:color w:val="auto"/>
          <w:szCs w:val="21"/>
          <w:highlight w:val="none"/>
          <w:shd w:val="clear" w:color="auto" w:fill="auto"/>
        </w:rPr>
        <w:fldChar w:fldCharType="end"/>
      </w:r>
      <w:r>
        <w:rPr>
          <w:rStyle w:val="47"/>
          <w:rFonts w:hint="eastAsia" w:ascii="宋体" w:hAnsi="宋体" w:eastAsia="宋体" w:cs="宋体"/>
          <w:color w:val="auto"/>
          <w:szCs w:val="21"/>
          <w:highlight w:val="none"/>
          <w:shd w:val="clear" w:color="auto" w:fill="auto"/>
        </w:rPr>
        <w:t>其它：</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6022470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（3）其他价格方式：</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64BC89B4">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898" w:name="_Toc407135253"/>
      <w:bookmarkStart w:id="899" w:name="_Toc9850581"/>
      <w:r>
        <w:rPr>
          <w:rStyle w:val="47"/>
          <w:rFonts w:hint="eastAsia" w:ascii="宋体" w:hAnsi="宋体" w:eastAsia="宋体" w:cs="宋体"/>
          <w:b/>
          <w:bCs/>
          <w:color w:val="auto"/>
          <w:sz w:val="21"/>
          <w:szCs w:val="21"/>
          <w:highlight w:val="none"/>
          <w:shd w:val="clear" w:color="auto" w:fill="auto"/>
          <w:lang w:val="zh-CN"/>
        </w:rPr>
        <w:t>12.2 预付款</w:t>
      </w:r>
      <w:bookmarkEnd w:id="879"/>
      <w:bookmarkEnd w:id="880"/>
      <w:bookmarkEnd w:id="881"/>
      <w:bookmarkEnd w:id="898"/>
      <w:bookmarkEnd w:id="899"/>
    </w:p>
    <w:bookmarkEnd w:id="882"/>
    <w:bookmarkEnd w:id="883"/>
    <w:bookmarkEnd w:id="884"/>
    <w:bookmarkEnd w:id="885"/>
    <w:bookmarkEnd w:id="886"/>
    <w:bookmarkEnd w:id="887"/>
    <w:p w14:paraId="4065952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12.2.1 预付款的支付</w:t>
      </w:r>
    </w:p>
    <w:p w14:paraId="5FE9EF1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预付款支付比例或金额：</w:t>
      </w:r>
      <w:r>
        <w:rPr>
          <w:rStyle w:val="47"/>
          <w:rFonts w:hint="eastAsia" w:ascii="宋体" w:hAnsi="宋体" w:eastAsia="宋体" w:cs="宋体"/>
          <w:color w:val="auto"/>
          <w:szCs w:val="21"/>
          <w:highlight w:val="none"/>
          <w:u w:val="single"/>
          <w:shd w:val="clear" w:color="auto" w:fill="auto"/>
        </w:rPr>
        <w:t xml:space="preserve"> 合同金额的</w:t>
      </w:r>
      <w:r>
        <w:rPr>
          <w:rStyle w:val="47"/>
          <w:rFonts w:hint="eastAsia" w:ascii="宋体" w:hAnsi="宋体" w:cs="宋体"/>
          <w:color w:val="auto"/>
          <w:szCs w:val="21"/>
          <w:highlight w:val="none"/>
          <w:u w:val="single"/>
          <w:shd w:val="clear" w:color="auto" w:fill="auto"/>
          <w:lang w:val="en-US" w:eastAsia="zh-CN"/>
        </w:rPr>
        <w:t>30</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74A4707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预付款支付期限：</w:t>
      </w:r>
      <w:r>
        <w:rPr>
          <w:rStyle w:val="47"/>
          <w:rFonts w:hint="eastAsia" w:ascii="宋体" w:hAnsi="宋体" w:eastAsia="宋体" w:cs="宋体"/>
          <w:color w:val="auto"/>
          <w:szCs w:val="21"/>
          <w:highlight w:val="none"/>
          <w:u w:val="single"/>
          <w:shd w:val="clear" w:color="auto" w:fill="auto"/>
        </w:rPr>
        <w:t xml:space="preserve"> 签订合同15个工作日内付款</w:t>
      </w:r>
      <w:r>
        <w:rPr>
          <w:rStyle w:val="47"/>
          <w:rFonts w:hint="eastAsia" w:ascii="宋体" w:hAnsi="宋体" w:eastAsia="宋体" w:cs="宋体"/>
          <w:color w:val="auto"/>
          <w:szCs w:val="21"/>
          <w:highlight w:val="none"/>
          <w:shd w:val="clear" w:color="auto" w:fill="auto"/>
        </w:rPr>
        <w:t>。</w:t>
      </w:r>
    </w:p>
    <w:p w14:paraId="25FC4110">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预付款扣回的方式：</w:t>
      </w:r>
      <w:r>
        <w:rPr>
          <w:rStyle w:val="47"/>
          <w:rFonts w:hint="eastAsia" w:ascii="宋体" w:hAnsi="宋体" w:eastAsia="宋体" w:cs="宋体"/>
          <w:color w:val="auto"/>
          <w:szCs w:val="21"/>
          <w:highlight w:val="none"/>
          <w:u w:val="single"/>
          <w:shd w:val="clear" w:color="auto" w:fill="auto"/>
        </w:rPr>
        <w:t>在第一次进度款支付时全额扣除</w:t>
      </w:r>
      <w:r>
        <w:rPr>
          <w:rStyle w:val="47"/>
          <w:rFonts w:hint="eastAsia" w:ascii="宋体" w:hAnsi="宋体" w:eastAsia="宋体" w:cs="宋体"/>
          <w:color w:val="auto"/>
          <w:szCs w:val="21"/>
          <w:highlight w:val="none"/>
          <w:shd w:val="clear" w:color="auto" w:fill="auto"/>
        </w:rPr>
        <w:t>。</w:t>
      </w:r>
    </w:p>
    <w:p w14:paraId="496400B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12.2.2 预付款担保</w:t>
      </w:r>
    </w:p>
    <w:bookmarkEnd w:id="888"/>
    <w:bookmarkEnd w:id="889"/>
    <w:bookmarkEnd w:id="890"/>
    <w:bookmarkEnd w:id="891"/>
    <w:bookmarkEnd w:id="892"/>
    <w:bookmarkEnd w:id="893"/>
    <w:bookmarkEnd w:id="894"/>
    <w:bookmarkEnd w:id="895"/>
    <w:bookmarkEnd w:id="896"/>
    <w:bookmarkEnd w:id="897"/>
    <w:p w14:paraId="4A545B43">
      <w:pPr>
        <w:pStyle w:val="230"/>
        <w:spacing w:line="400" w:lineRule="exact"/>
        <w:ind w:firstLine="420" w:firstLineChars="200"/>
        <w:jc w:val="left"/>
        <w:rPr>
          <w:rFonts w:hint="eastAsia" w:ascii="宋体" w:hAnsi="宋体" w:cs="宋体"/>
          <w:color w:val="auto"/>
          <w:szCs w:val="21"/>
          <w:highlight w:val="none"/>
        </w:rPr>
      </w:pPr>
      <w:bookmarkStart w:id="900" w:name="_Toc9850582"/>
      <w:bookmarkStart w:id="901" w:name="_Toc373227751"/>
      <w:bookmarkStart w:id="902" w:name="_Toc389065316"/>
      <w:bookmarkStart w:id="903" w:name="_Toc407135254"/>
      <w:bookmarkStart w:id="904" w:name="_Toc373478398"/>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99565C3">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6655BB">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12.3 计量</w:t>
      </w:r>
      <w:bookmarkEnd w:id="900"/>
      <w:bookmarkEnd w:id="901"/>
      <w:bookmarkEnd w:id="902"/>
      <w:bookmarkEnd w:id="903"/>
      <w:bookmarkEnd w:id="904"/>
    </w:p>
    <w:p w14:paraId="056E776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12.3.1 计量原则</w:t>
      </w:r>
    </w:p>
    <w:p w14:paraId="544E4EB0">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工程量计算规则：</w:t>
      </w:r>
      <w:r>
        <w:rPr>
          <w:rStyle w:val="47"/>
          <w:rFonts w:hint="eastAsia" w:ascii="宋体" w:hAnsi="宋体" w:eastAsia="宋体" w:cs="宋体"/>
          <w:color w:val="auto"/>
          <w:szCs w:val="21"/>
          <w:highlight w:val="none"/>
          <w:u w:val="single"/>
          <w:shd w:val="clear" w:color="auto" w:fill="auto"/>
          <w:lang w:val="en-US" w:eastAsia="zh-CN"/>
        </w:rPr>
        <w:t xml:space="preserve"> 工程的计量均以《建设工程工程量清单计价规范》（GB50500－2013）和 及其广西壮族自治区实施细则、《建设工程工程量清单计算规范》（GB50854~50862－2013）及其广西实施细则、本工程补充项目清单为准</w:t>
      </w:r>
      <w:r>
        <w:rPr>
          <w:rStyle w:val="47"/>
          <w:rFonts w:hint="eastAsia" w:ascii="宋体" w:hAnsi="宋体" w:eastAsia="宋体" w:cs="宋体"/>
          <w:color w:val="auto"/>
          <w:szCs w:val="21"/>
          <w:highlight w:val="none"/>
          <w:u w:val="single"/>
          <w:shd w:val="clear" w:color="auto" w:fill="auto"/>
        </w:rPr>
        <w:t>。</w:t>
      </w:r>
    </w:p>
    <w:p w14:paraId="4E69C1C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12.3.2 计量周期</w:t>
      </w:r>
    </w:p>
    <w:p w14:paraId="5FDAE41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关于计量周期的约定：</w:t>
      </w:r>
      <w:r>
        <w:rPr>
          <w:rStyle w:val="47"/>
          <w:rFonts w:hint="eastAsia" w:ascii="宋体" w:hAnsi="宋体" w:eastAsia="宋体" w:cs="宋体"/>
          <w:color w:val="auto"/>
          <w:szCs w:val="21"/>
          <w:highlight w:val="none"/>
          <w:u w:val="single"/>
          <w:shd w:val="clear" w:color="auto" w:fill="auto"/>
        </w:rPr>
        <w:t>每月 25 日前</w:t>
      </w:r>
      <w:r>
        <w:rPr>
          <w:rStyle w:val="47"/>
          <w:rFonts w:hint="eastAsia" w:ascii="宋体" w:hAnsi="宋体" w:eastAsia="宋体" w:cs="宋体"/>
          <w:color w:val="auto"/>
          <w:szCs w:val="21"/>
          <w:highlight w:val="none"/>
          <w:shd w:val="clear" w:color="auto" w:fill="auto"/>
        </w:rPr>
        <w:t>。</w:t>
      </w:r>
    </w:p>
    <w:p w14:paraId="0DE8D18B">
      <w:pPr>
        <w:pStyle w:val="246"/>
        <w:spacing w:beforeLines="0" w:afterLines="0" w:line="360" w:lineRule="auto"/>
        <w:ind w:firstLine="420" w:firstLineChars="200"/>
        <w:jc w:val="left"/>
        <w:outlineLvl w:val="0"/>
        <w:rPr>
          <w:rStyle w:val="47"/>
          <w:rFonts w:hint="eastAsia" w:ascii="宋体" w:hAnsi="宋体" w:eastAsia="宋体" w:cs="宋体"/>
          <w:color w:val="auto"/>
          <w:szCs w:val="21"/>
          <w:highlight w:val="none"/>
          <w:shd w:val="clear" w:color="auto" w:fill="auto"/>
        </w:rPr>
      </w:pPr>
      <w:bookmarkStart w:id="905" w:name="_Toc28056"/>
      <w:bookmarkStart w:id="906" w:name="_Toc30770"/>
      <w:r>
        <w:rPr>
          <w:rStyle w:val="47"/>
          <w:rFonts w:hint="eastAsia" w:ascii="宋体" w:hAnsi="宋体" w:eastAsia="宋体" w:cs="宋体"/>
          <w:color w:val="auto"/>
          <w:szCs w:val="21"/>
          <w:highlight w:val="none"/>
          <w:shd w:val="clear" w:color="auto" w:fill="auto"/>
        </w:rPr>
        <w:t>12.3.3 单价合同的计量</w:t>
      </w:r>
      <w:bookmarkEnd w:id="905"/>
      <w:bookmarkEnd w:id="906"/>
    </w:p>
    <w:p w14:paraId="54FEE46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关于单价合同计量的约定：</w:t>
      </w:r>
    </w:p>
    <w:p w14:paraId="1824AEB4">
      <w:pPr>
        <w:pStyle w:val="246"/>
        <w:spacing w:beforeLines="0" w:afterLines="0" w:line="360" w:lineRule="auto"/>
        <w:ind w:firstLine="441" w:firstLineChars="21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 工程量清单所列的工程量，不能作为承包人按合同履行其责任依据，实际施工中发生的工程量增加或减少并不影响承包人履行合同的责任，工程结算以完成的实际工程量为准。</w:t>
      </w:r>
    </w:p>
    <w:p w14:paraId="255523A1">
      <w:pPr>
        <w:pStyle w:val="246"/>
        <w:spacing w:beforeLines="0" w:afterLines="0" w:line="360" w:lineRule="auto"/>
        <w:ind w:firstLine="441" w:firstLineChars="21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 除另有规定外，工程师应按照合同通过计量来核实确定已完成的工程量和价款，承包人应得到该价款扣除保留金后的金额。当工程师要对已完工的工程量进行计量时，应适时地通知承包人参加。</w:t>
      </w:r>
    </w:p>
    <w:p w14:paraId="32F4631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12.3.4 总价合同的计量</w:t>
      </w:r>
    </w:p>
    <w:p w14:paraId="6D847B4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（1）总价合同计量约定：进度款按支付分解表支付</w:t>
      </w:r>
      <w:r>
        <w:rPr>
          <w:rStyle w:val="47"/>
          <w:rFonts w:hint="eastAsia" w:ascii="宋体" w:hAnsi="宋体" w:eastAsia="宋体" w:cs="宋体"/>
          <w:color w:val="auto"/>
          <w:kern w:val="0"/>
          <w:szCs w:val="21"/>
          <w:highlight w:val="none"/>
          <w:shd w:val="clear" w:color="auto" w:fill="auto"/>
        </w:rPr>
        <w:t>，</w:t>
      </w:r>
      <w:r>
        <w:rPr>
          <w:rStyle w:val="47"/>
          <w:rFonts w:hint="eastAsia" w:ascii="宋体" w:hAnsi="宋体" w:eastAsia="宋体" w:cs="宋体"/>
          <w:color w:val="auto"/>
          <w:szCs w:val="21"/>
          <w:highlight w:val="none"/>
          <w:shd w:val="clear" w:color="auto" w:fill="auto"/>
        </w:rPr>
        <w:t>支付分解表在招标完成后签合同之前制定，具体详见本专用合同条款12.4.6。</w:t>
      </w:r>
    </w:p>
    <w:p w14:paraId="5A41B87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12.3.6 其他价格形式合同的计量</w:t>
      </w:r>
    </w:p>
    <w:p w14:paraId="5EBC2BD7">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其他价格形式的计量方式和程序：</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1D8ED400">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907" w:name="_Toc373227752"/>
      <w:bookmarkStart w:id="908" w:name="_Toc373478399"/>
      <w:bookmarkStart w:id="909" w:name="_Toc9850583"/>
      <w:bookmarkStart w:id="910" w:name="_Toc407135255"/>
      <w:bookmarkStart w:id="911" w:name="_Toc389065317"/>
      <w:r>
        <w:rPr>
          <w:rStyle w:val="47"/>
          <w:rFonts w:hint="eastAsia" w:ascii="宋体" w:hAnsi="宋体" w:eastAsia="宋体" w:cs="宋体"/>
          <w:b/>
          <w:bCs/>
          <w:color w:val="auto"/>
          <w:sz w:val="21"/>
          <w:szCs w:val="21"/>
          <w:highlight w:val="none"/>
          <w:shd w:val="clear" w:color="auto" w:fill="auto"/>
          <w:lang w:val="zh-CN"/>
        </w:rPr>
        <w:t>12.4 工程进度款支付</w:t>
      </w:r>
      <w:bookmarkEnd w:id="907"/>
      <w:bookmarkEnd w:id="908"/>
      <w:bookmarkEnd w:id="909"/>
      <w:bookmarkEnd w:id="910"/>
      <w:bookmarkEnd w:id="911"/>
    </w:p>
    <w:p w14:paraId="2F7A469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bookmarkStart w:id="912" w:name="_Toc296347210"/>
      <w:bookmarkStart w:id="913" w:name="_Toc296503211"/>
      <w:bookmarkStart w:id="914" w:name="_Toc296346712"/>
      <w:bookmarkStart w:id="915" w:name="_Toc297120511"/>
      <w:bookmarkStart w:id="916" w:name="_Toc296891251"/>
      <w:bookmarkStart w:id="917" w:name="_Toc297123556"/>
      <w:bookmarkStart w:id="918" w:name="_Toc300935006"/>
      <w:bookmarkStart w:id="919" w:name="_Toc292559921"/>
      <w:bookmarkStart w:id="920" w:name="_Toc297216215"/>
      <w:bookmarkStart w:id="921" w:name="_Toc303539163"/>
      <w:bookmarkStart w:id="922" w:name="_Toc292559416"/>
      <w:bookmarkStart w:id="923" w:name="_Toc296944550"/>
      <w:bookmarkStart w:id="924" w:name="_Toc297048397"/>
      <w:bookmarkStart w:id="925" w:name="_Toc296891039"/>
      <w:r>
        <w:rPr>
          <w:rStyle w:val="47"/>
          <w:rFonts w:hint="eastAsia" w:ascii="宋体" w:hAnsi="宋体" w:eastAsia="宋体" w:cs="宋体"/>
          <w:color w:val="auto"/>
          <w:szCs w:val="21"/>
          <w:highlight w:val="none"/>
          <w:shd w:val="clear" w:color="auto" w:fill="auto"/>
        </w:rPr>
        <w:t>12.4.1 付款周期</w:t>
      </w:r>
    </w:p>
    <w:p w14:paraId="6B9A542F">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lang w:eastAsia="zh-CN"/>
        </w:rPr>
      </w:pPr>
      <w:r>
        <w:rPr>
          <w:rStyle w:val="47"/>
          <w:rFonts w:hint="eastAsia" w:ascii="宋体" w:hAnsi="宋体" w:eastAsia="宋体" w:cs="宋体"/>
          <w:color w:val="auto"/>
          <w:szCs w:val="21"/>
          <w:highlight w:val="none"/>
          <w:shd w:val="clear" w:color="auto" w:fill="auto"/>
        </w:rPr>
        <w:t>关于付款周期的约定</w:t>
      </w:r>
      <w:r>
        <w:rPr>
          <w:rStyle w:val="47"/>
          <w:rFonts w:hint="eastAsia" w:ascii="宋体" w:hAnsi="宋体" w:cs="宋体"/>
          <w:color w:val="auto"/>
          <w:szCs w:val="21"/>
          <w:highlight w:val="none"/>
          <w:shd w:val="clear" w:color="auto" w:fill="auto"/>
          <w:lang w:eastAsia="zh-CN"/>
        </w:rPr>
        <w:t>：</w:t>
      </w:r>
      <w:r>
        <w:rPr>
          <w:rStyle w:val="47"/>
          <w:rFonts w:hint="eastAsia" w:ascii="宋体" w:hAnsi="宋体" w:eastAsia="宋体" w:cs="宋体"/>
          <w:color w:val="auto"/>
          <w:szCs w:val="21"/>
          <w:highlight w:val="none"/>
          <w:u w:val="single"/>
          <w:shd w:val="clear" w:color="auto" w:fill="auto"/>
        </w:rPr>
        <w:t>工程款原则上按月支付，合同内进度款支付额为已完成工程量的80%，合同外进度款支付额为已完成工程量的 60%</w:t>
      </w:r>
      <w:r>
        <w:rPr>
          <w:rStyle w:val="47"/>
          <w:rFonts w:hint="eastAsia" w:ascii="宋体" w:hAnsi="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工程完工验收达到质量要求，结算经有关部门审定后，发包人在收到承包人付款申请之日起</w:t>
      </w:r>
      <w:r>
        <w:rPr>
          <w:rStyle w:val="47"/>
          <w:rFonts w:hint="eastAsia" w:ascii="宋体" w:hAnsi="宋体" w:cs="宋体"/>
          <w:color w:val="auto"/>
          <w:szCs w:val="21"/>
          <w:highlight w:val="none"/>
          <w:u w:val="single"/>
          <w:shd w:val="clear" w:color="auto" w:fill="auto"/>
          <w:lang w:val="en-US" w:eastAsia="zh-CN"/>
        </w:rPr>
        <w:t>10个工作</w:t>
      </w:r>
      <w:r>
        <w:rPr>
          <w:rStyle w:val="47"/>
          <w:rFonts w:hint="eastAsia" w:ascii="宋体" w:hAnsi="宋体" w:eastAsia="宋体" w:cs="宋体"/>
          <w:color w:val="auto"/>
          <w:szCs w:val="21"/>
          <w:highlight w:val="none"/>
          <w:u w:val="single"/>
          <w:shd w:val="clear" w:color="auto" w:fill="auto"/>
        </w:rPr>
        <w:t>日内，工程款支付至结算总价的 97%</w:t>
      </w:r>
      <w:r>
        <w:rPr>
          <w:rStyle w:val="47"/>
          <w:rFonts w:hint="eastAsia" w:ascii="宋体" w:hAnsi="宋体" w:cs="宋体"/>
          <w:color w:val="auto"/>
          <w:szCs w:val="21"/>
          <w:highlight w:val="none"/>
          <w:u w:val="single"/>
          <w:shd w:val="clear" w:color="auto" w:fill="auto"/>
          <w:lang w:eastAsia="zh-CN"/>
        </w:rPr>
        <w:t>；</w:t>
      </w:r>
      <w:r>
        <w:rPr>
          <w:rStyle w:val="47"/>
          <w:rFonts w:hint="eastAsia" w:ascii="宋体" w:hAnsi="宋体" w:eastAsia="宋体" w:cs="宋体"/>
          <w:color w:val="auto"/>
          <w:szCs w:val="21"/>
          <w:highlight w:val="none"/>
          <w:u w:val="single"/>
          <w:shd w:val="clear" w:color="auto" w:fill="auto"/>
        </w:rPr>
        <w:t>发包人按工程价款结算总额的3%预留工程质量保修金，待工程缺陷责任期满后返还(无息)</w:t>
      </w:r>
      <w:r>
        <w:rPr>
          <w:rStyle w:val="47"/>
          <w:rFonts w:hint="eastAsia" w:ascii="宋体" w:hAnsi="宋体" w:cs="宋体"/>
          <w:color w:val="auto"/>
          <w:szCs w:val="21"/>
          <w:highlight w:val="none"/>
          <w:u w:val="single"/>
          <w:shd w:val="clear" w:color="auto" w:fill="auto"/>
          <w:lang w:eastAsia="zh-CN"/>
        </w:rPr>
        <w:t>。承包人每一次在申请付款时必须开具项目所在地正式的增值税发票给发包人，发包人在收到发票后</w:t>
      </w:r>
      <w:r>
        <w:rPr>
          <w:rStyle w:val="47"/>
          <w:rFonts w:hint="eastAsia" w:ascii="宋体" w:hAnsi="宋体" w:cs="宋体"/>
          <w:color w:val="auto"/>
          <w:szCs w:val="21"/>
          <w:highlight w:val="none"/>
          <w:u w:val="single"/>
          <w:shd w:val="clear" w:color="auto" w:fill="auto"/>
          <w:lang w:val="en-US" w:eastAsia="zh-CN"/>
        </w:rPr>
        <w:t>10个工作日内</w:t>
      </w:r>
      <w:r>
        <w:rPr>
          <w:rStyle w:val="47"/>
          <w:rFonts w:hint="eastAsia" w:ascii="宋体" w:hAnsi="宋体" w:cs="宋体"/>
          <w:color w:val="auto"/>
          <w:szCs w:val="21"/>
          <w:highlight w:val="none"/>
          <w:u w:val="single"/>
          <w:shd w:val="clear" w:color="auto" w:fill="auto"/>
          <w:lang w:eastAsia="zh-CN"/>
        </w:rPr>
        <w:t>支付到承包人账户</w:t>
      </w:r>
      <w:r>
        <w:rPr>
          <w:rStyle w:val="47"/>
          <w:rFonts w:hint="eastAsia" w:ascii="宋体" w:hAnsi="宋体" w:cs="宋体"/>
          <w:color w:val="auto"/>
          <w:szCs w:val="21"/>
          <w:highlight w:val="none"/>
          <w:shd w:val="clear" w:color="auto" w:fill="auto"/>
          <w:lang w:eastAsia="zh-CN"/>
        </w:rPr>
        <w:t>。</w:t>
      </w:r>
    </w:p>
    <w:p w14:paraId="742ADD5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12.4.2 进度付款申请单的编制</w:t>
      </w:r>
    </w:p>
    <w:p w14:paraId="5E444F50">
      <w:pPr>
        <w:pStyle w:val="246"/>
        <w:spacing w:beforeLines="0" w:afterLines="0" w:line="360" w:lineRule="auto"/>
        <w:ind w:firstLine="420" w:firstLineChars="200"/>
        <w:jc w:val="left"/>
        <w:rPr>
          <w:rStyle w:val="47"/>
          <w:rFonts w:hint="eastAsia" w:ascii="宋体" w:hAnsi="宋体" w:eastAsia="宋体" w:cs="宋体"/>
          <w:color w:val="auto"/>
          <w:kern w:val="2"/>
          <w:sz w:val="21"/>
          <w:szCs w:val="21"/>
          <w:highlight w:val="none"/>
        </w:rPr>
      </w:pPr>
      <w:r>
        <w:rPr>
          <w:rStyle w:val="47"/>
          <w:rFonts w:hint="eastAsia" w:ascii="宋体" w:hAnsi="宋体" w:eastAsia="宋体" w:cs="宋体"/>
          <w:color w:val="auto"/>
          <w:szCs w:val="21"/>
          <w:highlight w:val="none"/>
          <w:shd w:val="clear" w:color="auto" w:fill="auto"/>
        </w:rPr>
        <w:t>关于进度付款申请单编制的约定：</w:t>
      </w:r>
      <w:r>
        <w:rPr>
          <w:rStyle w:val="47"/>
          <w:rFonts w:hint="eastAsia" w:ascii="宋体" w:hAnsi="宋体" w:eastAsia="宋体" w:cs="宋体"/>
          <w:color w:val="auto"/>
          <w:kern w:val="2"/>
          <w:sz w:val="21"/>
          <w:szCs w:val="21"/>
          <w:highlight w:val="none"/>
          <w:u w:val="single"/>
        </w:rPr>
        <w:t>承包人应在每个计量周期到期后的7天内向发包人提交已完工程进度款支付申请一式四份，详细说明此周期自己认为有权得到的款额，包括分包人已完工程的价款，按有关规定编制</w:t>
      </w:r>
      <w:r>
        <w:rPr>
          <w:rStyle w:val="47"/>
          <w:rFonts w:hint="eastAsia" w:ascii="宋体" w:hAnsi="宋体" w:eastAsia="宋体" w:cs="宋体"/>
          <w:color w:val="auto"/>
          <w:kern w:val="2"/>
          <w:sz w:val="21"/>
          <w:szCs w:val="21"/>
          <w:highlight w:val="none"/>
        </w:rPr>
        <w:t>。</w:t>
      </w:r>
    </w:p>
    <w:p w14:paraId="096F850D">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Pr>
          <w:rStyle w:val="47"/>
          <w:rFonts w:hint="eastAsia" w:ascii="宋体" w:hAnsi="宋体" w:eastAsia="宋体" w:cs="宋体"/>
          <w:color w:val="auto"/>
          <w:szCs w:val="21"/>
          <w:highlight w:val="none"/>
          <w:shd w:val="clear" w:color="auto" w:fill="auto"/>
        </w:rPr>
        <w:t>2.4.3 进度付款申请单的提交</w:t>
      </w:r>
    </w:p>
    <w:p w14:paraId="7BBDFE03">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（1）单价合同进度付款申请单提交的约定：</w:t>
      </w:r>
      <w:r>
        <w:rPr>
          <w:rStyle w:val="47"/>
          <w:rFonts w:hint="eastAsia" w:ascii="宋体" w:hAnsi="宋体" w:eastAsia="宋体" w:cs="宋体"/>
          <w:color w:val="auto"/>
          <w:szCs w:val="21"/>
          <w:highlight w:val="none"/>
          <w:u w:val="single"/>
          <w:shd w:val="clear" w:color="auto" w:fill="auto"/>
        </w:rPr>
        <w:t xml:space="preserve">承包人申请工程进度款时，承包人向发包人提供以下资料：①《工程用款申请书》；②工程量计量报表；③增值税发票；④其他需要补充说明的材料；5.已完工（分部分项）工程验收资料 </w:t>
      </w:r>
      <w:r>
        <w:rPr>
          <w:rStyle w:val="47"/>
          <w:rFonts w:hint="eastAsia" w:ascii="宋体" w:hAnsi="宋体" w:eastAsia="宋体" w:cs="宋体"/>
          <w:color w:val="auto"/>
          <w:szCs w:val="21"/>
          <w:highlight w:val="none"/>
          <w:shd w:val="clear" w:color="auto" w:fill="auto"/>
        </w:rPr>
        <w:t>。</w:t>
      </w:r>
    </w:p>
    <w:p w14:paraId="2DA41A9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（2）总价合同进度付款申请单提交的约定：</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5DA08B78">
      <w:pPr>
        <w:pStyle w:val="246"/>
        <w:spacing w:beforeLines="0" w:afterLines="0" w:line="360" w:lineRule="auto"/>
        <w:ind w:firstLine="420" w:firstLineChars="200"/>
        <w:jc w:val="left"/>
        <w:rPr>
          <w:rStyle w:val="47"/>
          <w:rFonts w:hint="eastAsia" w:ascii="宋体" w:hAnsi="宋体" w:eastAsia="宋体" w:cs="宋体"/>
          <w:color w:val="auto"/>
          <w:kern w:val="2"/>
          <w:sz w:val="21"/>
          <w:szCs w:val="21"/>
          <w:highlight w:val="none"/>
        </w:rPr>
      </w:pPr>
      <w:r>
        <w:rPr>
          <w:rStyle w:val="47"/>
          <w:rFonts w:hint="eastAsia" w:ascii="宋体" w:hAnsi="宋体" w:eastAsia="宋体" w:cs="宋体"/>
          <w:color w:val="auto"/>
          <w:szCs w:val="21"/>
          <w:highlight w:val="none"/>
          <w:shd w:val="clear" w:color="auto" w:fill="auto"/>
        </w:rPr>
        <w:t>（3）其他价格形式合同进度付款申请单提交的约定：</w:t>
      </w:r>
      <w:r>
        <w:rPr>
          <w:rStyle w:val="47"/>
          <w:rFonts w:hint="eastAsia" w:ascii="宋体" w:hAnsi="宋体" w:eastAsia="宋体" w:cs="宋体"/>
          <w:color w:val="auto"/>
          <w:kern w:val="2"/>
          <w:sz w:val="21"/>
          <w:szCs w:val="21"/>
          <w:highlight w:val="none"/>
          <w:u w:val="single"/>
        </w:rPr>
        <w:t>承包人应在每个计量周期到期后的7天内向发包人提交已完工程进度款支付申请一式四份，详细说明此周期自己认为有权得到的款额，包括分包人已完工程的价款，按有关规定编制</w:t>
      </w:r>
      <w:r>
        <w:rPr>
          <w:rStyle w:val="47"/>
          <w:rFonts w:hint="eastAsia" w:ascii="宋体" w:hAnsi="宋体" w:eastAsia="宋体" w:cs="宋体"/>
          <w:color w:val="auto"/>
          <w:kern w:val="2"/>
          <w:sz w:val="21"/>
          <w:szCs w:val="21"/>
          <w:highlight w:val="none"/>
        </w:rPr>
        <w:t>。</w:t>
      </w:r>
    </w:p>
    <w:p w14:paraId="47829AF8">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12.4.4 进度款审核和支付</w:t>
      </w:r>
    </w:p>
    <w:p w14:paraId="79E4DABD">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（1）监理人审查并报送发包人的期限：</w:t>
      </w:r>
      <w:r>
        <w:rPr>
          <w:rStyle w:val="47"/>
          <w:rFonts w:hint="eastAsia" w:ascii="宋体" w:hAnsi="宋体" w:eastAsia="宋体" w:cs="宋体"/>
          <w:color w:val="auto"/>
          <w:szCs w:val="21"/>
          <w:highlight w:val="none"/>
          <w:u w:val="single"/>
          <w:shd w:val="clear" w:color="auto" w:fill="auto"/>
        </w:rPr>
        <w:t xml:space="preserve"> 收到承包人提交的资料后</w:t>
      </w:r>
      <w:r>
        <w:rPr>
          <w:rStyle w:val="47"/>
          <w:rFonts w:hint="eastAsia" w:ascii="宋体" w:hAnsi="宋体" w:eastAsia="宋体" w:cs="宋体"/>
          <w:color w:val="auto"/>
          <w:szCs w:val="21"/>
          <w:highlight w:val="none"/>
          <w:u w:val="single"/>
          <w:shd w:val="clear" w:color="auto" w:fill="auto"/>
          <w:lang w:val="en-US" w:eastAsia="zh-CN"/>
        </w:rPr>
        <w:t>7</w:t>
      </w:r>
      <w:r>
        <w:rPr>
          <w:rStyle w:val="47"/>
          <w:rFonts w:hint="eastAsia" w:ascii="宋体" w:hAnsi="宋体" w:eastAsia="宋体" w:cs="宋体"/>
          <w:color w:val="auto"/>
          <w:szCs w:val="21"/>
          <w:highlight w:val="none"/>
          <w:u w:val="single"/>
          <w:shd w:val="clear" w:color="auto" w:fill="auto"/>
        </w:rPr>
        <w:t xml:space="preserve">天内完成审查并报送发包人 </w:t>
      </w:r>
      <w:r>
        <w:rPr>
          <w:rStyle w:val="47"/>
          <w:rFonts w:hint="eastAsia" w:ascii="宋体" w:hAnsi="宋体" w:eastAsia="宋体" w:cs="宋体"/>
          <w:color w:val="auto"/>
          <w:szCs w:val="21"/>
          <w:highlight w:val="none"/>
          <w:shd w:val="clear" w:color="auto" w:fill="auto"/>
        </w:rPr>
        <w:t>。</w:t>
      </w:r>
    </w:p>
    <w:p w14:paraId="46E54329">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发包人完成审批并签发进度款支付证书的期限：</w:t>
      </w:r>
      <w:r>
        <w:rPr>
          <w:rStyle w:val="47"/>
          <w:rFonts w:hint="eastAsia" w:ascii="宋体" w:hAnsi="宋体" w:eastAsia="宋体" w:cs="宋体"/>
          <w:color w:val="auto"/>
          <w:szCs w:val="21"/>
          <w:highlight w:val="none"/>
          <w:u w:val="single"/>
          <w:shd w:val="clear" w:color="auto" w:fill="auto"/>
        </w:rPr>
        <w:t xml:space="preserve">  收到资料后7个工作日内完成审批并签发进度款支付证书 </w:t>
      </w:r>
      <w:r>
        <w:rPr>
          <w:rStyle w:val="47"/>
          <w:rFonts w:hint="eastAsia" w:ascii="宋体" w:hAnsi="宋体" w:eastAsia="宋体" w:cs="宋体"/>
          <w:color w:val="auto"/>
          <w:szCs w:val="21"/>
          <w:highlight w:val="none"/>
          <w:shd w:val="clear" w:color="auto" w:fill="auto"/>
        </w:rPr>
        <w:t>。</w:t>
      </w:r>
    </w:p>
    <w:p w14:paraId="7B3E80A5">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（2）发包人支付进度款的期限：</w:t>
      </w:r>
      <w:r>
        <w:rPr>
          <w:rStyle w:val="47"/>
          <w:rFonts w:hint="eastAsia" w:ascii="宋体" w:hAnsi="宋体" w:eastAsia="宋体" w:cs="宋体"/>
          <w:color w:val="auto"/>
          <w:szCs w:val="21"/>
          <w:highlight w:val="none"/>
          <w:u w:val="single"/>
          <w:shd w:val="clear" w:color="auto" w:fill="auto"/>
        </w:rPr>
        <w:t xml:space="preserve">  按通用条款执行 </w:t>
      </w:r>
      <w:r>
        <w:rPr>
          <w:rStyle w:val="47"/>
          <w:rFonts w:hint="eastAsia" w:ascii="宋体" w:hAnsi="宋体" w:eastAsia="宋体" w:cs="宋体"/>
          <w:color w:val="auto"/>
          <w:szCs w:val="21"/>
          <w:highlight w:val="none"/>
          <w:shd w:val="clear" w:color="auto" w:fill="auto"/>
        </w:rPr>
        <w:t>。</w:t>
      </w:r>
    </w:p>
    <w:p w14:paraId="44C2E3A4">
      <w:pPr>
        <w:pStyle w:val="246"/>
        <w:spacing w:beforeLines="0" w:afterLines="0" w:line="360" w:lineRule="auto"/>
        <w:ind w:firstLine="525" w:firstLineChars="25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发包人逾期支付进度款的违约金的计算方式：</w:t>
      </w:r>
      <w:r>
        <w:rPr>
          <w:rStyle w:val="47"/>
          <w:rFonts w:hint="eastAsia" w:ascii="宋体" w:hAnsi="宋体" w:eastAsia="宋体" w:cs="宋体"/>
          <w:color w:val="auto"/>
          <w:szCs w:val="21"/>
          <w:highlight w:val="none"/>
          <w:u w:val="single"/>
          <w:shd w:val="clear" w:color="auto" w:fill="auto"/>
        </w:rPr>
        <w:t xml:space="preserve">      /      </w:t>
      </w:r>
      <w:r>
        <w:rPr>
          <w:rStyle w:val="47"/>
          <w:rFonts w:hint="eastAsia" w:ascii="宋体" w:hAnsi="宋体" w:eastAsia="宋体" w:cs="宋体"/>
          <w:color w:val="auto"/>
          <w:szCs w:val="21"/>
          <w:highlight w:val="none"/>
          <w:shd w:val="clear" w:color="auto" w:fill="auto"/>
        </w:rPr>
        <w:t>。</w:t>
      </w:r>
    </w:p>
    <w:p w14:paraId="747404D2">
      <w:pPr>
        <w:pStyle w:val="246"/>
        <w:spacing w:beforeLines="0" w:afterLines="0" w:line="360" w:lineRule="auto"/>
        <w:ind w:firstLine="630" w:firstLineChars="3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进度款支付方式：</w:t>
      </w:r>
      <w:r>
        <w:rPr>
          <w:rStyle w:val="47"/>
          <w:rFonts w:hint="eastAsia" w:ascii="宋体" w:hAnsi="宋体" w:eastAsia="宋体" w:cs="宋体"/>
          <w:color w:val="auto"/>
          <w:szCs w:val="21"/>
          <w:highlight w:val="none"/>
          <w:u w:val="single"/>
          <w:shd w:val="clear" w:color="auto" w:fill="auto"/>
        </w:rPr>
        <w:t>银行转账</w:t>
      </w:r>
      <w:r>
        <w:rPr>
          <w:rStyle w:val="47"/>
          <w:rFonts w:hint="eastAsia" w:ascii="宋体" w:hAnsi="宋体" w:eastAsia="宋体" w:cs="宋体"/>
          <w:color w:val="auto"/>
          <w:szCs w:val="21"/>
          <w:highlight w:val="none"/>
          <w:shd w:val="clear" w:color="auto" w:fill="auto"/>
        </w:rPr>
        <w:t>。</w:t>
      </w:r>
    </w:p>
    <w:p w14:paraId="6D110DBE">
      <w:pPr>
        <w:pStyle w:val="246"/>
        <w:spacing w:beforeLines="0" w:afterLines="0" w:line="360" w:lineRule="auto"/>
        <w:ind w:firstLine="525" w:firstLineChars="25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 农民工工资支付</w:t>
      </w:r>
    </w:p>
    <w:p w14:paraId="14A7D3E0">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E6DE459">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2）人工费应应与工程进度款分帐管理。必须按时足额支付，人工费拨付周期不得超过 1 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2358BCF0">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3）发包人依据工程进度，审核承包人申报的工程进度款，按照与承包人约定的人工费支付比例</w:t>
      </w:r>
      <w:r>
        <w:rPr>
          <w:rStyle w:val="47"/>
          <w:rFonts w:hint="eastAsia" w:ascii="宋体" w:hAnsi="宋体" w:eastAsia="宋体" w:cs="宋体"/>
          <w:snapToGrid w:val="0"/>
          <w:color w:val="auto"/>
          <w:spacing w:val="9"/>
          <w:kern w:val="0"/>
          <w:sz w:val="21"/>
          <w:szCs w:val="21"/>
          <w:highlight w:val="none"/>
          <w:u w:val="single"/>
          <w:shd w:val="clear" w:color="auto" w:fill="auto"/>
          <w:lang w:eastAsia="en-US"/>
        </w:rPr>
        <w:t xml:space="preserve">     </w:t>
      </w:r>
      <w:r>
        <w:rPr>
          <w:rStyle w:val="47"/>
          <w:rFonts w:hint="eastAsia" w:ascii="宋体" w:hAnsi="宋体" w:eastAsia="宋体" w:cs="宋体"/>
          <w:snapToGrid w:val="0"/>
          <w:color w:val="auto"/>
          <w:spacing w:val="9"/>
          <w:kern w:val="0"/>
          <w:sz w:val="21"/>
          <w:szCs w:val="21"/>
          <w:highlight w:val="none"/>
          <w:shd w:val="clear" w:color="auto" w:fill="auto"/>
          <w:lang w:eastAsia="en-US"/>
        </w:rPr>
        <w:t>%（房建项目不少于20%，市政项目不少于15%），将人工费及时足额拨付至承包人的农民工工资专用账户，其余工程进度款项由发包人支付到承包人的单位基本户。</w:t>
      </w:r>
    </w:p>
    <w:p w14:paraId="76932C0E">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33157A1F">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5）凡未向付款单位提供农民工工资专用账户的，或者请款单位在申请工程进度款时未将人工费单列的，付款单位有权拒绝支付工程进度款。</w:t>
      </w:r>
    </w:p>
    <w:p w14:paraId="473D453D">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6）人工费使用要求：专款专用，除发放农民工工资外，不得用于其他用途。</w:t>
      </w:r>
    </w:p>
    <w:p w14:paraId="03963F18">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7）承包人将人工费支付情况定期报告发包人和监理单位，并提供相应的材料接受建设行政主管部门和劳动保障行政主管部门对此事项监管。</w:t>
      </w:r>
    </w:p>
    <w:p w14:paraId="7167E79C">
      <w:pPr>
        <w:keepNext w:val="0"/>
        <w:keepLines w:val="0"/>
        <w:pageBreakBefore w:val="0"/>
        <w:widowControl/>
        <w:kinsoku w:val="0"/>
        <w:wordWrap/>
        <w:overflowPunct/>
        <w:topLinePunct w:val="0"/>
        <w:autoSpaceDE/>
        <w:autoSpaceDN/>
        <w:bidi w:val="0"/>
        <w:adjustRightInd w:val="0"/>
        <w:snapToGrid w:val="0"/>
        <w:spacing w:before="0" w:beforeLines="0" w:afterLines="0" w:line="360" w:lineRule="auto"/>
        <w:ind w:left="0" w:right="0" w:firstLine="456" w:firstLineChars="200"/>
        <w:jc w:val="left"/>
        <w:textAlignment w:val="baseline"/>
        <w:rPr>
          <w:rStyle w:val="47"/>
          <w:rFonts w:hint="eastAsia" w:ascii="宋体" w:hAnsi="宋体" w:eastAsia="宋体" w:cs="宋体"/>
          <w:snapToGrid w:val="0"/>
          <w:color w:val="auto"/>
          <w:spacing w:val="9"/>
          <w:kern w:val="0"/>
          <w:sz w:val="21"/>
          <w:szCs w:val="21"/>
          <w:highlight w:val="none"/>
          <w:shd w:val="clear" w:color="auto" w:fill="auto"/>
          <w:lang w:eastAsia="en-US"/>
        </w:rPr>
      </w:pPr>
      <w:r>
        <w:rPr>
          <w:rStyle w:val="47"/>
          <w:rFonts w:hint="eastAsia" w:ascii="宋体" w:hAnsi="宋体" w:eastAsia="宋体" w:cs="宋体"/>
          <w:snapToGrid w:val="0"/>
          <w:color w:val="auto"/>
          <w:spacing w:val="9"/>
          <w:kern w:val="0"/>
          <w:sz w:val="21"/>
          <w:szCs w:val="21"/>
          <w:highlight w:val="none"/>
          <w:shd w:val="clear" w:color="auto" w:fill="auto"/>
          <w:lang w:eastAsia="en-US"/>
        </w:rPr>
        <w:t>8）人工费支付专用账户：××××公司农民工工资支付专用账户。账号：</w:t>
      </w:r>
      <w:r>
        <w:rPr>
          <w:rFonts w:hint="eastAsia" w:ascii="宋体" w:hAnsi="宋体" w:eastAsia="宋体" w:cs="宋体"/>
          <w:snapToGrid w:val="0"/>
          <w:color w:val="auto"/>
          <w:spacing w:val="9"/>
          <w:kern w:val="0"/>
          <w:sz w:val="21"/>
          <w:szCs w:val="21"/>
          <w:highlight w:val="none"/>
          <w:u w:val="single"/>
          <w:shd w:val="clear" w:color="auto" w:fill="auto"/>
          <w:lang w:val="en-US" w:eastAsia="zh-CN"/>
        </w:rPr>
        <w:t xml:space="preserve">    </w:t>
      </w:r>
      <w:r>
        <w:rPr>
          <w:rStyle w:val="47"/>
          <w:rFonts w:hint="eastAsia" w:ascii="宋体" w:hAnsi="宋体" w:eastAsia="宋体" w:cs="宋体"/>
          <w:snapToGrid w:val="0"/>
          <w:color w:val="auto"/>
          <w:spacing w:val="9"/>
          <w:kern w:val="0"/>
          <w:sz w:val="21"/>
          <w:szCs w:val="21"/>
          <w:highlight w:val="none"/>
          <w:shd w:val="clear" w:color="auto" w:fill="auto"/>
          <w:lang w:eastAsia="en-US"/>
        </w:rPr>
        <w:t>。</w:t>
      </w:r>
    </w:p>
    <w:p w14:paraId="2BC7BE1D">
      <w:pPr>
        <w:pStyle w:val="246"/>
        <w:spacing w:beforeLines="0" w:afterLines="0" w:line="360" w:lineRule="auto"/>
        <w:ind w:firstLine="525" w:firstLineChars="25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12.4.6 支付分解表的编制</w:t>
      </w:r>
    </w:p>
    <w:p w14:paraId="7120AED4">
      <w:pPr>
        <w:pStyle w:val="246"/>
        <w:spacing w:beforeLines="0" w:afterLines="0" w:line="360" w:lineRule="auto"/>
        <w:ind w:firstLine="525" w:firstLineChars="25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（1）总价合同支付分解表的编制与审批：</w:t>
      </w:r>
      <w:r>
        <w:rPr>
          <w:rStyle w:val="47"/>
          <w:rFonts w:hint="eastAsia" w:ascii="宋体" w:hAnsi="宋体" w:eastAsia="宋体" w:cs="宋体"/>
          <w:color w:val="auto"/>
          <w:szCs w:val="21"/>
          <w:highlight w:val="none"/>
          <w:u w:val="single"/>
          <w:shd w:val="clear" w:color="auto" w:fill="auto"/>
        </w:rPr>
        <w:t xml:space="preserve">  总价合同支付分解表在招标完成后由发包人和承包人共同编制，发包人审批，并作为本合同内容</w:t>
      </w:r>
      <w:r>
        <w:rPr>
          <w:rStyle w:val="47"/>
          <w:rFonts w:hint="eastAsia" w:ascii="宋体" w:hAnsi="宋体" w:eastAsia="宋体" w:cs="宋体"/>
          <w:color w:val="auto"/>
          <w:szCs w:val="21"/>
          <w:highlight w:val="none"/>
          <w:u w:val="none"/>
          <w:shd w:val="clear" w:color="auto" w:fill="auto"/>
        </w:rPr>
        <w:t>。</w:t>
      </w:r>
    </w:p>
    <w:p w14:paraId="704B029D">
      <w:pPr>
        <w:pStyle w:val="246"/>
        <w:spacing w:beforeLines="0" w:afterLines="0" w:line="360" w:lineRule="auto"/>
        <w:ind w:firstLine="525" w:firstLineChars="25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（2）单价合同的总价项目支付分解表的编制与审批：总价项目不采用支付分解表的方式计算，而按《建设工程工程量清单计价规范（GB50500-2013）广西壮族自治区实施细则》的规定执行。</w:t>
      </w:r>
    </w:p>
    <w:p w14:paraId="09A61A4B">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926" w:name="_Toc407135256"/>
      <w:bookmarkStart w:id="927" w:name="_Toc20307"/>
      <w:bookmarkStart w:id="928" w:name="_Toc8726"/>
      <w:bookmarkStart w:id="929" w:name="_Toc389065318"/>
      <w:bookmarkStart w:id="930" w:name="_Toc373478400"/>
      <w:bookmarkStart w:id="931" w:name="_Toc9850584"/>
      <w:bookmarkStart w:id="932" w:name="_Toc373227753"/>
      <w:bookmarkStart w:id="933" w:name="_Toc351203645"/>
      <w:bookmarkStart w:id="934" w:name="_Toc304295593"/>
      <w:bookmarkStart w:id="935" w:name="_Toc292559424"/>
      <w:bookmarkStart w:id="936" w:name="_Toc296346720"/>
      <w:bookmarkStart w:id="937" w:name="_Toc296944558"/>
      <w:bookmarkStart w:id="938" w:name="_Toc296891259"/>
      <w:bookmarkStart w:id="939" w:name="_Toc297123564"/>
      <w:bookmarkStart w:id="940" w:name="_Toc296891047"/>
      <w:bookmarkStart w:id="941" w:name="_Toc296347218"/>
      <w:bookmarkStart w:id="942" w:name="_Toc312678053"/>
      <w:bookmarkStart w:id="943" w:name="_Toc303539172"/>
      <w:bookmarkStart w:id="944" w:name="_Toc300935015"/>
      <w:bookmarkStart w:id="945" w:name="_Toc296503219"/>
      <w:bookmarkStart w:id="946" w:name="_Toc297120519"/>
      <w:bookmarkStart w:id="947" w:name="_Toc297048405"/>
      <w:bookmarkStart w:id="948" w:name="_Toc292559929"/>
      <w:bookmarkStart w:id="949" w:name="_Toc297216223"/>
      <w:r>
        <w:rPr>
          <w:rStyle w:val="47"/>
          <w:rFonts w:hint="eastAsia" w:ascii="宋体" w:hAnsi="宋体" w:eastAsia="宋体" w:cs="宋体"/>
          <w:b/>
          <w:bCs/>
          <w:color w:val="auto"/>
          <w:sz w:val="21"/>
          <w:szCs w:val="21"/>
          <w:highlight w:val="none"/>
          <w:shd w:val="clear" w:color="auto" w:fill="auto"/>
          <w:lang w:val="zh-CN"/>
        </w:rPr>
        <w:t>13. 验收和工程试车</w:t>
      </w:r>
      <w:bookmarkEnd w:id="926"/>
      <w:bookmarkEnd w:id="927"/>
      <w:bookmarkEnd w:id="928"/>
      <w:bookmarkEnd w:id="929"/>
      <w:bookmarkEnd w:id="930"/>
      <w:bookmarkEnd w:id="931"/>
      <w:bookmarkEnd w:id="932"/>
      <w:bookmarkEnd w:id="933"/>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5B8566DE">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950" w:name="_Toc373227754"/>
      <w:bookmarkStart w:id="951" w:name="_Toc389065319"/>
      <w:bookmarkStart w:id="952" w:name="_Toc373478401"/>
      <w:bookmarkStart w:id="953" w:name="_Toc407135257"/>
      <w:bookmarkStart w:id="954" w:name="_Toc9850585"/>
      <w:r>
        <w:rPr>
          <w:rStyle w:val="47"/>
          <w:rFonts w:hint="eastAsia" w:ascii="宋体" w:hAnsi="宋体" w:eastAsia="宋体" w:cs="宋体"/>
          <w:b/>
          <w:bCs/>
          <w:color w:val="auto"/>
          <w:sz w:val="21"/>
          <w:szCs w:val="21"/>
          <w:highlight w:val="none"/>
          <w:shd w:val="clear" w:color="auto" w:fill="auto"/>
          <w:lang w:val="zh-CN"/>
        </w:rPr>
        <w:t>13.1 分部分项工程验收</w:t>
      </w:r>
      <w:bookmarkEnd w:id="950"/>
      <w:bookmarkEnd w:id="951"/>
      <w:bookmarkEnd w:id="952"/>
      <w:bookmarkEnd w:id="953"/>
      <w:bookmarkEnd w:id="954"/>
    </w:p>
    <w:p w14:paraId="150B0E6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13.1.2监理人不能按时进行验收时，应提前</w:t>
      </w:r>
      <w:r>
        <w:rPr>
          <w:rStyle w:val="47"/>
          <w:rFonts w:hint="eastAsia" w:ascii="宋体" w:hAnsi="宋体" w:eastAsia="宋体" w:cs="宋体"/>
          <w:color w:val="auto"/>
          <w:szCs w:val="21"/>
          <w:highlight w:val="none"/>
          <w:u w:val="single"/>
          <w:shd w:val="clear" w:color="auto" w:fill="auto"/>
        </w:rPr>
        <w:t xml:space="preserve">  24  </w:t>
      </w:r>
      <w:r>
        <w:rPr>
          <w:rStyle w:val="47"/>
          <w:rFonts w:hint="eastAsia" w:ascii="宋体" w:hAnsi="宋体" w:eastAsia="宋体" w:cs="宋体"/>
          <w:color w:val="auto"/>
          <w:szCs w:val="21"/>
          <w:highlight w:val="none"/>
          <w:shd w:val="clear" w:color="auto" w:fill="auto"/>
        </w:rPr>
        <w:t>小时提交书面延期要求。</w:t>
      </w:r>
    </w:p>
    <w:p w14:paraId="54C05511">
      <w:pPr>
        <w:pStyle w:val="246"/>
        <w:spacing w:beforeLines="0" w:afterLines="0" w:line="360" w:lineRule="auto"/>
        <w:ind w:firstLine="420" w:firstLineChars="200"/>
        <w:jc w:val="left"/>
        <w:rPr>
          <w:rStyle w:val="47"/>
          <w:rFonts w:hint="eastAsia" w:ascii="宋体" w:hAnsi="宋体" w:eastAsia="宋体" w:cs="宋体"/>
          <w:b/>
          <w:bCs/>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关于延期最长不得超过：</w:t>
      </w:r>
      <w:r>
        <w:rPr>
          <w:rStyle w:val="47"/>
          <w:rFonts w:hint="eastAsia" w:ascii="宋体" w:hAnsi="宋体" w:eastAsia="宋体" w:cs="宋体"/>
          <w:color w:val="auto"/>
          <w:szCs w:val="21"/>
          <w:highlight w:val="none"/>
          <w:u w:val="single"/>
          <w:shd w:val="clear" w:color="auto" w:fill="auto"/>
        </w:rPr>
        <w:t xml:space="preserve">  48  </w:t>
      </w:r>
      <w:r>
        <w:rPr>
          <w:rStyle w:val="47"/>
          <w:rFonts w:hint="eastAsia" w:ascii="宋体" w:hAnsi="宋体" w:eastAsia="宋体" w:cs="宋体"/>
          <w:color w:val="auto"/>
          <w:szCs w:val="21"/>
          <w:highlight w:val="none"/>
          <w:shd w:val="clear" w:color="auto" w:fill="auto"/>
        </w:rPr>
        <w:t>小时。</w:t>
      </w:r>
    </w:p>
    <w:p w14:paraId="571D264F">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955" w:name="_Toc373478402"/>
      <w:bookmarkStart w:id="956" w:name="_Toc9850586"/>
      <w:bookmarkStart w:id="957" w:name="_Toc389065320"/>
      <w:bookmarkStart w:id="958" w:name="_Toc407135258"/>
      <w:bookmarkStart w:id="959" w:name="_Toc373227755"/>
      <w:bookmarkStart w:id="960" w:name="_Toc292559428"/>
      <w:bookmarkStart w:id="961" w:name="_Toc297048409"/>
      <w:bookmarkStart w:id="962" w:name="_Toc297216224"/>
      <w:bookmarkStart w:id="963" w:name="_Toc296346724"/>
      <w:bookmarkStart w:id="964" w:name="_Toc300935016"/>
      <w:bookmarkStart w:id="965" w:name="_Toc296944562"/>
      <w:bookmarkStart w:id="966" w:name="_Toc297120523"/>
      <w:bookmarkStart w:id="967" w:name="_Toc296503223"/>
      <w:bookmarkStart w:id="968" w:name="_Toc296347222"/>
      <w:bookmarkStart w:id="969" w:name="_Toc292559933"/>
      <w:bookmarkStart w:id="970" w:name="_Toc297123565"/>
      <w:bookmarkStart w:id="971" w:name="_Toc296891263"/>
      <w:bookmarkStart w:id="972" w:name="_Toc304295596"/>
      <w:bookmarkStart w:id="973" w:name="_Toc312678056"/>
      <w:bookmarkStart w:id="974" w:name="_Toc303539173"/>
      <w:bookmarkStart w:id="975" w:name="_Toc296891051"/>
      <w:bookmarkStart w:id="976" w:name="_Toc267251474"/>
      <w:bookmarkStart w:id="977" w:name="_Toc267251472"/>
      <w:bookmarkStart w:id="978" w:name="_Toc267251476"/>
      <w:bookmarkStart w:id="979" w:name="_Toc267251471"/>
      <w:bookmarkStart w:id="980" w:name="_Toc267251475"/>
      <w:bookmarkStart w:id="981" w:name="_Toc267251473"/>
      <w:bookmarkStart w:id="982" w:name="_Toc267251470"/>
      <w:r>
        <w:rPr>
          <w:rStyle w:val="47"/>
          <w:rFonts w:hint="eastAsia" w:ascii="宋体" w:hAnsi="宋体" w:eastAsia="宋体" w:cs="宋体"/>
          <w:b/>
          <w:bCs/>
          <w:color w:val="auto"/>
          <w:sz w:val="21"/>
          <w:szCs w:val="21"/>
          <w:highlight w:val="none"/>
          <w:shd w:val="clear" w:color="auto" w:fill="auto"/>
          <w:lang w:val="zh-CN"/>
        </w:rPr>
        <w:t>13.2 竣工验收</w:t>
      </w:r>
      <w:bookmarkEnd w:id="955"/>
      <w:bookmarkEnd w:id="956"/>
      <w:bookmarkEnd w:id="957"/>
      <w:bookmarkEnd w:id="958"/>
      <w:bookmarkEnd w:id="959"/>
    </w:p>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14:paraId="6F293807">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bookmarkStart w:id="983" w:name="_Toc280868704"/>
      <w:bookmarkStart w:id="984" w:name="_Toc280868705"/>
      <w:bookmarkStart w:id="985" w:name="_Toc280868706"/>
      <w:bookmarkStart w:id="986" w:name="_Toc280868707"/>
      <w:bookmarkStart w:id="987" w:name="_Toc280868708"/>
      <w:bookmarkStart w:id="988" w:name="_Toc280868709"/>
      <w:r>
        <w:rPr>
          <w:rStyle w:val="47"/>
          <w:rFonts w:hint="eastAsia" w:ascii="宋体" w:hAnsi="宋体" w:eastAsia="宋体" w:cs="宋体"/>
          <w:color w:val="auto"/>
          <w:szCs w:val="21"/>
          <w:highlight w:val="none"/>
          <w:shd w:val="clear" w:color="auto" w:fill="auto"/>
        </w:rPr>
        <w:t>13.2.1竣工验收条件</w:t>
      </w:r>
    </w:p>
    <w:p w14:paraId="0F1C24F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（3）承包人负责整理和提交的竣工验收资料应当符合工程所在地建设行政主管部门和(或)城市建设档案管理机构有关施工资料的要求，具体内容包括：</w:t>
      </w:r>
      <w:r>
        <w:rPr>
          <w:rStyle w:val="47"/>
          <w:rFonts w:hint="eastAsia" w:ascii="宋体" w:hAnsi="宋体" w:eastAsia="宋体" w:cs="宋体"/>
          <w:color w:val="auto"/>
          <w:szCs w:val="21"/>
          <w:highlight w:val="none"/>
          <w:u w:val="single"/>
          <w:shd w:val="clear" w:color="auto" w:fill="auto"/>
        </w:rPr>
        <w:t xml:space="preserve"> 按《建设工程文件归档整理规范》GB/T50328-2001要求提供 </w:t>
      </w:r>
      <w:r>
        <w:rPr>
          <w:rStyle w:val="47"/>
          <w:rFonts w:hint="eastAsia" w:ascii="宋体" w:hAnsi="宋体" w:eastAsia="宋体" w:cs="宋体"/>
          <w:color w:val="auto"/>
          <w:szCs w:val="21"/>
          <w:highlight w:val="none"/>
          <w:shd w:val="clear" w:color="auto" w:fill="auto"/>
        </w:rPr>
        <w:t>。</w:t>
      </w:r>
    </w:p>
    <w:p w14:paraId="10BC409A">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竣工验收资料的份数：</w:t>
      </w:r>
      <w:r>
        <w:rPr>
          <w:rStyle w:val="47"/>
          <w:rFonts w:hint="eastAsia" w:ascii="宋体" w:hAnsi="宋体" w:eastAsia="宋体" w:cs="宋体"/>
          <w:color w:val="auto"/>
          <w:szCs w:val="21"/>
          <w:highlight w:val="none"/>
          <w:u w:val="single"/>
          <w:shd w:val="clear" w:color="auto" w:fill="auto"/>
        </w:rPr>
        <w:t xml:space="preserve"> 一式六份 </w:t>
      </w:r>
      <w:r>
        <w:rPr>
          <w:rStyle w:val="47"/>
          <w:rFonts w:hint="eastAsia" w:ascii="宋体" w:hAnsi="宋体" w:eastAsia="宋体" w:cs="宋体"/>
          <w:color w:val="auto"/>
          <w:szCs w:val="21"/>
          <w:highlight w:val="none"/>
          <w:shd w:val="clear" w:color="auto" w:fill="auto"/>
        </w:rPr>
        <w:t>。</w:t>
      </w:r>
    </w:p>
    <w:p w14:paraId="06B4104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承包人提供竣工图的约定：</w:t>
      </w:r>
      <w:r>
        <w:rPr>
          <w:rStyle w:val="47"/>
          <w:rFonts w:hint="eastAsia" w:ascii="宋体" w:hAnsi="宋体" w:eastAsia="宋体" w:cs="宋体"/>
          <w:color w:val="auto"/>
          <w:szCs w:val="21"/>
          <w:highlight w:val="none"/>
          <w:u w:val="single"/>
          <w:shd w:val="clear" w:color="auto" w:fill="auto"/>
        </w:rPr>
        <w:t>竣工验收正式通过后5天（工程造价在500万元以下含500万元）、10天（工程造价在500万元至1000万元之间含1000万元）、15天（工程造价在1000万元以上），提供竣工图的数量分别为2套、4套、6套。</w:t>
      </w:r>
    </w:p>
    <w:p w14:paraId="07518B0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13.2.2竣工验收程序</w:t>
      </w:r>
    </w:p>
    <w:bookmarkEnd w:id="983"/>
    <w:p w14:paraId="524FE4E5">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关于竣工验收程序的约定：</w:t>
      </w:r>
      <w:r>
        <w:rPr>
          <w:rStyle w:val="47"/>
          <w:rFonts w:hint="eastAsia" w:ascii="宋体" w:hAnsi="宋体" w:eastAsia="宋体" w:cs="宋体"/>
          <w:color w:val="auto"/>
          <w:szCs w:val="21"/>
          <w:highlight w:val="none"/>
          <w:u w:val="single"/>
          <w:shd w:val="clear" w:color="auto" w:fill="auto"/>
        </w:rPr>
        <w:t>监理人审查后认为已具备竣工验收条件的，应将竣工验收申请报告提交发包人，发包人应在收到经监理人审核的竣工验收申请报告后28天内审批完毕</w:t>
      </w:r>
      <w:r>
        <w:rPr>
          <w:rStyle w:val="47"/>
          <w:rFonts w:hint="eastAsia" w:ascii="宋体" w:hAnsi="宋体" w:cs="宋体"/>
          <w:color w:val="auto"/>
          <w:szCs w:val="21"/>
          <w:highlight w:val="none"/>
          <w:u w:val="single"/>
          <w:shd w:val="clear" w:color="auto" w:fill="auto"/>
          <w:lang w:eastAsia="zh-CN"/>
        </w:rPr>
        <w:t>，在审批完毕后</w:t>
      </w:r>
      <w:r>
        <w:rPr>
          <w:rStyle w:val="47"/>
          <w:rFonts w:hint="eastAsia" w:ascii="宋体" w:hAnsi="宋体" w:cs="宋体"/>
          <w:color w:val="auto"/>
          <w:szCs w:val="21"/>
          <w:highlight w:val="none"/>
          <w:u w:val="single"/>
          <w:shd w:val="clear" w:color="auto" w:fill="auto"/>
          <w:lang w:val="en-US" w:eastAsia="zh-CN"/>
        </w:rPr>
        <w:t>5个工作日内</w:t>
      </w:r>
      <w:r>
        <w:rPr>
          <w:rStyle w:val="47"/>
          <w:rFonts w:hint="eastAsia" w:ascii="宋体" w:hAnsi="宋体" w:eastAsia="宋体" w:cs="宋体"/>
          <w:color w:val="auto"/>
          <w:szCs w:val="21"/>
          <w:highlight w:val="none"/>
          <w:u w:val="single"/>
          <w:shd w:val="clear" w:color="auto" w:fill="auto"/>
        </w:rPr>
        <w:t>组织监理人、承包人、设计人等相关单位完成竣工验收</w:t>
      </w:r>
      <w:r>
        <w:rPr>
          <w:rStyle w:val="47"/>
          <w:rFonts w:hint="eastAsia" w:ascii="宋体" w:hAnsi="宋体" w:eastAsia="宋体" w:cs="宋体"/>
          <w:color w:val="auto"/>
          <w:szCs w:val="21"/>
          <w:highlight w:val="none"/>
          <w:shd w:val="clear" w:color="auto" w:fill="auto"/>
        </w:rPr>
        <w:t>。</w:t>
      </w:r>
    </w:p>
    <w:p w14:paraId="1875504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发包人不按照本项约定组织竣工验收、颁发工程接收证书的违约金的计算方法：</w:t>
      </w:r>
      <w:r>
        <w:rPr>
          <w:rStyle w:val="47"/>
          <w:rFonts w:hint="eastAsia" w:ascii="宋体" w:hAnsi="宋体" w:eastAsia="宋体" w:cs="宋体"/>
          <w:color w:val="auto"/>
          <w:szCs w:val="21"/>
          <w:highlight w:val="none"/>
          <w:u w:val="single"/>
          <w:shd w:val="clear" w:color="auto" w:fill="auto"/>
        </w:rPr>
        <w:t xml:space="preserve">  按通用条款执行  </w:t>
      </w:r>
      <w:r>
        <w:rPr>
          <w:rStyle w:val="47"/>
          <w:rFonts w:hint="eastAsia" w:ascii="宋体" w:hAnsi="宋体" w:eastAsia="宋体" w:cs="宋体"/>
          <w:color w:val="auto"/>
          <w:szCs w:val="21"/>
          <w:highlight w:val="none"/>
          <w:shd w:val="clear" w:color="auto" w:fill="auto"/>
        </w:rPr>
        <w:t>。</w:t>
      </w:r>
    </w:p>
    <w:bookmarkEnd w:id="984"/>
    <w:p w14:paraId="3430447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13.2.5移交、接收全部与部分工程</w:t>
      </w:r>
    </w:p>
    <w:bookmarkEnd w:id="985"/>
    <w:p w14:paraId="7BB79BF0">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承包人向发包人移交工程的期限：</w:t>
      </w:r>
      <w:r>
        <w:rPr>
          <w:rStyle w:val="47"/>
          <w:rFonts w:hint="eastAsia" w:ascii="宋体" w:hAnsi="宋体" w:eastAsia="宋体" w:cs="宋体"/>
          <w:color w:val="auto"/>
          <w:szCs w:val="21"/>
          <w:highlight w:val="none"/>
          <w:u w:val="single"/>
          <w:shd w:val="clear" w:color="auto" w:fill="auto"/>
        </w:rPr>
        <w:t xml:space="preserve">  颁发工程接收证书后7天内 </w:t>
      </w:r>
      <w:r>
        <w:rPr>
          <w:rStyle w:val="47"/>
          <w:rFonts w:hint="eastAsia" w:ascii="宋体" w:hAnsi="宋体" w:eastAsia="宋体" w:cs="宋体"/>
          <w:color w:val="auto"/>
          <w:szCs w:val="21"/>
          <w:highlight w:val="none"/>
          <w:shd w:val="clear" w:color="auto" w:fill="auto"/>
        </w:rPr>
        <w:t>。</w:t>
      </w:r>
    </w:p>
    <w:p w14:paraId="1E68076B">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发包人未按本合同约定接收全部或部分工程的，违约金的计算方法为：</w:t>
      </w:r>
      <w:r>
        <w:rPr>
          <w:rStyle w:val="47"/>
          <w:rFonts w:hint="eastAsia" w:ascii="宋体" w:hAnsi="宋体" w:eastAsia="宋体" w:cs="宋体"/>
          <w:color w:val="auto"/>
          <w:szCs w:val="21"/>
          <w:highlight w:val="none"/>
          <w:u w:val="single"/>
          <w:shd w:val="clear" w:color="auto" w:fill="auto"/>
        </w:rPr>
        <w:t xml:space="preserve"> 每超一天向承包人支付合同价款万分之一的误期违约金，最高限额为合同总价的2% </w:t>
      </w:r>
      <w:r>
        <w:rPr>
          <w:rStyle w:val="47"/>
          <w:rFonts w:hint="eastAsia" w:ascii="宋体" w:hAnsi="宋体" w:eastAsia="宋体" w:cs="宋体"/>
          <w:color w:val="auto"/>
          <w:szCs w:val="21"/>
          <w:highlight w:val="none"/>
          <w:shd w:val="clear" w:color="auto" w:fill="auto"/>
        </w:rPr>
        <w:t>。</w:t>
      </w:r>
    </w:p>
    <w:bookmarkEnd w:id="986"/>
    <w:p w14:paraId="0780FC5F">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承包人未按时移交工程的，违约金的计算方法为：</w:t>
      </w:r>
      <w:r>
        <w:rPr>
          <w:rStyle w:val="47"/>
          <w:rFonts w:hint="eastAsia" w:ascii="宋体" w:hAnsi="宋体" w:eastAsia="宋体" w:cs="宋体"/>
          <w:color w:val="auto"/>
          <w:szCs w:val="21"/>
          <w:highlight w:val="none"/>
          <w:u w:val="single"/>
          <w:shd w:val="clear" w:color="auto" w:fill="auto"/>
        </w:rPr>
        <w:t xml:space="preserve"> 每超一天向发包人支付合同价款万分之一的误期违约金，最高限额为合同总价的2% </w:t>
      </w:r>
      <w:r>
        <w:rPr>
          <w:rStyle w:val="47"/>
          <w:rFonts w:hint="eastAsia" w:ascii="宋体" w:hAnsi="宋体" w:eastAsia="宋体" w:cs="宋体"/>
          <w:color w:val="auto"/>
          <w:szCs w:val="21"/>
          <w:highlight w:val="none"/>
          <w:shd w:val="clear" w:color="auto" w:fill="auto"/>
        </w:rPr>
        <w:t>。</w:t>
      </w:r>
    </w:p>
    <w:p w14:paraId="308ACBF9">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989" w:name="_Toc373227756"/>
      <w:bookmarkStart w:id="990" w:name="_Toc389065321"/>
      <w:bookmarkStart w:id="991" w:name="_Toc373478403"/>
      <w:bookmarkStart w:id="992" w:name="_Toc407135259"/>
      <w:bookmarkStart w:id="993" w:name="_Toc9850587"/>
      <w:r>
        <w:rPr>
          <w:rStyle w:val="47"/>
          <w:rFonts w:hint="eastAsia" w:ascii="宋体" w:hAnsi="宋体" w:eastAsia="宋体" w:cs="宋体"/>
          <w:b/>
          <w:bCs/>
          <w:color w:val="auto"/>
          <w:sz w:val="21"/>
          <w:szCs w:val="21"/>
          <w:highlight w:val="none"/>
          <w:shd w:val="clear" w:color="auto" w:fill="auto"/>
          <w:lang w:val="zh-CN"/>
        </w:rPr>
        <w:t>13.3 工程试车</w:t>
      </w:r>
      <w:bookmarkEnd w:id="989"/>
      <w:bookmarkEnd w:id="990"/>
      <w:bookmarkEnd w:id="991"/>
      <w:bookmarkEnd w:id="992"/>
      <w:bookmarkEnd w:id="993"/>
    </w:p>
    <w:bookmarkEnd w:id="987"/>
    <w:p w14:paraId="21BD1763">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13.3.1 试车程序</w:t>
      </w:r>
    </w:p>
    <w:p w14:paraId="52FC45A5">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工程试车内容：</w:t>
      </w:r>
      <w:r>
        <w:rPr>
          <w:rStyle w:val="47"/>
          <w:rFonts w:hint="eastAsia" w:ascii="宋体" w:hAnsi="宋体" w:eastAsia="宋体" w:cs="宋体"/>
          <w:color w:val="auto"/>
          <w:szCs w:val="21"/>
          <w:highlight w:val="none"/>
          <w:u w:val="single"/>
          <w:shd w:val="clear" w:color="auto" w:fill="auto"/>
        </w:rPr>
        <w:t xml:space="preserve">  按通用合同条款13.3.1条执行  </w:t>
      </w:r>
      <w:r>
        <w:rPr>
          <w:rStyle w:val="47"/>
          <w:rFonts w:hint="eastAsia" w:ascii="宋体" w:hAnsi="宋体" w:eastAsia="宋体" w:cs="宋体"/>
          <w:color w:val="auto"/>
          <w:szCs w:val="21"/>
          <w:highlight w:val="none"/>
          <w:shd w:val="clear" w:color="auto" w:fill="auto"/>
        </w:rPr>
        <w:t>。</w:t>
      </w:r>
    </w:p>
    <w:p w14:paraId="20BB1369">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（1）单机无负荷试车费用由</w:t>
      </w:r>
      <w:r>
        <w:rPr>
          <w:rStyle w:val="47"/>
          <w:rFonts w:hint="eastAsia" w:ascii="宋体" w:hAnsi="宋体" w:eastAsia="宋体" w:cs="宋体"/>
          <w:color w:val="auto"/>
          <w:szCs w:val="21"/>
          <w:highlight w:val="none"/>
          <w:u w:val="single"/>
          <w:shd w:val="clear" w:color="auto" w:fill="auto"/>
        </w:rPr>
        <w:t xml:space="preserve">  承包人  </w:t>
      </w:r>
      <w:r>
        <w:rPr>
          <w:rStyle w:val="47"/>
          <w:rFonts w:hint="eastAsia" w:ascii="宋体" w:hAnsi="宋体" w:eastAsia="宋体" w:cs="宋体"/>
          <w:color w:val="auto"/>
          <w:kern w:val="0"/>
          <w:szCs w:val="21"/>
          <w:highlight w:val="none"/>
          <w:shd w:val="clear" w:color="auto" w:fill="auto"/>
        </w:rPr>
        <w:t>承担；</w:t>
      </w:r>
    </w:p>
    <w:p w14:paraId="3F2073B9">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（2）无负荷联动试车费用由</w:t>
      </w:r>
      <w:r>
        <w:rPr>
          <w:rStyle w:val="47"/>
          <w:rFonts w:hint="eastAsia" w:ascii="宋体" w:hAnsi="宋体" w:eastAsia="宋体" w:cs="宋体"/>
          <w:color w:val="auto"/>
          <w:szCs w:val="21"/>
          <w:highlight w:val="none"/>
          <w:u w:val="single"/>
          <w:shd w:val="clear" w:color="auto" w:fill="auto"/>
        </w:rPr>
        <w:t xml:space="preserve">   承包人 </w:t>
      </w:r>
      <w:r>
        <w:rPr>
          <w:rStyle w:val="47"/>
          <w:rFonts w:hint="eastAsia" w:ascii="宋体" w:hAnsi="宋体" w:eastAsia="宋体" w:cs="宋体"/>
          <w:color w:val="auto"/>
          <w:kern w:val="0"/>
          <w:szCs w:val="21"/>
          <w:highlight w:val="none"/>
          <w:shd w:val="clear" w:color="auto" w:fill="auto"/>
        </w:rPr>
        <w:t>承担。</w:t>
      </w:r>
    </w:p>
    <w:p w14:paraId="36BE9036">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13.3.3 投料试车</w:t>
      </w:r>
    </w:p>
    <w:p w14:paraId="28B54C10">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关于投料试车相关事项的约定：</w:t>
      </w:r>
      <w:r>
        <w:rPr>
          <w:rStyle w:val="47"/>
          <w:rFonts w:hint="eastAsia" w:ascii="宋体" w:hAnsi="宋体" w:eastAsia="宋体" w:cs="宋体"/>
          <w:color w:val="auto"/>
          <w:szCs w:val="21"/>
          <w:highlight w:val="none"/>
          <w:u w:val="single"/>
          <w:shd w:val="clear" w:color="auto" w:fill="auto"/>
        </w:rPr>
        <w:t xml:space="preserve"> 按通用合同条款13.3.3条执行 </w:t>
      </w:r>
      <w:r>
        <w:rPr>
          <w:rStyle w:val="47"/>
          <w:rFonts w:hint="eastAsia" w:ascii="宋体" w:hAnsi="宋体" w:eastAsia="宋体" w:cs="宋体"/>
          <w:color w:val="auto"/>
          <w:szCs w:val="21"/>
          <w:highlight w:val="none"/>
          <w:shd w:val="clear" w:color="auto" w:fill="auto"/>
        </w:rPr>
        <w:t>。</w:t>
      </w:r>
    </w:p>
    <w:p w14:paraId="36A844B7">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994" w:name="_Toc389065322"/>
      <w:bookmarkStart w:id="995" w:name="_Toc373227757"/>
      <w:bookmarkStart w:id="996" w:name="_Toc373478404"/>
      <w:bookmarkStart w:id="997" w:name="_Toc9850588"/>
      <w:bookmarkStart w:id="998" w:name="_Toc407135260"/>
      <w:r>
        <w:rPr>
          <w:rStyle w:val="47"/>
          <w:rFonts w:hint="eastAsia" w:ascii="宋体" w:hAnsi="宋体" w:eastAsia="宋体" w:cs="宋体"/>
          <w:b/>
          <w:bCs/>
          <w:color w:val="auto"/>
          <w:sz w:val="21"/>
          <w:szCs w:val="21"/>
          <w:highlight w:val="none"/>
          <w:shd w:val="clear" w:color="auto" w:fill="auto"/>
          <w:lang w:val="zh-CN"/>
        </w:rPr>
        <w:t>13.6 竣工退场</w:t>
      </w:r>
      <w:bookmarkEnd w:id="994"/>
      <w:bookmarkEnd w:id="995"/>
      <w:bookmarkEnd w:id="996"/>
      <w:bookmarkEnd w:id="997"/>
      <w:bookmarkEnd w:id="998"/>
    </w:p>
    <w:p w14:paraId="2DABA7A7">
      <w:pPr>
        <w:pStyle w:val="246"/>
        <w:spacing w:beforeLines="0" w:afterLines="0" w:line="360" w:lineRule="auto"/>
        <w:ind w:firstLine="420" w:firstLineChars="200"/>
        <w:jc w:val="left"/>
        <w:outlineLvl w:val="0"/>
        <w:rPr>
          <w:rStyle w:val="47"/>
          <w:rFonts w:hint="eastAsia" w:ascii="宋体" w:hAnsi="宋体" w:eastAsia="宋体" w:cs="宋体"/>
          <w:color w:val="auto"/>
          <w:kern w:val="0"/>
          <w:szCs w:val="21"/>
          <w:highlight w:val="none"/>
          <w:shd w:val="clear" w:color="auto" w:fill="auto"/>
        </w:rPr>
      </w:pPr>
      <w:bookmarkStart w:id="999" w:name="_Toc29876"/>
      <w:bookmarkStart w:id="1000" w:name="_Toc24592"/>
      <w:r>
        <w:rPr>
          <w:rStyle w:val="47"/>
          <w:rFonts w:hint="eastAsia" w:ascii="宋体" w:hAnsi="宋体" w:eastAsia="宋体" w:cs="宋体"/>
          <w:color w:val="auto"/>
          <w:kern w:val="0"/>
          <w:szCs w:val="21"/>
          <w:highlight w:val="none"/>
          <w:shd w:val="clear" w:color="auto" w:fill="auto"/>
        </w:rPr>
        <w:t>13.6.1 竣工退场</w:t>
      </w:r>
      <w:bookmarkEnd w:id="999"/>
      <w:bookmarkEnd w:id="1000"/>
    </w:p>
    <w:p w14:paraId="58751CD9">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承包人完成竣工退场的期限：</w:t>
      </w:r>
      <w:r>
        <w:rPr>
          <w:rStyle w:val="47"/>
          <w:rFonts w:hint="eastAsia" w:ascii="宋体" w:hAnsi="宋体" w:eastAsia="宋体" w:cs="宋体"/>
          <w:color w:val="auto"/>
          <w:szCs w:val="21"/>
          <w:highlight w:val="none"/>
          <w:u w:val="single"/>
          <w:shd w:val="clear" w:color="auto" w:fill="auto"/>
        </w:rPr>
        <w:t xml:space="preserve"> 工程竣工验收合格后10天内 </w:t>
      </w:r>
      <w:r>
        <w:rPr>
          <w:rStyle w:val="47"/>
          <w:rFonts w:hint="eastAsia" w:ascii="宋体" w:hAnsi="宋体" w:eastAsia="宋体" w:cs="宋体"/>
          <w:color w:val="auto"/>
          <w:kern w:val="0"/>
          <w:szCs w:val="21"/>
          <w:highlight w:val="none"/>
          <w:shd w:val="clear" w:color="auto" w:fill="auto"/>
        </w:rPr>
        <w:t>。</w:t>
      </w:r>
    </w:p>
    <w:p w14:paraId="32E6E1D9">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1001" w:name="_Toc407135261"/>
      <w:bookmarkStart w:id="1002" w:name="_Toc351203646"/>
      <w:bookmarkStart w:id="1003" w:name="_Toc389065323"/>
      <w:bookmarkStart w:id="1004" w:name="_Toc373478405"/>
      <w:bookmarkStart w:id="1005" w:name="_Toc18022"/>
      <w:bookmarkStart w:id="1006" w:name="_Toc9850589"/>
      <w:bookmarkStart w:id="1007" w:name="_Toc22783"/>
      <w:bookmarkStart w:id="1008" w:name="_Toc373227758"/>
      <w:r>
        <w:rPr>
          <w:rStyle w:val="47"/>
          <w:rFonts w:hint="eastAsia" w:ascii="宋体" w:hAnsi="宋体" w:eastAsia="宋体" w:cs="宋体"/>
          <w:b/>
          <w:bCs/>
          <w:color w:val="auto"/>
          <w:sz w:val="21"/>
          <w:szCs w:val="21"/>
          <w:highlight w:val="none"/>
          <w:shd w:val="clear" w:color="auto" w:fill="auto"/>
          <w:lang w:val="zh-CN"/>
        </w:rPr>
        <w:t>14. 竣工结算</w:t>
      </w:r>
      <w:bookmarkEnd w:id="1001"/>
      <w:bookmarkEnd w:id="1002"/>
      <w:bookmarkEnd w:id="1003"/>
      <w:bookmarkEnd w:id="1004"/>
      <w:bookmarkEnd w:id="1005"/>
      <w:bookmarkEnd w:id="1006"/>
      <w:bookmarkEnd w:id="1007"/>
      <w:bookmarkEnd w:id="1008"/>
    </w:p>
    <w:p w14:paraId="398B5AF4">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09" w:name="_Toc9850590"/>
      <w:bookmarkStart w:id="1010" w:name="_Toc389065324"/>
      <w:bookmarkStart w:id="1011" w:name="_Toc373478406"/>
      <w:bookmarkStart w:id="1012" w:name="_Toc373227759"/>
      <w:bookmarkStart w:id="1013" w:name="_Toc407135262"/>
      <w:r>
        <w:rPr>
          <w:rStyle w:val="47"/>
          <w:rFonts w:hint="eastAsia" w:ascii="宋体" w:hAnsi="宋体" w:eastAsia="宋体" w:cs="宋体"/>
          <w:b/>
          <w:bCs/>
          <w:color w:val="auto"/>
          <w:sz w:val="21"/>
          <w:szCs w:val="21"/>
          <w:highlight w:val="none"/>
          <w:shd w:val="clear" w:color="auto" w:fill="auto"/>
          <w:lang w:val="zh-CN"/>
        </w:rPr>
        <w:t>14.1 竣工付款申请</w:t>
      </w:r>
      <w:bookmarkEnd w:id="1009"/>
      <w:bookmarkEnd w:id="1010"/>
      <w:bookmarkEnd w:id="1011"/>
      <w:bookmarkEnd w:id="1012"/>
      <w:bookmarkEnd w:id="1013"/>
    </w:p>
    <w:p w14:paraId="3A5CF1AB">
      <w:pPr>
        <w:pStyle w:val="24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SA"/>
        </w:rPr>
      </w:pPr>
      <w:r>
        <w:rPr>
          <w:rStyle w:val="47"/>
          <w:rFonts w:hint="eastAsia" w:ascii="宋体" w:hAnsi="宋体" w:eastAsia="宋体" w:cs="宋体"/>
          <w:color w:val="auto"/>
          <w:szCs w:val="21"/>
          <w:highlight w:val="none"/>
          <w:shd w:val="clear" w:color="auto" w:fill="auto"/>
        </w:rPr>
        <w:t>承包人提交竣工付款申请单的期限：</w:t>
      </w:r>
      <w:r>
        <w:rPr>
          <w:rStyle w:val="47"/>
          <w:rFonts w:hint="eastAsia" w:ascii="宋体" w:hAnsi="宋体" w:eastAsia="宋体" w:cs="宋体"/>
          <w:color w:val="auto"/>
          <w:kern w:val="2"/>
          <w:sz w:val="21"/>
          <w:szCs w:val="21"/>
          <w:highlight w:val="none"/>
          <w:u w:val="single"/>
          <w:shd w:val="clear" w:color="auto" w:fill="auto"/>
          <w:lang w:val="en-US" w:eastAsia="zh-CN" w:bidi="ar-SA"/>
        </w:rPr>
        <w:t xml:space="preserve"> 竣工结算核对完成并经发承包双方签字确认后14天内提交4份竣工付款申请单。</w:t>
      </w:r>
    </w:p>
    <w:p w14:paraId="66661A50">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竣工付款申请单应包括的内容：</w:t>
      </w:r>
      <w:r>
        <w:rPr>
          <w:rStyle w:val="47"/>
          <w:rFonts w:hint="eastAsia" w:ascii="宋体" w:hAnsi="宋体" w:eastAsia="宋体" w:cs="宋体"/>
          <w:color w:val="auto"/>
          <w:kern w:val="2"/>
          <w:sz w:val="21"/>
          <w:szCs w:val="21"/>
          <w:highlight w:val="none"/>
          <w:u w:val="single"/>
          <w:shd w:val="clear" w:color="auto" w:fill="auto"/>
          <w:lang w:val="en-US" w:eastAsia="zh-CN" w:bidi="ar-SA"/>
        </w:rPr>
        <w:t xml:space="preserve"> 经发承包双方签字确认的竣工结算价款总额、已支付工程价款、应扣留质量保修金、应支付的竣工付款金额等 。</w:t>
      </w:r>
    </w:p>
    <w:p w14:paraId="4FF00734">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14" w:name="_Toc389065325"/>
      <w:bookmarkStart w:id="1015" w:name="_Toc373227760"/>
      <w:bookmarkStart w:id="1016" w:name="_Toc9850591"/>
      <w:bookmarkStart w:id="1017" w:name="_Toc373478407"/>
      <w:bookmarkStart w:id="1018" w:name="_Toc407135263"/>
      <w:r>
        <w:rPr>
          <w:rStyle w:val="47"/>
          <w:rFonts w:hint="eastAsia" w:ascii="宋体" w:hAnsi="宋体" w:eastAsia="宋体" w:cs="宋体"/>
          <w:b/>
          <w:bCs/>
          <w:color w:val="auto"/>
          <w:sz w:val="21"/>
          <w:szCs w:val="21"/>
          <w:highlight w:val="none"/>
          <w:shd w:val="clear" w:color="auto" w:fill="auto"/>
          <w:lang w:val="zh-CN"/>
        </w:rPr>
        <w:t>14.2 竣工结算审核</w:t>
      </w:r>
      <w:bookmarkEnd w:id="1014"/>
      <w:bookmarkEnd w:id="1015"/>
      <w:bookmarkEnd w:id="1016"/>
      <w:bookmarkEnd w:id="1017"/>
      <w:bookmarkEnd w:id="1018"/>
    </w:p>
    <w:p w14:paraId="400072C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发包人审批竣工付款申请单的期限：</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973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30186D0">
            <w:pPr>
              <w:pStyle w:val="246"/>
              <w:spacing w:beforeLines="0" w:afterLines="0" w:line="360" w:lineRule="auto"/>
              <w:rPr>
                <w:rStyle w:val="47"/>
                <w:rFonts w:hint="eastAsia" w:ascii="宋体" w:hAnsi="宋体" w:eastAsia="宋体" w:cs="宋体"/>
                <w:color w:val="auto"/>
                <w:szCs w:val="21"/>
                <w:highlight w:val="none"/>
                <w:shd w:val="clear" w:color="auto" w:fill="auto"/>
              </w:rPr>
            </w:pPr>
          </w:p>
        </w:tc>
        <w:tc>
          <w:tcPr>
            <w:tcW w:w="2466" w:type="dxa"/>
            <w:noWrap w:val="0"/>
            <w:vAlign w:val="center"/>
          </w:tcPr>
          <w:p w14:paraId="31AC4F31">
            <w:pPr>
              <w:pStyle w:val="246"/>
              <w:spacing w:beforeLines="0" w:afterLines="0" w:line="360" w:lineRule="auto"/>
              <w:ind w:firstLine="27" w:firstLineChars="13"/>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工程竣工结算报告金额</w:t>
            </w:r>
          </w:p>
        </w:tc>
        <w:tc>
          <w:tcPr>
            <w:tcW w:w="5967" w:type="dxa"/>
            <w:noWrap w:val="0"/>
            <w:vAlign w:val="center"/>
          </w:tcPr>
          <w:p w14:paraId="548285B6">
            <w:pPr>
              <w:pStyle w:val="246"/>
              <w:spacing w:beforeLines="0" w:afterLines="0" w:line="360" w:lineRule="auto"/>
              <w:ind w:firstLine="441" w:firstLineChars="210"/>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发包人审查时间</w:t>
            </w:r>
          </w:p>
        </w:tc>
      </w:tr>
      <w:tr w14:paraId="5AA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D993FDC">
            <w:pPr>
              <w:pStyle w:val="246"/>
              <w:spacing w:beforeLines="0" w:afterLines="0" w:line="360" w:lineRule="auto"/>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w:t>
            </w:r>
          </w:p>
        </w:tc>
        <w:tc>
          <w:tcPr>
            <w:tcW w:w="2466" w:type="dxa"/>
            <w:noWrap w:val="0"/>
            <w:vAlign w:val="center"/>
          </w:tcPr>
          <w:p w14:paraId="40392649">
            <w:pPr>
              <w:pStyle w:val="246"/>
              <w:spacing w:beforeLines="0" w:afterLines="0" w:line="360" w:lineRule="auto"/>
              <w:ind w:firstLine="27" w:firstLineChars="13"/>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500万元以下</w:t>
            </w:r>
          </w:p>
        </w:tc>
        <w:tc>
          <w:tcPr>
            <w:tcW w:w="5967" w:type="dxa"/>
            <w:noWrap w:val="0"/>
            <w:vAlign w:val="center"/>
          </w:tcPr>
          <w:p w14:paraId="0A376DAE">
            <w:pPr>
              <w:pStyle w:val="246"/>
              <w:spacing w:beforeLines="0" w:afterLines="0" w:line="360" w:lineRule="auto"/>
              <w:ind w:firstLine="441" w:firstLineChars="210"/>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从接到竣工结算报告和完整的竣工结算资料之日起20天</w:t>
            </w:r>
          </w:p>
        </w:tc>
      </w:tr>
      <w:tr w14:paraId="4655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F0037BB">
            <w:pPr>
              <w:pStyle w:val="246"/>
              <w:spacing w:beforeLines="0" w:afterLines="0" w:line="360" w:lineRule="auto"/>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w:t>
            </w:r>
          </w:p>
        </w:tc>
        <w:tc>
          <w:tcPr>
            <w:tcW w:w="2466" w:type="dxa"/>
            <w:noWrap w:val="0"/>
            <w:vAlign w:val="center"/>
          </w:tcPr>
          <w:p w14:paraId="16146678">
            <w:pPr>
              <w:pStyle w:val="246"/>
              <w:spacing w:beforeLines="0" w:afterLines="0" w:line="360" w:lineRule="auto"/>
              <w:ind w:firstLine="27" w:firstLineChars="13"/>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500万元-2000万元</w:t>
            </w:r>
          </w:p>
        </w:tc>
        <w:tc>
          <w:tcPr>
            <w:tcW w:w="5967" w:type="dxa"/>
            <w:noWrap w:val="0"/>
            <w:vAlign w:val="center"/>
          </w:tcPr>
          <w:p w14:paraId="3A0BBB1E">
            <w:pPr>
              <w:pStyle w:val="246"/>
              <w:spacing w:beforeLines="0" w:afterLines="0" w:line="360" w:lineRule="auto"/>
              <w:ind w:firstLine="441" w:firstLineChars="210"/>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从接到竣工结算报告和完整的竣工结算资料之日起30天</w:t>
            </w:r>
          </w:p>
        </w:tc>
      </w:tr>
      <w:tr w14:paraId="2A27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5E942FB">
            <w:pPr>
              <w:pStyle w:val="246"/>
              <w:spacing w:beforeLines="0" w:afterLines="0" w:line="360" w:lineRule="auto"/>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3</w:t>
            </w:r>
          </w:p>
        </w:tc>
        <w:tc>
          <w:tcPr>
            <w:tcW w:w="2466" w:type="dxa"/>
            <w:noWrap w:val="0"/>
            <w:vAlign w:val="center"/>
          </w:tcPr>
          <w:p w14:paraId="2ED7AF0C">
            <w:pPr>
              <w:pStyle w:val="246"/>
              <w:spacing w:beforeLines="0" w:afterLines="0" w:line="360" w:lineRule="auto"/>
              <w:ind w:firstLine="27" w:firstLineChars="13"/>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2000万元-5000万元</w:t>
            </w:r>
          </w:p>
        </w:tc>
        <w:tc>
          <w:tcPr>
            <w:tcW w:w="5967" w:type="dxa"/>
            <w:noWrap w:val="0"/>
            <w:vAlign w:val="center"/>
          </w:tcPr>
          <w:p w14:paraId="0ED6DF03">
            <w:pPr>
              <w:pStyle w:val="246"/>
              <w:spacing w:beforeLines="0" w:afterLines="0" w:line="360" w:lineRule="auto"/>
              <w:ind w:firstLine="441" w:firstLineChars="210"/>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从接到竣工结算报告和完整的竣工结算资料之日起45天</w:t>
            </w:r>
          </w:p>
        </w:tc>
      </w:tr>
      <w:tr w14:paraId="395D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5711CAD">
            <w:pPr>
              <w:pStyle w:val="246"/>
              <w:spacing w:beforeLines="0" w:afterLines="0" w:line="360" w:lineRule="auto"/>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4</w:t>
            </w:r>
          </w:p>
        </w:tc>
        <w:tc>
          <w:tcPr>
            <w:tcW w:w="2466" w:type="dxa"/>
            <w:noWrap w:val="0"/>
            <w:vAlign w:val="center"/>
          </w:tcPr>
          <w:p w14:paraId="7E09DE96">
            <w:pPr>
              <w:pStyle w:val="246"/>
              <w:spacing w:beforeLines="0" w:afterLines="0" w:line="360" w:lineRule="auto"/>
              <w:ind w:firstLine="27" w:firstLineChars="13"/>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5000万元以上</w:t>
            </w:r>
          </w:p>
        </w:tc>
        <w:tc>
          <w:tcPr>
            <w:tcW w:w="5967" w:type="dxa"/>
            <w:noWrap w:val="0"/>
            <w:vAlign w:val="center"/>
          </w:tcPr>
          <w:p w14:paraId="0F102FD2">
            <w:pPr>
              <w:pStyle w:val="246"/>
              <w:spacing w:beforeLines="0" w:afterLines="0" w:line="360" w:lineRule="auto"/>
              <w:ind w:firstLine="441" w:firstLineChars="210"/>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从接到竣工结算报告和完整的竣工结算资料之日起60天</w:t>
            </w:r>
          </w:p>
        </w:tc>
      </w:tr>
      <w:tr w14:paraId="164C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62F29D1">
            <w:pPr>
              <w:pStyle w:val="246"/>
              <w:spacing w:beforeLines="0" w:afterLines="0" w:line="360" w:lineRule="auto"/>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5</w:t>
            </w:r>
          </w:p>
        </w:tc>
        <w:tc>
          <w:tcPr>
            <w:tcW w:w="2466" w:type="dxa"/>
            <w:noWrap w:val="0"/>
            <w:vAlign w:val="center"/>
          </w:tcPr>
          <w:p w14:paraId="499B2225">
            <w:pPr>
              <w:pStyle w:val="246"/>
              <w:spacing w:beforeLines="0" w:afterLines="0" w:line="360" w:lineRule="auto"/>
              <w:ind w:firstLine="27" w:firstLineChars="13"/>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5000万以上每增加0.5亿(不足0.5亿不增加)</w:t>
            </w:r>
          </w:p>
        </w:tc>
        <w:tc>
          <w:tcPr>
            <w:tcW w:w="5967" w:type="dxa"/>
            <w:noWrap w:val="0"/>
            <w:vAlign w:val="center"/>
          </w:tcPr>
          <w:p w14:paraId="77090901">
            <w:pPr>
              <w:pStyle w:val="246"/>
              <w:spacing w:beforeLines="0" w:afterLines="0" w:line="360" w:lineRule="auto"/>
              <w:ind w:firstLine="441" w:firstLineChars="210"/>
              <w:jc w:val="center"/>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增加10天</w:t>
            </w:r>
          </w:p>
        </w:tc>
      </w:tr>
    </w:tbl>
    <w:p w14:paraId="6CF07044">
      <w:pPr>
        <w:pStyle w:val="246"/>
        <w:spacing w:beforeLines="0" w:afterLines="0" w:line="360" w:lineRule="auto"/>
        <w:ind w:firstLine="411" w:firstLineChars="196"/>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因承包人提供的结算资料不完整而需要补充或承包人不按时对账耽误时间时，审查时间应相应顺延。发包人不承担任何责任。资料提交审计单位后，不计算延迟支付利息。</w:t>
      </w:r>
    </w:p>
    <w:p w14:paraId="7CCBBA48">
      <w:pPr>
        <w:pStyle w:val="246"/>
        <w:spacing w:beforeLines="0" w:afterLines="0" w:line="360" w:lineRule="auto"/>
        <w:ind w:firstLine="411" w:firstLineChars="196"/>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结算审核约定：结算经审计确定发出审计报告后，收到承包人符合要求的付款申请单之日起 6 个月内。</w:t>
      </w:r>
    </w:p>
    <w:p w14:paraId="119B2491">
      <w:pPr>
        <w:pStyle w:val="246"/>
        <w:spacing w:beforeLines="0" w:afterLines="0" w:line="360" w:lineRule="auto"/>
        <w:ind w:firstLine="411" w:firstLineChars="196"/>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关于竣工付款证书异议部分复核的方式和程序：先由监理复核，报发包人审核，最后由有关部门审定。</w:t>
      </w:r>
    </w:p>
    <w:p w14:paraId="5A61E157">
      <w:pPr>
        <w:pStyle w:val="246"/>
        <w:spacing w:beforeLines="0" w:afterLines="0" w:line="360" w:lineRule="auto"/>
        <w:ind w:firstLine="411" w:firstLineChars="196"/>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发包人收到承包人递交的竣工结算报告及结算资料之日起 30 天内进行审核，并给予确认或 者提出审核意见。发包人逾期未完成审核且未提出异议的视为发包人已同意承包人提交的竣工 结算报告及结算价款，并以此作为竣工结算的依据。承包人对发包人确认的结算价款或审核意 见有异议的，应在收到发包人确认的价款或审核意见之日起 7 天内提出异议，必要时合同当事人要当面核对，直至完成工程竣工结算。</w:t>
      </w:r>
    </w:p>
    <w:p w14:paraId="12668A3F">
      <w:pPr>
        <w:pStyle w:val="246"/>
        <w:spacing w:beforeLines="0" w:afterLines="0" w:line="360" w:lineRule="auto"/>
        <w:ind w:firstLine="411" w:firstLineChars="196"/>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承包人在发包人通知的时间内不按时对账或因资料不完整而延误结算审核，发包人有权以现有结算材料递交审核，承包人自行承担由此产生的后果。</w:t>
      </w:r>
    </w:p>
    <w:p w14:paraId="299FC565">
      <w:pPr>
        <w:pStyle w:val="246"/>
        <w:spacing w:beforeLines="0" w:afterLines="0" w:line="360" w:lineRule="auto"/>
        <w:ind w:firstLine="411" w:firstLineChars="196"/>
        <w:rPr>
          <w:rStyle w:val="47"/>
          <w:rFonts w:hint="eastAsia" w:ascii="宋体" w:hAnsi="宋体" w:eastAsia="宋体" w:cs="宋体"/>
          <w:color w:val="auto"/>
          <w:szCs w:val="21"/>
          <w:highlight w:val="none"/>
          <w:u w:val="single"/>
          <w:shd w:val="clear" w:color="auto" w:fill="auto"/>
          <w:lang w:val="en-US" w:eastAsia="zh-CN"/>
        </w:rPr>
      </w:pPr>
      <w:r>
        <w:rPr>
          <w:rStyle w:val="47"/>
          <w:rFonts w:hint="eastAsia" w:ascii="宋体" w:hAnsi="宋体" w:eastAsia="宋体" w:cs="宋体"/>
          <w:color w:val="auto"/>
          <w:szCs w:val="21"/>
          <w:highlight w:val="none"/>
          <w:shd w:val="clear" w:color="auto" w:fill="auto"/>
        </w:rPr>
        <w:t>备注：对于国有投资项目结算审核约定，双方可结合各地政府或有关部门出台的管理规定进行局部调整。</w:t>
      </w:r>
    </w:p>
    <w:p w14:paraId="3A14D412">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19" w:name="_Toc373227761"/>
      <w:bookmarkStart w:id="1020" w:name="_Toc373478408"/>
      <w:bookmarkStart w:id="1021" w:name="_Toc389065326"/>
      <w:bookmarkStart w:id="1022" w:name="_Toc9850592"/>
      <w:bookmarkStart w:id="1023" w:name="_Toc407135264"/>
      <w:r>
        <w:rPr>
          <w:rStyle w:val="47"/>
          <w:rFonts w:hint="eastAsia" w:ascii="宋体" w:hAnsi="宋体" w:eastAsia="宋体" w:cs="宋体"/>
          <w:b/>
          <w:bCs/>
          <w:color w:val="auto"/>
          <w:sz w:val="21"/>
          <w:szCs w:val="21"/>
          <w:highlight w:val="none"/>
          <w:shd w:val="clear" w:color="auto" w:fill="auto"/>
          <w:lang w:val="zh-CN"/>
        </w:rPr>
        <w:t>14.4 最终结清</w:t>
      </w:r>
      <w:bookmarkEnd w:id="1019"/>
      <w:bookmarkEnd w:id="1020"/>
      <w:bookmarkEnd w:id="1021"/>
      <w:bookmarkEnd w:id="1022"/>
      <w:bookmarkEnd w:id="1023"/>
    </w:p>
    <w:p w14:paraId="30BD076A">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14.4.1 最终结清申请单</w:t>
      </w:r>
    </w:p>
    <w:p w14:paraId="4D2FBAD1">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承包人提交最终结清申请单的份数：</w:t>
      </w:r>
      <w:r>
        <w:rPr>
          <w:rStyle w:val="47"/>
          <w:rFonts w:hint="eastAsia" w:ascii="宋体" w:hAnsi="宋体" w:eastAsia="宋体" w:cs="宋体"/>
          <w:color w:val="auto"/>
          <w:szCs w:val="21"/>
          <w:highlight w:val="none"/>
          <w:u w:val="single"/>
          <w:shd w:val="clear" w:color="auto" w:fill="auto"/>
        </w:rPr>
        <w:t xml:space="preserve"> 缺陷责任期终止证书颁发后 7 天内提交 10 份最终结清申请单</w:t>
      </w:r>
      <w:r>
        <w:rPr>
          <w:rStyle w:val="47"/>
          <w:rFonts w:hint="eastAsia" w:ascii="宋体" w:hAnsi="宋体" w:eastAsia="宋体" w:cs="宋体"/>
          <w:color w:val="auto"/>
          <w:szCs w:val="21"/>
          <w:highlight w:val="none"/>
          <w:shd w:val="clear" w:color="auto" w:fill="auto"/>
        </w:rPr>
        <w:t>。</w:t>
      </w:r>
    </w:p>
    <w:p w14:paraId="33D572F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承包人提交最终结算申请单的期限：</w:t>
      </w:r>
      <w:r>
        <w:rPr>
          <w:rStyle w:val="47"/>
          <w:rFonts w:hint="eastAsia" w:ascii="宋体" w:hAnsi="宋体" w:eastAsia="宋体" w:cs="宋体"/>
          <w:color w:val="auto"/>
          <w:kern w:val="2"/>
          <w:sz w:val="21"/>
          <w:szCs w:val="21"/>
          <w:highlight w:val="none"/>
          <w:u w:val="single"/>
          <w:shd w:val="clear" w:color="auto" w:fill="auto"/>
          <w:lang w:val="en-US" w:eastAsia="zh-CN" w:bidi="ar-SA"/>
        </w:rPr>
        <w:t xml:space="preserve"> 缺陷责任期终止证书颁发后7天内 。 </w:t>
      </w:r>
    </w:p>
    <w:p w14:paraId="1FDEDA6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14.4.2 最终结清证书和支付</w:t>
      </w:r>
    </w:p>
    <w:p w14:paraId="502BE9B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（1）发包人完成最终结清申请单的审批并颁发最终结清证书的期限：</w:t>
      </w:r>
      <w:r>
        <w:rPr>
          <w:rStyle w:val="47"/>
          <w:rFonts w:hint="eastAsia" w:ascii="宋体" w:hAnsi="宋体" w:eastAsia="宋体" w:cs="宋体"/>
          <w:color w:val="auto"/>
          <w:szCs w:val="21"/>
          <w:highlight w:val="none"/>
          <w:u w:val="single"/>
          <w:shd w:val="clear" w:color="auto" w:fill="auto"/>
        </w:rPr>
        <w:t xml:space="preserve">  到最终结清申请单30 天内 </w:t>
      </w:r>
      <w:r>
        <w:rPr>
          <w:rStyle w:val="47"/>
          <w:rFonts w:hint="eastAsia" w:ascii="宋体" w:hAnsi="宋体" w:eastAsia="宋体" w:cs="宋体"/>
          <w:color w:val="auto"/>
          <w:szCs w:val="21"/>
          <w:highlight w:val="none"/>
          <w:shd w:val="clear" w:color="auto" w:fill="auto"/>
        </w:rPr>
        <w:t>。</w:t>
      </w:r>
    </w:p>
    <w:p w14:paraId="3E8FA3F4">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（2）发包人完成支付的期限：</w:t>
      </w:r>
      <w:r>
        <w:rPr>
          <w:rStyle w:val="47"/>
          <w:rFonts w:hint="eastAsia" w:ascii="宋体" w:hAnsi="宋体" w:eastAsia="宋体" w:cs="宋体"/>
          <w:color w:val="auto"/>
          <w:szCs w:val="21"/>
          <w:highlight w:val="none"/>
          <w:u w:val="single"/>
          <w:shd w:val="clear" w:color="auto" w:fill="auto"/>
        </w:rPr>
        <w:t xml:space="preserve"> 按有关付款程序办理相关支付手续 </w:t>
      </w:r>
      <w:r>
        <w:rPr>
          <w:rStyle w:val="47"/>
          <w:rFonts w:hint="eastAsia" w:ascii="宋体" w:hAnsi="宋体" w:eastAsia="宋体" w:cs="宋体"/>
          <w:color w:val="auto"/>
          <w:szCs w:val="21"/>
          <w:highlight w:val="none"/>
          <w:shd w:val="clear" w:color="auto" w:fill="auto"/>
        </w:rPr>
        <w:t>。</w:t>
      </w:r>
    </w:p>
    <w:bookmarkEnd w:id="976"/>
    <w:bookmarkEnd w:id="977"/>
    <w:bookmarkEnd w:id="978"/>
    <w:bookmarkEnd w:id="979"/>
    <w:bookmarkEnd w:id="980"/>
    <w:bookmarkEnd w:id="981"/>
    <w:bookmarkEnd w:id="982"/>
    <w:bookmarkEnd w:id="988"/>
    <w:p w14:paraId="59D1D31F">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1024" w:name="_Toc389065327"/>
      <w:bookmarkStart w:id="1025" w:name="_Toc373478409"/>
      <w:bookmarkStart w:id="1026" w:name="_Toc373227762"/>
      <w:bookmarkStart w:id="1027" w:name="_Toc17908"/>
      <w:bookmarkStart w:id="1028" w:name="_Toc1372"/>
      <w:bookmarkStart w:id="1029" w:name="_Toc9850593"/>
      <w:bookmarkStart w:id="1030" w:name="_Toc351203647"/>
      <w:bookmarkStart w:id="1031" w:name="_Toc407135265"/>
      <w:bookmarkStart w:id="1032" w:name="_Toc267251483"/>
      <w:bookmarkStart w:id="1033" w:name="_Toc267251484"/>
      <w:bookmarkStart w:id="1034" w:name="_Toc267251482"/>
      <w:bookmarkStart w:id="1035" w:name="_Toc267251485"/>
      <w:bookmarkStart w:id="1036" w:name="_Toc267251488"/>
      <w:bookmarkStart w:id="1037" w:name="_Toc267251489"/>
      <w:bookmarkStart w:id="1038" w:name="_Toc267251486"/>
      <w:bookmarkStart w:id="1039" w:name="_Toc267251490"/>
      <w:r>
        <w:rPr>
          <w:rStyle w:val="47"/>
          <w:rFonts w:hint="eastAsia" w:ascii="宋体" w:hAnsi="宋体" w:eastAsia="宋体" w:cs="宋体"/>
          <w:b/>
          <w:bCs/>
          <w:color w:val="auto"/>
          <w:sz w:val="21"/>
          <w:szCs w:val="21"/>
          <w:highlight w:val="none"/>
          <w:shd w:val="clear" w:color="auto" w:fill="auto"/>
          <w:lang w:val="zh-CN"/>
        </w:rPr>
        <w:t>15. 缺陷责任期与保修</w:t>
      </w:r>
      <w:bookmarkEnd w:id="1024"/>
      <w:bookmarkEnd w:id="1025"/>
      <w:bookmarkEnd w:id="1026"/>
      <w:bookmarkEnd w:id="1027"/>
      <w:bookmarkEnd w:id="1028"/>
      <w:bookmarkEnd w:id="1029"/>
      <w:bookmarkEnd w:id="1030"/>
      <w:bookmarkEnd w:id="1031"/>
    </w:p>
    <w:p w14:paraId="5C64C35A">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40" w:name="_Toc389065328"/>
      <w:bookmarkStart w:id="1041" w:name="_Toc373227763"/>
      <w:bookmarkStart w:id="1042" w:name="_Toc9850594"/>
      <w:bookmarkStart w:id="1043" w:name="_Toc407135266"/>
      <w:bookmarkStart w:id="1044" w:name="_Toc373478410"/>
      <w:r>
        <w:rPr>
          <w:rStyle w:val="47"/>
          <w:rFonts w:hint="eastAsia" w:ascii="宋体" w:hAnsi="宋体" w:eastAsia="宋体" w:cs="宋体"/>
          <w:b/>
          <w:bCs/>
          <w:color w:val="auto"/>
          <w:sz w:val="21"/>
          <w:szCs w:val="21"/>
          <w:highlight w:val="none"/>
          <w:shd w:val="clear" w:color="auto" w:fill="auto"/>
          <w:lang w:val="zh-CN"/>
        </w:rPr>
        <w:t>15.2 缺陷责任期</w:t>
      </w:r>
      <w:bookmarkEnd w:id="1032"/>
      <w:bookmarkEnd w:id="1040"/>
      <w:bookmarkEnd w:id="1041"/>
      <w:bookmarkEnd w:id="1042"/>
      <w:bookmarkEnd w:id="1043"/>
      <w:bookmarkEnd w:id="1044"/>
    </w:p>
    <w:p w14:paraId="511960F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缺陷责任期从工程通过竣工验收之日起计，缺陷责任期的具体期限：</w:t>
      </w:r>
      <w:r>
        <w:rPr>
          <w:rStyle w:val="47"/>
          <w:rFonts w:hint="eastAsia" w:ascii="宋体" w:hAnsi="宋体" w:eastAsia="宋体" w:cs="宋体"/>
          <w:color w:val="auto"/>
          <w:szCs w:val="21"/>
          <w:highlight w:val="none"/>
          <w:u w:val="single"/>
          <w:shd w:val="clear" w:color="auto" w:fill="auto"/>
        </w:rPr>
        <w:t xml:space="preserve">  24 个月，缺陷责任期自工程竣工验收合格之日起计算。单位工程先于全部工程进行验收，单位工程缺陷责任期自单位工程验收合格之日起算 </w:t>
      </w:r>
      <w:r>
        <w:rPr>
          <w:rStyle w:val="47"/>
          <w:rFonts w:hint="eastAsia" w:ascii="宋体" w:hAnsi="宋体" w:eastAsia="宋体" w:cs="宋体"/>
          <w:color w:val="auto"/>
          <w:szCs w:val="21"/>
          <w:highlight w:val="none"/>
          <w:shd w:val="clear" w:color="auto" w:fill="auto"/>
        </w:rPr>
        <w:t>。</w:t>
      </w:r>
    </w:p>
    <w:p w14:paraId="3739EE0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14:paraId="78A0E777">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单位工程先于全部工程进行验收，经验收合格并交付使用的，该单位工程缺陷责任期自单位工程验收合格之日起算。发包人未经竣工验收擅自使用工程的，缺陷责任期自工程转移占有之日起开始计算。</w:t>
      </w:r>
    </w:p>
    <w:p w14:paraId="518EFBB9">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45" w:name="_Toc389065329"/>
      <w:bookmarkStart w:id="1046" w:name="_Toc9850595"/>
      <w:bookmarkStart w:id="1047" w:name="_Toc407135267"/>
      <w:bookmarkStart w:id="1048" w:name="_Toc373478411"/>
      <w:bookmarkStart w:id="1049" w:name="_Toc373227764"/>
      <w:r>
        <w:rPr>
          <w:rStyle w:val="47"/>
          <w:rFonts w:hint="eastAsia" w:ascii="宋体" w:hAnsi="宋体" w:eastAsia="宋体" w:cs="宋体"/>
          <w:b/>
          <w:bCs/>
          <w:color w:val="auto"/>
          <w:sz w:val="21"/>
          <w:szCs w:val="21"/>
          <w:highlight w:val="none"/>
          <w:shd w:val="clear" w:color="auto" w:fill="auto"/>
          <w:lang w:val="zh-CN"/>
        </w:rPr>
        <w:t>15.3 质量保证金</w:t>
      </w:r>
      <w:bookmarkEnd w:id="1045"/>
      <w:bookmarkEnd w:id="1046"/>
      <w:bookmarkEnd w:id="1047"/>
      <w:bookmarkEnd w:id="1048"/>
      <w:bookmarkEnd w:id="1049"/>
    </w:p>
    <w:p w14:paraId="0A46DE50">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lang w:bidi="ar"/>
        </w:rPr>
      </w:pPr>
      <w:r>
        <w:rPr>
          <w:rStyle w:val="47"/>
          <w:rFonts w:hint="eastAsia" w:ascii="宋体" w:hAnsi="宋体" w:eastAsia="宋体" w:cs="宋体"/>
          <w:color w:val="auto"/>
          <w:szCs w:val="21"/>
          <w:highlight w:val="none"/>
          <w:shd w:val="clear" w:color="auto" w:fill="auto"/>
        </w:rPr>
        <w:t>关于是否扣留质量保证金的约定：</w:t>
      </w:r>
      <w:r>
        <w:rPr>
          <w:rStyle w:val="47"/>
          <w:rFonts w:hint="eastAsia" w:ascii="宋体" w:hAnsi="宋体" w:eastAsia="宋体" w:cs="宋体"/>
          <w:color w:val="auto"/>
          <w:szCs w:val="21"/>
          <w:highlight w:val="none"/>
          <w:u w:val="single"/>
          <w:shd w:val="clear" w:color="auto" w:fill="auto"/>
          <w:lang w:bidi="ar"/>
        </w:rPr>
        <w:t>质量保证金金额为工程结算价的3%，质量保证金金额的暂扣方式：由发包人在工程结算款里扣除。</w:t>
      </w:r>
    </w:p>
    <w:p w14:paraId="00497F0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在工程项目竣工前，承包人按专用合同条款第3.7条提供履约担保的，发包人不得同时预留工程质量保证金。</w:t>
      </w:r>
    </w:p>
    <w:p w14:paraId="5F530FF8">
      <w:pPr>
        <w:pStyle w:val="246"/>
        <w:spacing w:beforeLines="0" w:afterLines="0" w:line="360" w:lineRule="auto"/>
        <w:ind w:firstLine="420" w:firstLineChars="200"/>
        <w:jc w:val="left"/>
        <w:outlineLvl w:val="0"/>
        <w:rPr>
          <w:rStyle w:val="47"/>
          <w:rFonts w:hint="eastAsia" w:ascii="宋体" w:hAnsi="宋体" w:eastAsia="宋体" w:cs="宋体"/>
          <w:color w:val="auto"/>
          <w:szCs w:val="21"/>
          <w:highlight w:val="none"/>
          <w:shd w:val="clear" w:color="auto" w:fill="auto"/>
        </w:rPr>
      </w:pPr>
      <w:bookmarkStart w:id="1050" w:name="_Toc11324"/>
      <w:bookmarkStart w:id="1051" w:name="_Toc14922"/>
      <w:r>
        <w:rPr>
          <w:rStyle w:val="47"/>
          <w:rFonts w:hint="eastAsia" w:ascii="宋体" w:hAnsi="宋体" w:eastAsia="宋体" w:cs="宋体"/>
          <w:color w:val="auto"/>
          <w:szCs w:val="21"/>
          <w:highlight w:val="none"/>
          <w:shd w:val="clear" w:color="auto" w:fill="auto"/>
        </w:rPr>
        <w:t>15.3.1 承包人提供质量保证金的方式</w:t>
      </w:r>
      <w:bookmarkEnd w:id="1050"/>
      <w:bookmarkEnd w:id="1051"/>
    </w:p>
    <w:p w14:paraId="1B1E493E">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质量保证金采用</w:t>
      </w:r>
      <w:r>
        <w:rPr>
          <w:rStyle w:val="47"/>
          <w:rFonts w:hint="eastAsia" w:ascii="宋体" w:hAnsi="宋体" w:eastAsia="宋体" w:cs="宋体"/>
          <w:color w:val="auto"/>
          <w:szCs w:val="21"/>
          <w:highlight w:val="none"/>
          <w:shd w:val="clear" w:color="auto" w:fill="auto"/>
          <w:lang w:bidi="ar"/>
        </w:rPr>
        <w:t>以下第</w:t>
      </w:r>
      <w:r>
        <w:rPr>
          <w:rStyle w:val="47"/>
          <w:rFonts w:hint="eastAsia" w:ascii="宋体" w:hAnsi="宋体" w:eastAsia="宋体" w:cs="宋体"/>
          <w:color w:val="auto"/>
          <w:szCs w:val="21"/>
          <w:highlight w:val="none"/>
          <w:u w:val="single"/>
          <w:shd w:val="clear" w:color="auto" w:fill="auto"/>
          <w:lang w:bidi="ar"/>
        </w:rPr>
        <w:t xml:space="preserve">  2   </w:t>
      </w:r>
      <w:r>
        <w:rPr>
          <w:rStyle w:val="47"/>
          <w:rFonts w:hint="eastAsia" w:ascii="宋体" w:hAnsi="宋体" w:eastAsia="宋体" w:cs="宋体"/>
          <w:color w:val="auto"/>
          <w:szCs w:val="21"/>
          <w:highlight w:val="none"/>
          <w:shd w:val="clear" w:color="auto" w:fill="auto"/>
          <w:lang w:bidi="ar"/>
        </w:rPr>
        <w:t>种方式</w:t>
      </w:r>
      <w:r>
        <w:rPr>
          <w:rStyle w:val="47"/>
          <w:rFonts w:hint="eastAsia" w:ascii="宋体" w:hAnsi="宋体" w:eastAsia="宋体" w:cs="宋体"/>
          <w:color w:val="auto"/>
          <w:szCs w:val="21"/>
          <w:highlight w:val="none"/>
          <w:shd w:val="clear" w:color="auto" w:fill="auto"/>
        </w:rPr>
        <w:t>：</w:t>
      </w:r>
    </w:p>
    <w:p w14:paraId="3968BCC2">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（1）质量保证金保函，保证金额为：</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u w:val="single"/>
          <w:shd w:val="clear" w:color="auto" w:fill="auto"/>
          <w:lang w:val="en-US" w:eastAsia="zh-CN"/>
        </w:rPr>
        <w:t>/</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5CBB74AA">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w:t>
      </w:r>
      <w:r>
        <w:rPr>
          <w:rStyle w:val="47"/>
          <w:rFonts w:hint="eastAsia" w:ascii="宋体" w:hAnsi="宋体" w:eastAsia="宋体" w:cs="宋体"/>
          <w:color w:val="auto"/>
          <w:szCs w:val="21"/>
          <w:highlight w:val="none"/>
          <w:u w:val="single"/>
          <w:shd w:val="clear" w:color="auto" w:fill="auto"/>
          <w:lang w:bidi="ar"/>
        </w:rPr>
        <w:t>发包人按工程价款结算总额的 3 %预留工程质量保证金，待缺陷责任期满后返还</w:t>
      </w:r>
      <w:r>
        <w:rPr>
          <w:rStyle w:val="47"/>
          <w:rFonts w:hint="eastAsia" w:ascii="宋体" w:hAnsi="宋体" w:eastAsia="宋体" w:cs="宋体"/>
          <w:color w:val="auto"/>
          <w:szCs w:val="21"/>
          <w:highlight w:val="none"/>
          <w:shd w:val="clear" w:color="auto" w:fill="auto"/>
        </w:rPr>
        <w:t>，是否付息及利息计算方式为：</w:t>
      </w:r>
      <w:r>
        <w:rPr>
          <w:rStyle w:val="47"/>
          <w:rFonts w:hint="eastAsia" w:ascii="宋体" w:hAnsi="宋体" w:eastAsia="宋体" w:cs="宋体"/>
          <w:color w:val="auto"/>
          <w:szCs w:val="21"/>
          <w:highlight w:val="none"/>
          <w:u w:val="single"/>
          <w:shd w:val="clear" w:color="auto" w:fill="auto"/>
        </w:rPr>
        <w:t xml:space="preserve">   否     </w:t>
      </w:r>
      <w:r>
        <w:rPr>
          <w:rStyle w:val="47"/>
          <w:rFonts w:hint="eastAsia" w:ascii="宋体" w:hAnsi="宋体" w:eastAsia="宋体" w:cs="宋体"/>
          <w:color w:val="auto"/>
          <w:kern w:val="0"/>
          <w:szCs w:val="21"/>
          <w:highlight w:val="none"/>
          <w:shd w:val="clear" w:color="auto" w:fill="auto"/>
        </w:rPr>
        <w:t>；</w:t>
      </w:r>
    </w:p>
    <w:p w14:paraId="3A4FF612">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（3）其他方式：</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1427E20">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15.3.2 质量保证金的扣留</w:t>
      </w:r>
    </w:p>
    <w:p w14:paraId="3DA672B3">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lang w:bidi="ar"/>
        </w:rPr>
        <w:t>质量保证金的扣留采取以下第</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2</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lang w:bidi="ar"/>
        </w:rPr>
        <w:t>种方式</w:t>
      </w:r>
      <w:r>
        <w:rPr>
          <w:rStyle w:val="47"/>
          <w:rFonts w:hint="eastAsia" w:ascii="宋体" w:hAnsi="宋体" w:eastAsia="宋体" w:cs="宋体"/>
          <w:color w:val="auto"/>
          <w:szCs w:val="21"/>
          <w:highlight w:val="none"/>
          <w:shd w:val="clear" w:color="auto" w:fill="auto"/>
        </w:rPr>
        <w:t>：</w:t>
      </w:r>
    </w:p>
    <w:p w14:paraId="0D916655">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（1）在不缴纳履约保证金情况下，按支付工程进度款时逐次扣留，质量保证金的计算基数不包括预付款的支付、扣回以及价格调整的金额；</w:t>
      </w:r>
    </w:p>
    <w:p w14:paraId="2327AB20">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（2）工程竣工结算时，一次性扣留质量保证金，由承包人以银行保函、保证保险替代预留质量保证金，保函金额不得高于工程价款结算总额的3%；</w:t>
      </w:r>
    </w:p>
    <w:p w14:paraId="5AB2E95F">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（3）其他扣留方式:</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u w:val="single"/>
          <w:shd w:val="clear" w:color="auto" w:fill="auto"/>
          <w:lang w:val="en-US" w:eastAsia="zh-CN"/>
        </w:rPr>
        <w:t>/</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2ED00A45">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关于质量保证金的补充约定：</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u w:val="single"/>
          <w:shd w:val="clear" w:color="auto" w:fill="auto"/>
          <w:lang w:val="en-US" w:eastAsia="zh-CN"/>
        </w:rPr>
        <w:t>/</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bookmarkEnd w:id="1033"/>
    <w:bookmarkEnd w:id="1034"/>
    <w:p w14:paraId="478B019B">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52" w:name="_Toc373227765"/>
      <w:bookmarkStart w:id="1053" w:name="_Toc407135268"/>
      <w:bookmarkStart w:id="1054" w:name="_Toc389065330"/>
      <w:bookmarkStart w:id="1055" w:name="_Toc9850596"/>
      <w:bookmarkStart w:id="1056" w:name="_Toc373478412"/>
      <w:r>
        <w:rPr>
          <w:rStyle w:val="47"/>
          <w:rFonts w:hint="eastAsia" w:ascii="宋体" w:hAnsi="宋体" w:eastAsia="宋体" w:cs="宋体"/>
          <w:b/>
          <w:bCs/>
          <w:color w:val="auto"/>
          <w:sz w:val="21"/>
          <w:szCs w:val="21"/>
          <w:highlight w:val="none"/>
          <w:shd w:val="clear" w:color="auto" w:fill="auto"/>
          <w:lang w:val="zh-CN"/>
        </w:rPr>
        <w:t>15.4 保修</w:t>
      </w:r>
      <w:bookmarkEnd w:id="1052"/>
      <w:bookmarkEnd w:id="1053"/>
      <w:bookmarkEnd w:id="1054"/>
      <w:bookmarkEnd w:id="1055"/>
      <w:bookmarkEnd w:id="1056"/>
    </w:p>
    <w:bookmarkEnd w:id="1035"/>
    <w:p w14:paraId="09CE7D0E">
      <w:pPr>
        <w:pStyle w:val="246"/>
        <w:spacing w:beforeLines="0" w:afterLines="0" w:line="360" w:lineRule="auto"/>
        <w:ind w:firstLine="409" w:firstLineChars="195"/>
        <w:jc w:val="left"/>
        <w:outlineLvl w:val="0"/>
        <w:rPr>
          <w:rStyle w:val="47"/>
          <w:rFonts w:hint="eastAsia" w:ascii="宋体" w:hAnsi="宋体" w:eastAsia="宋体" w:cs="宋体"/>
          <w:color w:val="auto"/>
          <w:szCs w:val="21"/>
          <w:highlight w:val="none"/>
          <w:shd w:val="clear" w:color="auto" w:fill="auto"/>
        </w:rPr>
      </w:pPr>
      <w:bookmarkStart w:id="1057" w:name="_Toc23615"/>
      <w:bookmarkStart w:id="1058" w:name="_Toc5272"/>
      <w:r>
        <w:rPr>
          <w:rStyle w:val="47"/>
          <w:rFonts w:hint="eastAsia" w:ascii="宋体" w:hAnsi="宋体" w:eastAsia="宋体" w:cs="宋体"/>
          <w:color w:val="auto"/>
          <w:szCs w:val="21"/>
          <w:highlight w:val="none"/>
          <w:shd w:val="clear" w:color="auto" w:fill="auto"/>
        </w:rPr>
        <w:t>15.4.1 保修责任</w:t>
      </w:r>
      <w:bookmarkEnd w:id="1057"/>
      <w:bookmarkEnd w:id="1058"/>
    </w:p>
    <w:p w14:paraId="53C28D96">
      <w:pPr>
        <w:pStyle w:val="246"/>
        <w:spacing w:beforeLines="0" w:afterLines="0" w:line="360" w:lineRule="auto"/>
        <w:ind w:firstLine="409" w:firstLineChars="195"/>
        <w:jc w:val="left"/>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工程保修期为：</w:t>
      </w:r>
      <w:r>
        <w:rPr>
          <w:rStyle w:val="47"/>
          <w:rFonts w:hint="eastAsia" w:ascii="宋体" w:hAnsi="宋体" w:eastAsia="宋体" w:cs="宋体"/>
          <w:color w:val="auto"/>
          <w:kern w:val="2"/>
          <w:sz w:val="21"/>
          <w:szCs w:val="21"/>
          <w:highlight w:val="none"/>
          <w:u w:val="single"/>
          <w:shd w:val="clear" w:color="auto" w:fill="auto"/>
          <w:lang w:val="en-US" w:eastAsia="zh-CN" w:bidi="ar-SA"/>
        </w:rPr>
        <w:t>按国家有关规定。</w:t>
      </w:r>
    </w:p>
    <w:p w14:paraId="04897929">
      <w:pPr>
        <w:pStyle w:val="246"/>
        <w:spacing w:beforeLines="0" w:afterLines="0" w:line="360" w:lineRule="auto"/>
        <w:ind w:firstLine="409" w:firstLineChars="195"/>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15.4.3 修复通知</w:t>
      </w:r>
    </w:p>
    <w:p w14:paraId="48C8D5F1">
      <w:pPr>
        <w:pStyle w:val="246"/>
        <w:spacing w:beforeLines="0" w:afterLines="0" w:line="360" w:lineRule="auto"/>
        <w:ind w:firstLine="409" w:firstLineChars="195"/>
        <w:jc w:val="left"/>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承包人收到保修通知并到达工程现场的合理时间：</w:t>
      </w:r>
      <w:r>
        <w:rPr>
          <w:rStyle w:val="47"/>
          <w:rFonts w:hint="eastAsia" w:ascii="宋体" w:hAnsi="宋体" w:eastAsia="宋体" w:cs="宋体"/>
          <w:color w:val="auto"/>
          <w:kern w:val="2"/>
          <w:sz w:val="21"/>
          <w:szCs w:val="21"/>
          <w:highlight w:val="none"/>
          <w:u w:val="single"/>
          <w:shd w:val="clear" w:color="auto" w:fill="auto"/>
          <w:lang w:val="en-US" w:eastAsia="zh-CN" w:bidi="ar-SA"/>
        </w:rPr>
        <w:t xml:space="preserve"> 48小时内 。</w:t>
      </w:r>
    </w:p>
    <w:bookmarkEnd w:id="1036"/>
    <w:bookmarkEnd w:id="1037"/>
    <w:bookmarkEnd w:id="1038"/>
    <w:bookmarkEnd w:id="1039"/>
    <w:p w14:paraId="60D26EA4">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1059" w:name="_Toc9850597"/>
      <w:bookmarkStart w:id="1060" w:name="_Toc25045"/>
      <w:bookmarkStart w:id="1061" w:name="_Toc12687"/>
      <w:bookmarkStart w:id="1062" w:name="_Toc373227766"/>
      <w:bookmarkStart w:id="1063" w:name="_Toc407135269"/>
      <w:bookmarkStart w:id="1064" w:name="_Toc373478413"/>
      <w:bookmarkStart w:id="1065" w:name="_Toc389065331"/>
      <w:bookmarkStart w:id="1066" w:name="_Toc351203648"/>
      <w:r>
        <w:rPr>
          <w:rStyle w:val="47"/>
          <w:rFonts w:hint="eastAsia" w:ascii="宋体" w:hAnsi="宋体" w:eastAsia="宋体" w:cs="宋体"/>
          <w:b/>
          <w:bCs/>
          <w:color w:val="auto"/>
          <w:sz w:val="21"/>
          <w:szCs w:val="21"/>
          <w:highlight w:val="none"/>
          <w:shd w:val="clear" w:color="auto" w:fill="auto"/>
          <w:lang w:val="zh-CN"/>
        </w:rPr>
        <w:t>16. 违约</w:t>
      </w:r>
      <w:bookmarkEnd w:id="1059"/>
      <w:bookmarkEnd w:id="1060"/>
      <w:bookmarkEnd w:id="1061"/>
      <w:bookmarkEnd w:id="1062"/>
      <w:bookmarkEnd w:id="1063"/>
      <w:bookmarkEnd w:id="1064"/>
      <w:bookmarkEnd w:id="1065"/>
      <w:bookmarkEnd w:id="1066"/>
    </w:p>
    <w:p w14:paraId="29DC3E13">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67" w:name="_Toc389065332"/>
      <w:bookmarkStart w:id="1068" w:name="_Toc373227767"/>
      <w:bookmarkStart w:id="1069" w:name="_Toc373478414"/>
      <w:bookmarkStart w:id="1070" w:name="_Toc407135270"/>
      <w:bookmarkStart w:id="1071" w:name="_Toc9850598"/>
      <w:r>
        <w:rPr>
          <w:rStyle w:val="47"/>
          <w:rFonts w:hint="eastAsia" w:ascii="宋体" w:hAnsi="宋体" w:eastAsia="宋体" w:cs="宋体"/>
          <w:b/>
          <w:bCs/>
          <w:color w:val="auto"/>
          <w:sz w:val="21"/>
          <w:szCs w:val="21"/>
          <w:highlight w:val="none"/>
          <w:shd w:val="clear" w:color="auto" w:fill="auto"/>
          <w:lang w:val="zh-CN"/>
        </w:rPr>
        <w:t>16.1 发包人违约</w:t>
      </w:r>
      <w:bookmarkEnd w:id="1067"/>
      <w:bookmarkEnd w:id="1068"/>
      <w:bookmarkEnd w:id="1069"/>
      <w:bookmarkEnd w:id="1070"/>
      <w:bookmarkEnd w:id="1071"/>
    </w:p>
    <w:p w14:paraId="7E4F8C21">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16.1.1发包人违约的情形</w:t>
      </w:r>
    </w:p>
    <w:p w14:paraId="29784739">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发包人违约的其他情形：</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u w:val="single"/>
          <w:shd w:val="clear" w:color="auto" w:fill="auto"/>
          <w:lang w:val="en-US" w:eastAsia="zh-CN"/>
        </w:rPr>
        <w:t>/</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6B431374">
      <w:pPr>
        <w:pStyle w:val="246"/>
        <w:spacing w:beforeLines="0" w:afterLines="0" w:line="360" w:lineRule="auto"/>
        <w:ind w:firstLine="420" w:firstLineChars="200"/>
        <w:jc w:val="left"/>
        <w:outlineLvl w:val="0"/>
        <w:rPr>
          <w:rStyle w:val="47"/>
          <w:rFonts w:hint="eastAsia" w:ascii="宋体" w:hAnsi="宋体" w:eastAsia="宋体" w:cs="宋体"/>
          <w:color w:val="auto"/>
          <w:kern w:val="0"/>
          <w:szCs w:val="21"/>
          <w:highlight w:val="none"/>
          <w:shd w:val="clear" w:color="auto" w:fill="auto"/>
        </w:rPr>
      </w:pPr>
      <w:bookmarkStart w:id="1072" w:name="_Toc18373"/>
      <w:bookmarkStart w:id="1073" w:name="_Toc8030"/>
      <w:r>
        <w:rPr>
          <w:rStyle w:val="47"/>
          <w:rFonts w:hint="eastAsia" w:ascii="宋体" w:hAnsi="宋体" w:eastAsia="宋体" w:cs="宋体"/>
          <w:color w:val="auto"/>
          <w:kern w:val="0"/>
          <w:szCs w:val="21"/>
          <w:highlight w:val="none"/>
          <w:shd w:val="clear" w:color="auto" w:fill="auto"/>
        </w:rPr>
        <w:t>16.1.2 发包人违约的责任</w:t>
      </w:r>
      <w:bookmarkEnd w:id="1072"/>
      <w:bookmarkEnd w:id="1073"/>
    </w:p>
    <w:p w14:paraId="05BBE618">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发包人违约责任的承担方式和计算方法：</w:t>
      </w:r>
    </w:p>
    <w:p w14:paraId="37C87C92">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（1）因发包人原因未能在计划开工日期前7天内下达开工通知的违约责任：</w:t>
      </w:r>
      <w:r>
        <w:rPr>
          <w:rStyle w:val="47"/>
          <w:rFonts w:hint="eastAsia" w:ascii="宋体" w:hAnsi="宋体" w:eastAsia="宋体" w:cs="宋体"/>
          <w:color w:val="auto"/>
          <w:kern w:val="0"/>
          <w:szCs w:val="21"/>
          <w:highlight w:val="none"/>
          <w:u w:val="single"/>
          <w:shd w:val="clear" w:color="auto" w:fill="auto"/>
        </w:rPr>
        <w:t xml:space="preserve"> 合同工期相应顺延</w:t>
      </w:r>
      <w:r>
        <w:rPr>
          <w:rStyle w:val="47"/>
          <w:rFonts w:hint="eastAsia" w:ascii="宋体" w:hAnsi="宋体" w:eastAsia="宋体" w:cs="宋体"/>
          <w:color w:val="auto"/>
          <w:kern w:val="0"/>
          <w:szCs w:val="21"/>
          <w:highlight w:val="none"/>
          <w:shd w:val="clear" w:color="auto" w:fill="auto"/>
        </w:rPr>
        <w:t>。</w:t>
      </w:r>
    </w:p>
    <w:p w14:paraId="0D65F6B3">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（3）发包人违反第10.1款〔变更的范围〕第（2）项约定，自行实施被取消的工作或转由他人实施的违约责任：</w:t>
      </w:r>
      <w:r>
        <w:rPr>
          <w:rStyle w:val="47"/>
          <w:rFonts w:hint="eastAsia" w:ascii="宋体" w:hAnsi="宋体" w:eastAsia="宋体" w:cs="宋体"/>
          <w:color w:val="auto"/>
          <w:kern w:val="0"/>
          <w:szCs w:val="21"/>
          <w:highlight w:val="none"/>
          <w:u w:val="single"/>
          <w:shd w:val="clear" w:color="auto" w:fill="auto"/>
        </w:rPr>
        <w:t xml:space="preserve"> 按取消工程合同价的3%向承包人支付补偿金，并承担因此而产生的一切相关费用 </w:t>
      </w:r>
      <w:r>
        <w:rPr>
          <w:rStyle w:val="47"/>
          <w:rFonts w:hint="eastAsia" w:ascii="宋体" w:hAnsi="宋体" w:eastAsia="宋体" w:cs="宋体"/>
          <w:color w:val="auto"/>
          <w:kern w:val="0"/>
          <w:szCs w:val="21"/>
          <w:highlight w:val="none"/>
          <w:shd w:val="clear" w:color="auto" w:fill="auto"/>
        </w:rPr>
        <w:t>。</w:t>
      </w:r>
    </w:p>
    <w:p w14:paraId="492DFBCA">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（4）发包人提供的材料、工程设备的规格、数量或质量不符合合同约定，或因发包人原因导致交货日期延误或交货地点变更等情况的违约责任：</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u w:val="single"/>
          <w:shd w:val="clear" w:color="auto" w:fill="auto"/>
          <w:lang w:val="en-US" w:eastAsia="zh-CN"/>
        </w:rPr>
        <w:t>/</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1A98BA0D">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（5）因发包人违反合同约定造成暂停施工的违约责任：</w:t>
      </w:r>
      <w:r>
        <w:rPr>
          <w:rStyle w:val="47"/>
          <w:rFonts w:hint="eastAsia" w:ascii="宋体" w:hAnsi="宋体" w:eastAsia="宋体" w:cs="宋体"/>
          <w:color w:val="auto"/>
          <w:kern w:val="0"/>
          <w:szCs w:val="21"/>
          <w:highlight w:val="none"/>
          <w:u w:val="single"/>
          <w:shd w:val="clear" w:color="auto" w:fill="auto"/>
        </w:rPr>
        <w:t xml:space="preserve"> 工期顺延 </w:t>
      </w:r>
      <w:r>
        <w:rPr>
          <w:rStyle w:val="47"/>
          <w:rFonts w:hint="eastAsia" w:ascii="宋体" w:hAnsi="宋体" w:eastAsia="宋体" w:cs="宋体"/>
          <w:color w:val="auto"/>
          <w:kern w:val="0"/>
          <w:szCs w:val="21"/>
          <w:highlight w:val="none"/>
          <w:shd w:val="clear" w:color="auto" w:fill="auto"/>
        </w:rPr>
        <w:t>。</w:t>
      </w:r>
    </w:p>
    <w:p w14:paraId="45840760">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（6）发包人无正当理由没有在约定期限内发出复工指示，导致承包人无法复工的违约责任：</w:t>
      </w:r>
      <w:r>
        <w:rPr>
          <w:rStyle w:val="47"/>
          <w:rFonts w:hint="eastAsia" w:ascii="宋体" w:hAnsi="宋体" w:eastAsia="宋体" w:cs="宋体"/>
          <w:color w:val="auto"/>
          <w:kern w:val="0"/>
          <w:szCs w:val="21"/>
          <w:highlight w:val="none"/>
          <w:u w:val="single"/>
          <w:shd w:val="clear" w:color="auto" w:fill="auto"/>
        </w:rPr>
        <w:t xml:space="preserve">  工期顺延 </w:t>
      </w:r>
      <w:r>
        <w:rPr>
          <w:rStyle w:val="47"/>
          <w:rFonts w:hint="eastAsia" w:ascii="宋体" w:hAnsi="宋体" w:eastAsia="宋体" w:cs="宋体"/>
          <w:color w:val="auto"/>
          <w:kern w:val="0"/>
          <w:szCs w:val="21"/>
          <w:highlight w:val="none"/>
          <w:shd w:val="clear" w:color="auto" w:fill="auto"/>
        </w:rPr>
        <w:t>。</w:t>
      </w:r>
    </w:p>
    <w:p w14:paraId="0ACE8432">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（7）其他：</w:t>
      </w:r>
      <w:r>
        <w:rPr>
          <w:rStyle w:val="47"/>
          <w:rFonts w:hint="eastAsia" w:ascii="宋体" w:hAnsi="宋体" w:eastAsia="宋体" w:cs="宋体"/>
          <w:color w:val="auto"/>
          <w:kern w:val="0"/>
          <w:szCs w:val="21"/>
          <w:highlight w:val="none"/>
          <w:u w:val="single"/>
          <w:shd w:val="clear" w:color="auto" w:fill="auto"/>
        </w:rPr>
        <w:t xml:space="preserve">   无    </w:t>
      </w:r>
      <w:r>
        <w:rPr>
          <w:rStyle w:val="47"/>
          <w:rFonts w:hint="eastAsia" w:ascii="宋体" w:hAnsi="宋体" w:eastAsia="宋体" w:cs="宋体"/>
          <w:color w:val="auto"/>
          <w:kern w:val="0"/>
          <w:szCs w:val="21"/>
          <w:highlight w:val="none"/>
          <w:shd w:val="clear" w:color="auto" w:fill="auto"/>
        </w:rPr>
        <w:t>。</w:t>
      </w:r>
    </w:p>
    <w:p w14:paraId="04A8D839">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16.1.3 因发包人违约解除合同</w:t>
      </w:r>
    </w:p>
    <w:p w14:paraId="2E02D917">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承包人按16.1.1项〔发包人违约的情形〕约定暂停施工满</w:t>
      </w:r>
      <w:r>
        <w:rPr>
          <w:rStyle w:val="47"/>
          <w:rFonts w:hint="eastAsia" w:ascii="宋体" w:hAnsi="宋体" w:eastAsia="宋体" w:cs="宋体"/>
          <w:color w:val="auto"/>
          <w:kern w:val="0"/>
          <w:szCs w:val="21"/>
          <w:highlight w:val="none"/>
          <w:u w:val="single"/>
          <w:shd w:val="clear" w:color="auto" w:fill="auto"/>
        </w:rPr>
        <w:t xml:space="preserve">  60  </w:t>
      </w:r>
      <w:r>
        <w:rPr>
          <w:rStyle w:val="47"/>
          <w:rFonts w:hint="eastAsia" w:ascii="宋体" w:hAnsi="宋体" w:eastAsia="宋体" w:cs="宋体"/>
          <w:color w:val="auto"/>
          <w:kern w:val="0"/>
          <w:szCs w:val="21"/>
          <w:highlight w:val="none"/>
          <w:shd w:val="clear" w:color="auto" w:fill="auto"/>
        </w:rPr>
        <w:t>天后发包人仍不纠正其违约行为并致使合同目的不能实现的，承包人有权解除合同。</w:t>
      </w:r>
    </w:p>
    <w:p w14:paraId="635FF0C5">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74" w:name="_Toc407135271"/>
      <w:bookmarkStart w:id="1075" w:name="_Toc373478415"/>
      <w:bookmarkStart w:id="1076" w:name="_Toc389065333"/>
      <w:bookmarkStart w:id="1077" w:name="_Toc9850599"/>
      <w:bookmarkStart w:id="1078" w:name="_Toc373227768"/>
      <w:r>
        <w:rPr>
          <w:rStyle w:val="47"/>
          <w:rFonts w:hint="eastAsia" w:ascii="宋体" w:hAnsi="宋体" w:eastAsia="宋体" w:cs="宋体"/>
          <w:b/>
          <w:bCs/>
          <w:color w:val="auto"/>
          <w:sz w:val="21"/>
          <w:szCs w:val="21"/>
          <w:highlight w:val="none"/>
          <w:shd w:val="clear" w:color="auto" w:fill="auto"/>
          <w:lang w:val="zh-CN"/>
        </w:rPr>
        <w:t>16.2 承包人违约</w:t>
      </w:r>
      <w:bookmarkEnd w:id="1074"/>
      <w:bookmarkEnd w:id="1075"/>
      <w:bookmarkEnd w:id="1076"/>
      <w:bookmarkEnd w:id="1077"/>
      <w:bookmarkEnd w:id="1078"/>
      <w:r>
        <w:rPr>
          <w:rStyle w:val="47"/>
          <w:rFonts w:hint="eastAsia" w:ascii="宋体" w:hAnsi="宋体" w:eastAsia="宋体" w:cs="宋体"/>
          <w:b/>
          <w:bCs/>
          <w:color w:val="auto"/>
          <w:sz w:val="21"/>
          <w:szCs w:val="21"/>
          <w:highlight w:val="none"/>
          <w:shd w:val="clear" w:color="auto" w:fill="auto"/>
          <w:lang w:val="zh-CN"/>
        </w:rPr>
        <w:t xml:space="preserve"> </w:t>
      </w:r>
    </w:p>
    <w:p w14:paraId="53314622">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16.2.1 承包人违约的情形</w:t>
      </w:r>
    </w:p>
    <w:p w14:paraId="272EF6C9">
      <w:pPr>
        <w:pStyle w:val="251"/>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0"/>
          <w:szCs w:val="21"/>
          <w:highlight w:val="none"/>
          <w:shd w:val="clear" w:color="auto" w:fill="auto"/>
        </w:rPr>
        <w:t>承包人违约的其他情形：</w:t>
      </w:r>
      <w:r>
        <w:rPr>
          <w:rStyle w:val="47"/>
          <w:rFonts w:hint="eastAsia" w:ascii="宋体" w:hAnsi="宋体" w:eastAsia="宋体" w:cs="宋体"/>
          <w:color w:val="auto"/>
          <w:kern w:val="2"/>
          <w:sz w:val="21"/>
          <w:szCs w:val="21"/>
          <w:highlight w:val="none"/>
          <w:u w:val="single"/>
          <w:shd w:val="clear" w:color="auto" w:fill="auto"/>
          <w:lang w:val="en-US" w:eastAsia="zh-CN" w:bidi="ar"/>
        </w:rPr>
        <w:t>（1）承包人违反合同约定进行转包或违法分包的；（2）承包人违反合同约定采购和使用不合格的材料和工程设备的；（3）因承包人原因导致工程质量不符合合同要求的；（4）承包人未经发包人批准，私自将已按照合同约定进入施工现场的材料或设备撤离施工现场的；（5）承包人未能按施工进度计划及时完成合同约定的工作，造成工期延误的；（6）承包人在缺陷责任期及保修期内，未能在合理期限对工程缺陷进行修复，或拒绝按发包人要求进行修复的；（7）承包人明确表示或者以其行为表明不履行合同主要义务的；（8）承包人未能按照合同约定履行其他义务的。</w:t>
      </w:r>
    </w:p>
    <w:p w14:paraId="6B3562C1">
      <w:pPr>
        <w:pStyle w:val="251"/>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single"/>
          <w:shd w:val="clear" w:color="auto" w:fill="auto"/>
          <w:lang w:val="en-US" w:eastAsia="zh-CN" w:bidi="ar"/>
        </w:rPr>
        <w:t>承包人发生除上述约定以外的其他违约情况时，发包人可向承包人发出整改通知，要求其在指定的期限内改正。承包人拒不改正的，每次罚款5000无，依次递增处处罚。</w:t>
      </w:r>
    </w:p>
    <w:p w14:paraId="6B793CB6">
      <w:pPr>
        <w:pStyle w:val="246"/>
        <w:spacing w:beforeLines="0" w:afterLines="0" w:line="360" w:lineRule="auto"/>
        <w:ind w:firstLine="420" w:firstLineChars="200"/>
        <w:jc w:val="left"/>
        <w:outlineLvl w:val="0"/>
        <w:rPr>
          <w:rStyle w:val="47"/>
          <w:rFonts w:hint="eastAsia" w:ascii="宋体" w:hAnsi="宋体" w:eastAsia="宋体" w:cs="宋体"/>
          <w:color w:val="auto"/>
          <w:kern w:val="0"/>
          <w:szCs w:val="21"/>
          <w:highlight w:val="none"/>
          <w:shd w:val="clear" w:color="auto" w:fill="auto"/>
        </w:rPr>
      </w:pPr>
      <w:bookmarkStart w:id="1079" w:name="_Toc3702"/>
      <w:bookmarkStart w:id="1080" w:name="_Toc11171"/>
      <w:r>
        <w:rPr>
          <w:rStyle w:val="47"/>
          <w:rFonts w:hint="eastAsia" w:ascii="宋体" w:hAnsi="宋体" w:eastAsia="宋体" w:cs="宋体"/>
          <w:color w:val="auto"/>
          <w:kern w:val="0"/>
          <w:szCs w:val="21"/>
          <w:highlight w:val="none"/>
          <w:shd w:val="clear" w:color="auto" w:fill="auto"/>
        </w:rPr>
        <w:t>16.2.2承包人违约的责任</w:t>
      </w:r>
      <w:bookmarkEnd w:id="1079"/>
      <w:bookmarkEnd w:id="1080"/>
    </w:p>
    <w:p w14:paraId="3A9EA411">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承包人违约责任的承担方式和计算方法：</w:t>
      </w:r>
    </w:p>
    <w:p w14:paraId="27A342EA">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5C80E68B">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（2）承包人有本合同通用条款第16.2.1（6）条情形的，或经监理人检验认为修复质量不合格而承包人拒绝再进行修补的，发包人将扣除承包人全部质量保证金。</w:t>
      </w:r>
    </w:p>
    <w:p w14:paraId="47C6D896">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208A5B6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16.2.3 因承包人违约解除合同</w:t>
      </w:r>
    </w:p>
    <w:p w14:paraId="1900D2CA">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u w:val="single"/>
          <w:shd w:val="clear" w:color="auto" w:fill="auto"/>
        </w:rPr>
      </w:pPr>
      <w:r>
        <w:rPr>
          <w:rStyle w:val="47"/>
          <w:rFonts w:hint="eastAsia" w:ascii="宋体" w:hAnsi="宋体" w:eastAsia="宋体" w:cs="宋体"/>
          <w:color w:val="auto"/>
          <w:kern w:val="0"/>
          <w:szCs w:val="21"/>
          <w:highlight w:val="none"/>
          <w:shd w:val="clear" w:color="auto" w:fill="auto"/>
        </w:rPr>
        <w:t>关于承包人违约解除合同的特别约定：</w:t>
      </w:r>
      <w:r>
        <w:rPr>
          <w:rStyle w:val="47"/>
          <w:rFonts w:hint="eastAsia" w:ascii="宋体" w:hAnsi="宋体" w:eastAsia="宋体" w:cs="宋体"/>
          <w:color w:val="auto"/>
          <w:kern w:val="0"/>
          <w:szCs w:val="21"/>
          <w:highlight w:val="none"/>
          <w:u w:val="single"/>
          <w:shd w:val="clear" w:color="auto" w:fill="auto"/>
        </w:rPr>
        <w:t>承包人有违反以下情况之一的，发包人有权解除合同，并没收其全部履约保证金。</w:t>
      </w:r>
    </w:p>
    <w:p w14:paraId="0A3670C0">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(1)承包人无正当理由不按开工通知的要求及时进场组织施工和不按签订协议书时商定的进度计划有效地开展施工准备，造成工期延误的；</w:t>
      </w:r>
    </w:p>
    <w:p w14:paraId="1F5A57DC">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(2)承包人违反本合同通用条款第3.5条规定私自将合同或合同的任何部分或任何权利转让给其他人，或私自将工程或工程的一部分分包出去的；</w:t>
      </w:r>
    </w:p>
    <w:p w14:paraId="634E94D6">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(3)未经监理人批准，承包人私自将已按投标文件承诺进入工地的工程设备、施工设备、临时工程或材料撤离工地的；</w:t>
      </w:r>
    </w:p>
    <w:p w14:paraId="766BDC70">
      <w:pPr>
        <w:pStyle w:val="246"/>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(4)由于承包人原因拒绝按合同进度计划及时完成合同规定的工程，而又未采取有效措施赶上进度，造成工期严重延误的；</w:t>
      </w:r>
    </w:p>
    <w:p w14:paraId="20B0B1C7">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(5)承包人否认合同有效或拒绝履行合同规定的承包人义务，或由于法律、财务等原因导致承包人无法继续履行或实质上已停止履行合同的义务的；</w:t>
      </w:r>
    </w:p>
    <w:p w14:paraId="6A93C9E0">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(6)合同签订</w:t>
      </w:r>
      <w:r>
        <w:rPr>
          <w:rStyle w:val="47"/>
          <w:rFonts w:hint="eastAsia" w:ascii="宋体" w:hAnsi="宋体" w:eastAsia="宋体" w:cs="宋体"/>
          <w:color w:val="auto"/>
          <w:szCs w:val="21"/>
          <w:highlight w:val="none"/>
          <w:shd w:val="clear" w:color="auto" w:fill="auto"/>
        </w:rPr>
        <w:t>且具备法定开工条件后</w:t>
      </w:r>
      <w:r>
        <w:rPr>
          <w:rStyle w:val="47"/>
          <w:rFonts w:hint="eastAsia" w:ascii="宋体" w:hAnsi="宋体" w:eastAsia="宋体" w:cs="宋体"/>
          <w:color w:val="auto"/>
          <w:kern w:val="0"/>
          <w:szCs w:val="21"/>
          <w:highlight w:val="none"/>
          <w:shd w:val="clear" w:color="auto" w:fill="auto"/>
        </w:rPr>
        <w:t>之日起十五日内，承包人无法按合同规定及投标文件的承诺进场经监理工程师认可的该施工阶段应有的全部人员和机械的。</w:t>
      </w:r>
    </w:p>
    <w:p w14:paraId="6FF764C3">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发包人继续使用承包人在施工现场的材料、设备、临时工程、承包人文件和由承包人或以其名义编制的其他文件的费用承担方式：</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sz w:val="21"/>
          <w:szCs w:val="21"/>
          <w:highlight w:val="none"/>
          <w:u w:val="single"/>
        </w:rPr>
        <w:t xml:space="preserve"> 按实际使用情况支付</w:t>
      </w:r>
      <w:r>
        <w:rPr>
          <w:rStyle w:val="47"/>
          <w:rFonts w:hint="eastAsia" w:ascii="宋体" w:hAnsi="宋体" w:eastAsia="宋体" w:cs="宋体"/>
          <w:color w:val="auto"/>
          <w:kern w:val="0"/>
          <w:szCs w:val="21"/>
          <w:highlight w:val="none"/>
          <w:u w:val="single"/>
          <w:shd w:val="clear" w:color="auto" w:fill="auto"/>
        </w:rPr>
        <w:t xml:space="preserve">   </w:t>
      </w:r>
      <w:r>
        <w:rPr>
          <w:rStyle w:val="47"/>
          <w:rFonts w:hint="eastAsia" w:ascii="宋体" w:hAnsi="宋体" w:eastAsia="宋体" w:cs="宋体"/>
          <w:color w:val="auto"/>
          <w:kern w:val="0"/>
          <w:szCs w:val="21"/>
          <w:highlight w:val="none"/>
          <w:shd w:val="clear" w:color="auto" w:fill="auto"/>
        </w:rPr>
        <w:t>。</w:t>
      </w:r>
    </w:p>
    <w:p w14:paraId="2A1ABB0C">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16.2.4 因承包人违约解除合同后的处理</w:t>
      </w:r>
    </w:p>
    <w:p w14:paraId="4B123CD5">
      <w:pPr>
        <w:pStyle w:val="246"/>
        <w:spacing w:beforeLines="0" w:afterLines="0" w:line="360" w:lineRule="auto"/>
        <w:ind w:firstLine="420" w:firstLineChars="200"/>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如果发包人应扣除的金额超过应支付的金额，承包人应在合同解除后的56天内将其差额退还给发包人。</w:t>
      </w:r>
    </w:p>
    <w:p w14:paraId="5C878659">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1081" w:name="_Toc4537"/>
      <w:bookmarkStart w:id="1082" w:name="_Toc17351"/>
      <w:r>
        <w:rPr>
          <w:rStyle w:val="47"/>
          <w:rFonts w:hint="eastAsia" w:ascii="宋体" w:hAnsi="宋体" w:eastAsia="宋体" w:cs="宋体"/>
          <w:b/>
          <w:bCs/>
          <w:color w:val="auto"/>
          <w:sz w:val="21"/>
          <w:szCs w:val="21"/>
          <w:highlight w:val="none"/>
          <w:shd w:val="clear" w:color="auto" w:fill="auto"/>
          <w:lang w:val="zh-CN"/>
        </w:rPr>
        <w:t>17. 不可抗力</w:t>
      </w:r>
      <w:bookmarkEnd w:id="142"/>
      <w:bookmarkEnd w:id="143"/>
      <w:bookmarkEnd w:id="144"/>
      <w:bookmarkEnd w:id="145"/>
      <w:bookmarkEnd w:id="146"/>
      <w:bookmarkEnd w:id="147"/>
      <w:bookmarkEnd w:id="1081"/>
      <w:bookmarkEnd w:id="1082"/>
      <w:r>
        <w:rPr>
          <w:rStyle w:val="47"/>
          <w:rFonts w:hint="eastAsia" w:ascii="宋体" w:hAnsi="宋体" w:eastAsia="宋体" w:cs="宋体"/>
          <w:b/>
          <w:bCs/>
          <w:color w:val="auto"/>
          <w:sz w:val="21"/>
          <w:szCs w:val="21"/>
          <w:highlight w:val="none"/>
          <w:shd w:val="clear" w:color="auto" w:fill="auto"/>
          <w:lang w:val="zh-CN"/>
        </w:rPr>
        <w:t xml:space="preserve"> </w:t>
      </w:r>
      <w:bookmarkEnd w:id="148"/>
    </w:p>
    <w:p w14:paraId="2A5835F4">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083" w:name="_Toc407135273"/>
      <w:bookmarkStart w:id="1084" w:name="_Toc9850601"/>
      <w:bookmarkStart w:id="1085" w:name="_Toc373478417"/>
      <w:bookmarkStart w:id="1086" w:name="_Toc373227770"/>
      <w:bookmarkStart w:id="1087" w:name="_Toc389065335"/>
      <w:r>
        <w:rPr>
          <w:rStyle w:val="47"/>
          <w:rFonts w:hint="eastAsia" w:ascii="宋体" w:hAnsi="宋体" w:eastAsia="宋体" w:cs="宋体"/>
          <w:b/>
          <w:bCs/>
          <w:color w:val="auto"/>
          <w:sz w:val="21"/>
          <w:szCs w:val="21"/>
          <w:highlight w:val="none"/>
          <w:shd w:val="clear" w:color="auto" w:fill="auto"/>
          <w:lang w:val="zh-CN"/>
        </w:rPr>
        <w:t>17.1 不可抗力的确认</w:t>
      </w:r>
      <w:bookmarkEnd w:id="1083"/>
      <w:bookmarkEnd w:id="1084"/>
      <w:bookmarkEnd w:id="1085"/>
      <w:bookmarkEnd w:id="1086"/>
      <w:bookmarkEnd w:id="1087"/>
    </w:p>
    <w:p w14:paraId="6D702E2C">
      <w:pPr>
        <w:pStyle w:val="24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szCs w:val="21"/>
          <w:highlight w:val="none"/>
          <w:shd w:val="clear" w:color="auto" w:fill="auto"/>
        </w:rPr>
        <w:t>除通用合同条款约定的不可抗力事件之外，视为不可抗力的其他情形：</w:t>
      </w:r>
      <w:bookmarkStart w:id="1088" w:name="_Toc373227771"/>
      <w:bookmarkStart w:id="1089" w:name="_Toc407135274"/>
      <w:bookmarkStart w:id="1090" w:name="_Toc9850602"/>
      <w:bookmarkStart w:id="1091" w:name="_Toc389065336"/>
      <w:bookmarkStart w:id="1092" w:name="_Toc373478418"/>
      <w:r>
        <w:rPr>
          <w:rStyle w:val="47"/>
          <w:rFonts w:hint="eastAsia" w:ascii="宋体" w:hAnsi="宋体" w:eastAsia="宋体" w:cs="宋体"/>
          <w:color w:val="auto"/>
          <w:kern w:val="2"/>
          <w:sz w:val="21"/>
          <w:szCs w:val="21"/>
          <w:highlight w:val="none"/>
          <w:u w:val="single"/>
          <w:shd w:val="clear" w:color="auto" w:fill="auto"/>
          <w:lang w:val="en-US" w:eastAsia="zh-CN" w:bidi="ar"/>
        </w:rPr>
        <w:t>包括战争、恐怖活动、动乱、瘟疫、空中飞行物体坠落或其他非发包人承包人责任造成的爆炸、火灾，以及地震、洪涝等自然灾害；国家法律法规变更，政府法规、政策变化、政府禁令、征收征用等政府行为；及主管部门认定的其他不可抗力原因。</w:t>
      </w:r>
    </w:p>
    <w:p w14:paraId="57BE2445">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17.4 因不可抗力解除合同</w:t>
      </w:r>
      <w:bookmarkEnd w:id="1088"/>
      <w:bookmarkEnd w:id="1089"/>
      <w:bookmarkEnd w:id="1090"/>
      <w:bookmarkEnd w:id="1091"/>
      <w:bookmarkEnd w:id="1092"/>
    </w:p>
    <w:p w14:paraId="2B8372BE">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合同解除后，发包人应在商定或确定发包人应支付款项后</w:t>
      </w:r>
      <w:r>
        <w:rPr>
          <w:rStyle w:val="47"/>
          <w:rFonts w:hint="eastAsia" w:ascii="宋体" w:hAnsi="宋体" w:eastAsia="宋体" w:cs="宋体"/>
          <w:color w:val="auto"/>
          <w:szCs w:val="21"/>
          <w:highlight w:val="none"/>
          <w:u w:val="single"/>
          <w:shd w:val="clear" w:color="auto" w:fill="auto"/>
        </w:rPr>
        <w:t xml:space="preserve">  28  </w:t>
      </w:r>
      <w:r>
        <w:rPr>
          <w:rStyle w:val="47"/>
          <w:rFonts w:hint="eastAsia" w:ascii="宋体" w:hAnsi="宋体" w:eastAsia="宋体" w:cs="宋体"/>
          <w:color w:val="auto"/>
          <w:szCs w:val="21"/>
          <w:highlight w:val="none"/>
          <w:shd w:val="clear" w:color="auto" w:fill="auto"/>
        </w:rPr>
        <w:t>天内完成款项的支付。</w:t>
      </w:r>
    </w:p>
    <w:p w14:paraId="141A4F25">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1093" w:name="_Toc389065337"/>
      <w:bookmarkStart w:id="1094" w:name="_Toc9850603"/>
      <w:bookmarkStart w:id="1095" w:name="_Toc351203650"/>
      <w:bookmarkStart w:id="1096" w:name="_Toc373227772"/>
      <w:bookmarkStart w:id="1097" w:name="_Toc23252"/>
      <w:bookmarkStart w:id="1098" w:name="_Toc28410"/>
      <w:bookmarkStart w:id="1099" w:name="_Toc373478419"/>
      <w:bookmarkStart w:id="1100" w:name="_Toc407135275"/>
      <w:r>
        <w:rPr>
          <w:rStyle w:val="47"/>
          <w:rFonts w:hint="eastAsia" w:ascii="宋体" w:hAnsi="宋体" w:eastAsia="宋体" w:cs="宋体"/>
          <w:b/>
          <w:bCs/>
          <w:color w:val="auto"/>
          <w:sz w:val="21"/>
          <w:szCs w:val="21"/>
          <w:highlight w:val="none"/>
          <w:shd w:val="clear" w:color="auto" w:fill="auto"/>
          <w:lang w:val="zh-CN"/>
        </w:rPr>
        <w:t>18. 保险</w:t>
      </w:r>
      <w:bookmarkEnd w:id="1093"/>
      <w:bookmarkEnd w:id="1094"/>
      <w:bookmarkEnd w:id="1095"/>
      <w:bookmarkEnd w:id="1096"/>
      <w:bookmarkEnd w:id="1097"/>
      <w:bookmarkEnd w:id="1098"/>
      <w:bookmarkEnd w:id="1099"/>
      <w:bookmarkEnd w:id="1100"/>
    </w:p>
    <w:bookmarkEnd w:id="149"/>
    <w:p w14:paraId="146FDBEF">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101" w:name="_Toc373478420"/>
      <w:bookmarkStart w:id="1102" w:name="_Toc9850604"/>
      <w:bookmarkStart w:id="1103" w:name="_Toc389065338"/>
      <w:bookmarkStart w:id="1104" w:name="_Toc373227773"/>
      <w:bookmarkStart w:id="1105" w:name="_Toc407135276"/>
      <w:r>
        <w:rPr>
          <w:rStyle w:val="47"/>
          <w:rFonts w:hint="eastAsia" w:ascii="宋体" w:hAnsi="宋体" w:eastAsia="宋体" w:cs="宋体"/>
          <w:b/>
          <w:bCs/>
          <w:color w:val="auto"/>
          <w:sz w:val="21"/>
          <w:szCs w:val="21"/>
          <w:highlight w:val="none"/>
          <w:shd w:val="clear" w:color="auto" w:fill="auto"/>
          <w:lang w:val="zh-CN"/>
        </w:rPr>
        <w:t>18.1 工程保险</w:t>
      </w:r>
      <w:bookmarkEnd w:id="1101"/>
      <w:bookmarkEnd w:id="1102"/>
      <w:bookmarkEnd w:id="1103"/>
      <w:bookmarkEnd w:id="1104"/>
      <w:bookmarkEnd w:id="1105"/>
    </w:p>
    <w:p w14:paraId="4842E8A3">
      <w:pPr>
        <w:pStyle w:val="236"/>
        <w:spacing w:beforeLines="0" w:afterLines="0" w:line="360" w:lineRule="auto"/>
        <w:ind w:firstLine="420" w:firstLineChars="200"/>
        <w:jc w:val="left"/>
        <w:rPr>
          <w:rStyle w:val="47"/>
          <w:rFonts w:hint="eastAsia" w:ascii="宋体" w:hAnsi="宋体" w:eastAsia="宋体" w:cs="宋体"/>
          <w:color w:val="auto"/>
          <w:sz w:val="21"/>
          <w:szCs w:val="21"/>
          <w:highlight w:val="none"/>
        </w:rPr>
      </w:pPr>
      <w:bookmarkStart w:id="1106" w:name="_Toc373227774"/>
      <w:bookmarkStart w:id="1107" w:name="_Toc9850605"/>
      <w:bookmarkStart w:id="1108" w:name="_Toc389065339"/>
      <w:bookmarkStart w:id="1109" w:name="_Toc373478421"/>
      <w:bookmarkStart w:id="1110" w:name="_Toc407135277"/>
      <w:r>
        <w:rPr>
          <w:rStyle w:val="47"/>
          <w:rFonts w:hint="eastAsia" w:ascii="宋体" w:hAnsi="宋体" w:eastAsia="宋体" w:cs="宋体"/>
          <w:color w:val="auto"/>
          <w:kern w:val="2"/>
          <w:sz w:val="21"/>
          <w:szCs w:val="21"/>
          <w:highlight w:val="none"/>
        </w:rPr>
        <w:t>关于工程保险的特别约定：</w:t>
      </w:r>
      <w:r>
        <w:rPr>
          <w:rStyle w:val="47"/>
          <w:rFonts w:hint="eastAsia" w:ascii="宋体" w:hAnsi="宋体" w:eastAsia="宋体" w:cs="宋体"/>
          <w:color w:val="auto"/>
          <w:sz w:val="21"/>
          <w:szCs w:val="21"/>
          <w:highlight w:val="none"/>
          <w:u w:val="single"/>
          <w:lang w:val="en-US" w:eastAsia="zh-CN"/>
        </w:rPr>
        <w:t xml:space="preserve"> 承包人根据《广西壮族自治区房屋建筑和市政基础设施工程安全生产责任保险实施办法》（桂建发〔2023〕1号）及《关于进一步明确广西壮族自治区房屋建筑和市政基础设施工程安全生产责任保险费计价规定的通知》（桂建价〔2024〕2 号 ）相关条款，以工程项目为单元参保建筑工程安责险。（注:安全生产责任保险费先由承包人支付，在工程结算时，发承包双方按《广西壮族自治区房屋建筑和市政基础设施工程安全生产责任保险计价规定的通知》（桂建发〔2023〕6号）的相关条款，根据工程实际情况确认的安全生产责任保险费计入工程造价进行结算。）</w:t>
      </w:r>
      <w:r>
        <w:rPr>
          <w:rStyle w:val="47"/>
          <w:rFonts w:hint="eastAsia" w:ascii="宋体" w:hAnsi="宋体" w:eastAsia="宋体" w:cs="宋体"/>
          <w:color w:val="auto"/>
          <w:sz w:val="21"/>
          <w:szCs w:val="21"/>
          <w:highlight w:val="none"/>
        </w:rPr>
        <w:t>。</w:t>
      </w:r>
    </w:p>
    <w:p w14:paraId="3A41D79A">
      <w:pPr>
        <w:pStyle w:val="236"/>
        <w:spacing w:beforeLines="0" w:afterLines="0" w:line="360" w:lineRule="auto"/>
        <w:rPr>
          <w:rStyle w:val="47"/>
          <w:rFonts w:hint="eastAsia" w:ascii="宋体" w:hAnsi="宋体" w:eastAsia="宋体" w:cs="宋体"/>
          <w:color w:val="auto"/>
          <w:kern w:val="2"/>
          <w:sz w:val="21"/>
          <w:szCs w:val="21"/>
          <w:highlight w:val="none"/>
        </w:rPr>
      </w:pPr>
      <w:r>
        <w:rPr>
          <w:rStyle w:val="47"/>
          <w:rFonts w:hint="eastAsia" w:ascii="宋体" w:hAnsi="宋体" w:eastAsia="宋体" w:cs="宋体"/>
          <w:color w:val="auto"/>
          <w:kern w:val="2"/>
          <w:sz w:val="21"/>
          <w:szCs w:val="21"/>
          <w:highlight w:val="none"/>
        </w:rPr>
        <w:t>18.1.1投保</w:t>
      </w:r>
    </w:p>
    <w:p w14:paraId="78191F4F">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rPr>
      </w:pPr>
      <w:r>
        <w:rPr>
          <w:rStyle w:val="47"/>
          <w:rFonts w:hint="eastAsia" w:ascii="宋体" w:hAnsi="宋体" w:eastAsia="宋体" w:cs="宋体"/>
          <w:color w:val="auto"/>
          <w:kern w:val="2"/>
          <w:sz w:val="21"/>
          <w:szCs w:val="21"/>
          <w:highlight w:val="none"/>
        </w:rPr>
        <w:t>（1）投保人：</w:t>
      </w:r>
      <w:r>
        <w:rPr>
          <w:rStyle w:val="47"/>
          <w:rFonts w:hint="eastAsia" w:ascii="宋体" w:hAnsi="宋体" w:eastAsia="宋体" w:cs="宋体"/>
          <w:color w:val="auto"/>
          <w:kern w:val="2"/>
          <w:sz w:val="21"/>
          <w:szCs w:val="21"/>
          <w:highlight w:val="none"/>
          <w:u w:val="single"/>
        </w:rPr>
        <w:t>承包人</w:t>
      </w:r>
      <w:r>
        <w:rPr>
          <w:rStyle w:val="47"/>
          <w:rFonts w:hint="eastAsia" w:ascii="宋体" w:hAnsi="宋体" w:eastAsia="宋体" w:cs="宋体"/>
          <w:color w:val="auto"/>
          <w:kern w:val="2"/>
          <w:sz w:val="21"/>
          <w:szCs w:val="21"/>
          <w:highlight w:val="none"/>
        </w:rPr>
        <w:t>。</w:t>
      </w:r>
    </w:p>
    <w:p w14:paraId="0A7C11D7">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rPr>
        <w:t>（2）投保内容：</w:t>
      </w:r>
      <w:r>
        <w:rPr>
          <w:rStyle w:val="47"/>
          <w:rFonts w:hint="eastAsia" w:ascii="宋体" w:hAnsi="宋体" w:eastAsia="宋体" w:cs="宋体"/>
          <w:color w:val="auto"/>
          <w:kern w:val="2"/>
          <w:sz w:val="21"/>
          <w:szCs w:val="21"/>
          <w:highlight w:val="none"/>
          <w:u w:val="single"/>
          <w:shd w:val="clear" w:color="auto" w:fill="auto"/>
          <w:lang w:val="en-US" w:eastAsia="zh-CN" w:bidi="ar"/>
        </w:rPr>
        <w:t>承包人必须为从事危险作业的职工办理意外伤害保险，并为施工场地内承包人的自有人员生命财产及施工机械设备办理保险，支付保险费用。保险合同约定的保险责任范围应当包括工地范围内的全部财产的物质损坏或灭失以及所产生的费用、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w:t>
      </w:r>
    </w:p>
    <w:p w14:paraId="37D81756">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single"/>
          <w:shd w:val="clear" w:color="auto" w:fill="auto"/>
          <w:lang w:val="en-US" w:eastAsia="zh-CN" w:bidi="ar"/>
        </w:rPr>
        <w:t>（3）保险费率：由投保人与合同双方同意的保险人商定。</w:t>
      </w:r>
    </w:p>
    <w:p w14:paraId="65323E51">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single"/>
          <w:shd w:val="clear" w:color="auto" w:fill="auto"/>
          <w:lang w:val="en-US" w:eastAsia="zh-CN" w:bidi="ar"/>
        </w:rPr>
        <w:t>（4）保险金额：由投保人与合同双方同意的保险人商定。</w:t>
      </w:r>
    </w:p>
    <w:p w14:paraId="4C8A324B">
      <w:pPr>
        <w:pStyle w:val="236"/>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single"/>
          <w:shd w:val="clear" w:color="auto" w:fill="auto"/>
          <w:lang w:val="en-US" w:eastAsia="zh-CN" w:bidi="ar"/>
        </w:rPr>
        <w:t>（5）保险期限：保险种类包括一切险和第三方责任险，保险期从工程开工之日起到工程竣工验收之日，如若项目延期，投标单位必须无条件办理延期手续并承担一切费用， 如故意或疏忽而没有投保、少投保或漏投保，造成的后果由承包人负全部责任。</w:t>
      </w:r>
    </w:p>
    <w:p w14:paraId="4776EDBC">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18.3 其他保险</w:t>
      </w:r>
      <w:bookmarkEnd w:id="1106"/>
      <w:bookmarkEnd w:id="1107"/>
      <w:bookmarkEnd w:id="1108"/>
      <w:bookmarkEnd w:id="1109"/>
      <w:bookmarkEnd w:id="1110"/>
    </w:p>
    <w:p w14:paraId="66C3F75F">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u w:val="single"/>
          <w:shd w:val="clear" w:color="auto" w:fill="auto"/>
          <w:lang w:val="en-US" w:eastAsia="zh-CN" w:bidi="ar"/>
        </w:rPr>
      </w:pPr>
      <w:bookmarkStart w:id="1111" w:name="_Toc389065340"/>
      <w:bookmarkStart w:id="1112" w:name="_Toc373227775"/>
      <w:bookmarkStart w:id="1113" w:name="_Toc407135278"/>
      <w:bookmarkStart w:id="1114" w:name="_Toc373478422"/>
      <w:bookmarkStart w:id="1115" w:name="_Toc9850606"/>
      <w:r>
        <w:rPr>
          <w:rStyle w:val="47"/>
          <w:rFonts w:hint="eastAsia" w:ascii="宋体" w:hAnsi="宋体" w:eastAsia="宋体" w:cs="宋体"/>
          <w:color w:val="auto"/>
          <w:kern w:val="2"/>
          <w:sz w:val="21"/>
          <w:szCs w:val="21"/>
          <w:highlight w:val="none"/>
          <w:u w:val="single"/>
          <w:shd w:val="clear" w:color="auto" w:fill="auto"/>
          <w:lang w:val="en-US" w:eastAsia="zh-CN" w:bidi="ar"/>
        </w:rPr>
        <w:t>关于其他保险的约定：除了强制规定由发包人负责的保险以外的其他一切工程保险均有承包人自行承担。</w:t>
      </w:r>
    </w:p>
    <w:p w14:paraId="6FE6E26B">
      <w:pPr>
        <w:pStyle w:val="236"/>
        <w:spacing w:beforeLines="0" w:afterLines="0" w:line="360" w:lineRule="auto"/>
        <w:ind w:firstLine="420" w:firstLineChars="200"/>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single"/>
          <w:shd w:val="clear" w:color="auto" w:fill="auto"/>
          <w:lang w:val="en-US" w:eastAsia="zh-CN" w:bidi="ar"/>
        </w:rPr>
        <w:t>承包人是否应为其施工设备等办理财产保险：承包人必须为其施工设备、进场材料和工程设备等办理的保险，支付保险费用。保险合同约定的保险责任范围应当包括工地范围内的全部财产的物质损坏或灭失以及所产生的费用，无论是否获得保险机构的赔偿，因承包人原因施工中发生的安全事故，均由承包人负责所发生事故的依法应该支付的损失赔偿费和承担法律责任因发包人原因发生的安全事故，由发包人负责所发生事故的依法应该支付的损失赔偿费和承担法律责任。保险费率由承包人与发包人同意的保险人商定，相关保险费由承包人承担。</w:t>
      </w:r>
    </w:p>
    <w:p w14:paraId="0BF77666">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r>
        <w:rPr>
          <w:rStyle w:val="47"/>
          <w:rFonts w:hint="eastAsia" w:ascii="宋体" w:hAnsi="宋体" w:eastAsia="宋体" w:cs="宋体"/>
          <w:b/>
          <w:bCs/>
          <w:color w:val="auto"/>
          <w:sz w:val="21"/>
          <w:szCs w:val="21"/>
          <w:highlight w:val="none"/>
          <w:shd w:val="clear" w:color="auto" w:fill="auto"/>
          <w:lang w:val="zh-CN"/>
        </w:rPr>
        <w:t>18.7 通知义务</w:t>
      </w:r>
      <w:bookmarkEnd w:id="1111"/>
      <w:bookmarkEnd w:id="1112"/>
      <w:bookmarkEnd w:id="1113"/>
      <w:bookmarkEnd w:id="1114"/>
      <w:bookmarkEnd w:id="1115"/>
    </w:p>
    <w:p w14:paraId="3AD9B0D9">
      <w:pPr>
        <w:pStyle w:val="236"/>
        <w:keepNext/>
        <w:keepLines/>
        <w:spacing w:before="0" w:beforeLines="0" w:after="0" w:afterLines="0" w:line="360" w:lineRule="auto"/>
        <w:ind w:firstLine="420" w:firstLineChars="200"/>
        <w:outlineLvl w:val="3"/>
        <w:rPr>
          <w:rStyle w:val="47"/>
          <w:rFonts w:hint="eastAsia" w:ascii="宋体" w:hAnsi="宋体" w:eastAsia="宋体" w:cs="宋体"/>
          <w:color w:val="auto"/>
          <w:kern w:val="2"/>
          <w:sz w:val="21"/>
          <w:szCs w:val="21"/>
          <w:highlight w:val="none"/>
          <w:u w:val="single"/>
        </w:rPr>
      </w:pPr>
      <w:r>
        <w:rPr>
          <w:rStyle w:val="47"/>
          <w:rFonts w:hint="eastAsia" w:ascii="宋体" w:hAnsi="宋体" w:eastAsia="宋体" w:cs="宋体"/>
          <w:color w:val="auto"/>
          <w:kern w:val="0"/>
          <w:sz w:val="21"/>
          <w:szCs w:val="21"/>
          <w:highlight w:val="none"/>
          <w:shd w:val="clear" w:color="auto" w:fill="auto"/>
        </w:rPr>
        <w:t>关于变更保险合同时的通知义务的约定</w:t>
      </w:r>
      <w:r>
        <w:rPr>
          <w:rStyle w:val="47"/>
          <w:rFonts w:hint="eastAsia" w:ascii="宋体" w:hAnsi="宋体" w:eastAsia="宋体" w:cs="宋体"/>
          <w:color w:val="auto"/>
          <w:kern w:val="2"/>
          <w:sz w:val="21"/>
          <w:szCs w:val="21"/>
          <w:highlight w:val="none"/>
          <w:u w:val="single"/>
          <w:shd w:val="clear" w:color="auto" w:fill="auto"/>
          <w:lang w:val="en-US" w:eastAsia="zh-CN" w:bidi="ar"/>
        </w:rPr>
        <w:t>： 承包人向发包人提交各项保险生效的证据和保险单副本的期限：各项保险生效 3天内。</w:t>
      </w:r>
    </w:p>
    <w:bookmarkEnd w:id="150"/>
    <w:bookmarkEnd w:id="151"/>
    <w:bookmarkEnd w:id="152"/>
    <w:bookmarkEnd w:id="153"/>
    <w:bookmarkEnd w:id="154"/>
    <w:bookmarkEnd w:id="155"/>
    <w:bookmarkEnd w:id="156"/>
    <w:bookmarkEnd w:id="157"/>
    <w:bookmarkEnd w:id="158"/>
    <w:bookmarkEnd w:id="159"/>
    <w:bookmarkEnd w:id="160"/>
    <w:bookmarkEnd w:id="161"/>
    <w:p w14:paraId="4ED8C05A">
      <w:pPr>
        <w:pStyle w:val="246"/>
        <w:keepNext/>
        <w:keepLines/>
        <w:spacing w:before="0" w:beforeLines="0" w:after="0" w:afterLines="0" w:line="360" w:lineRule="auto"/>
        <w:outlineLvl w:val="1"/>
        <w:rPr>
          <w:rStyle w:val="47"/>
          <w:rFonts w:hint="eastAsia" w:ascii="宋体" w:hAnsi="宋体" w:eastAsia="宋体" w:cs="宋体"/>
          <w:b/>
          <w:bCs/>
          <w:color w:val="auto"/>
          <w:sz w:val="21"/>
          <w:szCs w:val="21"/>
          <w:highlight w:val="none"/>
          <w:shd w:val="clear" w:color="auto" w:fill="auto"/>
          <w:lang w:val="zh-CN"/>
        </w:rPr>
      </w:pPr>
      <w:bookmarkStart w:id="1116" w:name="_Toc389065341"/>
      <w:bookmarkStart w:id="1117" w:name="_Toc373478423"/>
      <w:bookmarkStart w:id="1118" w:name="_Toc15390"/>
      <w:bookmarkStart w:id="1119" w:name="_Toc407135279"/>
      <w:bookmarkStart w:id="1120" w:name="_Toc351203651"/>
      <w:bookmarkStart w:id="1121" w:name="_Toc21273"/>
      <w:bookmarkStart w:id="1122" w:name="_Toc373227776"/>
      <w:bookmarkStart w:id="1123" w:name="_Toc9850607"/>
      <w:r>
        <w:rPr>
          <w:rStyle w:val="47"/>
          <w:rFonts w:hint="eastAsia" w:ascii="宋体" w:hAnsi="宋体" w:eastAsia="宋体" w:cs="宋体"/>
          <w:b/>
          <w:bCs/>
          <w:color w:val="auto"/>
          <w:sz w:val="21"/>
          <w:szCs w:val="21"/>
          <w:highlight w:val="none"/>
          <w:shd w:val="clear" w:color="auto" w:fill="auto"/>
          <w:lang w:val="zh-CN"/>
        </w:rPr>
        <w:t>20. 争议解决</w:t>
      </w:r>
      <w:bookmarkEnd w:id="1116"/>
      <w:bookmarkEnd w:id="1117"/>
      <w:bookmarkEnd w:id="1118"/>
      <w:bookmarkEnd w:id="1119"/>
      <w:bookmarkEnd w:id="1120"/>
      <w:bookmarkEnd w:id="1121"/>
      <w:bookmarkEnd w:id="1122"/>
      <w:bookmarkEnd w:id="1123"/>
    </w:p>
    <w:bookmarkEnd w:id="162"/>
    <w:bookmarkEnd w:id="163"/>
    <w:p w14:paraId="7C6D1D00">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124" w:name="_Toc373227777"/>
      <w:bookmarkStart w:id="1125" w:name="_Toc373478424"/>
      <w:bookmarkStart w:id="1126" w:name="_Toc389065342"/>
      <w:bookmarkStart w:id="1127" w:name="_Toc407135280"/>
      <w:bookmarkStart w:id="1128" w:name="_Toc9850608"/>
      <w:r>
        <w:rPr>
          <w:rStyle w:val="47"/>
          <w:rFonts w:hint="eastAsia" w:ascii="宋体" w:hAnsi="宋体" w:eastAsia="宋体" w:cs="宋体"/>
          <w:b/>
          <w:bCs/>
          <w:color w:val="auto"/>
          <w:sz w:val="21"/>
          <w:szCs w:val="21"/>
          <w:highlight w:val="none"/>
          <w:shd w:val="clear" w:color="auto" w:fill="auto"/>
          <w:lang w:val="zh-CN"/>
        </w:rPr>
        <w:t>20.3 争</w:t>
      </w:r>
      <w:bookmarkEnd w:id="164"/>
      <w:r>
        <w:rPr>
          <w:rStyle w:val="47"/>
          <w:rFonts w:hint="eastAsia" w:ascii="宋体" w:hAnsi="宋体" w:eastAsia="宋体" w:cs="宋体"/>
          <w:b/>
          <w:bCs/>
          <w:color w:val="auto"/>
          <w:sz w:val="21"/>
          <w:szCs w:val="21"/>
          <w:highlight w:val="none"/>
          <w:shd w:val="clear" w:color="auto" w:fill="auto"/>
          <w:lang w:val="zh-CN"/>
        </w:rPr>
        <w:t>议评审</w:t>
      </w:r>
      <w:bookmarkEnd w:id="1124"/>
      <w:bookmarkEnd w:id="1125"/>
      <w:bookmarkEnd w:id="1126"/>
      <w:bookmarkEnd w:id="1127"/>
      <w:bookmarkEnd w:id="1128"/>
    </w:p>
    <w:p w14:paraId="06B66529">
      <w:pPr>
        <w:pStyle w:val="246"/>
        <w:spacing w:beforeLines="0" w:afterLines="0" w:line="360" w:lineRule="auto"/>
        <w:ind w:left="0" w:leftChars="0" w:firstLine="315" w:firstLineChars="15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合同当事人是否同意将工程争议提交争议评审小组决定：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3C90F2BD">
      <w:pPr>
        <w:pStyle w:val="246"/>
        <w:spacing w:beforeLines="0" w:afterLines="0" w:line="360" w:lineRule="auto"/>
        <w:ind w:firstLine="420" w:firstLineChars="200"/>
        <w:jc w:val="left"/>
        <w:outlineLvl w:val="0"/>
        <w:rPr>
          <w:rStyle w:val="47"/>
          <w:rFonts w:hint="eastAsia" w:ascii="宋体" w:hAnsi="宋体" w:eastAsia="宋体" w:cs="宋体"/>
          <w:color w:val="auto"/>
          <w:szCs w:val="21"/>
          <w:highlight w:val="none"/>
          <w:shd w:val="clear" w:color="auto" w:fill="auto"/>
        </w:rPr>
      </w:pPr>
      <w:bookmarkStart w:id="1129" w:name="_Toc5725"/>
      <w:bookmarkStart w:id="1130" w:name="_Toc24581"/>
      <w:r>
        <w:rPr>
          <w:rStyle w:val="47"/>
          <w:rFonts w:hint="eastAsia" w:ascii="宋体" w:hAnsi="宋体" w:eastAsia="宋体" w:cs="宋体"/>
          <w:color w:val="auto"/>
          <w:szCs w:val="21"/>
          <w:highlight w:val="none"/>
          <w:shd w:val="clear" w:color="auto" w:fill="auto"/>
        </w:rPr>
        <w:t>20.3.1 争议评审小组的确定</w:t>
      </w:r>
      <w:bookmarkEnd w:id="1129"/>
      <w:bookmarkEnd w:id="1130"/>
    </w:p>
    <w:p w14:paraId="4C720D01">
      <w:pPr>
        <w:pStyle w:val="246"/>
        <w:spacing w:beforeLines="0" w:afterLines="0" w:line="360" w:lineRule="auto"/>
        <w:ind w:firstLine="420" w:firstLineChars="200"/>
        <w:jc w:val="left"/>
        <w:rPr>
          <w:rStyle w:val="47"/>
          <w:rFonts w:hint="eastAsia" w:ascii="宋体" w:hAnsi="宋体" w:eastAsia="宋体" w:cs="宋体"/>
          <w:color w:val="auto"/>
          <w:szCs w:val="21"/>
          <w:highlight w:val="none"/>
          <w:u w:val="single"/>
          <w:shd w:val="clear" w:color="auto" w:fill="auto"/>
        </w:rPr>
      </w:pPr>
      <w:r>
        <w:rPr>
          <w:rStyle w:val="47"/>
          <w:rFonts w:hint="eastAsia" w:ascii="宋体" w:hAnsi="宋体" w:eastAsia="宋体" w:cs="宋体"/>
          <w:color w:val="auto"/>
          <w:szCs w:val="21"/>
          <w:highlight w:val="none"/>
          <w:shd w:val="clear" w:color="auto" w:fill="auto"/>
        </w:rPr>
        <w:t>争议评审小组成员的确定：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C1461E6">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选定争议评审员的期限：</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65649F32">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争议评审小组成员的报酬承担方式：</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79765E0A">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其他事项的约定：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4498EAFA">
      <w:pPr>
        <w:pStyle w:val="246"/>
        <w:autoSpaceDE/>
        <w:autoSpaceDN/>
        <w:adjustRightInd w:val="0"/>
        <w:spacing w:beforeLines="0" w:afterLines="0" w:line="360" w:lineRule="auto"/>
        <w:ind w:firstLine="420" w:firstLineChars="200"/>
        <w:jc w:val="left"/>
        <w:rPr>
          <w:rStyle w:val="47"/>
          <w:rFonts w:hint="eastAsia" w:ascii="宋体" w:hAnsi="宋体" w:eastAsia="宋体" w:cs="宋体"/>
          <w:color w:val="auto"/>
          <w:kern w:val="0"/>
          <w:szCs w:val="21"/>
          <w:highlight w:val="none"/>
          <w:shd w:val="clear" w:color="auto" w:fill="auto"/>
        </w:rPr>
      </w:pPr>
      <w:r>
        <w:rPr>
          <w:rStyle w:val="47"/>
          <w:rFonts w:hint="eastAsia" w:ascii="宋体" w:hAnsi="宋体" w:eastAsia="宋体" w:cs="宋体"/>
          <w:color w:val="auto"/>
          <w:kern w:val="0"/>
          <w:szCs w:val="21"/>
          <w:highlight w:val="none"/>
          <w:shd w:val="clear" w:color="auto" w:fill="auto"/>
        </w:rPr>
        <w:t>20.3.2 争议评审小组的决定</w:t>
      </w:r>
    </w:p>
    <w:p w14:paraId="61C468FB">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合同当事人关于本项的约定：</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u w:val="single"/>
          <w:shd w:val="clear" w:color="auto" w:fill="auto"/>
          <w:lang w:val="en-US" w:eastAsia="zh-CN"/>
        </w:rPr>
        <w:t>/</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w:t>
      </w:r>
    </w:p>
    <w:p w14:paraId="75EA6B4A">
      <w:pPr>
        <w:pStyle w:val="246"/>
        <w:keepNext/>
        <w:keepLines/>
        <w:spacing w:beforeLines="0" w:afterLines="0" w:line="360" w:lineRule="auto"/>
        <w:outlineLvl w:val="2"/>
        <w:rPr>
          <w:rStyle w:val="47"/>
          <w:rFonts w:hint="eastAsia" w:ascii="宋体" w:hAnsi="宋体" w:eastAsia="宋体" w:cs="宋体"/>
          <w:b/>
          <w:bCs/>
          <w:color w:val="auto"/>
          <w:sz w:val="21"/>
          <w:szCs w:val="21"/>
          <w:highlight w:val="none"/>
          <w:shd w:val="clear" w:color="auto" w:fill="auto"/>
          <w:lang w:val="zh-CN"/>
        </w:rPr>
      </w:pPr>
      <w:bookmarkStart w:id="1131" w:name="_Toc373478425"/>
      <w:bookmarkStart w:id="1132" w:name="_Toc407135281"/>
      <w:bookmarkStart w:id="1133" w:name="_Toc389065343"/>
      <w:bookmarkStart w:id="1134" w:name="_Toc373227778"/>
      <w:bookmarkStart w:id="1135" w:name="_Toc9850609"/>
      <w:r>
        <w:rPr>
          <w:rStyle w:val="47"/>
          <w:rFonts w:hint="eastAsia" w:ascii="宋体" w:hAnsi="宋体" w:eastAsia="宋体" w:cs="宋体"/>
          <w:b/>
          <w:bCs/>
          <w:color w:val="auto"/>
          <w:sz w:val="21"/>
          <w:szCs w:val="21"/>
          <w:highlight w:val="none"/>
          <w:shd w:val="clear" w:color="auto" w:fill="auto"/>
          <w:lang w:val="zh-CN"/>
        </w:rPr>
        <w:t>20.4 仲裁或诉讼</w:t>
      </w:r>
      <w:bookmarkEnd w:id="165"/>
      <w:bookmarkEnd w:id="1131"/>
      <w:bookmarkEnd w:id="1132"/>
      <w:bookmarkEnd w:id="1133"/>
      <w:bookmarkEnd w:id="1134"/>
      <w:bookmarkEnd w:id="1135"/>
    </w:p>
    <w:p w14:paraId="0D34273F">
      <w:pPr>
        <w:pStyle w:val="246"/>
        <w:spacing w:beforeLines="0" w:afterLines="0" w:line="360" w:lineRule="auto"/>
        <w:ind w:firstLine="420" w:firstLineChars="200"/>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因合同及合同有关事项发生的争议，按下列第</w:t>
      </w:r>
      <w:r>
        <w:rPr>
          <w:rStyle w:val="47"/>
          <w:rFonts w:hint="eastAsia" w:ascii="宋体" w:hAnsi="宋体" w:eastAsia="宋体" w:cs="宋体"/>
          <w:color w:val="auto"/>
          <w:szCs w:val="21"/>
          <w:highlight w:val="none"/>
          <w:u w:val="single"/>
          <w:shd w:val="clear" w:color="auto" w:fill="auto"/>
        </w:rPr>
        <w:t xml:space="preserve"> 2 </w:t>
      </w:r>
      <w:r>
        <w:rPr>
          <w:rStyle w:val="47"/>
          <w:rFonts w:hint="eastAsia" w:ascii="宋体" w:hAnsi="宋体" w:eastAsia="宋体" w:cs="宋体"/>
          <w:color w:val="auto"/>
          <w:szCs w:val="21"/>
          <w:highlight w:val="none"/>
          <w:shd w:val="clear" w:color="auto" w:fill="auto"/>
        </w:rPr>
        <w:t>种方式解决：</w:t>
      </w:r>
    </w:p>
    <w:p w14:paraId="357C291C">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（1）提请</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仲裁委员会按照该会仲裁规则进行仲裁，仲裁裁决是终局的，对合同双方均有约束力。</w:t>
      </w:r>
    </w:p>
    <w:p w14:paraId="6B5FC140">
      <w:pPr>
        <w:pStyle w:val="246"/>
        <w:spacing w:beforeLines="0" w:afterLines="0" w:line="360" w:lineRule="auto"/>
        <w:ind w:firstLine="420" w:firstLineChars="200"/>
        <w:jc w:val="left"/>
        <w:rPr>
          <w:rStyle w:val="47"/>
          <w:rFonts w:hint="eastAsia" w:ascii="宋体" w:hAnsi="宋体" w:eastAsia="宋体" w:cs="宋体"/>
          <w:color w:val="auto"/>
          <w:szCs w:val="21"/>
          <w:highlight w:val="none"/>
          <w:shd w:val="clear" w:color="auto" w:fill="auto"/>
        </w:rPr>
      </w:pPr>
      <w:r>
        <w:rPr>
          <w:rStyle w:val="47"/>
          <w:rFonts w:hint="eastAsia" w:ascii="宋体" w:hAnsi="宋体" w:eastAsia="宋体" w:cs="宋体"/>
          <w:color w:val="auto"/>
          <w:szCs w:val="21"/>
          <w:highlight w:val="none"/>
          <w:shd w:val="clear" w:color="auto" w:fill="auto"/>
        </w:rPr>
        <w:t>（2）向</w:t>
      </w:r>
      <w:r>
        <w:rPr>
          <w:rStyle w:val="47"/>
          <w:rFonts w:hint="eastAsia" w:ascii="宋体" w:hAnsi="宋体" w:eastAsia="宋体" w:cs="宋体"/>
          <w:color w:val="auto"/>
          <w:szCs w:val="21"/>
          <w:highlight w:val="none"/>
          <w:u w:val="single"/>
          <w:shd w:val="clear" w:color="auto" w:fill="auto"/>
        </w:rPr>
        <w:t xml:space="preserve">  项目所在地</w:t>
      </w:r>
      <w:r>
        <w:rPr>
          <w:rStyle w:val="47"/>
          <w:rFonts w:hint="eastAsia" w:ascii="宋体" w:hAnsi="宋体" w:eastAsia="宋体" w:cs="宋体"/>
          <w:color w:val="auto"/>
          <w:szCs w:val="21"/>
          <w:highlight w:val="none"/>
          <w:u w:val="single"/>
          <w:shd w:val="clear" w:color="auto" w:fill="auto"/>
          <w:lang w:val="en-US" w:eastAsia="zh-CN"/>
        </w:rPr>
        <w:t>有管辖权的</w:t>
      </w:r>
      <w:r>
        <w:rPr>
          <w:rStyle w:val="47"/>
          <w:rFonts w:hint="eastAsia" w:ascii="宋体" w:hAnsi="宋体" w:eastAsia="宋体" w:cs="宋体"/>
          <w:color w:val="auto"/>
          <w:szCs w:val="21"/>
          <w:highlight w:val="none"/>
          <w:u w:val="single"/>
          <w:shd w:val="clear" w:color="auto" w:fill="auto"/>
        </w:rPr>
        <w:t xml:space="preserve">  </w:t>
      </w:r>
      <w:r>
        <w:rPr>
          <w:rStyle w:val="47"/>
          <w:rFonts w:hint="eastAsia" w:ascii="宋体" w:hAnsi="宋体" w:eastAsia="宋体" w:cs="宋体"/>
          <w:color w:val="auto"/>
          <w:szCs w:val="21"/>
          <w:highlight w:val="none"/>
          <w:shd w:val="clear" w:color="auto" w:fill="auto"/>
        </w:rPr>
        <w:t>人民法院起诉。</w:t>
      </w:r>
      <w:bookmarkEnd w:id="166"/>
      <w:bookmarkEnd w:id="167"/>
      <w:bookmarkEnd w:id="168"/>
      <w:bookmarkEnd w:id="169"/>
      <w:bookmarkEnd w:id="170"/>
      <w:bookmarkEnd w:id="171"/>
    </w:p>
    <w:p w14:paraId="00852670">
      <w:pPr>
        <w:pStyle w:val="247"/>
        <w:spacing w:before="0" w:beforeLines="0" w:afterLines="0" w:line="360" w:lineRule="auto"/>
        <w:ind w:right="0"/>
        <w:rPr>
          <w:rStyle w:val="47"/>
          <w:rFonts w:hint="eastAsia" w:ascii="宋体" w:hAnsi="宋体" w:eastAsia="宋体" w:cs="宋体"/>
          <w:b/>
          <w:bCs/>
          <w:color w:val="auto"/>
          <w:kern w:val="2"/>
          <w:sz w:val="21"/>
          <w:szCs w:val="21"/>
          <w:highlight w:val="none"/>
          <w:shd w:val="clear" w:color="auto" w:fill="auto"/>
          <w:lang w:val="zh-CN" w:eastAsia="zh-CN" w:bidi="ar-SA"/>
        </w:rPr>
      </w:pPr>
      <w:r>
        <w:rPr>
          <w:rStyle w:val="47"/>
          <w:rFonts w:hint="eastAsia" w:ascii="宋体" w:hAnsi="宋体" w:eastAsia="宋体" w:cs="宋体"/>
          <w:b/>
          <w:bCs/>
          <w:color w:val="auto"/>
          <w:kern w:val="2"/>
          <w:sz w:val="21"/>
          <w:szCs w:val="21"/>
          <w:highlight w:val="none"/>
          <w:shd w:val="clear" w:color="auto" w:fill="auto"/>
          <w:lang w:val="zh-CN" w:eastAsia="zh-CN" w:bidi="ar-SA"/>
        </w:rPr>
        <w:t>2</w:t>
      </w:r>
      <w:r>
        <w:rPr>
          <w:rStyle w:val="47"/>
          <w:rFonts w:hint="eastAsia" w:ascii="宋体" w:hAnsi="宋体" w:eastAsia="宋体" w:cs="宋体"/>
          <w:b/>
          <w:bCs/>
          <w:color w:val="auto"/>
          <w:kern w:val="2"/>
          <w:sz w:val="21"/>
          <w:szCs w:val="21"/>
          <w:highlight w:val="none"/>
          <w:shd w:val="clear" w:color="auto" w:fill="auto"/>
          <w:lang w:val="en-US" w:eastAsia="zh-CN" w:bidi="ar-SA"/>
        </w:rPr>
        <w:t>1</w:t>
      </w:r>
      <w:r>
        <w:rPr>
          <w:rStyle w:val="47"/>
          <w:rFonts w:hint="eastAsia" w:ascii="宋体" w:hAnsi="宋体" w:eastAsia="宋体" w:cs="宋体"/>
          <w:b/>
          <w:bCs/>
          <w:color w:val="auto"/>
          <w:kern w:val="2"/>
          <w:sz w:val="21"/>
          <w:szCs w:val="21"/>
          <w:highlight w:val="none"/>
          <w:shd w:val="clear" w:color="auto" w:fill="auto"/>
          <w:lang w:val="zh-CN" w:eastAsia="zh-CN" w:bidi="ar-SA"/>
        </w:rPr>
        <w:t>.补充条款</w:t>
      </w:r>
    </w:p>
    <w:p w14:paraId="716098A8">
      <w:pPr>
        <w:pStyle w:val="255"/>
        <w:spacing w:before="0" w:beforeLines="0" w:afterLines="0" w:line="360" w:lineRule="auto"/>
        <w:ind w:left="0" w:leftChars="0" w:right="0" w:firstLine="426" w:firstLineChars="203"/>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none"/>
          <w:shd w:val="clear" w:color="auto" w:fill="auto"/>
          <w:lang w:val="en-US" w:eastAsia="zh-CN" w:bidi="ar"/>
        </w:rPr>
        <w:t>21.1</w:t>
      </w:r>
      <w:r>
        <w:rPr>
          <w:rStyle w:val="47"/>
          <w:rFonts w:hint="eastAsia" w:ascii="宋体" w:hAnsi="宋体" w:eastAsia="宋体" w:cs="宋体"/>
          <w:color w:val="auto"/>
          <w:kern w:val="2"/>
          <w:sz w:val="21"/>
          <w:szCs w:val="21"/>
          <w:highlight w:val="none"/>
          <w:u w:val="single"/>
          <w:shd w:val="clear" w:color="auto" w:fill="auto"/>
          <w:lang w:val="en-US" w:eastAsia="zh-CN" w:bidi="ar"/>
        </w:rPr>
        <w:t>本工程禁止使用童工。</w:t>
      </w:r>
    </w:p>
    <w:p w14:paraId="1AF9908A">
      <w:pPr>
        <w:pStyle w:val="229"/>
        <w:adjustRightInd w:val="0"/>
        <w:snapToGrid w:val="0"/>
        <w:spacing w:beforeLines="0" w:afterLines="0" w:line="360" w:lineRule="auto"/>
        <w:ind w:firstLine="420" w:firstLineChars="200"/>
        <w:rPr>
          <w:rStyle w:val="47"/>
          <w:rFonts w:hint="eastAsia" w:ascii="宋体" w:hAnsi="宋体" w:eastAsia="宋体" w:cs="宋体"/>
          <w:color w:val="auto"/>
          <w:sz w:val="21"/>
          <w:szCs w:val="21"/>
          <w:highlight w:val="none"/>
          <w:u w:val="single"/>
        </w:rPr>
      </w:pPr>
      <w:r>
        <w:rPr>
          <w:rStyle w:val="47"/>
          <w:rFonts w:hint="eastAsia" w:ascii="宋体" w:hAnsi="宋体" w:eastAsia="宋体" w:cs="宋体"/>
          <w:color w:val="auto"/>
          <w:kern w:val="2"/>
          <w:sz w:val="21"/>
          <w:szCs w:val="21"/>
          <w:highlight w:val="none"/>
          <w:u w:val="none"/>
          <w:shd w:val="clear" w:color="auto" w:fill="auto"/>
          <w:lang w:val="en-US" w:eastAsia="zh-CN" w:bidi="ar"/>
        </w:rPr>
        <w:t>21.2</w:t>
      </w:r>
      <w:r>
        <w:rPr>
          <w:rStyle w:val="47"/>
          <w:rFonts w:hint="eastAsia" w:ascii="宋体" w:hAnsi="宋体" w:eastAsia="宋体" w:cs="宋体"/>
          <w:color w:val="auto"/>
          <w:kern w:val="2"/>
          <w:sz w:val="21"/>
          <w:szCs w:val="21"/>
          <w:highlight w:val="none"/>
          <w:u w:val="single"/>
          <w:shd w:val="clear" w:color="auto" w:fill="auto"/>
          <w:lang w:val="en-US" w:eastAsia="zh-CN" w:bidi="ar"/>
        </w:rPr>
        <w:t>关于工期：（1）凡双方认可的合理工期顺延，发包人不承担因工期顺延、停工产生的一切损失及费用。（2）保证文明施工，安全生产，因承包人原因发生安全事故或造成其他损失，由承包人承担一切费用，工期不予延长；因承包人原因造成的停工，由承包人承担一切费用，工期不予延长</w:t>
      </w:r>
      <w:r>
        <w:rPr>
          <w:rStyle w:val="47"/>
          <w:rFonts w:hint="eastAsia" w:ascii="宋体" w:hAnsi="宋体" w:cs="宋体"/>
          <w:color w:val="auto"/>
          <w:kern w:val="2"/>
          <w:sz w:val="21"/>
          <w:szCs w:val="21"/>
          <w:highlight w:val="none"/>
          <w:u w:val="single"/>
          <w:shd w:val="clear" w:color="auto" w:fill="auto"/>
          <w:lang w:val="en-US" w:eastAsia="zh-CN" w:bidi="ar"/>
        </w:rPr>
        <w:t>，</w:t>
      </w:r>
      <w:r>
        <w:rPr>
          <w:rStyle w:val="47"/>
          <w:rFonts w:hint="eastAsia" w:ascii="宋体" w:hAnsi="宋体" w:eastAsia="宋体" w:cs="宋体"/>
          <w:color w:val="auto"/>
          <w:kern w:val="2"/>
          <w:sz w:val="21"/>
          <w:szCs w:val="21"/>
          <w:highlight w:val="none"/>
          <w:u w:val="single"/>
          <w:shd w:val="clear" w:color="auto" w:fill="auto"/>
          <w:lang w:val="en-US" w:eastAsia="zh-CN" w:bidi="ar"/>
        </w:rPr>
        <w:t>如承包人原因造成的工期延误，承包人负责赔偿：3000元/日，上限为合同价款的2%；</w:t>
      </w:r>
    </w:p>
    <w:p w14:paraId="12033290">
      <w:pPr>
        <w:pStyle w:val="255"/>
        <w:spacing w:before="0" w:beforeLines="0" w:afterLines="0" w:line="360" w:lineRule="auto"/>
        <w:ind w:left="0" w:leftChars="0" w:right="0" w:firstLine="426" w:firstLineChars="203"/>
        <w:rPr>
          <w:rStyle w:val="47"/>
          <w:rFonts w:hint="eastAsia" w:ascii="宋体" w:hAnsi="宋体" w:eastAsia="宋体" w:cs="宋体"/>
          <w:color w:val="auto"/>
          <w:kern w:val="2"/>
          <w:sz w:val="21"/>
          <w:szCs w:val="21"/>
          <w:highlight w:val="none"/>
          <w:u w:val="single"/>
          <w:shd w:val="clear" w:color="auto" w:fill="auto"/>
          <w:lang w:val="en-US" w:eastAsia="zh-CN" w:bidi="ar"/>
        </w:rPr>
      </w:pPr>
    </w:p>
    <w:p w14:paraId="606BD7AD">
      <w:pPr>
        <w:pStyle w:val="255"/>
        <w:spacing w:before="0" w:beforeLines="0" w:afterLines="0" w:line="360" w:lineRule="auto"/>
        <w:ind w:left="0" w:leftChars="0" w:right="0" w:firstLine="426" w:firstLineChars="203"/>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none"/>
          <w:shd w:val="clear" w:color="auto" w:fill="auto"/>
          <w:lang w:val="en-US" w:eastAsia="zh-CN" w:bidi="ar"/>
        </w:rPr>
        <w:t>21.3</w:t>
      </w:r>
      <w:r>
        <w:rPr>
          <w:rStyle w:val="47"/>
          <w:rFonts w:hint="eastAsia" w:ascii="宋体" w:hAnsi="宋体" w:eastAsia="宋体" w:cs="宋体"/>
          <w:color w:val="auto"/>
          <w:kern w:val="2"/>
          <w:sz w:val="21"/>
          <w:szCs w:val="21"/>
          <w:highlight w:val="none"/>
          <w:u w:val="single"/>
          <w:shd w:val="clear" w:color="auto" w:fill="auto"/>
          <w:lang w:val="en-US" w:eastAsia="zh-CN" w:bidi="ar"/>
        </w:rPr>
        <w:t>关于安全文明施工：（1）承包人应遵守政府有关主管部门对施工场地的管理规定，并按规定办理相关手续。</w:t>
      </w:r>
    </w:p>
    <w:p w14:paraId="3EA7279B">
      <w:pPr>
        <w:pStyle w:val="255"/>
        <w:spacing w:before="0" w:beforeLines="0" w:afterLines="0" w:line="360" w:lineRule="auto"/>
        <w:ind w:left="0" w:leftChars="0" w:right="0" w:firstLine="426"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kern w:val="2"/>
          <w:sz w:val="21"/>
          <w:szCs w:val="21"/>
          <w:highlight w:val="none"/>
          <w:u w:val="none"/>
          <w:shd w:val="clear" w:color="auto" w:fill="auto"/>
          <w:lang w:val="en-US" w:eastAsia="zh-CN" w:bidi="ar"/>
        </w:rPr>
        <w:t xml:space="preserve">21.4 </w:t>
      </w:r>
      <w:r>
        <w:rPr>
          <w:rStyle w:val="47"/>
          <w:rFonts w:hint="eastAsia" w:ascii="宋体" w:hAnsi="宋体" w:eastAsia="宋体" w:cs="宋体"/>
          <w:color w:val="auto"/>
          <w:spacing w:val="-2"/>
          <w:sz w:val="21"/>
          <w:szCs w:val="21"/>
          <w:highlight w:val="none"/>
        </w:rPr>
        <w:t>为解决本单位工程建设过程中保障农民工工资及时、足额发放和工程结</w:t>
      </w:r>
      <w:r>
        <w:rPr>
          <w:rStyle w:val="47"/>
          <w:rFonts w:hint="eastAsia" w:ascii="宋体" w:hAnsi="宋体" w:eastAsia="宋体" w:cs="宋体"/>
          <w:color w:val="auto"/>
          <w:spacing w:val="-1"/>
          <w:sz w:val="21"/>
          <w:szCs w:val="21"/>
          <w:highlight w:val="none"/>
        </w:rPr>
        <w:t>算</w:t>
      </w:r>
      <w:r>
        <w:rPr>
          <w:rStyle w:val="47"/>
          <w:rFonts w:hint="eastAsia" w:ascii="宋体" w:hAnsi="宋体" w:eastAsia="宋体" w:cs="宋体"/>
          <w:color w:val="auto"/>
          <w:spacing w:val="2"/>
          <w:sz w:val="21"/>
          <w:szCs w:val="21"/>
          <w:highlight w:val="none"/>
        </w:rPr>
        <w:t>审</w:t>
      </w:r>
      <w:r>
        <w:rPr>
          <w:rStyle w:val="47"/>
          <w:rFonts w:hint="eastAsia" w:ascii="宋体" w:hAnsi="宋体" w:eastAsia="宋体" w:cs="宋体"/>
          <w:color w:val="auto"/>
          <w:spacing w:val="2"/>
          <w:sz w:val="21"/>
          <w:szCs w:val="21"/>
          <w:highlight w:val="none"/>
          <w:lang w:val="en-US" w:eastAsia="zh-CN"/>
        </w:rPr>
        <w:t>核</w:t>
      </w:r>
      <w:r>
        <w:rPr>
          <w:rStyle w:val="47"/>
          <w:rFonts w:hint="eastAsia" w:ascii="宋体" w:hAnsi="宋体" w:eastAsia="宋体" w:cs="宋体"/>
          <w:color w:val="auto"/>
          <w:spacing w:val="1"/>
          <w:sz w:val="21"/>
          <w:szCs w:val="21"/>
          <w:highlight w:val="none"/>
        </w:rPr>
        <w:t>严肃性、真实性问题，根据国家法律法规，从工程建设特点出发，在施工合同</w:t>
      </w:r>
      <w:r>
        <w:rPr>
          <w:rStyle w:val="47"/>
          <w:rFonts w:hint="eastAsia" w:ascii="宋体" w:hAnsi="宋体" w:eastAsia="宋体" w:cs="宋体"/>
          <w:color w:val="auto"/>
          <w:spacing w:val="-4"/>
          <w:sz w:val="21"/>
          <w:szCs w:val="21"/>
          <w:highlight w:val="none"/>
        </w:rPr>
        <w:t>中增加</w:t>
      </w:r>
      <w:r>
        <w:rPr>
          <w:rStyle w:val="47"/>
          <w:rFonts w:hint="eastAsia" w:ascii="宋体" w:hAnsi="宋体" w:eastAsia="宋体" w:cs="宋体"/>
          <w:color w:val="auto"/>
          <w:spacing w:val="-2"/>
          <w:sz w:val="21"/>
          <w:szCs w:val="21"/>
          <w:highlight w:val="none"/>
        </w:rPr>
        <w:t>以下两点内容：</w:t>
      </w:r>
    </w:p>
    <w:p w14:paraId="0D4DFABD">
      <w:pPr>
        <w:pStyle w:val="255"/>
        <w:spacing w:before="0" w:beforeLines="0" w:afterLines="0" w:line="360" w:lineRule="auto"/>
        <w:ind w:left="0" w:leftChars="0" w:firstLine="466"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10"/>
          <w:sz w:val="21"/>
          <w:szCs w:val="21"/>
          <w:highlight w:val="none"/>
        </w:rPr>
        <w:t>(1)  保证农民工工资发放措施</w:t>
      </w:r>
    </w:p>
    <w:p w14:paraId="2307D12C">
      <w:pPr>
        <w:pStyle w:val="255"/>
        <w:spacing w:before="0" w:beforeLines="0" w:afterLines="0" w:line="360" w:lineRule="auto"/>
        <w:ind w:left="0" w:leftChars="0" w:right="0" w:firstLine="385"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10"/>
          <w:sz w:val="21"/>
          <w:szCs w:val="21"/>
          <w:highlight w:val="none"/>
        </w:rPr>
        <w:t xml:space="preserve">1) </w:t>
      </w:r>
      <w:r>
        <w:rPr>
          <w:rStyle w:val="47"/>
          <w:rFonts w:hint="eastAsia" w:ascii="宋体" w:hAnsi="宋体" w:eastAsia="宋体" w:cs="宋体"/>
          <w:color w:val="auto"/>
          <w:spacing w:val="-7"/>
          <w:sz w:val="21"/>
          <w:szCs w:val="21"/>
          <w:highlight w:val="none"/>
        </w:rPr>
        <w:t>施</w:t>
      </w:r>
      <w:r>
        <w:rPr>
          <w:rStyle w:val="47"/>
          <w:rFonts w:hint="eastAsia" w:ascii="宋体" w:hAnsi="宋体" w:eastAsia="宋体" w:cs="宋体"/>
          <w:color w:val="auto"/>
          <w:spacing w:val="-5"/>
          <w:sz w:val="21"/>
          <w:szCs w:val="21"/>
          <w:highlight w:val="none"/>
        </w:rPr>
        <w:t>工单位应在银行设立农民工工资专户， 仅用于发放农民工工资款，不得用于材</w:t>
      </w:r>
      <w:r>
        <w:rPr>
          <w:rStyle w:val="47"/>
          <w:rFonts w:hint="eastAsia" w:ascii="宋体" w:hAnsi="宋体" w:eastAsia="宋体" w:cs="宋体"/>
          <w:color w:val="auto"/>
          <w:spacing w:val="1"/>
          <w:sz w:val="21"/>
          <w:szCs w:val="21"/>
          <w:highlight w:val="none"/>
        </w:rPr>
        <w:t>料和设备采购、项目管理人员工资、税费缴纳</w:t>
      </w:r>
      <w:r>
        <w:rPr>
          <w:rStyle w:val="47"/>
          <w:rFonts w:hint="eastAsia" w:ascii="宋体" w:hAnsi="宋体" w:eastAsia="宋体" w:cs="宋体"/>
          <w:color w:val="auto"/>
          <w:sz w:val="21"/>
          <w:szCs w:val="21"/>
          <w:highlight w:val="none"/>
        </w:rPr>
        <w:t>等；</w:t>
      </w:r>
    </w:p>
    <w:p w14:paraId="0DAD210A">
      <w:pPr>
        <w:pStyle w:val="255"/>
        <w:spacing w:before="0" w:beforeLines="0" w:afterLines="0" w:line="360" w:lineRule="auto"/>
        <w:ind w:left="0" w:leftChars="0" w:right="0" w:firstLine="389"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9"/>
          <w:sz w:val="21"/>
          <w:szCs w:val="21"/>
          <w:highlight w:val="none"/>
        </w:rPr>
        <w:t>2</w:t>
      </w:r>
      <w:r>
        <w:rPr>
          <w:rStyle w:val="47"/>
          <w:rFonts w:hint="eastAsia" w:ascii="宋体" w:hAnsi="宋体" w:eastAsia="宋体" w:cs="宋体"/>
          <w:color w:val="auto"/>
          <w:spacing w:val="-5"/>
          <w:sz w:val="21"/>
          <w:szCs w:val="21"/>
          <w:highlight w:val="none"/>
        </w:rPr>
        <w:t>) 施工单位申请工程进度款， 应同时制定本期农民工工资支付明细表，建设单位根</w:t>
      </w:r>
      <w:r>
        <w:rPr>
          <w:rStyle w:val="47"/>
          <w:rFonts w:hint="eastAsia" w:ascii="宋体" w:hAnsi="宋体" w:eastAsia="宋体" w:cs="宋体"/>
          <w:color w:val="auto"/>
          <w:spacing w:val="2"/>
          <w:sz w:val="21"/>
          <w:szCs w:val="21"/>
          <w:highlight w:val="none"/>
        </w:rPr>
        <w:t>据农民工工资明细表直接将资金直接转入施工单位提供的农</w:t>
      </w:r>
      <w:r>
        <w:rPr>
          <w:rStyle w:val="47"/>
          <w:rFonts w:hint="eastAsia" w:ascii="宋体" w:hAnsi="宋体" w:eastAsia="宋体" w:cs="宋体"/>
          <w:color w:val="auto"/>
          <w:spacing w:val="1"/>
          <w:sz w:val="21"/>
          <w:szCs w:val="21"/>
          <w:highlight w:val="none"/>
        </w:rPr>
        <w:t>民工工资专户；</w:t>
      </w:r>
    </w:p>
    <w:p w14:paraId="24055709">
      <w:pPr>
        <w:pStyle w:val="255"/>
        <w:spacing w:beforeLines="0" w:afterLines="0" w:line="360" w:lineRule="auto"/>
        <w:ind w:left="0" w:leftChars="0" w:firstLine="418"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3) 对于施工单位未能够提供农民工工资支付明细表，建设单位根据不同的工程类型</w:t>
      </w:r>
      <w:r>
        <w:rPr>
          <w:rStyle w:val="47"/>
          <w:rFonts w:hint="eastAsia" w:ascii="宋体" w:hAnsi="宋体" w:eastAsia="宋体" w:cs="宋体"/>
          <w:color w:val="auto"/>
          <w:spacing w:val="1"/>
          <w:sz w:val="21"/>
          <w:szCs w:val="21"/>
          <w:highlight w:val="none"/>
        </w:rPr>
        <w:t>(房屋建筑工程、市政工程、管线迁移工程等)，按照工程申请进度款的一定比</w:t>
      </w:r>
      <w:r>
        <w:rPr>
          <w:rStyle w:val="47"/>
          <w:rFonts w:hint="eastAsia" w:ascii="宋体" w:hAnsi="宋体" w:eastAsia="宋体" w:cs="宋体"/>
          <w:color w:val="auto"/>
          <w:sz w:val="21"/>
          <w:szCs w:val="21"/>
          <w:highlight w:val="none"/>
        </w:rPr>
        <w:t xml:space="preserve">例作 </w:t>
      </w:r>
      <w:r>
        <w:rPr>
          <w:rStyle w:val="47"/>
          <w:rFonts w:hint="eastAsia" w:ascii="宋体" w:hAnsi="宋体" w:eastAsia="宋体" w:cs="宋体"/>
          <w:color w:val="auto"/>
          <w:spacing w:val="2"/>
          <w:sz w:val="21"/>
          <w:szCs w:val="21"/>
          <w:highlight w:val="none"/>
        </w:rPr>
        <w:t>为农民工工资，通过银行转账</w:t>
      </w:r>
      <w:r>
        <w:rPr>
          <w:rStyle w:val="47"/>
          <w:rFonts w:hint="eastAsia" w:ascii="宋体" w:hAnsi="宋体" w:eastAsia="宋体" w:cs="宋体"/>
          <w:color w:val="auto"/>
          <w:spacing w:val="1"/>
          <w:sz w:val="21"/>
          <w:szCs w:val="21"/>
          <w:highlight w:val="none"/>
        </w:rPr>
        <w:t>形式，将资金直接转入施工单位提供的农民工工资专</w:t>
      </w:r>
      <w:r>
        <w:rPr>
          <w:rStyle w:val="47"/>
          <w:rFonts w:hint="eastAsia" w:ascii="宋体" w:hAnsi="宋体" w:eastAsia="宋体" w:cs="宋体"/>
          <w:color w:val="auto"/>
          <w:sz w:val="21"/>
          <w:szCs w:val="21"/>
          <w:highlight w:val="none"/>
        </w:rPr>
        <w:t xml:space="preserve"> </w:t>
      </w:r>
      <w:r>
        <w:rPr>
          <w:rStyle w:val="47"/>
          <w:rFonts w:hint="eastAsia" w:ascii="宋体" w:hAnsi="宋体" w:eastAsia="宋体" w:cs="宋体"/>
          <w:color w:val="auto"/>
          <w:spacing w:val="-16"/>
          <w:sz w:val="21"/>
          <w:szCs w:val="21"/>
          <w:highlight w:val="none"/>
        </w:rPr>
        <w:t>户</w:t>
      </w:r>
      <w:r>
        <w:rPr>
          <w:rStyle w:val="47"/>
          <w:rFonts w:hint="eastAsia" w:ascii="宋体" w:hAnsi="宋体" w:eastAsia="宋体" w:cs="宋体"/>
          <w:color w:val="auto"/>
          <w:spacing w:val="-15"/>
          <w:sz w:val="21"/>
          <w:szCs w:val="21"/>
          <w:highlight w:val="none"/>
        </w:rPr>
        <w:t>；</w:t>
      </w:r>
    </w:p>
    <w:p w14:paraId="40D20E35">
      <w:pPr>
        <w:pStyle w:val="255"/>
        <w:spacing w:beforeLines="0" w:afterLines="0" w:line="360" w:lineRule="auto"/>
        <w:ind w:left="0" w:leftChars="0" w:firstLine="458"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8"/>
          <w:sz w:val="21"/>
          <w:szCs w:val="21"/>
          <w:highlight w:val="none"/>
        </w:rPr>
        <w:t>农</w:t>
      </w:r>
      <w:r>
        <w:rPr>
          <w:rStyle w:val="47"/>
          <w:rFonts w:hint="eastAsia" w:ascii="宋体" w:hAnsi="宋体" w:eastAsia="宋体" w:cs="宋体"/>
          <w:color w:val="auto"/>
          <w:spacing w:val="5"/>
          <w:sz w:val="21"/>
          <w:szCs w:val="21"/>
          <w:highlight w:val="none"/>
        </w:rPr>
        <w:t>民</w:t>
      </w:r>
      <w:r>
        <w:rPr>
          <w:rStyle w:val="47"/>
          <w:rFonts w:hint="eastAsia" w:ascii="宋体" w:hAnsi="宋体" w:eastAsia="宋体" w:cs="宋体"/>
          <w:color w:val="auto"/>
          <w:spacing w:val="4"/>
          <w:sz w:val="21"/>
          <w:szCs w:val="21"/>
          <w:highlight w:val="none"/>
        </w:rPr>
        <w:t>工工资占比约定执行比例</w:t>
      </w:r>
    </w:p>
    <w:tbl>
      <w:tblPr>
        <w:tblStyle w:val="256"/>
        <w:tblW w:w="8914"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8"/>
        <w:gridCol w:w="2346"/>
        <w:gridCol w:w="4130"/>
      </w:tblGrid>
      <w:tr w14:paraId="5EE5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438" w:type="dxa"/>
            <w:tcBorders>
              <w:top w:val="single" w:color="000000" w:sz="2" w:space="0"/>
              <w:bottom w:val="single" w:color="000000" w:sz="2" w:space="0"/>
            </w:tcBorders>
            <w:noWrap w:val="0"/>
            <w:vAlign w:val="center"/>
          </w:tcPr>
          <w:p w14:paraId="7D9F4AA9">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工程类型</w:t>
            </w:r>
          </w:p>
        </w:tc>
        <w:tc>
          <w:tcPr>
            <w:tcW w:w="2346" w:type="dxa"/>
            <w:tcBorders>
              <w:top w:val="single" w:color="000000" w:sz="2" w:space="0"/>
              <w:bottom w:val="single" w:color="000000" w:sz="2" w:space="0"/>
            </w:tcBorders>
            <w:noWrap w:val="0"/>
            <w:vAlign w:val="center"/>
          </w:tcPr>
          <w:p w14:paraId="5CA00772">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4"/>
                <w:sz w:val="21"/>
                <w:szCs w:val="21"/>
                <w:highlight w:val="none"/>
              </w:rPr>
              <w:t>农民工工资占</w:t>
            </w:r>
            <w:r>
              <w:rPr>
                <w:rStyle w:val="47"/>
                <w:rFonts w:hint="eastAsia" w:ascii="宋体" w:hAnsi="宋体" w:eastAsia="宋体" w:cs="宋体"/>
                <w:color w:val="auto"/>
                <w:spacing w:val="3"/>
                <w:sz w:val="21"/>
                <w:szCs w:val="21"/>
                <w:highlight w:val="none"/>
              </w:rPr>
              <w:t>比</w:t>
            </w:r>
          </w:p>
        </w:tc>
        <w:tc>
          <w:tcPr>
            <w:tcW w:w="4130" w:type="dxa"/>
            <w:tcBorders>
              <w:top w:val="single" w:color="000000" w:sz="2" w:space="0"/>
              <w:bottom w:val="single" w:color="000000" w:sz="2" w:space="0"/>
            </w:tcBorders>
            <w:noWrap w:val="0"/>
            <w:vAlign w:val="center"/>
          </w:tcPr>
          <w:p w14:paraId="48A6AE81">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1"/>
                <w:sz w:val="21"/>
                <w:szCs w:val="21"/>
                <w:highlight w:val="none"/>
              </w:rPr>
              <w:t>备注</w:t>
            </w:r>
          </w:p>
        </w:tc>
      </w:tr>
      <w:tr w14:paraId="42A5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438" w:type="dxa"/>
            <w:tcBorders>
              <w:top w:val="single" w:color="000000" w:sz="2" w:space="0"/>
              <w:bottom w:val="single" w:color="000000" w:sz="2" w:space="0"/>
            </w:tcBorders>
            <w:noWrap w:val="0"/>
            <w:vAlign w:val="center"/>
          </w:tcPr>
          <w:p w14:paraId="2CB15162">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5"/>
                <w:sz w:val="21"/>
                <w:szCs w:val="21"/>
                <w:highlight w:val="none"/>
              </w:rPr>
              <w:t>房</w:t>
            </w:r>
            <w:r>
              <w:rPr>
                <w:rStyle w:val="47"/>
                <w:rFonts w:hint="eastAsia" w:ascii="宋体" w:hAnsi="宋体" w:eastAsia="宋体" w:cs="宋体"/>
                <w:color w:val="auto"/>
                <w:spacing w:val="3"/>
                <w:sz w:val="21"/>
                <w:szCs w:val="21"/>
                <w:highlight w:val="none"/>
              </w:rPr>
              <w:t>屋建筑工程</w:t>
            </w:r>
          </w:p>
        </w:tc>
        <w:tc>
          <w:tcPr>
            <w:tcW w:w="2346" w:type="dxa"/>
            <w:tcBorders>
              <w:top w:val="single" w:color="000000" w:sz="2" w:space="0"/>
              <w:bottom w:val="single" w:color="000000" w:sz="2" w:space="0"/>
            </w:tcBorders>
            <w:noWrap w:val="0"/>
            <w:vAlign w:val="center"/>
          </w:tcPr>
          <w:p w14:paraId="0E76E31A">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9"/>
                <w:sz w:val="21"/>
                <w:szCs w:val="21"/>
                <w:highlight w:val="none"/>
              </w:rPr>
              <w:t>不</w:t>
            </w:r>
            <w:r>
              <w:rPr>
                <w:rStyle w:val="47"/>
                <w:rFonts w:hint="eastAsia" w:ascii="宋体" w:hAnsi="宋体" w:eastAsia="宋体" w:cs="宋体"/>
                <w:color w:val="auto"/>
                <w:spacing w:val="-5"/>
                <w:sz w:val="21"/>
                <w:szCs w:val="21"/>
                <w:highlight w:val="none"/>
              </w:rPr>
              <w:t>低于 20%</w:t>
            </w:r>
          </w:p>
        </w:tc>
        <w:tc>
          <w:tcPr>
            <w:tcW w:w="4130" w:type="dxa"/>
            <w:tcBorders>
              <w:top w:val="single" w:color="000000" w:sz="2" w:space="0"/>
              <w:bottom w:val="single" w:color="000000" w:sz="2" w:space="0"/>
            </w:tcBorders>
            <w:noWrap w:val="0"/>
            <w:vAlign w:val="center"/>
          </w:tcPr>
          <w:p w14:paraId="00493D97">
            <w:pPr>
              <w:pStyle w:val="255"/>
              <w:spacing w:before="0" w:beforeLines="0" w:afterLines="0" w:line="360" w:lineRule="auto"/>
              <w:ind w:right="0"/>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6"/>
                <w:sz w:val="21"/>
                <w:szCs w:val="21"/>
                <w:highlight w:val="none"/>
              </w:rPr>
              <w:t>按</w:t>
            </w:r>
            <w:r>
              <w:rPr>
                <w:rStyle w:val="47"/>
                <w:rFonts w:hint="eastAsia" w:ascii="宋体" w:hAnsi="宋体" w:eastAsia="宋体" w:cs="宋体"/>
                <w:color w:val="auto"/>
                <w:spacing w:val="4"/>
                <w:sz w:val="21"/>
                <w:szCs w:val="21"/>
                <w:highlight w:val="none"/>
              </w:rPr>
              <w:t>照进度款申请金额，足</w:t>
            </w:r>
            <w:r>
              <w:rPr>
                <w:rStyle w:val="47"/>
                <w:rFonts w:hint="eastAsia" w:ascii="宋体" w:hAnsi="宋体" w:eastAsia="宋体" w:cs="宋体"/>
                <w:color w:val="auto"/>
                <w:sz w:val="21"/>
                <w:szCs w:val="21"/>
                <w:highlight w:val="none"/>
              </w:rPr>
              <w:t xml:space="preserve"> </w:t>
            </w:r>
            <w:r>
              <w:rPr>
                <w:rStyle w:val="47"/>
                <w:rFonts w:hint="eastAsia" w:ascii="宋体" w:hAnsi="宋体" w:eastAsia="宋体" w:cs="宋体"/>
                <w:color w:val="auto"/>
                <w:spacing w:val="6"/>
                <w:sz w:val="21"/>
                <w:szCs w:val="21"/>
                <w:highlight w:val="none"/>
              </w:rPr>
              <w:t>额</w:t>
            </w:r>
            <w:r>
              <w:rPr>
                <w:rStyle w:val="47"/>
                <w:rFonts w:hint="eastAsia" w:ascii="宋体" w:hAnsi="宋体" w:eastAsia="宋体" w:cs="宋体"/>
                <w:color w:val="auto"/>
                <w:spacing w:val="3"/>
                <w:sz w:val="21"/>
                <w:szCs w:val="21"/>
                <w:highlight w:val="none"/>
              </w:rPr>
              <w:t>、优先拨付</w:t>
            </w:r>
          </w:p>
        </w:tc>
      </w:tr>
      <w:tr w14:paraId="717EB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438" w:type="dxa"/>
            <w:tcBorders>
              <w:top w:val="single" w:color="000000" w:sz="2" w:space="0"/>
              <w:bottom w:val="single" w:color="000000" w:sz="2" w:space="0"/>
            </w:tcBorders>
            <w:noWrap w:val="0"/>
            <w:vAlign w:val="center"/>
          </w:tcPr>
          <w:p w14:paraId="5E562D7E">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1"/>
                <w:sz w:val="21"/>
                <w:szCs w:val="21"/>
                <w:highlight w:val="none"/>
              </w:rPr>
              <w:t>市政工程</w:t>
            </w:r>
          </w:p>
        </w:tc>
        <w:tc>
          <w:tcPr>
            <w:tcW w:w="2346" w:type="dxa"/>
            <w:tcBorders>
              <w:top w:val="single" w:color="000000" w:sz="2" w:space="0"/>
              <w:bottom w:val="single" w:color="000000" w:sz="2" w:space="0"/>
            </w:tcBorders>
            <w:noWrap w:val="0"/>
            <w:vAlign w:val="center"/>
          </w:tcPr>
          <w:p w14:paraId="384EFD76">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7"/>
                <w:sz w:val="21"/>
                <w:szCs w:val="21"/>
                <w:highlight w:val="none"/>
              </w:rPr>
              <w:t>不</w:t>
            </w:r>
            <w:r>
              <w:rPr>
                <w:rStyle w:val="47"/>
                <w:rFonts w:hint="eastAsia" w:ascii="宋体" w:hAnsi="宋体" w:eastAsia="宋体" w:cs="宋体"/>
                <w:color w:val="auto"/>
                <w:spacing w:val="-5"/>
                <w:sz w:val="21"/>
                <w:szCs w:val="21"/>
                <w:highlight w:val="none"/>
              </w:rPr>
              <w:t>低于 15%</w:t>
            </w:r>
          </w:p>
        </w:tc>
        <w:tc>
          <w:tcPr>
            <w:tcW w:w="4130" w:type="dxa"/>
            <w:tcBorders>
              <w:top w:val="single" w:color="000000" w:sz="2" w:space="0"/>
              <w:bottom w:val="single" w:color="000000" w:sz="2" w:space="0"/>
            </w:tcBorders>
            <w:noWrap w:val="0"/>
            <w:vAlign w:val="center"/>
          </w:tcPr>
          <w:p w14:paraId="192FCB11">
            <w:pPr>
              <w:pStyle w:val="255"/>
              <w:spacing w:before="0" w:beforeLines="0" w:afterLines="0" w:line="360" w:lineRule="auto"/>
              <w:ind w:right="0"/>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6"/>
                <w:sz w:val="21"/>
                <w:szCs w:val="21"/>
                <w:highlight w:val="none"/>
              </w:rPr>
              <w:t>按</w:t>
            </w:r>
            <w:r>
              <w:rPr>
                <w:rStyle w:val="47"/>
                <w:rFonts w:hint="eastAsia" w:ascii="宋体" w:hAnsi="宋体" w:eastAsia="宋体" w:cs="宋体"/>
                <w:color w:val="auto"/>
                <w:spacing w:val="4"/>
                <w:sz w:val="21"/>
                <w:szCs w:val="21"/>
                <w:highlight w:val="none"/>
              </w:rPr>
              <w:t>照进度款申请金额，足</w:t>
            </w:r>
            <w:r>
              <w:rPr>
                <w:rStyle w:val="47"/>
                <w:rFonts w:hint="eastAsia" w:ascii="宋体" w:hAnsi="宋体" w:eastAsia="宋体" w:cs="宋体"/>
                <w:color w:val="auto"/>
                <w:sz w:val="21"/>
                <w:szCs w:val="21"/>
                <w:highlight w:val="none"/>
              </w:rPr>
              <w:t xml:space="preserve"> </w:t>
            </w:r>
            <w:r>
              <w:rPr>
                <w:rStyle w:val="47"/>
                <w:rFonts w:hint="eastAsia" w:ascii="宋体" w:hAnsi="宋体" w:eastAsia="宋体" w:cs="宋体"/>
                <w:color w:val="auto"/>
                <w:spacing w:val="6"/>
                <w:sz w:val="21"/>
                <w:szCs w:val="21"/>
                <w:highlight w:val="none"/>
              </w:rPr>
              <w:t>额</w:t>
            </w:r>
            <w:r>
              <w:rPr>
                <w:rStyle w:val="47"/>
                <w:rFonts w:hint="eastAsia" w:ascii="宋体" w:hAnsi="宋体" w:eastAsia="宋体" w:cs="宋体"/>
                <w:color w:val="auto"/>
                <w:spacing w:val="3"/>
                <w:sz w:val="21"/>
                <w:szCs w:val="21"/>
                <w:highlight w:val="none"/>
              </w:rPr>
              <w:t>、优先拨付</w:t>
            </w:r>
          </w:p>
        </w:tc>
      </w:tr>
      <w:tr w14:paraId="0D10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38" w:type="dxa"/>
            <w:tcBorders>
              <w:top w:val="single" w:color="000000" w:sz="2" w:space="0"/>
              <w:bottom w:val="single" w:color="000000" w:sz="2" w:space="0"/>
            </w:tcBorders>
            <w:noWrap w:val="0"/>
            <w:vAlign w:val="center"/>
          </w:tcPr>
          <w:p w14:paraId="2BE9A1C1">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4"/>
                <w:sz w:val="21"/>
                <w:szCs w:val="21"/>
                <w:highlight w:val="none"/>
              </w:rPr>
              <w:t>管</w:t>
            </w:r>
            <w:r>
              <w:rPr>
                <w:rStyle w:val="47"/>
                <w:rFonts w:hint="eastAsia" w:ascii="宋体" w:hAnsi="宋体" w:eastAsia="宋体" w:cs="宋体"/>
                <w:color w:val="auto"/>
                <w:spacing w:val="3"/>
                <w:sz w:val="21"/>
                <w:szCs w:val="21"/>
                <w:highlight w:val="none"/>
              </w:rPr>
              <w:t>线</w:t>
            </w:r>
            <w:r>
              <w:rPr>
                <w:rStyle w:val="47"/>
                <w:rFonts w:hint="eastAsia" w:ascii="宋体" w:hAnsi="宋体" w:eastAsia="宋体" w:cs="宋体"/>
                <w:color w:val="auto"/>
                <w:spacing w:val="2"/>
                <w:sz w:val="21"/>
                <w:szCs w:val="21"/>
                <w:highlight w:val="none"/>
              </w:rPr>
              <w:t>迁改工程</w:t>
            </w:r>
          </w:p>
        </w:tc>
        <w:tc>
          <w:tcPr>
            <w:tcW w:w="2346" w:type="dxa"/>
            <w:tcBorders>
              <w:top w:val="single" w:color="000000" w:sz="2" w:space="0"/>
              <w:bottom w:val="single" w:color="000000" w:sz="2" w:space="0"/>
            </w:tcBorders>
            <w:noWrap w:val="0"/>
            <w:vAlign w:val="center"/>
          </w:tcPr>
          <w:p w14:paraId="6E8936AB">
            <w:pPr>
              <w:pStyle w:val="255"/>
              <w:spacing w:before="0" w:beforeLines="0" w:afterLines="0" w:line="36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9"/>
                <w:sz w:val="21"/>
                <w:szCs w:val="21"/>
                <w:highlight w:val="none"/>
              </w:rPr>
              <w:t>不</w:t>
            </w:r>
            <w:r>
              <w:rPr>
                <w:rStyle w:val="47"/>
                <w:rFonts w:hint="eastAsia" w:ascii="宋体" w:hAnsi="宋体" w:eastAsia="宋体" w:cs="宋体"/>
                <w:color w:val="auto"/>
                <w:spacing w:val="-5"/>
                <w:sz w:val="21"/>
                <w:szCs w:val="21"/>
                <w:highlight w:val="none"/>
              </w:rPr>
              <w:t>低于 10%</w:t>
            </w:r>
          </w:p>
        </w:tc>
        <w:tc>
          <w:tcPr>
            <w:tcW w:w="4130" w:type="dxa"/>
            <w:tcBorders>
              <w:top w:val="single" w:color="000000" w:sz="2" w:space="0"/>
              <w:bottom w:val="single" w:color="000000" w:sz="2" w:space="0"/>
            </w:tcBorders>
            <w:noWrap w:val="0"/>
            <w:vAlign w:val="center"/>
          </w:tcPr>
          <w:p w14:paraId="0D82F02F">
            <w:pPr>
              <w:pStyle w:val="255"/>
              <w:spacing w:before="0" w:beforeLines="0" w:afterLines="0" w:line="360" w:lineRule="auto"/>
              <w:ind w:right="0"/>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6"/>
                <w:sz w:val="21"/>
                <w:szCs w:val="21"/>
                <w:highlight w:val="none"/>
              </w:rPr>
              <w:t>按</w:t>
            </w:r>
            <w:r>
              <w:rPr>
                <w:rStyle w:val="47"/>
                <w:rFonts w:hint="eastAsia" w:ascii="宋体" w:hAnsi="宋体" w:eastAsia="宋体" w:cs="宋体"/>
                <w:color w:val="auto"/>
                <w:spacing w:val="4"/>
                <w:sz w:val="21"/>
                <w:szCs w:val="21"/>
                <w:highlight w:val="none"/>
              </w:rPr>
              <w:t>照进度款申请金额，足</w:t>
            </w:r>
            <w:r>
              <w:rPr>
                <w:rStyle w:val="47"/>
                <w:rFonts w:hint="eastAsia" w:ascii="宋体" w:hAnsi="宋体" w:eastAsia="宋体" w:cs="宋体"/>
                <w:color w:val="auto"/>
                <w:sz w:val="21"/>
                <w:szCs w:val="21"/>
                <w:highlight w:val="none"/>
              </w:rPr>
              <w:t xml:space="preserve"> </w:t>
            </w:r>
            <w:r>
              <w:rPr>
                <w:rStyle w:val="47"/>
                <w:rFonts w:hint="eastAsia" w:ascii="宋体" w:hAnsi="宋体" w:eastAsia="宋体" w:cs="宋体"/>
                <w:color w:val="auto"/>
                <w:spacing w:val="6"/>
                <w:sz w:val="21"/>
                <w:szCs w:val="21"/>
                <w:highlight w:val="none"/>
              </w:rPr>
              <w:t>额</w:t>
            </w:r>
            <w:r>
              <w:rPr>
                <w:rStyle w:val="47"/>
                <w:rFonts w:hint="eastAsia" w:ascii="宋体" w:hAnsi="宋体" w:eastAsia="宋体" w:cs="宋体"/>
                <w:color w:val="auto"/>
                <w:spacing w:val="3"/>
                <w:sz w:val="21"/>
                <w:szCs w:val="21"/>
                <w:highlight w:val="none"/>
              </w:rPr>
              <w:t>、优先拨付</w:t>
            </w:r>
          </w:p>
        </w:tc>
      </w:tr>
    </w:tbl>
    <w:p w14:paraId="5D293FF8">
      <w:pPr>
        <w:pStyle w:val="255"/>
        <w:spacing w:before="0" w:beforeLines="0" w:afterLines="0" w:line="360" w:lineRule="auto"/>
        <w:ind w:left="0" w:leftChars="0" w:right="0" w:firstLine="430"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1"/>
          <w:sz w:val="21"/>
          <w:szCs w:val="21"/>
          <w:highlight w:val="none"/>
        </w:rPr>
        <w:t>(2) 建设单位根据施工单位提供的农民工工资金额，及时拨付；由施工单位原因造</w:t>
      </w:r>
      <w:r>
        <w:rPr>
          <w:rStyle w:val="47"/>
          <w:rFonts w:hint="eastAsia" w:ascii="宋体" w:hAnsi="宋体" w:eastAsia="宋体" w:cs="宋体"/>
          <w:color w:val="auto"/>
          <w:spacing w:val="-4"/>
          <w:sz w:val="21"/>
          <w:szCs w:val="21"/>
          <w:highlight w:val="none"/>
        </w:rPr>
        <w:t>成农民工工资不能按时、</w:t>
      </w:r>
      <w:r>
        <w:rPr>
          <w:rStyle w:val="47"/>
          <w:rFonts w:hint="eastAsia" w:ascii="宋体" w:hAnsi="宋体" w:eastAsia="宋体" w:cs="宋体"/>
          <w:color w:val="auto"/>
          <w:spacing w:val="-2"/>
          <w:sz w:val="21"/>
          <w:szCs w:val="21"/>
          <w:highlight w:val="none"/>
        </w:rPr>
        <w:t>足额拨付的，由施工单位承担相关法律责任。</w:t>
      </w:r>
    </w:p>
    <w:p w14:paraId="0362F8A2">
      <w:pPr>
        <w:pStyle w:val="255"/>
        <w:spacing w:before="0" w:beforeLines="0" w:afterLines="0" w:line="360" w:lineRule="auto"/>
        <w:ind w:left="0" w:leftChars="0" w:firstLine="418"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2</w:t>
      </w:r>
      <w:r>
        <w:rPr>
          <w:rStyle w:val="47"/>
          <w:rFonts w:hint="eastAsia" w:ascii="宋体" w:hAnsi="宋体" w:eastAsia="宋体" w:cs="宋体"/>
          <w:color w:val="auto"/>
          <w:spacing w:val="-2"/>
          <w:sz w:val="21"/>
          <w:szCs w:val="21"/>
          <w:highlight w:val="none"/>
          <w:lang w:val="en-US" w:eastAsia="zh-CN"/>
        </w:rPr>
        <w:t>1</w:t>
      </w:r>
      <w:r>
        <w:rPr>
          <w:rStyle w:val="47"/>
          <w:rFonts w:hint="eastAsia" w:ascii="宋体" w:hAnsi="宋体" w:eastAsia="宋体" w:cs="宋体"/>
          <w:color w:val="auto"/>
          <w:spacing w:val="-2"/>
          <w:sz w:val="21"/>
          <w:szCs w:val="21"/>
          <w:highlight w:val="none"/>
        </w:rPr>
        <w:t>.</w:t>
      </w:r>
      <w:r>
        <w:rPr>
          <w:rStyle w:val="47"/>
          <w:rFonts w:hint="eastAsia" w:ascii="宋体" w:hAnsi="宋体" w:eastAsia="宋体" w:cs="宋体"/>
          <w:color w:val="auto"/>
          <w:spacing w:val="-2"/>
          <w:sz w:val="21"/>
          <w:szCs w:val="21"/>
          <w:highlight w:val="none"/>
          <w:lang w:val="en-US" w:eastAsia="zh-CN"/>
        </w:rPr>
        <w:t>5</w:t>
      </w:r>
      <w:r>
        <w:rPr>
          <w:rStyle w:val="47"/>
          <w:rFonts w:hint="eastAsia" w:ascii="宋体" w:hAnsi="宋体" w:eastAsia="宋体" w:cs="宋体"/>
          <w:color w:val="auto"/>
          <w:spacing w:val="-2"/>
          <w:sz w:val="21"/>
          <w:szCs w:val="21"/>
          <w:highlight w:val="none"/>
        </w:rPr>
        <w:t>关于结</w:t>
      </w:r>
      <w:r>
        <w:rPr>
          <w:rStyle w:val="47"/>
          <w:rFonts w:hint="eastAsia" w:ascii="宋体" w:hAnsi="宋体" w:eastAsia="宋体" w:cs="宋体"/>
          <w:color w:val="auto"/>
          <w:spacing w:val="-1"/>
          <w:sz w:val="21"/>
          <w:szCs w:val="21"/>
          <w:highlight w:val="none"/>
        </w:rPr>
        <w:t>算审核</w:t>
      </w:r>
    </w:p>
    <w:p w14:paraId="20DE1D10">
      <w:pPr>
        <w:pStyle w:val="255"/>
        <w:spacing w:before="0" w:beforeLines="0" w:afterLines="0" w:line="360" w:lineRule="auto"/>
        <w:ind w:left="0" w:leftChars="0" w:right="0" w:firstLine="434"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(1) 工</w:t>
      </w:r>
      <w:r>
        <w:rPr>
          <w:rStyle w:val="47"/>
          <w:rFonts w:hint="eastAsia" w:ascii="宋体" w:hAnsi="宋体" w:eastAsia="宋体" w:cs="宋体"/>
          <w:color w:val="auto"/>
          <w:spacing w:val="1"/>
          <w:sz w:val="21"/>
          <w:szCs w:val="21"/>
          <w:highlight w:val="none"/>
        </w:rPr>
        <w:t>程竣工验收合格后三十日内，承包人将完整的竣工资料和结算资料送到</w:t>
      </w:r>
      <w:r>
        <w:rPr>
          <w:rStyle w:val="47"/>
          <w:rFonts w:hint="eastAsia" w:ascii="宋体" w:hAnsi="宋体" w:eastAsia="宋体" w:cs="宋体"/>
          <w:color w:val="auto"/>
          <w:spacing w:val="8"/>
          <w:sz w:val="21"/>
          <w:szCs w:val="21"/>
          <w:highlight w:val="none"/>
        </w:rPr>
        <w:t xml:space="preserve">发包人 </w:t>
      </w:r>
      <w:r>
        <w:rPr>
          <w:rStyle w:val="47"/>
          <w:rFonts w:hint="eastAsia" w:ascii="宋体" w:hAnsi="宋体" w:eastAsia="宋体" w:cs="宋体"/>
          <w:color w:val="auto"/>
          <w:spacing w:val="6"/>
          <w:sz w:val="21"/>
          <w:szCs w:val="21"/>
          <w:highlight w:val="none"/>
        </w:rPr>
        <w:t>，</w:t>
      </w:r>
      <w:r>
        <w:rPr>
          <w:rStyle w:val="47"/>
          <w:rFonts w:hint="eastAsia" w:ascii="宋体" w:hAnsi="宋体" w:eastAsia="宋体" w:cs="宋体"/>
          <w:color w:val="auto"/>
          <w:spacing w:val="4"/>
          <w:sz w:val="21"/>
          <w:szCs w:val="21"/>
          <w:highlight w:val="none"/>
        </w:rPr>
        <w:t>如未及时提供有关竣工材料(因发包人造成的原因除外)，造成结算延缓</w:t>
      </w:r>
      <w:r>
        <w:rPr>
          <w:rStyle w:val="47"/>
          <w:rFonts w:hint="eastAsia" w:ascii="宋体" w:hAnsi="宋体" w:eastAsia="宋体" w:cs="宋体"/>
          <w:color w:val="auto"/>
          <w:spacing w:val="-5"/>
          <w:sz w:val="21"/>
          <w:szCs w:val="21"/>
          <w:highlight w:val="none"/>
        </w:rPr>
        <w:t>的， 按合同价款的万分之三/天计算违约金， 限额为建安工程合同价款的 1%。发</w:t>
      </w:r>
      <w:r>
        <w:rPr>
          <w:rStyle w:val="47"/>
          <w:rFonts w:hint="eastAsia" w:ascii="宋体" w:hAnsi="宋体" w:eastAsia="宋体" w:cs="宋体"/>
          <w:color w:val="auto"/>
          <w:spacing w:val="-1"/>
          <w:sz w:val="21"/>
          <w:szCs w:val="21"/>
          <w:highlight w:val="none"/>
        </w:rPr>
        <w:t>包</w:t>
      </w:r>
      <w:r>
        <w:rPr>
          <w:rStyle w:val="47"/>
          <w:rFonts w:hint="eastAsia" w:ascii="宋体" w:hAnsi="宋体" w:eastAsia="宋体" w:cs="宋体"/>
          <w:color w:val="auto"/>
          <w:spacing w:val="-2"/>
          <w:sz w:val="21"/>
          <w:szCs w:val="21"/>
          <w:highlight w:val="none"/>
        </w:rPr>
        <w:t xml:space="preserve">人在收到完整的竣工资料和结算资料后 </w:t>
      </w:r>
      <w:r>
        <w:rPr>
          <w:rStyle w:val="47"/>
          <w:rFonts w:hint="eastAsia" w:ascii="宋体" w:hAnsi="宋体" w:eastAsia="宋体" w:cs="宋体"/>
          <w:color w:val="auto"/>
          <w:spacing w:val="-2"/>
          <w:sz w:val="21"/>
          <w:szCs w:val="21"/>
          <w:highlight w:val="none"/>
          <w:u w:val="single" w:color="auto"/>
        </w:rPr>
        <w:t xml:space="preserve">6  </w:t>
      </w:r>
      <w:r>
        <w:rPr>
          <w:rStyle w:val="47"/>
          <w:rFonts w:hint="eastAsia" w:ascii="宋体" w:hAnsi="宋体" w:eastAsia="宋体" w:cs="宋体"/>
          <w:color w:val="auto"/>
          <w:spacing w:val="-2"/>
          <w:sz w:val="21"/>
          <w:szCs w:val="21"/>
          <w:highlight w:val="none"/>
        </w:rPr>
        <w:t xml:space="preserve"> 个月内办清结算并提交</w:t>
      </w:r>
      <w:r>
        <w:rPr>
          <w:rStyle w:val="47"/>
          <w:rFonts w:hint="eastAsia" w:ascii="宋体" w:hAnsi="宋体" w:eastAsia="宋体" w:cs="宋体"/>
          <w:color w:val="auto"/>
          <w:spacing w:val="-2"/>
          <w:sz w:val="21"/>
          <w:szCs w:val="21"/>
          <w:highlight w:val="none"/>
          <w:lang w:val="en-US" w:eastAsia="zh-CN"/>
        </w:rPr>
        <w:t>相关部门</w:t>
      </w:r>
      <w:r>
        <w:rPr>
          <w:rStyle w:val="47"/>
          <w:rFonts w:hint="eastAsia" w:ascii="宋体" w:hAnsi="宋体" w:eastAsia="宋体" w:cs="宋体"/>
          <w:color w:val="auto"/>
          <w:spacing w:val="-2"/>
          <w:sz w:val="21"/>
          <w:szCs w:val="21"/>
          <w:highlight w:val="none"/>
        </w:rPr>
        <w:t>审核。</w:t>
      </w:r>
      <w:r>
        <w:rPr>
          <w:rStyle w:val="47"/>
          <w:rFonts w:hint="eastAsia" w:ascii="宋体" w:hAnsi="宋体" w:eastAsia="宋体" w:cs="宋体"/>
          <w:color w:val="auto"/>
          <w:spacing w:val="-1"/>
          <w:sz w:val="21"/>
          <w:szCs w:val="21"/>
          <w:highlight w:val="none"/>
        </w:rPr>
        <w:t>若</w:t>
      </w:r>
      <w:r>
        <w:rPr>
          <w:rStyle w:val="47"/>
          <w:rFonts w:hint="eastAsia" w:ascii="宋体" w:hAnsi="宋体" w:eastAsia="宋体" w:cs="宋体"/>
          <w:color w:val="auto"/>
          <w:sz w:val="21"/>
          <w:szCs w:val="21"/>
          <w:highlight w:val="none"/>
        </w:rPr>
        <w:t>因</w:t>
      </w:r>
      <w:r>
        <w:rPr>
          <w:rStyle w:val="47"/>
          <w:rFonts w:hint="eastAsia" w:ascii="宋体" w:hAnsi="宋体" w:eastAsia="宋体" w:cs="宋体"/>
          <w:color w:val="auto"/>
          <w:spacing w:val="-6"/>
          <w:sz w:val="21"/>
          <w:szCs w:val="21"/>
          <w:highlight w:val="none"/>
        </w:rPr>
        <w:t>承包人提交审</w:t>
      </w:r>
      <w:r>
        <w:rPr>
          <w:rStyle w:val="47"/>
          <w:rFonts w:hint="eastAsia" w:ascii="宋体" w:hAnsi="宋体" w:eastAsia="宋体" w:cs="宋体"/>
          <w:color w:val="auto"/>
          <w:spacing w:val="-6"/>
          <w:sz w:val="21"/>
          <w:szCs w:val="21"/>
          <w:highlight w:val="none"/>
          <w:lang w:val="en-US" w:eastAsia="zh-CN"/>
        </w:rPr>
        <w:t>核</w:t>
      </w:r>
      <w:r>
        <w:rPr>
          <w:rStyle w:val="47"/>
          <w:rFonts w:hint="eastAsia" w:ascii="宋体" w:hAnsi="宋体" w:eastAsia="宋体" w:cs="宋体"/>
          <w:color w:val="auto"/>
          <w:spacing w:val="-6"/>
          <w:sz w:val="21"/>
          <w:szCs w:val="21"/>
          <w:highlight w:val="none"/>
        </w:rPr>
        <w:t>资</w:t>
      </w:r>
      <w:r>
        <w:rPr>
          <w:rStyle w:val="47"/>
          <w:rFonts w:hint="eastAsia" w:ascii="宋体" w:hAnsi="宋体" w:eastAsia="宋体" w:cs="宋体"/>
          <w:color w:val="auto"/>
          <w:spacing w:val="-3"/>
          <w:sz w:val="21"/>
          <w:szCs w:val="21"/>
          <w:highlight w:val="none"/>
        </w:rPr>
        <w:t>料不完整、延迟及双方争议等原因造成审</w:t>
      </w:r>
      <w:r>
        <w:rPr>
          <w:rStyle w:val="47"/>
          <w:rFonts w:hint="eastAsia" w:ascii="宋体" w:hAnsi="宋体" w:eastAsia="宋体" w:cs="宋体"/>
          <w:color w:val="auto"/>
          <w:spacing w:val="-3"/>
          <w:sz w:val="21"/>
          <w:szCs w:val="21"/>
          <w:highlight w:val="none"/>
          <w:lang w:val="en-US" w:eastAsia="zh-CN"/>
        </w:rPr>
        <w:t>核</w:t>
      </w:r>
      <w:r>
        <w:rPr>
          <w:rStyle w:val="47"/>
          <w:rFonts w:hint="eastAsia" w:ascii="宋体" w:hAnsi="宋体" w:eastAsia="宋体" w:cs="宋体"/>
          <w:color w:val="auto"/>
          <w:spacing w:val="-3"/>
          <w:sz w:val="21"/>
          <w:szCs w:val="21"/>
          <w:highlight w:val="none"/>
        </w:rPr>
        <w:t>工作不能按期完成的，</w:t>
      </w:r>
      <w:r>
        <w:rPr>
          <w:rStyle w:val="47"/>
          <w:rFonts w:hint="eastAsia" w:ascii="宋体" w:hAnsi="宋体" w:eastAsia="宋体" w:cs="宋体"/>
          <w:color w:val="auto"/>
          <w:spacing w:val="-2"/>
          <w:sz w:val="21"/>
          <w:szCs w:val="21"/>
          <w:highlight w:val="none"/>
        </w:rPr>
        <w:t>审</w:t>
      </w:r>
      <w:r>
        <w:rPr>
          <w:rStyle w:val="47"/>
          <w:rFonts w:hint="eastAsia" w:ascii="宋体" w:hAnsi="宋体" w:eastAsia="宋体" w:cs="宋体"/>
          <w:color w:val="auto"/>
          <w:spacing w:val="-2"/>
          <w:sz w:val="21"/>
          <w:szCs w:val="21"/>
          <w:highlight w:val="none"/>
          <w:lang w:val="en-US" w:eastAsia="zh-CN"/>
        </w:rPr>
        <w:t>核</w:t>
      </w:r>
      <w:r>
        <w:rPr>
          <w:rStyle w:val="47"/>
          <w:rFonts w:hint="eastAsia" w:ascii="宋体" w:hAnsi="宋体" w:eastAsia="宋体" w:cs="宋体"/>
          <w:color w:val="auto"/>
          <w:spacing w:val="-2"/>
          <w:sz w:val="21"/>
          <w:szCs w:val="21"/>
          <w:highlight w:val="none"/>
        </w:rPr>
        <w:t>时</w:t>
      </w:r>
      <w:r>
        <w:rPr>
          <w:rStyle w:val="47"/>
          <w:rFonts w:hint="eastAsia" w:ascii="宋体" w:hAnsi="宋体" w:eastAsia="宋体" w:cs="宋体"/>
          <w:color w:val="auto"/>
          <w:spacing w:val="-1"/>
          <w:sz w:val="21"/>
          <w:szCs w:val="21"/>
          <w:highlight w:val="none"/>
        </w:rPr>
        <w:t>间顺延。</w:t>
      </w:r>
    </w:p>
    <w:p w14:paraId="22E3D9BD">
      <w:pPr>
        <w:pStyle w:val="255"/>
        <w:spacing w:before="0" w:beforeLines="0" w:afterLines="0" w:line="360" w:lineRule="auto"/>
        <w:ind w:left="0" w:leftChars="0" w:right="0" w:firstLine="434"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(2) 所</w:t>
      </w:r>
      <w:r>
        <w:rPr>
          <w:rStyle w:val="47"/>
          <w:rFonts w:hint="eastAsia" w:ascii="宋体" w:hAnsi="宋体" w:eastAsia="宋体" w:cs="宋体"/>
          <w:color w:val="auto"/>
          <w:spacing w:val="1"/>
          <w:sz w:val="21"/>
          <w:szCs w:val="21"/>
          <w:highlight w:val="none"/>
        </w:rPr>
        <w:t>有竣工和结算资料必须经业主项目负责人、现场代表、监理工程师、承</w:t>
      </w:r>
      <w:r>
        <w:rPr>
          <w:rStyle w:val="47"/>
          <w:rFonts w:hint="eastAsia" w:ascii="宋体" w:hAnsi="宋体" w:eastAsia="宋体" w:cs="宋体"/>
          <w:color w:val="auto"/>
          <w:spacing w:val="2"/>
          <w:sz w:val="21"/>
          <w:szCs w:val="21"/>
          <w:highlight w:val="none"/>
        </w:rPr>
        <w:t>包人签字确认后，方</w:t>
      </w:r>
      <w:r>
        <w:rPr>
          <w:rStyle w:val="47"/>
          <w:rFonts w:hint="eastAsia" w:ascii="宋体" w:hAnsi="宋体" w:eastAsia="宋体" w:cs="宋体"/>
          <w:color w:val="auto"/>
          <w:spacing w:val="1"/>
          <w:sz w:val="21"/>
          <w:szCs w:val="21"/>
          <w:highlight w:val="none"/>
        </w:rPr>
        <w:t>可做为有效竣工和结算资料。</w:t>
      </w:r>
    </w:p>
    <w:p w14:paraId="6C04E6B2">
      <w:pPr>
        <w:pStyle w:val="251"/>
        <w:adjustRightInd w:val="0"/>
        <w:snapToGrid w:val="0"/>
        <w:spacing w:beforeLines="0" w:afterLines="0" w:line="360" w:lineRule="auto"/>
        <w:ind w:firstLine="420" w:firstLineChars="200"/>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single"/>
          <w:shd w:val="clear" w:color="auto" w:fill="auto"/>
          <w:lang w:val="en-US" w:eastAsia="zh-CN" w:bidi="ar"/>
        </w:rPr>
        <w:t>(3) 、（1）工程竣工验收合格后三十日内，承包人将完整的竣工资料和结算资料送到发包人 ，发包人在收到完整的竣工资料和结算资料后2个月内办清结算并提交审计审核。若因承包人提交审计资料不完整、延迟及双方争议等原因造成审计工作不能按期完成的，审计时间顺延。（2）所有竣工和结算资料必须经业主项目负责人、现场代表、监理工程师、承包人签字确认后，方可做为有效竣工和结算资料。（3）工程结算审计由发包人委托审计单位。工程造价审减或审增（增减不相互抵消）与报审价相比小于5%（含5%）时，由发包人承担审计费用；工程造价审减或审增（增减不相互抵消）与报价相比大于5%（不含5%）时，超出5%的审计费由承包人承担审计费用。</w:t>
      </w:r>
    </w:p>
    <w:p w14:paraId="64898881">
      <w:pPr>
        <w:pStyle w:val="251"/>
        <w:adjustRightInd w:val="0"/>
        <w:snapToGrid w:val="0"/>
        <w:spacing w:beforeLines="0" w:afterLines="0" w:line="360" w:lineRule="auto"/>
        <w:ind w:firstLine="420" w:firstLineChars="200"/>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Cs w:val="21"/>
          <w:highlight w:val="none"/>
        </w:rPr>
        <w:t>21.</w:t>
      </w:r>
      <w:r>
        <w:rPr>
          <w:rStyle w:val="47"/>
          <w:rFonts w:hint="eastAsia" w:ascii="宋体" w:hAnsi="宋体" w:eastAsia="宋体" w:cs="宋体"/>
          <w:color w:val="auto"/>
          <w:szCs w:val="21"/>
          <w:highlight w:val="none"/>
          <w:lang w:val="en-US" w:eastAsia="zh-CN"/>
        </w:rPr>
        <w:t>6</w:t>
      </w:r>
      <w:r>
        <w:rPr>
          <w:rStyle w:val="47"/>
          <w:rFonts w:hint="eastAsia" w:ascii="宋体" w:hAnsi="宋体" w:eastAsia="宋体" w:cs="宋体"/>
          <w:color w:val="auto"/>
          <w:szCs w:val="21"/>
          <w:highlight w:val="none"/>
          <w:u w:val="single"/>
        </w:rPr>
        <w:t>承包人在施工过程中涉及的设计变更</w:t>
      </w:r>
      <w:r>
        <w:rPr>
          <w:rStyle w:val="47"/>
          <w:rFonts w:hint="eastAsia" w:ascii="宋体" w:hAnsi="宋体" w:eastAsia="宋体" w:cs="宋体"/>
          <w:color w:val="auto"/>
          <w:szCs w:val="21"/>
          <w:highlight w:val="none"/>
        </w:rPr>
        <w:t>、</w:t>
      </w:r>
      <w:r>
        <w:rPr>
          <w:rStyle w:val="47"/>
          <w:rFonts w:hint="eastAsia" w:ascii="宋体" w:hAnsi="宋体" w:eastAsia="宋体" w:cs="宋体"/>
          <w:color w:val="auto"/>
          <w:szCs w:val="21"/>
          <w:highlight w:val="none"/>
          <w:u w:val="single"/>
        </w:rPr>
        <w:t>签证与计量</w:t>
      </w:r>
      <w:r>
        <w:rPr>
          <w:rStyle w:val="47"/>
          <w:rFonts w:hint="eastAsia" w:ascii="宋体" w:hAnsi="宋体" w:eastAsia="宋体" w:cs="宋体"/>
          <w:color w:val="auto"/>
          <w:szCs w:val="21"/>
          <w:highlight w:val="none"/>
        </w:rPr>
        <w:t>、</w:t>
      </w:r>
      <w:r>
        <w:rPr>
          <w:rStyle w:val="47"/>
          <w:rFonts w:hint="eastAsia" w:ascii="宋体" w:hAnsi="宋体" w:eastAsia="宋体" w:cs="宋体"/>
          <w:color w:val="auto"/>
          <w:szCs w:val="21"/>
          <w:highlight w:val="none"/>
          <w:u w:val="single"/>
        </w:rPr>
        <w:t>材料价格核定以及工程款和竣工结算审核等工作</w:t>
      </w:r>
      <w:r>
        <w:rPr>
          <w:rStyle w:val="47"/>
          <w:rFonts w:hint="eastAsia" w:ascii="宋体" w:hAnsi="宋体" w:eastAsia="宋体" w:cs="宋体"/>
          <w:color w:val="auto"/>
          <w:szCs w:val="21"/>
          <w:highlight w:val="none"/>
        </w:rPr>
        <w:t>，</w:t>
      </w:r>
      <w:r>
        <w:rPr>
          <w:rStyle w:val="47"/>
          <w:rFonts w:hint="eastAsia" w:ascii="宋体" w:hAnsi="宋体" w:eastAsia="宋体" w:cs="宋体"/>
          <w:color w:val="auto"/>
          <w:szCs w:val="21"/>
          <w:highlight w:val="none"/>
          <w:u w:val="single"/>
        </w:rPr>
        <w:t>需严格按发包人相关管理办法以及程序执行</w:t>
      </w:r>
      <w:r>
        <w:rPr>
          <w:rStyle w:val="47"/>
          <w:rFonts w:hint="eastAsia" w:ascii="宋体" w:hAnsi="宋体" w:eastAsia="宋体" w:cs="宋体"/>
          <w:bCs/>
          <w:color w:val="auto"/>
          <w:szCs w:val="21"/>
          <w:highlight w:val="none"/>
        </w:rPr>
        <w:t>。</w:t>
      </w:r>
    </w:p>
    <w:p w14:paraId="26B8FC43">
      <w:pPr>
        <w:pStyle w:val="255"/>
        <w:spacing w:before="0" w:beforeLines="0" w:afterLines="0" w:line="360" w:lineRule="auto"/>
        <w:ind w:left="0" w:leftChars="0" w:right="0" w:firstLine="434" w:firstLineChars="203"/>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pacing w:val="2"/>
          <w:sz w:val="21"/>
          <w:szCs w:val="21"/>
          <w:highlight w:val="none"/>
        </w:rPr>
        <w:t>2</w:t>
      </w:r>
      <w:r>
        <w:rPr>
          <w:rStyle w:val="47"/>
          <w:rFonts w:hint="eastAsia" w:ascii="宋体" w:hAnsi="宋体" w:eastAsia="宋体" w:cs="宋体"/>
          <w:color w:val="auto"/>
          <w:spacing w:val="2"/>
          <w:sz w:val="21"/>
          <w:szCs w:val="21"/>
          <w:highlight w:val="none"/>
          <w:lang w:val="en-US" w:eastAsia="zh-CN"/>
        </w:rPr>
        <w:t>1</w:t>
      </w:r>
      <w:r>
        <w:rPr>
          <w:rStyle w:val="47"/>
          <w:rFonts w:hint="eastAsia" w:ascii="宋体" w:hAnsi="宋体" w:eastAsia="宋体" w:cs="宋体"/>
          <w:color w:val="auto"/>
          <w:spacing w:val="2"/>
          <w:sz w:val="21"/>
          <w:szCs w:val="21"/>
          <w:highlight w:val="none"/>
        </w:rPr>
        <w:t>.</w:t>
      </w:r>
      <w:r>
        <w:rPr>
          <w:rStyle w:val="47"/>
          <w:rFonts w:hint="eastAsia" w:ascii="宋体" w:hAnsi="宋体" w:eastAsia="宋体" w:cs="宋体"/>
          <w:color w:val="auto"/>
          <w:spacing w:val="2"/>
          <w:sz w:val="21"/>
          <w:szCs w:val="21"/>
          <w:highlight w:val="none"/>
          <w:lang w:val="en-US" w:eastAsia="zh-CN"/>
        </w:rPr>
        <w:t>7</w:t>
      </w:r>
      <w:r>
        <w:rPr>
          <w:rStyle w:val="47"/>
          <w:rFonts w:hint="eastAsia" w:ascii="宋体" w:hAnsi="宋体" w:eastAsia="宋体" w:cs="宋体"/>
          <w:color w:val="auto"/>
          <w:spacing w:val="2"/>
          <w:sz w:val="21"/>
          <w:szCs w:val="21"/>
          <w:highlight w:val="none"/>
        </w:rPr>
        <w:t xml:space="preserve"> </w:t>
      </w:r>
      <w:r>
        <w:rPr>
          <w:rStyle w:val="47"/>
          <w:rFonts w:hint="eastAsia" w:ascii="宋体" w:hAnsi="宋体" w:eastAsia="宋体" w:cs="宋体"/>
          <w:color w:val="auto"/>
          <w:spacing w:val="1"/>
          <w:sz w:val="21"/>
          <w:szCs w:val="21"/>
          <w:highlight w:val="none"/>
        </w:rPr>
        <w:t xml:space="preserve"> 承包人在施工过程中涉及的设计变更、签证与计量、材料价格核定以及工程款和竣工结算审核等工作，需严格按发包人相关管理办法以及程序执行。</w:t>
      </w:r>
    </w:p>
    <w:p w14:paraId="4F0E0692">
      <w:pPr>
        <w:pStyle w:val="247"/>
        <w:spacing w:beforeLines="0" w:afterLines="0" w:line="360" w:lineRule="auto"/>
        <w:ind w:firstLine="420" w:firstLineChars="200"/>
        <w:rPr>
          <w:rStyle w:val="47"/>
          <w:rFonts w:hint="eastAsia" w:ascii="宋体" w:hAnsi="宋体" w:eastAsia="宋体" w:cs="宋体"/>
          <w:color w:val="auto"/>
          <w:szCs w:val="21"/>
          <w:highlight w:val="none"/>
          <w:lang w:val="en-US" w:eastAsia="zh-CN"/>
        </w:rPr>
      </w:pPr>
      <w:r>
        <w:rPr>
          <w:rStyle w:val="47"/>
          <w:rFonts w:hint="eastAsia" w:ascii="宋体" w:hAnsi="宋体" w:eastAsia="宋体" w:cs="宋体"/>
          <w:color w:val="auto"/>
          <w:szCs w:val="21"/>
          <w:highlight w:val="none"/>
          <w:lang w:val="en-US" w:eastAsia="zh-CN"/>
        </w:rPr>
        <w:t xml:space="preserve">21.8 </w:t>
      </w:r>
      <w:r>
        <w:rPr>
          <w:rStyle w:val="47"/>
          <w:rFonts w:hint="eastAsia" w:ascii="宋体" w:hAnsi="宋体" w:eastAsia="宋体" w:cs="宋体"/>
          <w:color w:val="auto"/>
          <w:sz w:val="21"/>
          <w:szCs w:val="21"/>
          <w:highlight w:val="none"/>
          <w:lang w:val="en-US" w:eastAsia="zh-CN"/>
        </w:rPr>
        <w:t xml:space="preserve">根据《自治区住房城乡建设厅关于印发广西壮族自治区房屋建筑和市政基础设施工程安全生产责任保险计价规定的通知》（桂建发〔2023〕6号）文件规定，本项目安全生产责任保险费按分部分项工程费及措施项目费（含单价及总价措施项目费）为计算基数乘以0.2%计入暂估价，工程结算时，由发承包双方根据工程实际情况确认的安全生产责任保险费计入工程造价。    </w:t>
      </w:r>
    </w:p>
    <w:p w14:paraId="2D99B23B">
      <w:pPr>
        <w:pStyle w:val="232"/>
        <w:spacing w:beforeLines="0" w:afterLines="0" w:line="360" w:lineRule="auto"/>
        <w:ind w:firstLine="420" w:firstLineChars="200"/>
        <w:jc w:val="left"/>
        <w:rPr>
          <w:rStyle w:val="47"/>
          <w:rFonts w:hint="eastAsia" w:ascii="宋体" w:hAnsi="宋体" w:eastAsia="宋体" w:cs="宋体"/>
          <w:color w:val="auto"/>
          <w:kern w:val="2"/>
          <w:sz w:val="21"/>
          <w:szCs w:val="21"/>
          <w:highlight w:val="none"/>
          <w:u w:val="single"/>
          <w:shd w:val="clear" w:color="auto" w:fill="auto"/>
          <w:lang w:val="en-US" w:eastAsia="zh-CN" w:bidi="ar"/>
        </w:rPr>
      </w:pPr>
      <w:r>
        <w:rPr>
          <w:rStyle w:val="47"/>
          <w:rFonts w:hint="eastAsia" w:ascii="宋体" w:hAnsi="宋体" w:eastAsia="宋体" w:cs="宋体"/>
          <w:color w:val="auto"/>
          <w:kern w:val="2"/>
          <w:sz w:val="21"/>
          <w:szCs w:val="21"/>
          <w:highlight w:val="none"/>
          <w:u w:val="none"/>
          <w:shd w:val="clear" w:color="auto" w:fill="auto"/>
          <w:lang w:val="en-US" w:eastAsia="zh-CN" w:bidi="ar"/>
        </w:rPr>
        <w:t>21.9</w:t>
      </w:r>
      <w:r>
        <w:rPr>
          <w:rStyle w:val="47"/>
          <w:rFonts w:hint="eastAsia" w:ascii="宋体" w:hAnsi="宋体" w:eastAsia="宋体" w:cs="宋体"/>
          <w:color w:val="auto"/>
          <w:kern w:val="2"/>
          <w:sz w:val="21"/>
          <w:szCs w:val="21"/>
          <w:highlight w:val="none"/>
          <w:u w:val="single"/>
          <w:shd w:val="clear" w:color="auto" w:fill="auto"/>
          <w:lang w:val="en-US" w:eastAsia="zh-CN" w:bidi="ar"/>
        </w:rPr>
        <w:t>承包人必须按月支付人工费，若有拖欠人工工资款时，发包人有权从月进度款支付中扣除，直接支付人工工资，承包人并因此承担工程结算总价0.1%的违约责任。</w:t>
      </w:r>
    </w:p>
    <w:p w14:paraId="5A653A8C">
      <w:pPr>
        <w:pStyle w:val="232"/>
        <w:spacing w:beforeLines="0" w:afterLines="0" w:line="360" w:lineRule="auto"/>
        <w:ind w:firstLine="420" w:firstLineChars="200"/>
        <w:jc w:val="left"/>
        <w:rPr>
          <w:rStyle w:val="47"/>
          <w:rFonts w:hint="eastAsia" w:ascii="宋体" w:hAnsi="宋体" w:eastAsia="宋体" w:cs="宋体"/>
          <w:b/>
          <w:bCs/>
          <w:color w:val="auto"/>
          <w:sz w:val="21"/>
          <w:szCs w:val="21"/>
          <w:highlight w:val="none"/>
          <w:lang w:val="en-US" w:eastAsia="zh-CN"/>
        </w:rPr>
      </w:pPr>
      <w:r>
        <w:rPr>
          <w:rStyle w:val="47"/>
          <w:rFonts w:hint="eastAsia" w:ascii="宋体" w:hAnsi="宋体" w:eastAsia="宋体" w:cs="宋体"/>
          <w:color w:val="auto"/>
          <w:kern w:val="2"/>
          <w:sz w:val="21"/>
          <w:szCs w:val="21"/>
          <w:highlight w:val="none"/>
          <w:u w:val="none"/>
          <w:shd w:val="clear" w:color="auto" w:fill="auto"/>
          <w:lang w:val="en-US" w:eastAsia="zh-CN" w:bidi="ar"/>
        </w:rPr>
        <w:t>21.10如若本项目需要中止实施或者改变实施方案的，承包人需无条件配合并予以充分谅解，双方约定按实际发生工程量结算，均互不追究因此造成的经济损失和违约责任。</w:t>
      </w:r>
    </w:p>
    <w:p w14:paraId="2AE6778E">
      <w:pPr>
        <w:pStyle w:val="230"/>
        <w:spacing w:line="400" w:lineRule="exact"/>
        <w:ind w:firstLine="420" w:firstLineChars="200"/>
        <w:jc w:val="left"/>
        <w:rPr>
          <w:rFonts w:hint="eastAsia" w:ascii="宋体" w:hAnsi="宋体" w:cs="宋体"/>
          <w:color w:val="auto"/>
          <w:szCs w:val="21"/>
          <w:highlight w:val="none"/>
        </w:rPr>
      </w:pP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2FC1FA18">
      <w:pPr>
        <w:spacing w:line="440" w:lineRule="exact"/>
        <w:rPr>
          <w:color w:val="auto"/>
          <w:sz w:val="30"/>
          <w:szCs w:val="30"/>
          <w:highlight w:val="none"/>
        </w:rPr>
      </w:pPr>
      <w:r>
        <w:rPr>
          <w:rFonts w:hint="eastAsia" w:hAnsi="宋体" w:cs="宋体"/>
          <w:color w:val="auto"/>
          <w:sz w:val="30"/>
          <w:szCs w:val="30"/>
          <w:highlight w:val="none"/>
        </w:rPr>
        <w:t>附件1：</w:t>
      </w:r>
    </w:p>
    <w:p w14:paraId="7127C1ED">
      <w:pPr>
        <w:spacing w:before="156" w:beforeLines="50" w:after="156"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636971D9">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发包人（全称）：</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 xml:space="preserve"> </w:t>
      </w:r>
    </w:p>
    <w:p w14:paraId="24351A42">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承包人（全称）：</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 xml:space="preserve"> </w:t>
      </w:r>
    </w:p>
    <w:p w14:paraId="56BB286C">
      <w:pPr>
        <w:pStyle w:val="247"/>
        <w:spacing w:beforeLines="0" w:afterLines="0" w:line="360" w:lineRule="auto"/>
        <w:rPr>
          <w:rStyle w:val="47"/>
          <w:rFonts w:hint="eastAsia" w:ascii="宋体" w:hAnsi="宋体" w:eastAsia="宋体" w:cs="宋体"/>
          <w:color w:val="auto"/>
          <w:szCs w:val="21"/>
          <w:highlight w:val="none"/>
        </w:rPr>
      </w:pPr>
    </w:p>
    <w:p w14:paraId="58D10482">
      <w:pPr>
        <w:pStyle w:val="247"/>
        <w:spacing w:beforeLines="0" w:afterLines="0" w:line="360" w:lineRule="auto"/>
        <w:ind w:firstLine="42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发包人和承包人根据《中华人民共和国建筑法》和《建设工程质量管理条例》，经协商一致就</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（工程全称）签订工程质量保修书。</w:t>
      </w:r>
    </w:p>
    <w:p w14:paraId="6C1D79B5">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一、工程质量保修范围和内容</w:t>
      </w:r>
    </w:p>
    <w:p w14:paraId="0A71B0CD">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承包人在质量保修期内，按照有关法律规定和合同约定，承担工程质量保修责任。</w:t>
      </w:r>
    </w:p>
    <w:p w14:paraId="4379DDA7">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质量保修范围包括</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，以及双方约定的其他项目。具体保修的内容，双方约定如下：</w:t>
      </w:r>
    </w:p>
    <w:p w14:paraId="60BDA467">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w:t>
      </w:r>
    </w:p>
    <w:p w14:paraId="769F9BE8">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二、质量保修期</w:t>
      </w:r>
    </w:p>
    <w:p w14:paraId="37D72852">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根据《建设工程质量管理条例》及有关规定，工程的质量保修期如下：</w:t>
      </w:r>
    </w:p>
    <w:p w14:paraId="57DA5B4A">
      <w:pPr>
        <w:pStyle w:val="247"/>
        <w:spacing w:beforeLines="0" w:afterLines="0" w:line="360" w:lineRule="auto"/>
        <w:ind w:firstLine="426"/>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1．桥梁工程为</w:t>
      </w:r>
      <w:r>
        <w:rPr>
          <w:rStyle w:val="47"/>
          <w:rFonts w:hint="eastAsia" w:ascii="宋体" w:hAnsi="宋体" w:eastAsia="宋体" w:cs="宋体"/>
          <w:color w:val="auto"/>
          <w:szCs w:val="21"/>
          <w:highlight w:val="none"/>
          <w:u w:val="single"/>
        </w:rPr>
        <w:t xml:space="preserve">  </w:t>
      </w:r>
      <w:r>
        <w:rPr>
          <w:rStyle w:val="47"/>
          <w:rFonts w:hint="eastAsia" w:ascii="宋体" w:hAnsi="宋体" w:cs="宋体"/>
          <w:color w:val="auto"/>
          <w:szCs w:val="21"/>
          <w:highlight w:val="none"/>
          <w:u w:val="single"/>
          <w:lang w:val="en-US" w:eastAsia="zh-CN"/>
        </w:rPr>
        <w:t>2</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年（建议桥梁隧道主体结构工程为设计文件规定的合理使用年限）；</w:t>
      </w:r>
    </w:p>
    <w:p w14:paraId="5C4A14AB">
      <w:pPr>
        <w:pStyle w:val="247"/>
        <w:spacing w:beforeLines="0" w:afterLines="0" w:line="360" w:lineRule="auto"/>
        <w:ind w:firstLine="426"/>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2．道路工程为</w:t>
      </w:r>
      <w:r>
        <w:rPr>
          <w:rStyle w:val="47"/>
          <w:rFonts w:hint="eastAsia" w:ascii="宋体" w:hAnsi="宋体" w:eastAsia="宋体" w:cs="宋体"/>
          <w:color w:val="auto"/>
          <w:szCs w:val="21"/>
          <w:highlight w:val="none"/>
          <w:u w:val="single"/>
        </w:rPr>
        <w:t xml:space="preserve">  </w:t>
      </w:r>
      <w:r>
        <w:rPr>
          <w:rStyle w:val="47"/>
          <w:rFonts w:hint="eastAsia" w:ascii="宋体" w:hAnsi="宋体" w:cs="宋体"/>
          <w:color w:val="auto"/>
          <w:szCs w:val="21"/>
          <w:highlight w:val="none"/>
          <w:u w:val="single"/>
          <w:lang w:val="en-US" w:eastAsia="zh-CN"/>
        </w:rPr>
        <w:t>3</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年（建议路基、路面、桥面为2年）；</w:t>
      </w:r>
    </w:p>
    <w:p w14:paraId="2B362773">
      <w:pPr>
        <w:pStyle w:val="247"/>
        <w:spacing w:beforeLines="0" w:afterLines="0" w:line="360" w:lineRule="auto"/>
        <w:ind w:firstLine="426"/>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3．排水（雨水）工程为</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u w:val="single"/>
          <w:lang w:val="en-US" w:eastAsia="zh-CN"/>
        </w:rPr>
        <w:t>2</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年（建议道路工程中的排水工程为3年）；</w:t>
      </w:r>
    </w:p>
    <w:p w14:paraId="59110A81">
      <w:pPr>
        <w:pStyle w:val="247"/>
        <w:spacing w:beforeLines="0" w:afterLines="0" w:line="360" w:lineRule="auto"/>
        <w:ind w:firstLine="426"/>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 xml:space="preserve">4．绿化工程为 </w:t>
      </w:r>
      <w:r>
        <w:rPr>
          <w:rStyle w:val="47"/>
          <w:rFonts w:hint="eastAsia" w:ascii="宋体" w:hAnsi="宋体" w:eastAsia="宋体" w:cs="宋体"/>
          <w:color w:val="auto"/>
          <w:szCs w:val="21"/>
          <w:highlight w:val="none"/>
          <w:u w:val="single"/>
        </w:rPr>
        <w:t xml:space="preserve">单位工程竣工验收合格后 </w:t>
      </w:r>
      <w:r>
        <w:rPr>
          <w:rStyle w:val="47"/>
          <w:rFonts w:hint="eastAsia" w:ascii="宋体" w:hAnsi="宋体" w:cs="宋体"/>
          <w:color w:val="auto"/>
          <w:szCs w:val="21"/>
          <w:highlight w:val="none"/>
          <w:u w:val="single"/>
          <w:lang w:val="en-US" w:eastAsia="zh-CN"/>
        </w:rPr>
        <w:t xml:space="preserve">2 </w:t>
      </w:r>
      <w:r>
        <w:rPr>
          <w:rStyle w:val="47"/>
          <w:rFonts w:hint="eastAsia" w:ascii="宋体" w:hAnsi="宋体" w:eastAsia="宋体" w:cs="宋体"/>
          <w:color w:val="auto"/>
          <w:szCs w:val="21"/>
          <w:highlight w:val="none"/>
          <w:u w:val="single"/>
        </w:rPr>
        <w:t>年</w:t>
      </w:r>
      <w:r>
        <w:rPr>
          <w:rStyle w:val="47"/>
          <w:rFonts w:hint="eastAsia" w:ascii="宋体" w:hAnsi="宋体" w:eastAsia="宋体" w:cs="宋体"/>
          <w:color w:val="auto"/>
          <w:szCs w:val="21"/>
          <w:highlight w:val="none"/>
        </w:rPr>
        <w:t>；</w:t>
      </w:r>
    </w:p>
    <w:p w14:paraId="77D8ABCA">
      <w:pPr>
        <w:pStyle w:val="247"/>
        <w:spacing w:beforeLines="0" w:afterLines="0" w:line="360" w:lineRule="auto"/>
        <w:ind w:firstLine="426"/>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5.  地下防水工程为</w:t>
      </w:r>
      <w:r>
        <w:rPr>
          <w:rStyle w:val="47"/>
          <w:rFonts w:hint="eastAsia" w:ascii="宋体" w:hAnsi="宋体" w:eastAsia="宋体" w:cs="宋体"/>
          <w:color w:val="auto"/>
          <w:szCs w:val="21"/>
          <w:highlight w:val="none"/>
          <w:u w:val="single"/>
        </w:rPr>
        <w:t xml:space="preserve">  </w:t>
      </w:r>
      <w:r>
        <w:rPr>
          <w:rStyle w:val="47"/>
          <w:rFonts w:hint="eastAsia" w:ascii="宋体" w:hAnsi="宋体" w:cs="宋体"/>
          <w:color w:val="auto"/>
          <w:szCs w:val="21"/>
          <w:highlight w:val="none"/>
          <w:u w:val="single"/>
          <w:lang w:val="en-US" w:eastAsia="zh-CN"/>
        </w:rPr>
        <w:t xml:space="preserve">5 </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年（建议为5年）；</w:t>
      </w:r>
    </w:p>
    <w:p w14:paraId="05C58F8C">
      <w:pPr>
        <w:pStyle w:val="247"/>
        <w:spacing w:beforeLines="0" w:afterLines="0" w:line="360" w:lineRule="auto"/>
        <w:ind w:firstLine="426"/>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6．其他附属工程为</w:t>
      </w:r>
      <w:r>
        <w:rPr>
          <w:rStyle w:val="47"/>
          <w:rFonts w:hint="eastAsia" w:ascii="宋体" w:hAnsi="宋体" w:eastAsia="宋体" w:cs="宋体"/>
          <w:color w:val="auto"/>
          <w:szCs w:val="21"/>
          <w:highlight w:val="none"/>
          <w:u w:val="single"/>
        </w:rPr>
        <w:t xml:space="preserve">  </w:t>
      </w:r>
      <w:r>
        <w:rPr>
          <w:rStyle w:val="47"/>
          <w:rFonts w:hint="eastAsia" w:ascii="宋体" w:hAnsi="宋体" w:cs="宋体"/>
          <w:color w:val="auto"/>
          <w:szCs w:val="21"/>
          <w:highlight w:val="none"/>
          <w:u w:val="single"/>
          <w:lang w:val="en-US" w:eastAsia="zh-CN"/>
        </w:rPr>
        <w:t>2</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年；</w:t>
      </w:r>
    </w:p>
    <w:p w14:paraId="42684C34">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7．其他项目保修期限约定如下：</w:t>
      </w:r>
    </w:p>
    <w:p w14:paraId="6E63BA66">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w:t>
      </w:r>
    </w:p>
    <w:p w14:paraId="78B47ED6">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质量保修期自工程竣工验收合格之日起计算。</w:t>
      </w:r>
    </w:p>
    <w:p w14:paraId="1C684EB9">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三、缺陷责任期</w:t>
      </w:r>
    </w:p>
    <w:p w14:paraId="2006F6A3">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工程缺陷责任期为</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u w:val="single"/>
          <w:lang w:val="en-US" w:eastAsia="zh-CN"/>
        </w:rPr>
        <w:t xml:space="preserve">24 </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6DEF2504">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缺陷责任期</w:t>
      </w:r>
      <w:r>
        <w:rPr>
          <w:rStyle w:val="47"/>
          <w:rFonts w:hint="eastAsia" w:ascii="宋体" w:hAnsi="宋体" w:eastAsia="宋体" w:cs="宋体"/>
          <w:color w:val="auto"/>
          <w:szCs w:val="21"/>
          <w:highlight w:val="none"/>
          <w:u w:val="single"/>
        </w:rPr>
        <w:t>满</w:t>
      </w:r>
      <w:r>
        <w:rPr>
          <w:rStyle w:val="47"/>
          <w:rFonts w:hint="eastAsia" w:ascii="宋体" w:hAnsi="宋体" w:eastAsia="宋体" w:cs="宋体"/>
          <w:color w:val="auto"/>
          <w:szCs w:val="21"/>
          <w:highlight w:val="none"/>
        </w:rPr>
        <w:t>之日起</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u w:val="single"/>
          <w:lang w:val="en-US" w:eastAsia="zh-CN"/>
        </w:rPr>
        <w:t>30</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天</w:t>
      </w:r>
      <w:r>
        <w:rPr>
          <w:rStyle w:val="47"/>
          <w:rFonts w:hint="eastAsia" w:ascii="宋体" w:hAnsi="宋体" w:eastAsia="宋体" w:cs="宋体"/>
          <w:color w:val="auto"/>
          <w:szCs w:val="21"/>
          <w:highlight w:val="none"/>
          <w:u w:val="single"/>
        </w:rPr>
        <w:t>（按合同约定期限），</w:t>
      </w:r>
      <w:r>
        <w:rPr>
          <w:rStyle w:val="47"/>
          <w:rFonts w:hint="eastAsia" w:ascii="宋体" w:hAnsi="宋体" w:eastAsia="宋体" w:cs="宋体"/>
          <w:color w:val="auto"/>
          <w:szCs w:val="21"/>
          <w:highlight w:val="none"/>
        </w:rPr>
        <w:t>发包人应退还剩余的质量保证金。</w:t>
      </w:r>
    </w:p>
    <w:p w14:paraId="7F6CAA73">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四、质量保修责任</w:t>
      </w:r>
    </w:p>
    <w:p w14:paraId="3F2275E7">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1．属于保修范围、内容的项目，承包人应当在接到保修通知之日起</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u w:val="single"/>
          <w:lang w:val="en-US" w:eastAsia="zh-CN"/>
        </w:rPr>
        <w:t>2</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天内派人保修。承包人不在约定期限内派人保修的，发包人可以委托他人修理，修理费用从质量保证金内扣除。</w:t>
      </w:r>
    </w:p>
    <w:p w14:paraId="43685235">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2．发生紧急事故需抢修的，承包人在接到事故通知后，应当立即到达事故现场抢修。</w:t>
      </w:r>
    </w:p>
    <w:p w14:paraId="790503DE">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0FCCCE6">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4．质量保修完成后，由发包人组织验收。</w:t>
      </w:r>
    </w:p>
    <w:p w14:paraId="4FC5E721">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五、保修费用</w:t>
      </w:r>
    </w:p>
    <w:p w14:paraId="10736D6D">
      <w:pPr>
        <w:pStyle w:val="247"/>
        <w:spacing w:beforeLines="0" w:afterLines="0" w:line="360" w:lineRule="auto"/>
        <w:ind w:firstLine="420" w:firstLineChars="20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保修费用由造成质量缺陷的责任方承担。</w:t>
      </w:r>
    </w:p>
    <w:p w14:paraId="4B36DFB3">
      <w:pPr>
        <w:pStyle w:val="247"/>
        <w:spacing w:beforeLines="0" w:afterLines="0" w:line="360" w:lineRule="auto"/>
        <w:jc w:val="left"/>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六、双方约定的其他工程质量保修事项：</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u w:val="single"/>
          <w:lang w:val="en-US" w:eastAsia="zh-CN"/>
        </w:rPr>
        <w:t>/</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w:t>
      </w:r>
    </w:p>
    <w:p w14:paraId="7BEC1BC6">
      <w:pPr>
        <w:pStyle w:val="247"/>
        <w:spacing w:beforeLines="0" w:afterLines="0" w:line="360" w:lineRule="auto"/>
        <w:ind w:firstLine="399" w:firstLineChars="190"/>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4A44063B">
      <w:pPr>
        <w:pStyle w:val="247"/>
        <w:spacing w:beforeLines="0" w:afterLines="0" w:line="360" w:lineRule="auto"/>
        <w:ind w:firstLine="420"/>
        <w:rPr>
          <w:rStyle w:val="47"/>
          <w:rFonts w:hint="eastAsia" w:ascii="宋体" w:hAnsi="宋体" w:eastAsia="宋体" w:cs="宋体"/>
          <w:color w:val="auto"/>
          <w:szCs w:val="21"/>
          <w:highlight w:val="none"/>
        </w:rPr>
      </w:pPr>
    </w:p>
    <w:p w14:paraId="45C9D532">
      <w:pPr>
        <w:pStyle w:val="247"/>
        <w:spacing w:beforeLines="0" w:afterLines="0" w:line="360" w:lineRule="auto"/>
        <w:ind w:firstLine="420"/>
        <w:rPr>
          <w:rStyle w:val="47"/>
          <w:rFonts w:hint="eastAsia" w:ascii="宋体" w:hAnsi="宋体" w:eastAsia="宋体" w:cs="宋体"/>
          <w:color w:val="auto"/>
          <w:szCs w:val="21"/>
          <w:highlight w:val="none"/>
        </w:rPr>
      </w:pPr>
    </w:p>
    <w:p w14:paraId="0E71E47C">
      <w:pPr>
        <w:pStyle w:val="247"/>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发包人（公章）：</w:t>
      </w:r>
      <w:r>
        <w:rPr>
          <w:rStyle w:val="47"/>
          <w:rFonts w:hint="eastAsia" w:ascii="宋体" w:hAnsi="宋体" w:eastAsia="宋体" w:cs="宋体"/>
          <w:color w:val="auto"/>
          <w:szCs w:val="21"/>
          <w:highlight w:val="none"/>
          <w:u w:val="single"/>
        </w:rPr>
        <w:t xml:space="preserve">         </w:t>
      </w:r>
      <w:r>
        <w:rPr>
          <w:rStyle w:val="47"/>
          <w:rFonts w:hint="eastAsia" w:ascii="宋体" w:hAnsi="宋体" w:eastAsia="宋体" w:cs="宋体"/>
          <w:color w:val="auto"/>
          <w:szCs w:val="21"/>
          <w:highlight w:val="none"/>
        </w:rPr>
        <w:t xml:space="preserve">             承包人（公章）：</w:t>
      </w:r>
      <w:r>
        <w:rPr>
          <w:rStyle w:val="47"/>
          <w:rFonts w:hint="eastAsia" w:ascii="宋体" w:hAnsi="宋体" w:eastAsia="宋体" w:cs="宋体"/>
          <w:color w:val="auto"/>
          <w:szCs w:val="21"/>
          <w:highlight w:val="none"/>
          <w:u w:val="single"/>
        </w:rPr>
        <w:t>          </w:t>
      </w:r>
    </w:p>
    <w:p w14:paraId="224879ED">
      <w:pPr>
        <w:pStyle w:val="247"/>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地  址：</w:t>
      </w:r>
      <w:r>
        <w:rPr>
          <w:rStyle w:val="47"/>
          <w:rFonts w:hint="eastAsia" w:ascii="宋体" w:hAnsi="宋体" w:eastAsia="宋体" w:cs="宋体"/>
          <w:color w:val="auto"/>
          <w:szCs w:val="21"/>
          <w:highlight w:val="none"/>
          <w:u w:val="single"/>
        </w:rPr>
        <w:t xml:space="preserve">       </w:t>
      </w:r>
      <w:r>
        <w:rPr>
          <w:rStyle w:val="47"/>
          <w:rFonts w:hint="eastAsia" w:ascii="宋体" w:hAnsi="宋体" w:eastAsia="宋体" w:cs="宋体"/>
          <w:color w:val="auto"/>
          <w:szCs w:val="21"/>
          <w:highlight w:val="none"/>
        </w:rPr>
        <w:t xml:space="preserve">              地  址：</w:t>
      </w:r>
      <w:r>
        <w:rPr>
          <w:rStyle w:val="47"/>
          <w:rFonts w:hint="eastAsia" w:ascii="宋体" w:hAnsi="宋体" w:eastAsia="宋体" w:cs="宋体"/>
          <w:color w:val="auto"/>
          <w:szCs w:val="21"/>
          <w:highlight w:val="none"/>
          <w:u w:val="single"/>
        </w:rPr>
        <w:t>      </w:t>
      </w:r>
    </w:p>
    <w:p w14:paraId="61DF9ADC">
      <w:pPr>
        <w:pStyle w:val="247"/>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法定代表人（签字）：</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 xml:space="preserve">              法定代表人（签字）：</w:t>
      </w:r>
      <w:r>
        <w:rPr>
          <w:rStyle w:val="47"/>
          <w:rFonts w:hint="eastAsia" w:ascii="宋体" w:hAnsi="宋体" w:eastAsia="宋体" w:cs="宋体"/>
          <w:color w:val="auto"/>
          <w:szCs w:val="21"/>
          <w:highlight w:val="none"/>
          <w:u w:val="single"/>
        </w:rPr>
        <w:t>     </w:t>
      </w:r>
    </w:p>
    <w:p w14:paraId="767B311E">
      <w:pPr>
        <w:pStyle w:val="247"/>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委托代理人（签字）：</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 xml:space="preserve">              委托代理人（签字）：</w:t>
      </w:r>
      <w:r>
        <w:rPr>
          <w:rStyle w:val="47"/>
          <w:rFonts w:hint="eastAsia" w:ascii="宋体" w:hAnsi="宋体" w:eastAsia="宋体" w:cs="宋体"/>
          <w:color w:val="auto"/>
          <w:szCs w:val="21"/>
          <w:highlight w:val="none"/>
          <w:u w:val="single"/>
        </w:rPr>
        <w:t>     </w:t>
      </w:r>
    </w:p>
    <w:p w14:paraId="5DCD4CDE">
      <w:pPr>
        <w:pStyle w:val="247"/>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电  话：</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 xml:space="preserve">              电  话：</w:t>
      </w:r>
      <w:r>
        <w:rPr>
          <w:rStyle w:val="47"/>
          <w:rFonts w:hint="eastAsia" w:ascii="宋体" w:hAnsi="宋体" w:eastAsia="宋体" w:cs="宋体"/>
          <w:color w:val="auto"/>
          <w:szCs w:val="21"/>
          <w:highlight w:val="none"/>
          <w:u w:val="single"/>
        </w:rPr>
        <w:t>      </w:t>
      </w:r>
    </w:p>
    <w:p w14:paraId="1D2D9E9A">
      <w:pPr>
        <w:pStyle w:val="247"/>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传  真：</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 xml:space="preserve">              传  真：</w:t>
      </w:r>
      <w:r>
        <w:rPr>
          <w:rStyle w:val="47"/>
          <w:rFonts w:hint="eastAsia" w:ascii="宋体" w:hAnsi="宋体" w:eastAsia="宋体" w:cs="宋体"/>
          <w:color w:val="auto"/>
          <w:szCs w:val="21"/>
          <w:highlight w:val="none"/>
          <w:u w:val="single"/>
        </w:rPr>
        <w:t>    </w:t>
      </w:r>
    </w:p>
    <w:p w14:paraId="65318BD4">
      <w:pPr>
        <w:pStyle w:val="247"/>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开户银行：</w:t>
      </w:r>
      <w:r>
        <w:rPr>
          <w:rStyle w:val="47"/>
          <w:rFonts w:hint="eastAsia" w:ascii="宋体" w:hAnsi="宋体" w:eastAsia="宋体" w:cs="宋体"/>
          <w:color w:val="auto"/>
          <w:szCs w:val="21"/>
          <w:highlight w:val="none"/>
          <w:u w:val="single"/>
        </w:rPr>
        <w:t xml:space="preserve">     </w:t>
      </w:r>
      <w:r>
        <w:rPr>
          <w:rStyle w:val="47"/>
          <w:rFonts w:hint="eastAsia" w:ascii="宋体" w:hAnsi="宋体" w:eastAsia="宋体" w:cs="宋体"/>
          <w:color w:val="auto"/>
          <w:szCs w:val="21"/>
          <w:highlight w:val="none"/>
        </w:rPr>
        <w:t xml:space="preserve">              开户银行：</w:t>
      </w:r>
      <w:r>
        <w:rPr>
          <w:rStyle w:val="47"/>
          <w:rFonts w:hint="eastAsia" w:ascii="宋体" w:hAnsi="宋体" w:eastAsia="宋体" w:cs="宋体"/>
          <w:color w:val="auto"/>
          <w:szCs w:val="21"/>
          <w:highlight w:val="none"/>
          <w:u w:val="single"/>
        </w:rPr>
        <w:t>  </w:t>
      </w:r>
    </w:p>
    <w:p w14:paraId="3949E97C">
      <w:pPr>
        <w:pStyle w:val="247"/>
        <w:tabs>
          <w:tab w:val="left" w:pos="2880"/>
          <w:tab w:val="left" w:pos="3060"/>
          <w:tab w:val="left" w:pos="4500"/>
        </w:tabs>
        <w:spacing w:beforeLines="0" w:afterLines="0" w:line="360" w:lineRule="auto"/>
        <w:rPr>
          <w:rStyle w:val="47"/>
          <w:rFonts w:hint="eastAsia" w:ascii="宋体" w:hAnsi="宋体" w:eastAsia="宋体" w:cs="宋体"/>
          <w:color w:val="auto"/>
          <w:szCs w:val="21"/>
          <w:highlight w:val="none"/>
        </w:rPr>
      </w:pPr>
      <w:r>
        <w:rPr>
          <w:rStyle w:val="47"/>
          <w:rFonts w:hint="eastAsia" w:ascii="宋体" w:hAnsi="宋体" w:eastAsia="宋体" w:cs="宋体"/>
          <w:color w:val="auto"/>
          <w:szCs w:val="21"/>
          <w:highlight w:val="none"/>
        </w:rPr>
        <w:t>账  号：</w:t>
      </w:r>
      <w:r>
        <w:rPr>
          <w:rStyle w:val="47"/>
          <w:rFonts w:hint="eastAsia" w:ascii="宋体" w:hAnsi="宋体" w:eastAsia="宋体" w:cs="宋体"/>
          <w:color w:val="auto"/>
          <w:szCs w:val="21"/>
          <w:highlight w:val="none"/>
          <w:u w:val="single"/>
        </w:rPr>
        <w:t xml:space="preserve">          </w:t>
      </w:r>
      <w:r>
        <w:rPr>
          <w:rStyle w:val="47"/>
          <w:rFonts w:hint="eastAsia" w:ascii="宋体" w:hAnsi="宋体" w:eastAsia="宋体" w:cs="宋体"/>
          <w:color w:val="auto"/>
          <w:szCs w:val="21"/>
          <w:highlight w:val="none"/>
        </w:rPr>
        <w:t xml:space="preserve">              账  号：</w:t>
      </w:r>
      <w:r>
        <w:rPr>
          <w:rStyle w:val="47"/>
          <w:rFonts w:hint="eastAsia" w:ascii="宋体" w:hAnsi="宋体" w:eastAsia="宋体" w:cs="宋体"/>
          <w:color w:val="auto"/>
          <w:szCs w:val="21"/>
          <w:highlight w:val="none"/>
          <w:u w:val="single"/>
        </w:rPr>
        <w:t>    </w:t>
      </w:r>
    </w:p>
    <w:p w14:paraId="56F4D4FE">
      <w:pPr>
        <w:pStyle w:val="247"/>
        <w:spacing w:beforeLines="0" w:afterLines="0" w:line="360" w:lineRule="auto"/>
        <w:rPr>
          <w:rStyle w:val="47"/>
          <w:rFonts w:hint="eastAsia" w:ascii="宋体" w:hAnsi="宋体" w:eastAsia="宋体" w:cs="宋体"/>
          <w:color w:val="auto"/>
          <w:szCs w:val="21"/>
          <w:highlight w:val="none"/>
          <w:u w:val="single"/>
        </w:rPr>
      </w:pPr>
      <w:r>
        <w:rPr>
          <w:rStyle w:val="47"/>
          <w:rFonts w:hint="eastAsia" w:ascii="宋体" w:hAnsi="宋体" w:eastAsia="宋体" w:cs="宋体"/>
          <w:color w:val="auto"/>
          <w:szCs w:val="21"/>
          <w:highlight w:val="none"/>
        </w:rPr>
        <w:t>邮政编码：</w:t>
      </w:r>
      <w:r>
        <w:rPr>
          <w:rStyle w:val="47"/>
          <w:rFonts w:hint="eastAsia" w:ascii="宋体" w:hAnsi="宋体" w:eastAsia="宋体" w:cs="宋体"/>
          <w:color w:val="auto"/>
          <w:szCs w:val="21"/>
          <w:highlight w:val="none"/>
          <w:u w:val="single"/>
        </w:rPr>
        <w:t xml:space="preserve">       </w:t>
      </w:r>
      <w:r>
        <w:rPr>
          <w:rStyle w:val="47"/>
          <w:rFonts w:hint="eastAsia" w:ascii="宋体" w:hAnsi="宋体" w:eastAsia="宋体" w:cs="宋体"/>
          <w:color w:val="auto"/>
          <w:szCs w:val="21"/>
          <w:highlight w:val="none"/>
        </w:rPr>
        <w:t xml:space="preserve">              邮政编码：</w:t>
      </w:r>
      <w:r>
        <w:rPr>
          <w:rStyle w:val="47"/>
          <w:rFonts w:hint="eastAsia" w:ascii="宋体" w:hAnsi="宋体" w:eastAsia="宋体" w:cs="宋体"/>
          <w:color w:val="auto"/>
          <w:szCs w:val="21"/>
          <w:highlight w:val="none"/>
          <w:u w:val="single"/>
        </w:rPr>
        <w:t xml:space="preserve">    </w:t>
      </w:r>
    </w:p>
    <w:p w14:paraId="6C190EED">
      <w:pPr>
        <w:widowControl/>
        <w:jc w:val="left"/>
        <w:rPr>
          <w:rFonts w:hint="eastAsia" w:hAnsi="宋体" w:cs="宋体"/>
          <w:color w:val="auto"/>
          <w:sz w:val="30"/>
          <w:szCs w:val="30"/>
          <w:highlight w:val="none"/>
        </w:rPr>
      </w:pPr>
    </w:p>
    <w:p w14:paraId="52C668DD">
      <w:pPr>
        <w:widowControl/>
        <w:jc w:val="left"/>
        <w:rPr>
          <w:rFonts w:hint="eastAsia" w:hAnsi="宋体" w:cs="宋体"/>
          <w:color w:val="auto"/>
          <w:sz w:val="30"/>
          <w:szCs w:val="30"/>
          <w:highlight w:val="none"/>
        </w:rPr>
      </w:pPr>
    </w:p>
    <w:p w14:paraId="377E6181">
      <w:pPr>
        <w:widowControl/>
        <w:jc w:val="left"/>
        <w:rPr>
          <w:rFonts w:hint="eastAsia" w:hAnsi="宋体" w:cs="宋体"/>
          <w:color w:val="auto"/>
          <w:sz w:val="30"/>
          <w:szCs w:val="30"/>
          <w:highlight w:val="none"/>
        </w:rPr>
      </w:pPr>
    </w:p>
    <w:p w14:paraId="2B0D3396">
      <w:pPr>
        <w:widowControl/>
        <w:jc w:val="left"/>
        <w:rPr>
          <w:rFonts w:hint="eastAsia" w:hAnsi="宋体" w:cs="宋体"/>
          <w:color w:val="auto"/>
          <w:sz w:val="30"/>
          <w:szCs w:val="30"/>
          <w:highlight w:val="none"/>
        </w:rPr>
      </w:pPr>
      <w:r>
        <w:rPr>
          <w:rFonts w:hint="eastAsia" w:hAnsi="宋体" w:cs="宋体"/>
          <w:color w:val="auto"/>
          <w:sz w:val="30"/>
          <w:szCs w:val="30"/>
          <w:highlight w:val="none"/>
        </w:rPr>
        <w:t>附件2：</w:t>
      </w:r>
    </w:p>
    <w:p w14:paraId="252EFE54">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6CB3DE80">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（独立保函）</w:t>
      </w:r>
    </w:p>
    <w:p w14:paraId="3515A018">
      <w:pPr>
        <w:wordWrap w:val="0"/>
        <w:spacing w:line="360" w:lineRule="auto"/>
        <w:jc w:val="right"/>
        <w:rPr>
          <w:rFonts w:hint="eastAsia" w:ascii="宋体" w:hAnsi="宋体"/>
          <w:color w:val="auto"/>
          <w:szCs w:val="21"/>
          <w:highlight w:val="none"/>
        </w:rPr>
      </w:pPr>
      <w:r>
        <w:rPr>
          <w:rFonts w:hint="eastAsia" w:ascii="宋体" w:hAnsi="宋体"/>
          <w:color w:val="auto"/>
          <w:highlight w:val="none"/>
        </w:rPr>
        <w:t xml:space="preserve">编号：           </w:t>
      </w:r>
    </w:p>
    <w:p w14:paraId="036200ED">
      <w:pPr>
        <w:spacing w:line="360" w:lineRule="auto"/>
        <w:rPr>
          <w:rFonts w:hint="eastAsia" w:ascii="宋体" w:hAnsi="宋体"/>
          <w:color w:val="auto"/>
          <w:sz w:val="24"/>
          <w:highlight w:val="none"/>
        </w:rPr>
      </w:pPr>
      <w:r>
        <w:rPr>
          <w:rFonts w:hint="eastAsia" w:ascii="宋体" w:hAnsi="宋体"/>
          <w:color w:val="auto"/>
          <w:sz w:val="24"/>
          <w:highlight w:val="none"/>
        </w:rPr>
        <w:t>申请人：</w:t>
      </w:r>
    </w:p>
    <w:p w14:paraId="4D38F5DF">
      <w:pPr>
        <w:spacing w:line="360" w:lineRule="auto"/>
        <w:rPr>
          <w:rFonts w:hint="eastAsia" w:ascii="宋体" w:hAnsi="宋体"/>
          <w:color w:val="auto"/>
          <w:sz w:val="24"/>
          <w:highlight w:val="none"/>
        </w:rPr>
      </w:pPr>
      <w:r>
        <w:rPr>
          <w:rFonts w:hint="eastAsia" w:ascii="宋体" w:hAnsi="宋体"/>
          <w:color w:val="auto"/>
          <w:sz w:val="24"/>
          <w:highlight w:val="none"/>
        </w:rPr>
        <w:t xml:space="preserve">  地址：</w:t>
      </w:r>
    </w:p>
    <w:p w14:paraId="7364437A">
      <w:pPr>
        <w:spacing w:line="360" w:lineRule="auto"/>
        <w:rPr>
          <w:rFonts w:hint="eastAsia" w:ascii="宋体" w:hAnsi="宋体"/>
          <w:color w:val="auto"/>
          <w:sz w:val="24"/>
          <w:highlight w:val="none"/>
        </w:rPr>
      </w:pPr>
      <w:r>
        <w:rPr>
          <w:rFonts w:hint="eastAsia" w:ascii="宋体" w:hAnsi="宋体"/>
          <w:color w:val="auto"/>
          <w:sz w:val="24"/>
          <w:highlight w:val="none"/>
        </w:rPr>
        <w:t>受益人：</w:t>
      </w:r>
    </w:p>
    <w:p w14:paraId="587A32B3">
      <w:pPr>
        <w:spacing w:line="360" w:lineRule="auto"/>
        <w:rPr>
          <w:rFonts w:hint="eastAsia" w:ascii="宋体" w:hAnsi="宋体"/>
          <w:color w:val="auto"/>
          <w:sz w:val="24"/>
          <w:highlight w:val="none"/>
        </w:rPr>
      </w:pPr>
      <w:r>
        <w:rPr>
          <w:rFonts w:hint="eastAsia" w:ascii="宋体" w:hAnsi="宋体"/>
          <w:color w:val="auto"/>
          <w:sz w:val="24"/>
          <w:highlight w:val="none"/>
        </w:rPr>
        <w:t xml:space="preserve">  地址：</w:t>
      </w:r>
    </w:p>
    <w:p w14:paraId="2F20A045">
      <w:pPr>
        <w:spacing w:line="360" w:lineRule="auto"/>
        <w:rPr>
          <w:rFonts w:hint="eastAsia" w:ascii="宋体" w:hAnsi="宋体"/>
          <w:color w:val="auto"/>
          <w:sz w:val="24"/>
          <w:highlight w:val="none"/>
        </w:rPr>
      </w:pPr>
      <w:r>
        <w:rPr>
          <w:rFonts w:hint="eastAsia" w:ascii="宋体" w:hAnsi="宋体"/>
          <w:color w:val="auto"/>
          <w:sz w:val="24"/>
          <w:highlight w:val="none"/>
        </w:rPr>
        <w:t>开立人：</w:t>
      </w:r>
    </w:p>
    <w:p w14:paraId="73939120">
      <w:pPr>
        <w:spacing w:line="360" w:lineRule="auto"/>
        <w:rPr>
          <w:rFonts w:hint="eastAsia" w:ascii="宋体" w:hAnsi="宋体"/>
          <w:color w:val="auto"/>
          <w:sz w:val="24"/>
          <w:highlight w:val="none"/>
        </w:rPr>
      </w:pPr>
      <w:r>
        <w:rPr>
          <w:rFonts w:hint="eastAsia" w:ascii="宋体" w:hAnsi="宋体"/>
          <w:color w:val="auto"/>
          <w:sz w:val="24"/>
          <w:highlight w:val="none"/>
        </w:rPr>
        <w:t xml:space="preserve">  地址：</w:t>
      </w:r>
    </w:p>
    <w:p w14:paraId="3A029581">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50E9729B">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（受益人名称）： </w:t>
      </w:r>
    </w:p>
    <w:p w14:paraId="2383C6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（以下简称“受益人”）与</w:t>
      </w:r>
      <w:r>
        <w:rPr>
          <w:rFonts w:hint="eastAsia" w:ascii="宋体" w:hAnsi="宋体"/>
          <w:color w:val="auto"/>
          <w:sz w:val="24"/>
          <w:highlight w:val="none"/>
          <w:u w:val="single"/>
        </w:rPr>
        <w:t xml:space="preserve">         </w:t>
      </w:r>
      <w:r>
        <w:rPr>
          <w:rFonts w:hint="eastAsia" w:ascii="宋体" w:hAnsi="宋体"/>
          <w:color w:val="auto"/>
          <w:sz w:val="24"/>
          <w:highlight w:val="none"/>
        </w:rPr>
        <w:t>（以下简称“申请人”）于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w:t>
      </w:r>
      <w:r>
        <w:rPr>
          <w:rFonts w:hint="eastAsia" w:ascii="宋体" w:hAnsi="宋体"/>
          <w:color w:val="auto"/>
          <w:sz w:val="24"/>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6615400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一、本保函担保范围：承包人未按照基础合同的约定履行义务，应当向贵方承担的违约责任和赔偿因此造成的损失、利息、律师费、诉讼费用等实现债权的费用。</w:t>
      </w:r>
    </w:p>
    <w:p w14:paraId="5AFE90E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二、本保函担保金额最高不超过人民币（大写）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C60176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三、本保函有效期自开立之日起至基础合同约定的缺陷责任期后</w:t>
      </w:r>
      <w:r>
        <w:rPr>
          <w:rFonts w:hint="eastAsia" w:ascii="宋体" w:hAnsi="宋体"/>
          <w:color w:val="auto"/>
          <w:sz w:val="24"/>
          <w:highlight w:val="none"/>
          <w:u w:val="single"/>
        </w:rPr>
        <w:t xml:space="preserve">   </w:t>
      </w:r>
      <w:r>
        <w:rPr>
          <w:rFonts w:hint="eastAsia" w:ascii="宋体" w:hAnsi="宋体"/>
          <w:color w:val="auto"/>
          <w:sz w:val="24"/>
          <w:highlight w:val="none"/>
        </w:rPr>
        <w:t>日止，最迟不超过</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73EBE91E">
      <w:pPr>
        <w:spacing w:line="360" w:lineRule="auto"/>
        <w:ind w:firstLine="480"/>
        <w:rPr>
          <w:rFonts w:hint="eastAsia" w:ascii="宋体" w:hAnsi="宋体"/>
          <w:color w:val="auto"/>
          <w:sz w:val="24"/>
          <w:highlight w:val="none"/>
        </w:rPr>
      </w:pPr>
      <w:r>
        <w:rPr>
          <w:rFonts w:hint="eastAsia" w:ascii="宋体" w:hAnsi="宋体"/>
          <w:color w:val="auto"/>
          <w:sz w:val="24"/>
          <w:highlight w:val="none"/>
        </w:rPr>
        <w:t>四、我方承诺，在收到受益人发来的书面付款通知后的</w:t>
      </w:r>
      <w:r>
        <w:rPr>
          <w:rFonts w:hint="eastAsia" w:ascii="宋体" w:hAnsi="宋体"/>
          <w:color w:val="auto"/>
          <w:sz w:val="24"/>
          <w:highlight w:val="none"/>
          <w:u w:val="single"/>
        </w:rPr>
        <w:t xml:space="preserve">    </w:t>
      </w:r>
      <w:r>
        <w:rPr>
          <w:rFonts w:hint="eastAsia" w:ascii="宋体" w:hAnsi="宋体"/>
          <w:color w:val="auto"/>
          <w:sz w:val="24"/>
          <w:highlight w:val="none"/>
        </w:rPr>
        <w:t>日内无条件支付，前述书面付款通知即为付款要求之单据，且应满足以下要求：</w:t>
      </w:r>
    </w:p>
    <w:p w14:paraId="131D87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（1）付款通知到达的日期在本保函的有效期内；</w:t>
      </w:r>
    </w:p>
    <w:p w14:paraId="46DA65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（2）载明要求支付的金额；</w:t>
      </w:r>
    </w:p>
    <w:p w14:paraId="229792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（3）载明申请人违反合同义务的条款和内容；</w:t>
      </w:r>
    </w:p>
    <w:p w14:paraId="1C4CA6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（4）声明不存在合同文件约定或我国法律规定免除申请人或开立人支付责任的情形；</w:t>
      </w:r>
    </w:p>
    <w:p w14:paraId="453A3A1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（5）付款通知应在本保函有效期内到达的地址是：</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AED26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受益人发出的书面付款通知应由其为鉴明受益人法定代表人（负责人）或授权代理人签字并加盖公章。</w:t>
      </w:r>
    </w:p>
    <w:p w14:paraId="2257F07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五、本保函项下的权利不得转让，不得设定担保。贵方未经我方书面同意转 让本保函或其项下任何权利，对我方不发生法律效力。 </w:t>
      </w:r>
    </w:p>
    <w:p w14:paraId="19B77B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六、与本保函有关的基础合同不成立、不生效、无效、被撤销、被解除，不影响本保函的独立有效。 </w:t>
      </w:r>
    </w:p>
    <w:p w14:paraId="0DA818B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5922C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八、本保函适用的法律为中华人民共和国法律，争议裁判管辖地为中华人民共和国</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81FF4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九、本保函自我方法定代表人或授权代表签字并加盖公章之日起生效。 </w:t>
      </w:r>
    </w:p>
    <w:p w14:paraId="3CE0936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开 立 人：                              （公章） </w:t>
      </w:r>
    </w:p>
    <w:p w14:paraId="5AAB449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法定代表人（或授权代表）：               （签字） </w:t>
      </w:r>
    </w:p>
    <w:p w14:paraId="037751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地    址：                                       </w:t>
      </w:r>
    </w:p>
    <w:p w14:paraId="6031EE1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邮政编码：                 </w:t>
      </w:r>
    </w:p>
    <w:p w14:paraId="671438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电    话：                 </w:t>
      </w:r>
    </w:p>
    <w:p w14:paraId="29C4B0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传    真：                 </w:t>
      </w:r>
    </w:p>
    <w:p w14:paraId="7621C5CC">
      <w:pPr>
        <w:spacing w:line="360" w:lineRule="auto"/>
        <w:ind w:firstLine="480" w:firstLineChars="200"/>
        <w:rPr>
          <w:rFonts w:hint="eastAsia"/>
          <w:color w:val="auto"/>
          <w:szCs w:val="21"/>
          <w:highlight w:val="none"/>
        </w:rPr>
      </w:pPr>
      <w:r>
        <w:rPr>
          <w:rFonts w:hint="eastAsia" w:ascii="宋体" w:hAnsi="宋体"/>
          <w:color w:val="auto"/>
          <w:sz w:val="24"/>
          <w:highlight w:val="none"/>
        </w:rPr>
        <w:t xml:space="preserve">开立时间：      年      月    </w:t>
      </w:r>
    </w:p>
    <w:p w14:paraId="0CFF9AE4">
      <w:pPr>
        <w:spacing w:line="360" w:lineRule="auto"/>
        <w:jc w:val="left"/>
        <w:rPr>
          <w:rFonts w:eastAsia="仿宋_GB2312"/>
          <w:color w:val="auto"/>
          <w:sz w:val="30"/>
          <w:szCs w:val="30"/>
          <w:highlight w:val="none"/>
        </w:rPr>
      </w:pPr>
    </w:p>
    <w:p w14:paraId="1945F67D">
      <w:pPr>
        <w:spacing w:line="360" w:lineRule="auto"/>
        <w:rPr>
          <w:rFonts w:hint="eastAsia" w:ascii="宋体" w:hAnsi="宋体"/>
          <w:b/>
          <w:bCs/>
          <w:color w:val="auto"/>
          <w:sz w:val="32"/>
          <w:szCs w:val="32"/>
          <w:highlight w:val="none"/>
        </w:rPr>
      </w:pPr>
    </w:p>
    <w:p w14:paraId="3493781C">
      <w:pPr>
        <w:spacing w:line="360" w:lineRule="auto"/>
        <w:jc w:val="center"/>
        <w:rPr>
          <w:rFonts w:hint="eastAsia" w:ascii="宋体" w:hAnsi="宋体"/>
          <w:b/>
          <w:bCs/>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履约保函示范文本</w:t>
      </w:r>
    </w:p>
    <w:p w14:paraId="7D287127">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（非独立保函）</w:t>
      </w:r>
    </w:p>
    <w:p w14:paraId="5110CCC8">
      <w:pPr>
        <w:spacing w:line="360" w:lineRule="auto"/>
        <w:jc w:val="center"/>
        <w:rPr>
          <w:rFonts w:hint="eastAsia" w:ascii="宋体" w:hAnsi="宋体"/>
          <w:b/>
          <w:bCs/>
          <w:color w:val="auto"/>
          <w:sz w:val="32"/>
          <w:szCs w:val="32"/>
          <w:highlight w:val="none"/>
        </w:rPr>
      </w:pPr>
    </w:p>
    <w:p w14:paraId="4CB5EE0F">
      <w:pPr>
        <w:wordWrap w:val="0"/>
        <w:spacing w:line="360" w:lineRule="auto"/>
        <w:jc w:val="right"/>
        <w:rPr>
          <w:rFonts w:hint="eastAsia" w:ascii="宋体" w:hAnsi="宋体"/>
          <w:color w:val="auto"/>
          <w:szCs w:val="21"/>
          <w:highlight w:val="none"/>
        </w:rPr>
      </w:pPr>
      <w:r>
        <w:rPr>
          <w:rFonts w:hint="eastAsia" w:ascii="宋体" w:hAnsi="宋体"/>
          <w:color w:val="auto"/>
          <w:highlight w:val="none"/>
        </w:rPr>
        <w:t xml:space="preserve">编号：           </w:t>
      </w:r>
    </w:p>
    <w:p w14:paraId="7CBC7F18">
      <w:pPr>
        <w:spacing w:line="360" w:lineRule="auto"/>
        <w:rPr>
          <w:rFonts w:hint="eastAsia" w:ascii="宋体" w:hAnsi="宋体"/>
          <w:color w:val="auto"/>
          <w:sz w:val="24"/>
          <w:highlight w:val="none"/>
        </w:rPr>
      </w:pPr>
      <w:r>
        <w:rPr>
          <w:rFonts w:hint="eastAsia" w:ascii="宋体" w:hAnsi="宋体"/>
          <w:color w:val="auto"/>
          <w:sz w:val="24"/>
          <w:highlight w:val="none"/>
        </w:rPr>
        <w:t>承包人：</w:t>
      </w:r>
    </w:p>
    <w:p w14:paraId="4F812D97">
      <w:pPr>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60DB303A">
      <w:pPr>
        <w:spacing w:line="360" w:lineRule="auto"/>
        <w:rPr>
          <w:rFonts w:hint="eastAsia" w:ascii="宋体" w:hAnsi="宋体"/>
          <w:color w:val="auto"/>
          <w:sz w:val="24"/>
          <w:highlight w:val="none"/>
        </w:rPr>
      </w:pPr>
      <w:r>
        <w:rPr>
          <w:rFonts w:hint="eastAsia" w:ascii="宋体" w:hAnsi="宋体"/>
          <w:color w:val="auto"/>
          <w:sz w:val="24"/>
          <w:highlight w:val="none"/>
        </w:rPr>
        <w:t xml:space="preserve">担保权人/发包人： </w:t>
      </w:r>
    </w:p>
    <w:p w14:paraId="6C69212C">
      <w:pPr>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04744A9B">
      <w:pPr>
        <w:spacing w:line="360" w:lineRule="auto"/>
        <w:rPr>
          <w:rFonts w:hint="eastAsia" w:ascii="宋体" w:hAnsi="宋体"/>
          <w:color w:val="auto"/>
          <w:sz w:val="24"/>
          <w:highlight w:val="none"/>
        </w:rPr>
      </w:pPr>
      <w:r>
        <w:rPr>
          <w:rFonts w:hint="eastAsia" w:ascii="宋体" w:hAnsi="宋体"/>
          <w:color w:val="auto"/>
          <w:sz w:val="24"/>
          <w:highlight w:val="none"/>
        </w:rPr>
        <w:t>保证人：</w:t>
      </w:r>
    </w:p>
    <w:p w14:paraId="43382D75">
      <w:pPr>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3CA094E7">
      <w:pPr>
        <w:spacing w:line="360" w:lineRule="auto"/>
        <w:rPr>
          <w:rFonts w:hint="eastAsia" w:ascii="宋体" w:hAnsi="宋体"/>
          <w:color w:val="auto"/>
          <w:sz w:val="24"/>
          <w:highlight w:val="none"/>
        </w:rPr>
      </w:pPr>
    </w:p>
    <w:p w14:paraId="1B06D901">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（发包人名称）： </w:t>
      </w:r>
    </w:p>
    <w:p w14:paraId="649333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（以下简称“发包人”）与</w:t>
      </w:r>
      <w:r>
        <w:rPr>
          <w:rFonts w:hint="eastAsia" w:ascii="宋体" w:hAnsi="宋体"/>
          <w:color w:val="auto"/>
          <w:sz w:val="24"/>
          <w:highlight w:val="none"/>
          <w:u w:val="single"/>
        </w:rPr>
        <w:t xml:space="preserve">         </w:t>
      </w:r>
      <w:r>
        <w:rPr>
          <w:rFonts w:hint="eastAsia" w:ascii="宋体" w:hAnsi="宋体"/>
          <w:color w:val="auto"/>
          <w:sz w:val="24"/>
          <w:highlight w:val="none"/>
        </w:rPr>
        <w:t>（以下简称“承包人”）于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w:t>
      </w:r>
      <w:r>
        <w:rPr>
          <w:rFonts w:hint="eastAsia" w:ascii="宋体" w:hAnsi="宋体"/>
          <w:color w:val="auto"/>
          <w:sz w:val="24"/>
          <w:highlight w:val="none"/>
        </w:rPr>
        <w:t xml:space="preserve">（以下简称“主合同”），我方即保证人基于承包人的请求，同意就承包人履行与贵方签订的主合同项下的义务，向贵方提供如下保证担保（以下简称“本保证担保”）。 </w:t>
      </w:r>
    </w:p>
    <w:p w14:paraId="49C40CE2">
      <w:pPr>
        <w:spacing w:line="360" w:lineRule="auto"/>
        <w:rPr>
          <w:rFonts w:hint="eastAsia" w:ascii="宋体" w:hAnsi="宋体"/>
          <w:b/>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 w:val="24"/>
          <w:highlight w:val="none"/>
        </w:rPr>
        <w:t>一、保证担保的范围及保证担保金额</w:t>
      </w:r>
    </w:p>
    <w:p w14:paraId="1B1FE7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1.保证担保范围：承包人未按照主合同的约定履行义务，应当向贵方承担的违约责任和赔偿因此造成的损失、利息、律师费、诉讼费用等实现债权的费用。</w:t>
      </w:r>
    </w:p>
    <w:p w14:paraId="3590771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2.保证担保金额最高不超过人民币（大写）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B6648A4">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二、保证担保的方式及保证期间 </w:t>
      </w:r>
    </w:p>
    <w:p w14:paraId="6215310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1.保证担保方式：连带责任保证。</w:t>
      </w:r>
    </w:p>
    <w:p w14:paraId="5D54825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2.保证期间：自出具之日起至主合同约定的缺陷责任期后</w:t>
      </w:r>
      <w:r>
        <w:rPr>
          <w:rFonts w:hint="eastAsia" w:ascii="宋体" w:hAnsi="宋体"/>
          <w:color w:val="auto"/>
          <w:sz w:val="24"/>
          <w:highlight w:val="none"/>
          <w:u w:val="single"/>
        </w:rPr>
        <w:t xml:space="preserve">   </w:t>
      </w:r>
      <w:r>
        <w:rPr>
          <w:rFonts w:hint="eastAsia" w:ascii="宋体" w:hAnsi="宋体"/>
          <w:color w:val="auto"/>
          <w:sz w:val="24"/>
          <w:highlight w:val="none"/>
        </w:rPr>
        <w:t>日止，最迟不超过</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36266C95">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三、承担保证担保责任的形式</w:t>
      </w:r>
    </w:p>
    <w:p w14:paraId="3E216D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我方按照贵方的要求以下列方式之一承担保证担保责任： </w:t>
      </w:r>
    </w:p>
    <w:p w14:paraId="4F9A95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1.向承包人资金、设备或者技术援助，使其能继续履行合同义务；</w:t>
      </w:r>
    </w:p>
    <w:p w14:paraId="09F760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2.直接接管该项工程或者委托经贵方同意的其他承包商，继续履行合同义务；</w:t>
      </w:r>
    </w:p>
    <w:p w14:paraId="7EE619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3.在保证担保金额最高限额内，按照合同约定，向贵方承担违约责任和赔偿因此造成的损失，以及利息和律师费、诉讼费用等实现债权的费用。</w:t>
      </w:r>
    </w:p>
    <w:p w14:paraId="26488E40">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四、代偿的安排 </w:t>
      </w:r>
    </w:p>
    <w:p w14:paraId="1091FE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5003AA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2.贵方以工程质量不符合主合同约定标准为由，向我方提出违约索赔的，还需同时提供符合相应条件要求的工程质量检测部门出具的质量说明材料。</w:t>
      </w:r>
    </w:p>
    <w:p w14:paraId="587997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3.我方收到贵方的书面索赔通知及相应证明材料后，在</w:t>
      </w:r>
      <w:r>
        <w:rPr>
          <w:rFonts w:hint="eastAsia" w:ascii="宋体" w:hAnsi="宋体"/>
          <w:color w:val="auto"/>
          <w:sz w:val="24"/>
          <w:highlight w:val="none"/>
          <w:u w:val="single"/>
        </w:rPr>
        <w:t xml:space="preserve">   </w:t>
      </w:r>
      <w:r>
        <w:rPr>
          <w:rFonts w:hint="eastAsia" w:ascii="宋体" w:hAnsi="宋体"/>
          <w:color w:val="auto"/>
          <w:sz w:val="24"/>
          <w:highlight w:val="none"/>
        </w:rPr>
        <w:t>工作日内进行核定后按照本保函的承诺承担保证责任。</w:t>
      </w:r>
    </w:p>
    <w:p w14:paraId="2AB9ACE0">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五、保证担保责任的解除 </w:t>
      </w:r>
    </w:p>
    <w:p w14:paraId="45FFEE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1.保证期间届满贵方未向我方书面主张保证责任的，自保证期间届满次日起，我方解除保证责任。 </w:t>
      </w:r>
    </w:p>
    <w:p w14:paraId="2C80A65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2.我方按照本保证担保向贵方履行了保证担保责任后，自我方向贵方支付的金额达到最高保证担保金额之日起，保证担保责任解除。 </w:t>
      </w:r>
    </w:p>
    <w:p w14:paraId="1DC87E5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3.按照法律法规的规定应解除我方保证担保责任的其它情形的，我方在本保证担保项下的保证担保责任亦解除。 </w:t>
      </w:r>
    </w:p>
    <w:p w14:paraId="364228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349E5BA">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六、免责条款 </w:t>
      </w:r>
    </w:p>
    <w:p w14:paraId="63871B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1.因贵方原因致使承包人未按照主合同约定履行义务的，我方不承担保证担保责任。 </w:t>
      </w:r>
    </w:p>
    <w:p w14:paraId="4B5725F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2.依照法律规定或贵方与发包人的另行约定，免除承包人部分或全部义务的，我方亦免除其相应的保证担保责任。 </w:t>
      </w:r>
    </w:p>
    <w:p w14:paraId="0AD21D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3.因不可抗力造成承包人未按照主合同约定履行义务的，我方不承担保证担保责任。</w:t>
      </w:r>
    </w:p>
    <w:p w14:paraId="299C71BE">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七、其他</w:t>
      </w:r>
    </w:p>
    <w:p w14:paraId="678F52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1.本保证担保项下的权利不得转让，不得设定担保。贵方未经我方书面同意转让本保证担保或其项下任何权利，对我方不发生法律效力。 </w:t>
      </w:r>
    </w:p>
    <w:p w14:paraId="568AC6E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2.本保证担保适用的法律为中华人民共和国法律，争议裁判管辖地为中华人民共和国</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517F7E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3.本保证担保自我方法定代表人或授权代表签字并加盖公章之日起生效。 </w:t>
      </w:r>
    </w:p>
    <w:p w14:paraId="029CC539">
      <w:pPr>
        <w:spacing w:line="360" w:lineRule="auto"/>
        <w:ind w:firstLine="480" w:firstLineChars="200"/>
        <w:rPr>
          <w:rFonts w:hint="eastAsia" w:ascii="宋体" w:hAnsi="宋体"/>
          <w:color w:val="auto"/>
          <w:sz w:val="24"/>
          <w:highlight w:val="none"/>
        </w:rPr>
      </w:pPr>
    </w:p>
    <w:p w14:paraId="6F192D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保 证 人：                              （公章） </w:t>
      </w:r>
    </w:p>
    <w:p w14:paraId="7AE415B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法定代表人（或授权代表）：               （签字） </w:t>
      </w:r>
    </w:p>
    <w:p w14:paraId="2343A4E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地    址：                                       </w:t>
      </w:r>
    </w:p>
    <w:p w14:paraId="2F72C9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邮政编码：                 </w:t>
      </w:r>
    </w:p>
    <w:p w14:paraId="2665AC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电    话：                 </w:t>
      </w:r>
    </w:p>
    <w:p w14:paraId="6C2E6A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传    真：                 </w:t>
      </w:r>
    </w:p>
    <w:p w14:paraId="59568889">
      <w:pPr>
        <w:widowControl/>
        <w:spacing w:line="360" w:lineRule="auto"/>
        <w:ind w:firstLine="480" w:firstLineChars="200"/>
        <w:jc w:val="center"/>
        <w:rPr>
          <w:rFonts w:hint="eastAsia"/>
          <w:color w:val="auto"/>
          <w:highlight w:val="none"/>
        </w:rPr>
      </w:pPr>
      <w:r>
        <w:rPr>
          <w:rFonts w:hint="eastAsia" w:ascii="宋体" w:hAnsi="宋体"/>
          <w:color w:val="auto"/>
          <w:sz w:val="24"/>
          <w:highlight w:val="none"/>
        </w:rPr>
        <w:t>时    间：      年      月        日</w:t>
      </w:r>
    </w:p>
    <w:p w14:paraId="1132A91F">
      <w:pPr>
        <w:pStyle w:val="3"/>
        <w:rPr>
          <w:color w:val="auto"/>
          <w:highlight w:val="none"/>
        </w:rPr>
      </w:pPr>
    </w:p>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汉仪文黑-55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67AD">
    <w:pPr>
      <w:pStyle w:val="32"/>
      <w:tabs>
        <w:tab w:val="center" w:pos="4439"/>
        <w:tab w:val="clear" w:pos="4153"/>
      </w:tabs>
      <w:jc w:val="both"/>
    </w:pPr>
  </w:p>
  <w:p w14:paraId="5612222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A664">
    <w:pPr>
      <w:pStyle w:val="3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Text Box 4100"/>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35E40064"/>
                      </w:txbxContent>
                    </wps:txbx>
                    <wps:bodyPr rot="0" vert="horz" wrap="none" lIns="0" tIns="0" rIns="0" bIns="0" anchor="t" anchorCtr="0" upright="1">
                      <a:spAutoFit/>
                    </wps:bodyPr>
                  </wps:wsp>
                </a:graphicData>
              </a:graphic>
            </wp:anchor>
          </w:drawing>
        </mc:Choice>
        <mc:Fallback>
          <w:pict>
            <v:shape id="Text Box 4100"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kFT5rQAAAAAwEAAA8AAAAAAAAAAQAgAAAAIgAAAGRycy9kb3ducmV2LnhtbFBL&#10;AQIUABQAAAAIAIdO4kD0mXjz/gEAABIEAAAOAAAAAAAAAAEAIAAAAB8BAABkcnMvZTJvRG9jLnht&#10;bFBLBQYAAAAABgAGAFkBAACPBQAAAAA=&#10;">
              <v:fill on="f" focussize="0,0"/>
              <v:stroke on="f"/>
              <v:imagedata o:title=""/>
              <o:lock v:ext="edit" aspectratio="f"/>
              <v:textbox inset="0mm,0mm,0mm,0mm" style="mso-fit-shape-to-text:t;">
                <w:txbxContent>
                  <w:p w14:paraId="35E4006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A657">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07B5F">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907B5F">
                    <w:pPr>
                      <w:pStyle w:val="32"/>
                    </w:pPr>
                    <w:r>
                      <w:fldChar w:fldCharType="begin"/>
                    </w:r>
                    <w:r>
                      <w:instrText xml:space="preserve"> PAGE  \* MERGEFORMAT </w:instrText>
                    </w:r>
                    <w:r>
                      <w:fldChar w:fldCharType="separate"/>
                    </w:r>
                    <w:r>
                      <w:t>2</w:t>
                    </w:r>
                    <w:r>
                      <w:fldChar w:fldCharType="end"/>
                    </w:r>
                  </w:p>
                </w:txbxContent>
              </v:textbox>
            </v:shape>
          </w:pict>
        </mc:Fallback>
      </mc:AlternateContent>
    </w:r>
  </w:p>
  <w:p w14:paraId="671754DD">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F0DE">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4CF7B">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84CF7B">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78C5">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7C72">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499CC"/>
    <w:multiLevelType w:val="singleLevel"/>
    <w:tmpl w:val="324499CC"/>
    <w:lvl w:ilvl="0" w:tentative="0">
      <w:start w:val="2"/>
      <w:numFmt w:val="decimal"/>
      <w:suff w:val="nothing"/>
      <w:lvlText w:val="（%1）"/>
      <w:lvlJc w:val="left"/>
    </w:lvl>
  </w:abstractNum>
  <w:abstractNum w:abstractNumId="1">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7D335EF9"/>
    <w:multiLevelType w:val="singleLevel"/>
    <w:tmpl w:val="7D335EF9"/>
    <w:lvl w:ilvl="0" w:tentative="0">
      <w:start w:val="10"/>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OWIyMDk0ZDcxNWZjNjkzMjVjMjI3OWE2ZDYyZTg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398"/>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E36"/>
    <w:rsid w:val="000260F7"/>
    <w:rsid w:val="000260FF"/>
    <w:rsid w:val="00026855"/>
    <w:rsid w:val="00026886"/>
    <w:rsid w:val="000273DE"/>
    <w:rsid w:val="0002754F"/>
    <w:rsid w:val="0002785D"/>
    <w:rsid w:val="00030544"/>
    <w:rsid w:val="000307BE"/>
    <w:rsid w:val="000317BF"/>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6B5E"/>
    <w:rsid w:val="000470CB"/>
    <w:rsid w:val="000479D5"/>
    <w:rsid w:val="000501AA"/>
    <w:rsid w:val="000504A6"/>
    <w:rsid w:val="000506DE"/>
    <w:rsid w:val="000509D9"/>
    <w:rsid w:val="00051006"/>
    <w:rsid w:val="00051165"/>
    <w:rsid w:val="000512AF"/>
    <w:rsid w:val="000516F3"/>
    <w:rsid w:val="00051ACB"/>
    <w:rsid w:val="00052E40"/>
    <w:rsid w:val="000531EC"/>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7E5"/>
    <w:rsid w:val="000628B7"/>
    <w:rsid w:val="00062EC2"/>
    <w:rsid w:val="0006347E"/>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73C"/>
    <w:rsid w:val="00084E4F"/>
    <w:rsid w:val="00085193"/>
    <w:rsid w:val="0008520B"/>
    <w:rsid w:val="0008527B"/>
    <w:rsid w:val="000857DE"/>
    <w:rsid w:val="000860BD"/>
    <w:rsid w:val="000871B8"/>
    <w:rsid w:val="00087B0A"/>
    <w:rsid w:val="00090339"/>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382"/>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367"/>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4D87"/>
    <w:rsid w:val="000C5823"/>
    <w:rsid w:val="000C59C6"/>
    <w:rsid w:val="000C67C7"/>
    <w:rsid w:val="000C6DE4"/>
    <w:rsid w:val="000C7202"/>
    <w:rsid w:val="000C7432"/>
    <w:rsid w:val="000C7926"/>
    <w:rsid w:val="000C7FC6"/>
    <w:rsid w:val="000D0A89"/>
    <w:rsid w:val="000D10F1"/>
    <w:rsid w:val="000D1389"/>
    <w:rsid w:val="000D1798"/>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3E"/>
    <w:rsid w:val="000E230A"/>
    <w:rsid w:val="000E28AB"/>
    <w:rsid w:val="000E2E3E"/>
    <w:rsid w:val="000E3583"/>
    <w:rsid w:val="000E3AF0"/>
    <w:rsid w:val="000E43EC"/>
    <w:rsid w:val="000E450F"/>
    <w:rsid w:val="000E4DC7"/>
    <w:rsid w:val="000E4E04"/>
    <w:rsid w:val="000E592E"/>
    <w:rsid w:val="000E5AF5"/>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6EE0"/>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655"/>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1455"/>
    <w:rsid w:val="0014190C"/>
    <w:rsid w:val="00141C1B"/>
    <w:rsid w:val="00141C9C"/>
    <w:rsid w:val="0014277F"/>
    <w:rsid w:val="00142AD2"/>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1948"/>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0E03"/>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67A"/>
    <w:rsid w:val="00172CA8"/>
    <w:rsid w:val="00173256"/>
    <w:rsid w:val="00173B0E"/>
    <w:rsid w:val="00173D86"/>
    <w:rsid w:val="00173E03"/>
    <w:rsid w:val="0017405A"/>
    <w:rsid w:val="001741C9"/>
    <w:rsid w:val="0017461E"/>
    <w:rsid w:val="00174704"/>
    <w:rsid w:val="0017512C"/>
    <w:rsid w:val="001756AF"/>
    <w:rsid w:val="0017576E"/>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99A"/>
    <w:rsid w:val="001E1B0E"/>
    <w:rsid w:val="001E2A86"/>
    <w:rsid w:val="001E308A"/>
    <w:rsid w:val="001E38EC"/>
    <w:rsid w:val="001E3B63"/>
    <w:rsid w:val="001E4996"/>
    <w:rsid w:val="001E57B2"/>
    <w:rsid w:val="001E5A94"/>
    <w:rsid w:val="001E5CBB"/>
    <w:rsid w:val="001E5CDC"/>
    <w:rsid w:val="001E6B4B"/>
    <w:rsid w:val="001E6CE9"/>
    <w:rsid w:val="001F0C0A"/>
    <w:rsid w:val="001F13FD"/>
    <w:rsid w:val="001F2A2E"/>
    <w:rsid w:val="001F3180"/>
    <w:rsid w:val="001F3356"/>
    <w:rsid w:val="001F3A99"/>
    <w:rsid w:val="001F3C63"/>
    <w:rsid w:val="001F3CBC"/>
    <w:rsid w:val="001F4141"/>
    <w:rsid w:val="001F4460"/>
    <w:rsid w:val="001F4724"/>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0A54"/>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7B0"/>
    <w:rsid w:val="00281B9B"/>
    <w:rsid w:val="00282446"/>
    <w:rsid w:val="002826C2"/>
    <w:rsid w:val="0028282C"/>
    <w:rsid w:val="00282D56"/>
    <w:rsid w:val="00283374"/>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080"/>
    <w:rsid w:val="002B21BF"/>
    <w:rsid w:val="002B2456"/>
    <w:rsid w:val="002B2AC5"/>
    <w:rsid w:val="002B3528"/>
    <w:rsid w:val="002B3539"/>
    <w:rsid w:val="002B3F95"/>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A7"/>
    <w:rsid w:val="002C1190"/>
    <w:rsid w:val="002C2CC9"/>
    <w:rsid w:val="002C34F1"/>
    <w:rsid w:val="002C41BF"/>
    <w:rsid w:val="002C4B7E"/>
    <w:rsid w:val="002C5023"/>
    <w:rsid w:val="002C5424"/>
    <w:rsid w:val="002C54C2"/>
    <w:rsid w:val="002C5D34"/>
    <w:rsid w:val="002C60BB"/>
    <w:rsid w:val="002C661A"/>
    <w:rsid w:val="002D06EE"/>
    <w:rsid w:val="002D073E"/>
    <w:rsid w:val="002D0A40"/>
    <w:rsid w:val="002D0D6F"/>
    <w:rsid w:val="002D1E81"/>
    <w:rsid w:val="002D253D"/>
    <w:rsid w:val="002D25FC"/>
    <w:rsid w:val="002D3E71"/>
    <w:rsid w:val="002D4AC6"/>
    <w:rsid w:val="002D5181"/>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407"/>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BA7"/>
    <w:rsid w:val="00317EB1"/>
    <w:rsid w:val="003204AE"/>
    <w:rsid w:val="00320BE2"/>
    <w:rsid w:val="00320CD0"/>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11D1"/>
    <w:rsid w:val="003416BA"/>
    <w:rsid w:val="00342148"/>
    <w:rsid w:val="00342658"/>
    <w:rsid w:val="003427BE"/>
    <w:rsid w:val="00342F99"/>
    <w:rsid w:val="00343016"/>
    <w:rsid w:val="003432EE"/>
    <w:rsid w:val="00343749"/>
    <w:rsid w:val="00343AEA"/>
    <w:rsid w:val="003444BF"/>
    <w:rsid w:val="00344D99"/>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57C97"/>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A27"/>
    <w:rsid w:val="00386EE5"/>
    <w:rsid w:val="00387051"/>
    <w:rsid w:val="003876F0"/>
    <w:rsid w:val="00387ECF"/>
    <w:rsid w:val="003901EA"/>
    <w:rsid w:val="0039021B"/>
    <w:rsid w:val="00390353"/>
    <w:rsid w:val="00390429"/>
    <w:rsid w:val="003906A0"/>
    <w:rsid w:val="00390D91"/>
    <w:rsid w:val="00390DBB"/>
    <w:rsid w:val="00391413"/>
    <w:rsid w:val="00391A48"/>
    <w:rsid w:val="0039207D"/>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F3"/>
    <w:rsid w:val="0039779B"/>
    <w:rsid w:val="003A0291"/>
    <w:rsid w:val="003A0A27"/>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A4E"/>
    <w:rsid w:val="003B0B6A"/>
    <w:rsid w:val="003B0C41"/>
    <w:rsid w:val="003B129D"/>
    <w:rsid w:val="003B22F7"/>
    <w:rsid w:val="003B2518"/>
    <w:rsid w:val="003B29CF"/>
    <w:rsid w:val="003B2A86"/>
    <w:rsid w:val="003B3A90"/>
    <w:rsid w:val="003B3D01"/>
    <w:rsid w:val="003B4003"/>
    <w:rsid w:val="003B4391"/>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3EFA"/>
    <w:rsid w:val="003C4580"/>
    <w:rsid w:val="003C51C0"/>
    <w:rsid w:val="003C553C"/>
    <w:rsid w:val="003C5C5E"/>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797"/>
    <w:rsid w:val="003E59BB"/>
    <w:rsid w:val="003E6225"/>
    <w:rsid w:val="003E65AC"/>
    <w:rsid w:val="003E66AE"/>
    <w:rsid w:val="003E6CFE"/>
    <w:rsid w:val="003E7160"/>
    <w:rsid w:val="003E72B9"/>
    <w:rsid w:val="003E7612"/>
    <w:rsid w:val="003E7ED4"/>
    <w:rsid w:val="003F0187"/>
    <w:rsid w:val="003F0CAA"/>
    <w:rsid w:val="003F0E52"/>
    <w:rsid w:val="003F0F6B"/>
    <w:rsid w:val="003F1DCD"/>
    <w:rsid w:val="003F1FC6"/>
    <w:rsid w:val="003F1FE3"/>
    <w:rsid w:val="003F2112"/>
    <w:rsid w:val="003F2359"/>
    <w:rsid w:val="003F2457"/>
    <w:rsid w:val="003F2D23"/>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6F8E"/>
    <w:rsid w:val="0041716A"/>
    <w:rsid w:val="0041745E"/>
    <w:rsid w:val="00417A18"/>
    <w:rsid w:val="00417AE0"/>
    <w:rsid w:val="00417BAA"/>
    <w:rsid w:val="00417E8E"/>
    <w:rsid w:val="0042042B"/>
    <w:rsid w:val="00420457"/>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C37"/>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5809"/>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6350"/>
    <w:rsid w:val="00496F9C"/>
    <w:rsid w:val="0049765E"/>
    <w:rsid w:val="00497843"/>
    <w:rsid w:val="0049797C"/>
    <w:rsid w:val="004A1405"/>
    <w:rsid w:val="004A15BD"/>
    <w:rsid w:val="004A1E28"/>
    <w:rsid w:val="004A1FC6"/>
    <w:rsid w:val="004A2E5F"/>
    <w:rsid w:val="004A345A"/>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A1"/>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55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065"/>
    <w:rsid w:val="004F36A3"/>
    <w:rsid w:val="004F3E0C"/>
    <w:rsid w:val="004F4036"/>
    <w:rsid w:val="004F4308"/>
    <w:rsid w:val="004F4892"/>
    <w:rsid w:val="004F4D2C"/>
    <w:rsid w:val="004F5C3B"/>
    <w:rsid w:val="004F5DA0"/>
    <w:rsid w:val="004F7160"/>
    <w:rsid w:val="004F7F77"/>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1F0"/>
    <w:rsid w:val="005313CA"/>
    <w:rsid w:val="00531761"/>
    <w:rsid w:val="0053248F"/>
    <w:rsid w:val="005327AB"/>
    <w:rsid w:val="00532F9C"/>
    <w:rsid w:val="00533055"/>
    <w:rsid w:val="0053332A"/>
    <w:rsid w:val="0053358A"/>
    <w:rsid w:val="00534465"/>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D81"/>
    <w:rsid w:val="00561730"/>
    <w:rsid w:val="00561913"/>
    <w:rsid w:val="00561B97"/>
    <w:rsid w:val="00562149"/>
    <w:rsid w:val="00562285"/>
    <w:rsid w:val="0056248C"/>
    <w:rsid w:val="005640EB"/>
    <w:rsid w:val="00565559"/>
    <w:rsid w:val="005666A4"/>
    <w:rsid w:val="00567B5D"/>
    <w:rsid w:val="00570593"/>
    <w:rsid w:val="00570757"/>
    <w:rsid w:val="00570921"/>
    <w:rsid w:val="0057257D"/>
    <w:rsid w:val="00572DBE"/>
    <w:rsid w:val="00573293"/>
    <w:rsid w:val="00573733"/>
    <w:rsid w:val="00573DBC"/>
    <w:rsid w:val="00573E08"/>
    <w:rsid w:val="00573F8B"/>
    <w:rsid w:val="005743E0"/>
    <w:rsid w:val="00574554"/>
    <w:rsid w:val="00574E06"/>
    <w:rsid w:val="005751BB"/>
    <w:rsid w:val="00575713"/>
    <w:rsid w:val="00576089"/>
    <w:rsid w:val="005764B1"/>
    <w:rsid w:val="00576852"/>
    <w:rsid w:val="00576D06"/>
    <w:rsid w:val="005779E4"/>
    <w:rsid w:val="00577E82"/>
    <w:rsid w:val="00580B89"/>
    <w:rsid w:val="00580EC7"/>
    <w:rsid w:val="005813FA"/>
    <w:rsid w:val="00581EA9"/>
    <w:rsid w:val="005826D2"/>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084"/>
    <w:rsid w:val="005C519C"/>
    <w:rsid w:val="005C51A5"/>
    <w:rsid w:val="005C557A"/>
    <w:rsid w:val="005C566F"/>
    <w:rsid w:val="005C5B5C"/>
    <w:rsid w:val="005C5BF5"/>
    <w:rsid w:val="005C5C47"/>
    <w:rsid w:val="005C5D2D"/>
    <w:rsid w:val="005C5EFA"/>
    <w:rsid w:val="005C61DD"/>
    <w:rsid w:val="005C6438"/>
    <w:rsid w:val="005C64D2"/>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6B59"/>
    <w:rsid w:val="005D71C3"/>
    <w:rsid w:val="005D74D2"/>
    <w:rsid w:val="005D784B"/>
    <w:rsid w:val="005D7B90"/>
    <w:rsid w:val="005D7DE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55C2"/>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1DC"/>
    <w:rsid w:val="006B224E"/>
    <w:rsid w:val="006B2349"/>
    <w:rsid w:val="006B25FA"/>
    <w:rsid w:val="006B2943"/>
    <w:rsid w:val="006B2C00"/>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1F0"/>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3E7"/>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10DA"/>
    <w:rsid w:val="007623FB"/>
    <w:rsid w:val="00762517"/>
    <w:rsid w:val="00763191"/>
    <w:rsid w:val="00763240"/>
    <w:rsid w:val="0076376A"/>
    <w:rsid w:val="0076413A"/>
    <w:rsid w:val="007643A1"/>
    <w:rsid w:val="007648AD"/>
    <w:rsid w:val="0076504E"/>
    <w:rsid w:val="00765E8F"/>
    <w:rsid w:val="007660C0"/>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7A0"/>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97813"/>
    <w:rsid w:val="007A11C2"/>
    <w:rsid w:val="007A1781"/>
    <w:rsid w:val="007A18BB"/>
    <w:rsid w:val="007A2489"/>
    <w:rsid w:val="007A27DD"/>
    <w:rsid w:val="007A2D2A"/>
    <w:rsid w:val="007A3C3F"/>
    <w:rsid w:val="007A41BF"/>
    <w:rsid w:val="007A490A"/>
    <w:rsid w:val="007A4F24"/>
    <w:rsid w:val="007A549E"/>
    <w:rsid w:val="007A54DC"/>
    <w:rsid w:val="007A5D50"/>
    <w:rsid w:val="007A6811"/>
    <w:rsid w:val="007A7289"/>
    <w:rsid w:val="007A7A78"/>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4DAF"/>
    <w:rsid w:val="007C58C1"/>
    <w:rsid w:val="007C5B39"/>
    <w:rsid w:val="007C6218"/>
    <w:rsid w:val="007C6484"/>
    <w:rsid w:val="007C67C6"/>
    <w:rsid w:val="007C7356"/>
    <w:rsid w:val="007C78BE"/>
    <w:rsid w:val="007C7A5D"/>
    <w:rsid w:val="007C7E59"/>
    <w:rsid w:val="007D0363"/>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A0D"/>
    <w:rsid w:val="007E03B4"/>
    <w:rsid w:val="007E066C"/>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148E"/>
    <w:rsid w:val="008015A1"/>
    <w:rsid w:val="008024CA"/>
    <w:rsid w:val="00802C0B"/>
    <w:rsid w:val="00802D83"/>
    <w:rsid w:val="0080319D"/>
    <w:rsid w:val="00803ADF"/>
    <w:rsid w:val="00803DF1"/>
    <w:rsid w:val="00804206"/>
    <w:rsid w:val="0080425E"/>
    <w:rsid w:val="00805040"/>
    <w:rsid w:val="008051FC"/>
    <w:rsid w:val="008055A9"/>
    <w:rsid w:val="008056C4"/>
    <w:rsid w:val="008057FD"/>
    <w:rsid w:val="00805D8B"/>
    <w:rsid w:val="00806C33"/>
    <w:rsid w:val="00806F21"/>
    <w:rsid w:val="00807BF7"/>
    <w:rsid w:val="0081010F"/>
    <w:rsid w:val="008109E0"/>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5D3"/>
    <w:rsid w:val="008226F5"/>
    <w:rsid w:val="00823FAA"/>
    <w:rsid w:val="00823FC6"/>
    <w:rsid w:val="00824306"/>
    <w:rsid w:val="00824B1F"/>
    <w:rsid w:val="00825C74"/>
    <w:rsid w:val="00825CFA"/>
    <w:rsid w:val="00825F10"/>
    <w:rsid w:val="00826AB9"/>
    <w:rsid w:val="00826E0E"/>
    <w:rsid w:val="00826EB7"/>
    <w:rsid w:val="00827D11"/>
    <w:rsid w:val="00827E0F"/>
    <w:rsid w:val="00827F6E"/>
    <w:rsid w:val="0083077E"/>
    <w:rsid w:val="00830E66"/>
    <w:rsid w:val="00831758"/>
    <w:rsid w:val="008317D9"/>
    <w:rsid w:val="00831AEC"/>
    <w:rsid w:val="0083279F"/>
    <w:rsid w:val="00832CE9"/>
    <w:rsid w:val="008334DB"/>
    <w:rsid w:val="00833B7F"/>
    <w:rsid w:val="00833B82"/>
    <w:rsid w:val="00833D2C"/>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671"/>
    <w:rsid w:val="0089445B"/>
    <w:rsid w:val="008945B9"/>
    <w:rsid w:val="0089493F"/>
    <w:rsid w:val="00894979"/>
    <w:rsid w:val="00895838"/>
    <w:rsid w:val="00895A1E"/>
    <w:rsid w:val="00895A72"/>
    <w:rsid w:val="00895CDF"/>
    <w:rsid w:val="00895EE3"/>
    <w:rsid w:val="00896046"/>
    <w:rsid w:val="0089615A"/>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578"/>
    <w:rsid w:val="008F49D3"/>
    <w:rsid w:val="008F51D3"/>
    <w:rsid w:val="008F5B69"/>
    <w:rsid w:val="008F6519"/>
    <w:rsid w:val="008F68C5"/>
    <w:rsid w:val="008F694F"/>
    <w:rsid w:val="008F6AC1"/>
    <w:rsid w:val="008F6B67"/>
    <w:rsid w:val="008F6F4C"/>
    <w:rsid w:val="008F7012"/>
    <w:rsid w:val="008F7576"/>
    <w:rsid w:val="008F7ADA"/>
    <w:rsid w:val="008F7B17"/>
    <w:rsid w:val="00900042"/>
    <w:rsid w:val="0090034B"/>
    <w:rsid w:val="009005D7"/>
    <w:rsid w:val="0090087C"/>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3AF"/>
    <w:rsid w:val="009227BE"/>
    <w:rsid w:val="00922C83"/>
    <w:rsid w:val="009233CE"/>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21D"/>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26"/>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1E9D"/>
    <w:rsid w:val="009C2913"/>
    <w:rsid w:val="009C2BD4"/>
    <w:rsid w:val="009C32F0"/>
    <w:rsid w:val="009C334C"/>
    <w:rsid w:val="009C3EED"/>
    <w:rsid w:val="009C4596"/>
    <w:rsid w:val="009C52FB"/>
    <w:rsid w:val="009C5314"/>
    <w:rsid w:val="009C5AFE"/>
    <w:rsid w:val="009C6606"/>
    <w:rsid w:val="009C6CE5"/>
    <w:rsid w:val="009C6D50"/>
    <w:rsid w:val="009C72B2"/>
    <w:rsid w:val="009C7547"/>
    <w:rsid w:val="009D05EC"/>
    <w:rsid w:val="009D18D4"/>
    <w:rsid w:val="009D1E82"/>
    <w:rsid w:val="009D1FCF"/>
    <w:rsid w:val="009D209F"/>
    <w:rsid w:val="009D2F60"/>
    <w:rsid w:val="009D3862"/>
    <w:rsid w:val="009D3A2E"/>
    <w:rsid w:val="009D3E61"/>
    <w:rsid w:val="009D4C2E"/>
    <w:rsid w:val="009D53C0"/>
    <w:rsid w:val="009D5912"/>
    <w:rsid w:val="009D5ADE"/>
    <w:rsid w:val="009D5BAC"/>
    <w:rsid w:val="009D5C56"/>
    <w:rsid w:val="009D5EBC"/>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6E"/>
    <w:rsid w:val="009F249F"/>
    <w:rsid w:val="009F2DDD"/>
    <w:rsid w:val="009F32B4"/>
    <w:rsid w:val="009F3447"/>
    <w:rsid w:val="009F58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4D1"/>
    <w:rsid w:val="00A25B8B"/>
    <w:rsid w:val="00A2689F"/>
    <w:rsid w:val="00A26D30"/>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29C"/>
    <w:rsid w:val="00A54572"/>
    <w:rsid w:val="00A559D8"/>
    <w:rsid w:val="00A570F2"/>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BA0"/>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456"/>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931"/>
    <w:rsid w:val="00AA7BE1"/>
    <w:rsid w:val="00AB03FD"/>
    <w:rsid w:val="00AB09B8"/>
    <w:rsid w:val="00AB1678"/>
    <w:rsid w:val="00AB199F"/>
    <w:rsid w:val="00AB1C40"/>
    <w:rsid w:val="00AB2000"/>
    <w:rsid w:val="00AB21CC"/>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3DA"/>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21D4"/>
    <w:rsid w:val="00AD23EF"/>
    <w:rsid w:val="00AD2662"/>
    <w:rsid w:val="00AD307B"/>
    <w:rsid w:val="00AD34C4"/>
    <w:rsid w:val="00AD355F"/>
    <w:rsid w:val="00AD36D2"/>
    <w:rsid w:val="00AD3992"/>
    <w:rsid w:val="00AD4014"/>
    <w:rsid w:val="00AD41B3"/>
    <w:rsid w:val="00AD452D"/>
    <w:rsid w:val="00AD5721"/>
    <w:rsid w:val="00AD69F0"/>
    <w:rsid w:val="00AD7127"/>
    <w:rsid w:val="00AD730C"/>
    <w:rsid w:val="00AE04FD"/>
    <w:rsid w:val="00AE0F90"/>
    <w:rsid w:val="00AE123A"/>
    <w:rsid w:val="00AE1539"/>
    <w:rsid w:val="00AE1FB8"/>
    <w:rsid w:val="00AE28A7"/>
    <w:rsid w:val="00AE2A98"/>
    <w:rsid w:val="00AE2CA0"/>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37E"/>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263"/>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D7C"/>
    <w:rsid w:val="00B20F18"/>
    <w:rsid w:val="00B20FB7"/>
    <w:rsid w:val="00B21516"/>
    <w:rsid w:val="00B21723"/>
    <w:rsid w:val="00B219D9"/>
    <w:rsid w:val="00B21A37"/>
    <w:rsid w:val="00B21D23"/>
    <w:rsid w:val="00B21F62"/>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19BB"/>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1F"/>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258"/>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7A7"/>
    <w:rsid w:val="00BF01C5"/>
    <w:rsid w:val="00BF061A"/>
    <w:rsid w:val="00BF066A"/>
    <w:rsid w:val="00BF0771"/>
    <w:rsid w:val="00BF0EDE"/>
    <w:rsid w:val="00BF14CC"/>
    <w:rsid w:val="00BF1821"/>
    <w:rsid w:val="00BF214F"/>
    <w:rsid w:val="00BF22E9"/>
    <w:rsid w:val="00BF3FE4"/>
    <w:rsid w:val="00BF4342"/>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A39"/>
    <w:rsid w:val="00C33F55"/>
    <w:rsid w:val="00C343FF"/>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745"/>
    <w:rsid w:val="00C95813"/>
    <w:rsid w:val="00C95902"/>
    <w:rsid w:val="00C95999"/>
    <w:rsid w:val="00C95CCD"/>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2748"/>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63B2"/>
    <w:rsid w:val="00CF7074"/>
    <w:rsid w:val="00CF7495"/>
    <w:rsid w:val="00CF76D6"/>
    <w:rsid w:val="00D00314"/>
    <w:rsid w:val="00D01CF9"/>
    <w:rsid w:val="00D01F93"/>
    <w:rsid w:val="00D021E8"/>
    <w:rsid w:val="00D02AA3"/>
    <w:rsid w:val="00D0334D"/>
    <w:rsid w:val="00D0374D"/>
    <w:rsid w:val="00D0411B"/>
    <w:rsid w:val="00D05614"/>
    <w:rsid w:val="00D05D5C"/>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0BF"/>
    <w:rsid w:val="00D2385D"/>
    <w:rsid w:val="00D23AAD"/>
    <w:rsid w:val="00D23FB9"/>
    <w:rsid w:val="00D23FF4"/>
    <w:rsid w:val="00D2438C"/>
    <w:rsid w:val="00D247E0"/>
    <w:rsid w:val="00D2585A"/>
    <w:rsid w:val="00D25920"/>
    <w:rsid w:val="00D259B0"/>
    <w:rsid w:val="00D259C2"/>
    <w:rsid w:val="00D26586"/>
    <w:rsid w:val="00D26C3F"/>
    <w:rsid w:val="00D27185"/>
    <w:rsid w:val="00D27338"/>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5E01"/>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AC2"/>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82"/>
    <w:rsid w:val="00DE5EC5"/>
    <w:rsid w:val="00DE5F7F"/>
    <w:rsid w:val="00DE5FA6"/>
    <w:rsid w:val="00DE5FC9"/>
    <w:rsid w:val="00DE6792"/>
    <w:rsid w:val="00DE6AA1"/>
    <w:rsid w:val="00DE77A3"/>
    <w:rsid w:val="00DE7EF7"/>
    <w:rsid w:val="00DF015B"/>
    <w:rsid w:val="00DF02EC"/>
    <w:rsid w:val="00DF0404"/>
    <w:rsid w:val="00DF10FC"/>
    <w:rsid w:val="00DF1185"/>
    <w:rsid w:val="00DF1299"/>
    <w:rsid w:val="00DF132C"/>
    <w:rsid w:val="00DF155A"/>
    <w:rsid w:val="00DF1620"/>
    <w:rsid w:val="00DF1A70"/>
    <w:rsid w:val="00DF1E5F"/>
    <w:rsid w:val="00DF224B"/>
    <w:rsid w:val="00DF23A8"/>
    <w:rsid w:val="00DF2EE1"/>
    <w:rsid w:val="00DF2F27"/>
    <w:rsid w:val="00DF36B6"/>
    <w:rsid w:val="00DF4296"/>
    <w:rsid w:val="00DF4E8F"/>
    <w:rsid w:val="00DF5267"/>
    <w:rsid w:val="00DF53F0"/>
    <w:rsid w:val="00DF5700"/>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656E"/>
    <w:rsid w:val="00E26759"/>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1BB1"/>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5AE0"/>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5383"/>
    <w:rsid w:val="00E75A36"/>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753"/>
    <w:rsid w:val="00EC3FB6"/>
    <w:rsid w:val="00EC471E"/>
    <w:rsid w:val="00EC4E71"/>
    <w:rsid w:val="00EC5409"/>
    <w:rsid w:val="00EC5B29"/>
    <w:rsid w:val="00EC5BC4"/>
    <w:rsid w:val="00EC5F1C"/>
    <w:rsid w:val="00EC7AEB"/>
    <w:rsid w:val="00ED0365"/>
    <w:rsid w:val="00ED0512"/>
    <w:rsid w:val="00ED0865"/>
    <w:rsid w:val="00ED0C1C"/>
    <w:rsid w:val="00ED1353"/>
    <w:rsid w:val="00ED1C60"/>
    <w:rsid w:val="00ED2EB9"/>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97F"/>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06B"/>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B90"/>
    <w:rsid w:val="00EF6DD7"/>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3CD8"/>
    <w:rsid w:val="00F249A1"/>
    <w:rsid w:val="00F24FBA"/>
    <w:rsid w:val="00F2504D"/>
    <w:rsid w:val="00F2595D"/>
    <w:rsid w:val="00F25B26"/>
    <w:rsid w:val="00F2637F"/>
    <w:rsid w:val="00F268F7"/>
    <w:rsid w:val="00F30B83"/>
    <w:rsid w:val="00F30BDB"/>
    <w:rsid w:val="00F30CF8"/>
    <w:rsid w:val="00F31402"/>
    <w:rsid w:val="00F31EDF"/>
    <w:rsid w:val="00F32507"/>
    <w:rsid w:val="00F327D9"/>
    <w:rsid w:val="00F32CDE"/>
    <w:rsid w:val="00F32D4C"/>
    <w:rsid w:val="00F3327E"/>
    <w:rsid w:val="00F33746"/>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783"/>
    <w:rsid w:val="00F55D12"/>
    <w:rsid w:val="00F56836"/>
    <w:rsid w:val="00F5687F"/>
    <w:rsid w:val="00F56A02"/>
    <w:rsid w:val="00F56B58"/>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76A"/>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948"/>
    <w:rsid w:val="00F84B25"/>
    <w:rsid w:val="00F85B72"/>
    <w:rsid w:val="00F8652A"/>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A"/>
    <w:rsid w:val="00F93ABB"/>
    <w:rsid w:val="00F94D79"/>
    <w:rsid w:val="00F95AEF"/>
    <w:rsid w:val="00F9658C"/>
    <w:rsid w:val="00F96EEB"/>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2C5"/>
    <w:rsid w:val="00FE0794"/>
    <w:rsid w:val="00FE1041"/>
    <w:rsid w:val="00FE1614"/>
    <w:rsid w:val="00FE1D32"/>
    <w:rsid w:val="00FE24CB"/>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9D5"/>
    <w:rsid w:val="00FF1C9B"/>
    <w:rsid w:val="00FF1D49"/>
    <w:rsid w:val="00FF203B"/>
    <w:rsid w:val="00FF2562"/>
    <w:rsid w:val="00FF3A41"/>
    <w:rsid w:val="00FF3E5B"/>
    <w:rsid w:val="00FF5183"/>
    <w:rsid w:val="00FF57E4"/>
    <w:rsid w:val="00FF5E26"/>
    <w:rsid w:val="00FF5ECD"/>
    <w:rsid w:val="00FF6D57"/>
    <w:rsid w:val="00FF78E5"/>
    <w:rsid w:val="011E3D92"/>
    <w:rsid w:val="012C5FAF"/>
    <w:rsid w:val="0194674A"/>
    <w:rsid w:val="01AF3D99"/>
    <w:rsid w:val="02493090"/>
    <w:rsid w:val="02511F9D"/>
    <w:rsid w:val="03800D34"/>
    <w:rsid w:val="03A314B8"/>
    <w:rsid w:val="03D42E2E"/>
    <w:rsid w:val="03D8291E"/>
    <w:rsid w:val="03D82B98"/>
    <w:rsid w:val="03F83E8B"/>
    <w:rsid w:val="04006050"/>
    <w:rsid w:val="0422003D"/>
    <w:rsid w:val="051E5F2B"/>
    <w:rsid w:val="054D7BBF"/>
    <w:rsid w:val="05C56868"/>
    <w:rsid w:val="0620235A"/>
    <w:rsid w:val="07A539BD"/>
    <w:rsid w:val="07B72767"/>
    <w:rsid w:val="08077E72"/>
    <w:rsid w:val="08624EAC"/>
    <w:rsid w:val="08882DD0"/>
    <w:rsid w:val="09063A89"/>
    <w:rsid w:val="093700E7"/>
    <w:rsid w:val="09816C5A"/>
    <w:rsid w:val="09CC2AAC"/>
    <w:rsid w:val="0A652D3E"/>
    <w:rsid w:val="0AEF5309"/>
    <w:rsid w:val="0AF03373"/>
    <w:rsid w:val="0B326F2A"/>
    <w:rsid w:val="0BAA1044"/>
    <w:rsid w:val="0C1E2888"/>
    <w:rsid w:val="0C3B6140"/>
    <w:rsid w:val="0C6E110E"/>
    <w:rsid w:val="0C92213C"/>
    <w:rsid w:val="0CC2027E"/>
    <w:rsid w:val="0CD36378"/>
    <w:rsid w:val="0D84032B"/>
    <w:rsid w:val="0ECD6DF7"/>
    <w:rsid w:val="0F1F58A5"/>
    <w:rsid w:val="0F221070"/>
    <w:rsid w:val="0F2A74C4"/>
    <w:rsid w:val="10466E61"/>
    <w:rsid w:val="107C13BF"/>
    <w:rsid w:val="10A27F31"/>
    <w:rsid w:val="10AB31FB"/>
    <w:rsid w:val="10BB15FD"/>
    <w:rsid w:val="11927058"/>
    <w:rsid w:val="120E171E"/>
    <w:rsid w:val="12977E48"/>
    <w:rsid w:val="131E40C5"/>
    <w:rsid w:val="138A175B"/>
    <w:rsid w:val="13AF4F03"/>
    <w:rsid w:val="13EF5C40"/>
    <w:rsid w:val="1467584C"/>
    <w:rsid w:val="14736E66"/>
    <w:rsid w:val="147F458F"/>
    <w:rsid w:val="1482646F"/>
    <w:rsid w:val="1534169A"/>
    <w:rsid w:val="15C03E03"/>
    <w:rsid w:val="162A25EB"/>
    <w:rsid w:val="16353C00"/>
    <w:rsid w:val="16735895"/>
    <w:rsid w:val="16FD2A55"/>
    <w:rsid w:val="17067C1A"/>
    <w:rsid w:val="17366761"/>
    <w:rsid w:val="177C01F0"/>
    <w:rsid w:val="179E3EFA"/>
    <w:rsid w:val="17CE6630"/>
    <w:rsid w:val="18B04FBB"/>
    <w:rsid w:val="18F27B86"/>
    <w:rsid w:val="194A1770"/>
    <w:rsid w:val="1A7A6085"/>
    <w:rsid w:val="1AFF0AFE"/>
    <w:rsid w:val="1B4A1EFB"/>
    <w:rsid w:val="1B4F19F8"/>
    <w:rsid w:val="1C014A65"/>
    <w:rsid w:val="1CAB69CA"/>
    <w:rsid w:val="1CBD4448"/>
    <w:rsid w:val="1D4129D2"/>
    <w:rsid w:val="1DCB4E4A"/>
    <w:rsid w:val="1E94348E"/>
    <w:rsid w:val="1ECC44FA"/>
    <w:rsid w:val="1F063325"/>
    <w:rsid w:val="1F86727A"/>
    <w:rsid w:val="1FBC5DF5"/>
    <w:rsid w:val="1FF90588"/>
    <w:rsid w:val="20AE6A88"/>
    <w:rsid w:val="20C3623F"/>
    <w:rsid w:val="212C0DD2"/>
    <w:rsid w:val="21781212"/>
    <w:rsid w:val="21AB746C"/>
    <w:rsid w:val="21B83F86"/>
    <w:rsid w:val="21BE719F"/>
    <w:rsid w:val="221178A8"/>
    <w:rsid w:val="221213CF"/>
    <w:rsid w:val="22327A92"/>
    <w:rsid w:val="226D482D"/>
    <w:rsid w:val="22D24DE0"/>
    <w:rsid w:val="231D53A2"/>
    <w:rsid w:val="23244DE0"/>
    <w:rsid w:val="236D5383"/>
    <w:rsid w:val="237433CF"/>
    <w:rsid w:val="23B7504C"/>
    <w:rsid w:val="24571307"/>
    <w:rsid w:val="25110A2A"/>
    <w:rsid w:val="256C0944"/>
    <w:rsid w:val="26446DE3"/>
    <w:rsid w:val="26877DFE"/>
    <w:rsid w:val="269669E7"/>
    <w:rsid w:val="26995AE5"/>
    <w:rsid w:val="26A270C1"/>
    <w:rsid w:val="26BC522E"/>
    <w:rsid w:val="26D7699F"/>
    <w:rsid w:val="277E0249"/>
    <w:rsid w:val="27AE30E8"/>
    <w:rsid w:val="28B46C06"/>
    <w:rsid w:val="28B70596"/>
    <w:rsid w:val="28DC43AF"/>
    <w:rsid w:val="28E13773"/>
    <w:rsid w:val="28F74D45"/>
    <w:rsid w:val="29200448"/>
    <w:rsid w:val="293722C0"/>
    <w:rsid w:val="295F273D"/>
    <w:rsid w:val="29A273A6"/>
    <w:rsid w:val="29D75F7F"/>
    <w:rsid w:val="29F11F0D"/>
    <w:rsid w:val="2B774624"/>
    <w:rsid w:val="2BCB79E3"/>
    <w:rsid w:val="2C7A72BE"/>
    <w:rsid w:val="2C9A7D75"/>
    <w:rsid w:val="2CAF0C2C"/>
    <w:rsid w:val="2CC17412"/>
    <w:rsid w:val="2D7C1E99"/>
    <w:rsid w:val="2DB640F0"/>
    <w:rsid w:val="2E0917A2"/>
    <w:rsid w:val="2E2B796A"/>
    <w:rsid w:val="2E690B0F"/>
    <w:rsid w:val="2E9976CE"/>
    <w:rsid w:val="2EF01DEE"/>
    <w:rsid w:val="2F0623C1"/>
    <w:rsid w:val="2F401D3C"/>
    <w:rsid w:val="2F5B24E1"/>
    <w:rsid w:val="2F860BD0"/>
    <w:rsid w:val="2FA95C88"/>
    <w:rsid w:val="3041370F"/>
    <w:rsid w:val="30421520"/>
    <w:rsid w:val="30B87FED"/>
    <w:rsid w:val="30D81900"/>
    <w:rsid w:val="312B50A3"/>
    <w:rsid w:val="31894FD2"/>
    <w:rsid w:val="31EB2F2E"/>
    <w:rsid w:val="32453A27"/>
    <w:rsid w:val="3263064A"/>
    <w:rsid w:val="32A43132"/>
    <w:rsid w:val="32AC0C06"/>
    <w:rsid w:val="32B1065A"/>
    <w:rsid w:val="331A1D5C"/>
    <w:rsid w:val="33344EF5"/>
    <w:rsid w:val="342866CF"/>
    <w:rsid w:val="34CA77B1"/>
    <w:rsid w:val="35020CF9"/>
    <w:rsid w:val="3537750C"/>
    <w:rsid w:val="3537798C"/>
    <w:rsid w:val="35C13FC9"/>
    <w:rsid w:val="35FF41CE"/>
    <w:rsid w:val="36372B05"/>
    <w:rsid w:val="364257B6"/>
    <w:rsid w:val="37EA5922"/>
    <w:rsid w:val="38276B93"/>
    <w:rsid w:val="382E58B8"/>
    <w:rsid w:val="38AC3431"/>
    <w:rsid w:val="392F2E16"/>
    <w:rsid w:val="39D60FA5"/>
    <w:rsid w:val="39E00529"/>
    <w:rsid w:val="3A0B64A7"/>
    <w:rsid w:val="3A574DDA"/>
    <w:rsid w:val="3ACD1DA9"/>
    <w:rsid w:val="3AD3075A"/>
    <w:rsid w:val="3AEA64B7"/>
    <w:rsid w:val="3AF74C02"/>
    <w:rsid w:val="3B146A06"/>
    <w:rsid w:val="3B6E25D3"/>
    <w:rsid w:val="3C0059A5"/>
    <w:rsid w:val="3C134E78"/>
    <w:rsid w:val="3CC81BC6"/>
    <w:rsid w:val="3D0A1651"/>
    <w:rsid w:val="3D583BAC"/>
    <w:rsid w:val="3DA0781E"/>
    <w:rsid w:val="3DF6345D"/>
    <w:rsid w:val="3E031F5B"/>
    <w:rsid w:val="3E2B5515"/>
    <w:rsid w:val="3E4D4F28"/>
    <w:rsid w:val="3EA11583"/>
    <w:rsid w:val="3ED92EC4"/>
    <w:rsid w:val="3EE13701"/>
    <w:rsid w:val="3F1A4BB3"/>
    <w:rsid w:val="3F3648F8"/>
    <w:rsid w:val="40017748"/>
    <w:rsid w:val="40192BA6"/>
    <w:rsid w:val="40FD0A7D"/>
    <w:rsid w:val="4151243D"/>
    <w:rsid w:val="41766EA9"/>
    <w:rsid w:val="41870F04"/>
    <w:rsid w:val="422229DB"/>
    <w:rsid w:val="42550A18"/>
    <w:rsid w:val="427165D8"/>
    <w:rsid w:val="429D496A"/>
    <w:rsid w:val="42BF46CD"/>
    <w:rsid w:val="42F473A1"/>
    <w:rsid w:val="431A683E"/>
    <w:rsid w:val="437217EA"/>
    <w:rsid w:val="43AB7156"/>
    <w:rsid w:val="43FF60DE"/>
    <w:rsid w:val="441E62C0"/>
    <w:rsid w:val="45325D14"/>
    <w:rsid w:val="45575091"/>
    <w:rsid w:val="45811C7C"/>
    <w:rsid w:val="45906116"/>
    <w:rsid w:val="45931B8C"/>
    <w:rsid w:val="45DB42AF"/>
    <w:rsid w:val="45EF2552"/>
    <w:rsid w:val="468B3EFB"/>
    <w:rsid w:val="46B8233A"/>
    <w:rsid w:val="470A6193"/>
    <w:rsid w:val="47385210"/>
    <w:rsid w:val="475510F8"/>
    <w:rsid w:val="47DC4F5C"/>
    <w:rsid w:val="47E30E5E"/>
    <w:rsid w:val="47FE14C2"/>
    <w:rsid w:val="48B40671"/>
    <w:rsid w:val="48CF15AC"/>
    <w:rsid w:val="48EC789E"/>
    <w:rsid w:val="499B5738"/>
    <w:rsid w:val="499F244D"/>
    <w:rsid w:val="4A973F3F"/>
    <w:rsid w:val="4AAE7507"/>
    <w:rsid w:val="4AED3C0C"/>
    <w:rsid w:val="4AF96BC7"/>
    <w:rsid w:val="4B315A3D"/>
    <w:rsid w:val="4B62209A"/>
    <w:rsid w:val="4B862A85"/>
    <w:rsid w:val="4B8D35BB"/>
    <w:rsid w:val="4CB3154E"/>
    <w:rsid w:val="4CEF36E2"/>
    <w:rsid w:val="4CEF4DC5"/>
    <w:rsid w:val="4E257655"/>
    <w:rsid w:val="4F076127"/>
    <w:rsid w:val="4F0C5D1C"/>
    <w:rsid w:val="4F372380"/>
    <w:rsid w:val="4F372FFB"/>
    <w:rsid w:val="4FB1539E"/>
    <w:rsid w:val="4FDA66A3"/>
    <w:rsid w:val="5025116D"/>
    <w:rsid w:val="50F47C38"/>
    <w:rsid w:val="51C864C0"/>
    <w:rsid w:val="52395ECD"/>
    <w:rsid w:val="52A31394"/>
    <w:rsid w:val="52C10D75"/>
    <w:rsid w:val="53A83D63"/>
    <w:rsid w:val="53C27FF8"/>
    <w:rsid w:val="5407734F"/>
    <w:rsid w:val="54806794"/>
    <w:rsid w:val="5492579E"/>
    <w:rsid w:val="549E1A80"/>
    <w:rsid w:val="54C658F4"/>
    <w:rsid w:val="550C4BD7"/>
    <w:rsid w:val="550D3265"/>
    <w:rsid w:val="554C1D56"/>
    <w:rsid w:val="55572986"/>
    <w:rsid w:val="562C577E"/>
    <w:rsid w:val="565340FA"/>
    <w:rsid w:val="569C6DA8"/>
    <w:rsid w:val="56AD5F59"/>
    <w:rsid w:val="56C60774"/>
    <w:rsid w:val="56E542AB"/>
    <w:rsid w:val="571B35A3"/>
    <w:rsid w:val="57B12A52"/>
    <w:rsid w:val="57DD1FD4"/>
    <w:rsid w:val="580544D9"/>
    <w:rsid w:val="58931AE5"/>
    <w:rsid w:val="58E172F2"/>
    <w:rsid w:val="591E1CF6"/>
    <w:rsid w:val="5A2F2CC8"/>
    <w:rsid w:val="5BFC49BB"/>
    <w:rsid w:val="5C10702D"/>
    <w:rsid w:val="5C152601"/>
    <w:rsid w:val="5C203921"/>
    <w:rsid w:val="5C591F03"/>
    <w:rsid w:val="5C8A1B2F"/>
    <w:rsid w:val="5D2430B6"/>
    <w:rsid w:val="5E341674"/>
    <w:rsid w:val="5F561B72"/>
    <w:rsid w:val="606007BB"/>
    <w:rsid w:val="60AC7F66"/>
    <w:rsid w:val="60B975FB"/>
    <w:rsid w:val="61BF10D9"/>
    <w:rsid w:val="62110684"/>
    <w:rsid w:val="62261C1B"/>
    <w:rsid w:val="626C1660"/>
    <w:rsid w:val="62774225"/>
    <w:rsid w:val="628726BA"/>
    <w:rsid w:val="62AC22DC"/>
    <w:rsid w:val="62BF00A6"/>
    <w:rsid w:val="63464323"/>
    <w:rsid w:val="63A22BFD"/>
    <w:rsid w:val="64DD1E43"/>
    <w:rsid w:val="64E45EF7"/>
    <w:rsid w:val="667F3EFA"/>
    <w:rsid w:val="66803B32"/>
    <w:rsid w:val="6691014E"/>
    <w:rsid w:val="66C87CCE"/>
    <w:rsid w:val="6734055C"/>
    <w:rsid w:val="677435B2"/>
    <w:rsid w:val="677F6056"/>
    <w:rsid w:val="67C223E6"/>
    <w:rsid w:val="67EF75F1"/>
    <w:rsid w:val="683E7CBF"/>
    <w:rsid w:val="684F4F11"/>
    <w:rsid w:val="68851106"/>
    <w:rsid w:val="69124F16"/>
    <w:rsid w:val="69CD5C14"/>
    <w:rsid w:val="69CF0D33"/>
    <w:rsid w:val="6B9946B3"/>
    <w:rsid w:val="6BB42357"/>
    <w:rsid w:val="6BE518DA"/>
    <w:rsid w:val="6C276F3A"/>
    <w:rsid w:val="6C6B4DFB"/>
    <w:rsid w:val="6C7007C7"/>
    <w:rsid w:val="6D723F67"/>
    <w:rsid w:val="6DCE12F3"/>
    <w:rsid w:val="6DE76850"/>
    <w:rsid w:val="6E5849AF"/>
    <w:rsid w:val="6EF52990"/>
    <w:rsid w:val="6FA17290"/>
    <w:rsid w:val="6FA85E80"/>
    <w:rsid w:val="6FB20BD4"/>
    <w:rsid w:val="6FBA59BE"/>
    <w:rsid w:val="702011A8"/>
    <w:rsid w:val="702314C8"/>
    <w:rsid w:val="70296B3E"/>
    <w:rsid w:val="7047792D"/>
    <w:rsid w:val="70611204"/>
    <w:rsid w:val="7165620F"/>
    <w:rsid w:val="717039F8"/>
    <w:rsid w:val="739534EB"/>
    <w:rsid w:val="739F35DC"/>
    <w:rsid w:val="742A038A"/>
    <w:rsid w:val="745F3497"/>
    <w:rsid w:val="74D13AD5"/>
    <w:rsid w:val="74F95187"/>
    <w:rsid w:val="74FA2C30"/>
    <w:rsid w:val="754D5C4B"/>
    <w:rsid w:val="758331B5"/>
    <w:rsid w:val="75CB690A"/>
    <w:rsid w:val="76C240A7"/>
    <w:rsid w:val="76DA416A"/>
    <w:rsid w:val="7725204A"/>
    <w:rsid w:val="775246B7"/>
    <w:rsid w:val="779C67B0"/>
    <w:rsid w:val="781E69D1"/>
    <w:rsid w:val="78C767CE"/>
    <w:rsid w:val="78EA354B"/>
    <w:rsid w:val="7901747F"/>
    <w:rsid w:val="791B4953"/>
    <w:rsid w:val="79C30024"/>
    <w:rsid w:val="79F522D1"/>
    <w:rsid w:val="7A263B6B"/>
    <w:rsid w:val="7A2A00A3"/>
    <w:rsid w:val="7AF46346"/>
    <w:rsid w:val="7B0F5EBF"/>
    <w:rsid w:val="7B130FB9"/>
    <w:rsid w:val="7B220678"/>
    <w:rsid w:val="7BD71E38"/>
    <w:rsid w:val="7BF64EDE"/>
    <w:rsid w:val="7C400C1E"/>
    <w:rsid w:val="7DD11708"/>
    <w:rsid w:val="7DEE4A4F"/>
    <w:rsid w:val="7E1D4C4C"/>
    <w:rsid w:val="7E521976"/>
    <w:rsid w:val="7EAE6230"/>
    <w:rsid w:val="7EBD579E"/>
    <w:rsid w:val="7EC167BD"/>
    <w:rsid w:val="7F272D9E"/>
    <w:rsid w:val="7F477001"/>
    <w:rsid w:val="7FD9B7E0"/>
    <w:rsid w:val="979F7D24"/>
    <w:rsid w:val="ADEF2B5B"/>
    <w:rsid w:val="FBFF9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8"/>
    <w:qFormat/>
    <w:uiPriority w:val="99"/>
    <w:pPr>
      <w:keepNext/>
      <w:keepLines/>
      <w:spacing w:line="360" w:lineRule="auto"/>
      <w:outlineLvl w:val="3"/>
    </w:pPr>
    <w:rPr>
      <w:rFonts w:ascii="Arial" w:hAnsi="Arial"/>
      <w:b/>
      <w:bCs/>
      <w:sz w:val="28"/>
      <w:szCs w:val="28"/>
    </w:rPr>
  </w:style>
  <w:style w:type="paragraph" w:styleId="6">
    <w:name w:val="heading 5"/>
    <w:basedOn w:val="1"/>
    <w:next w:val="7"/>
    <w:link w:val="69"/>
    <w:qFormat/>
    <w:uiPriority w:val="99"/>
    <w:pPr>
      <w:keepNext/>
      <w:keepLines/>
      <w:spacing w:before="280" w:after="290" w:line="376" w:lineRule="auto"/>
      <w:outlineLvl w:val="4"/>
    </w:pPr>
    <w:rPr>
      <w:b/>
      <w:bCs/>
      <w:sz w:val="28"/>
      <w:szCs w:val="28"/>
    </w:rPr>
  </w:style>
  <w:style w:type="paragraph" w:styleId="12">
    <w:name w:val="heading 6"/>
    <w:basedOn w:val="1"/>
    <w:next w:val="1"/>
    <w:link w:val="71"/>
    <w:autoRedefine/>
    <w:qFormat/>
    <w:uiPriority w:val="9"/>
    <w:pPr>
      <w:keepNext/>
      <w:keepLines/>
      <w:spacing w:before="240" w:after="64" w:line="317" w:lineRule="auto"/>
      <w:outlineLvl w:val="5"/>
    </w:pPr>
    <w:rPr>
      <w:rFonts w:ascii="Cambria" w:hAnsi="Cambria"/>
      <w:b/>
      <w:bCs/>
      <w:kern w:val="0"/>
      <w:sz w:val="24"/>
    </w:rPr>
  </w:style>
  <w:style w:type="paragraph" w:styleId="13">
    <w:name w:val="heading 7"/>
    <w:basedOn w:val="1"/>
    <w:next w:val="1"/>
    <w:link w:val="72"/>
    <w:autoRedefine/>
    <w:qFormat/>
    <w:uiPriority w:val="9"/>
    <w:pPr>
      <w:keepNext/>
      <w:keepLines/>
      <w:spacing w:before="240" w:after="64" w:line="317" w:lineRule="auto"/>
      <w:outlineLvl w:val="6"/>
    </w:pPr>
    <w:rPr>
      <w:b/>
      <w:bCs/>
      <w:kern w:val="0"/>
      <w:sz w:val="24"/>
    </w:rPr>
  </w:style>
  <w:style w:type="paragraph" w:styleId="14">
    <w:name w:val="heading 8"/>
    <w:basedOn w:val="1"/>
    <w:next w:val="1"/>
    <w:link w:val="73"/>
    <w:autoRedefine/>
    <w:qFormat/>
    <w:uiPriority w:val="9"/>
    <w:pPr>
      <w:keepNext/>
      <w:keepLines/>
      <w:spacing w:before="240" w:after="64" w:line="320" w:lineRule="auto"/>
      <w:outlineLvl w:val="7"/>
    </w:pPr>
    <w:rPr>
      <w:rFonts w:ascii="等线 Light" w:hAnsi="等线 Light" w:eastAsia="等线 Light"/>
      <w:sz w:val="24"/>
    </w:rPr>
  </w:style>
  <w:style w:type="paragraph" w:styleId="15">
    <w:name w:val="heading 9"/>
    <w:basedOn w:val="1"/>
    <w:next w:val="1"/>
    <w:link w:val="74"/>
    <w:autoRedefine/>
    <w:qFormat/>
    <w:uiPriority w:val="9"/>
    <w:pPr>
      <w:keepNext/>
      <w:keepLines/>
      <w:spacing w:before="240" w:after="64" w:line="317" w:lineRule="auto"/>
      <w:outlineLvl w:val="8"/>
    </w:pPr>
    <w:rPr>
      <w:rFonts w:ascii="Cambria" w:hAnsi="Cambria"/>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link w:val="70"/>
    <w:autoRedefine/>
    <w:qFormat/>
    <w:uiPriority w:val="99"/>
    <w:pPr>
      <w:ind w:firstLine="420"/>
    </w:pPr>
    <w:rPr>
      <w:szCs w:val="20"/>
    </w:rPr>
  </w:style>
  <w:style w:type="paragraph" w:styleId="8">
    <w:name w:val="annotation subject"/>
    <w:basedOn w:val="9"/>
    <w:next w:val="10"/>
    <w:link w:val="90"/>
    <w:autoRedefine/>
    <w:qFormat/>
    <w:uiPriority w:val="99"/>
    <w:rPr>
      <w:b/>
      <w:bCs/>
    </w:rPr>
  </w:style>
  <w:style w:type="paragraph" w:styleId="9">
    <w:name w:val="annotation text"/>
    <w:basedOn w:val="1"/>
    <w:next w:val="10"/>
    <w:link w:val="76"/>
    <w:autoRedefine/>
    <w:qFormat/>
    <w:uiPriority w:val="99"/>
    <w:pPr>
      <w:jc w:val="left"/>
    </w:pPr>
  </w:style>
  <w:style w:type="paragraph" w:styleId="10">
    <w:name w:val="Body Text Indent"/>
    <w:basedOn w:val="1"/>
    <w:next w:val="11"/>
    <w:link w:val="79"/>
    <w:autoRedefine/>
    <w:qFormat/>
    <w:uiPriority w:val="0"/>
    <w:pPr>
      <w:ind w:firstLine="830" w:firstLineChars="352"/>
    </w:pPr>
    <w:rPr>
      <w:rFonts w:ascii="仿宋_GB2312" w:eastAsia="仿宋_GB2312"/>
      <w:kern w:val="0"/>
      <w:sz w:val="32"/>
      <w:szCs w:val="20"/>
    </w:rPr>
  </w:style>
  <w:style w:type="paragraph" w:styleId="11">
    <w:name w:val="Body Text First Indent 2"/>
    <w:basedOn w:val="10"/>
    <w:next w:val="7"/>
    <w:autoRedefine/>
    <w:unhideWhenUsed/>
    <w:qFormat/>
    <w:uiPriority w:val="99"/>
    <w:pPr>
      <w:spacing w:after="120"/>
      <w:ind w:left="420" w:leftChars="200" w:firstLine="420" w:firstLineChars="200"/>
    </w:pPr>
    <w:rPr>
      <w:rFonts w:ascii="Times New Roman" w:eastAsia="宋体"/>
      <w:kern w:val="2"/>
      <w:sz w:val="21"/>
      <w:szCs w:val="24"/>
    </w:rPr>
  </w:style>
  <w:style w:type="paragraph" w:styleId="16">
    <w:name w:val="toc 7"/>
    <w:basedOn w:val="1"/>
    <w:next w:val="1"/>
    <w:autoRedefine/>
    <w:qFormat/>
    <w:uiPriority w:val="39"/>
    <w:pPr>
      <w:ind w:left="2520" w:leftChars="1200"/>
    </w:pPr>
    <w:rPr>
      <w:rFonts w:ascii="Calibri" w:hAnsi="Calibri" w:cs="Calibri"/>
      <w:szCs w:val="21"/>
    </w:rPr>
  </w:style>
  <w:style w:type="paragraph" w:styleId="17">
    <w:name w:val="index 8"/>
    <w:basedOn w:val="1"/>
    <w:next w:val="1"/>
    <w:qFormat/>
    <w:uiPriority w:val="0"/>
    <w:pPr>
      <w:ind w:left="2940"/>
    </w:pPr>
  </w:style>
  <w:style w:type="paragraph" w:styleId="18">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9">
    <w:name w:val="caption"/>
    <w:basedOn w:val="1"/>
    <w:next w:val="1"/>
    <w:autoRedefine/>
    <w:qFormat/>
    <w:uiPriority w:val="99"/>
    <w:rPr>
      <w:rFonts w:ascii="Cambria" w:hAnsi="Cambria" w:eastAsia="黑体" w:cs="Cambria"/>
      <w:sz w:val="20"/>
      <w:szCs w:val="20"/>
    </w:rPr>
  </w:style>
  <w:style w:type="paragraph" w:styleId="20">
    <w:name w:val="Document Map"/>
    <w:basedOn w:val="1"/>
    <w:link w:val="75"/>
    <w:autoRedefine/>
    <w:qFormat/>
    <w:uiPriority w:val="99"/>
    <w:pPr>
      <w:shd w:val="clear" w:color="auto" w:fill="000080"/>
    </w:pPr>
    <w:rPr>
      <w:sz w:val="24"/>
      <w:shd w:val="clear" w:color="auto" w:fill="000080"/>
    </w:rPr>
  </w:style>
  <w:style w:type="paragraph" w:styleId="21">
    <w:name w:val="Body Text 3"/>
    <w:basedOn w:val="1"/>
    <w:next w:val="7"/>
    <w:link w:val="77"/>
    <w:autoRedefine/>
    <w:unhideWhenUsed/>
    <w:qFormat/>
    <w:uiPriority w:val="99"/>
    <w:pPr>
      <w:spacing w:after="120"/>
    </w:pPr>
    <w:rPr>
      <w:sz w:val="16"/>
      <w:szCs w:val="16"/>
    </w:rPr>
  </w:style>
  <w:style w:type="paragraph" w:styleId="22">
    <w:name w:val="Body Text"/>
    <w:basedOn w:val="1"/>
    <w:link w:val="78"/>
    <w:autoRedefine/>
    <w:unhideWhenUsed/>
    <w:qFormat/>
    <w:uiPriority w:val="99"/>
    <w:pPr>
      <w:spacing w:after="120"/>
    </w:pPr>
  </w:style>
  <w:style w:type="paragraph" w:styleId="23">
    <w:name w:val="List 2"/>
    <w:basedOn w:val="1"/>
    <w:autoRedefine/>
    <w:unhideWhenUsed/>
    <w:qFormat/>
    <w:uiPriority w:val="99"/>
    <w:pPr>
      <w:ind w:left="100" w:leftChars="200" w:hanging="200" w:hangingChars="200"/>
      <w:contextualSpacing/>
    </w:pPr>
  </w:style>
  <w:style w:type="paragraph" w:styleId="24">
    <w:name w:val="index 4"/>
    <w:basedOn w:val="1"/>
    <w:next w:val="1"/>
    <w:autoRedefine/>
    <w:semiHidden/>
    <w:qFormat/>
    <w:uiPriority w:val="99"/>
    <w:pPr>
      <w:ind w:left="600" w:leftChars="600"/>
    </w:pPr>
    <w:rPr>
      <w:szCs w:val="21"/>
    </w:rPr>
  </w:style>
  <w:style w:type="paragraph" w:styleId="25">
    <w:name w:val="toc 5"/>
    <w:basedOn w:val="1"/>
    <w:next w:val="1"/>
    <w:autoRedefine/>
    <w:qFormat/>
    <w:uiPriority w:val="39"/>
    <w:pPr>
      <w:ind w:left="1680" w:leftChars="800"/>
    </w:pPr>
    <w:rPr>
      <w:rFonts w:ascii="Calibri" w:hAnsi="Calibri" w:cs="Calibri"/>
      <w:szCs w:val="21"/>
    </w:rPr>
  </w:style>
  <w:style w:type="paragraph" w:styleId="26">
    <w:name w:val="toc 3"/>
    <w:basedOn w:val="1"/>
    <w:next w:val="1"/>
    <w:autoRedefine/>
    <w:qFormat/>
    <w:uiPriority w:val="39"/>
    <w:pPr>
      <w:ind w:left="840" w:leftChars="400"/>
    </w:pPr>
    <w:rPr>
      <w:szCs w:val="21"/>
    </w:rPr>
  </w:style>
  <w:style w:type="paragraph" w:styleId="27">
    <w:name w:val="Plain Text"/>
    <w:basedOn w:val="1"/>
    <w:next w:val="17"/>
    <w:link w:val="80"/>
    <w:autoRedefine/>
    <w:qFormat/>
    <w:uiPriority w:val="99"/>
    <w:rPr>
      <w:rFonts w:ascii="宋体" w:hAnsi="Courier New"/>
      <w:kern w:val="0"/>
      <w:sz w:val="20"/>
      <w:szCs w:val="21"/>
    </w:rPr>
  </w:style>
  <w:style w:type="paragraph" w:styleId="28">
    <w:name w:val="toc 8"/>
    <w:basedOn w:val="1"/>
    <w:next w:val="1"/>
    <w:autoRedefine/>
    <w:qFormat/>
    <w:uiPriority w:val="39"/>
    <w:pPr>
      <w:ind w:left="2940" w:leftChars="1400"/>
    </w:pPr>
    <w:rPr>
      <w:rFonts w:ascii="Calibri" w:hAnsi="Calibri" w:cs="Calibri"/>
      <w:szCs w:val="21"/>
    </w:rPr>
  </w:style>
  <w:style w:type="paragraph" w:styleId="29">
    <w:name w:val="Date"/>
    <w:basedOn w:val="1"/>
    <w:next w:val="1"/>
    <w:link w:val="81"/>
    <w:autoRedefine/>
    <w:unhideWhenUsed/>
    <w:qFormat/>
    <w:uiPriority w:val="99"/>
    <w:pPr>
      <w:ind w:left="100" w:leftChars="2500"/>
    </w:pPr>
  </w:style>
  <w:style w:type="paragraph" w:styleId="30">
    <w:name w:val="Body Text Indent 2"/>
    <w:basedOn w:val="1"/>
    <w:link w:val="82"/>
    <w:autoRedefine/>
    <w:qFormat/>
    <w:uiPriority w:val="99"/>
    <w:pPr>
      <w:spacing w:after="120" w:line="480" w:lineRule="auto"/>
      <w:ind w:left="420" w:leftChars="200"/>
    </w:pPr>
    <w:rPr>
      <w:sz w:val="24"/>
    </w:rPr>
  </w:style>
  <w:style w:type="paragraph" w:styleId="31">
    <w:name w:val="Balloon Text"/>
    <w:basedOn w:val="1"/>
    <w:link w:val="83"/>
    <w:autoRedefine/>
    <w:qFormat/>
    <w:uiPriority w:val="99"/>
    <w:rPr>
      <w:sz w:val="18"/>
      <w:szCs w:val="18"/>
    </w:rPr>
  </w:style>
  <w:style w:type="paragraph" w:styleId="32">
    <w:name w:val="footer"/>
    <w:basedOn w:val="1"/>
    <w:link w:val="84"/>
    <w:autoRedefine/>
    <w:unhideWhenUsed/>
    <w:qFormat/>
    <w:uiPriority w:val="99"/>
    <w:pPr>
      <w:tabs>
        <w:tab w:val="center" w:pos="4153"/>
        <w:tab w:val="right" w:pos="8306"/>
      </w:tabs>
      <w:snapToGrid w:val="0"/>
      <w:jc w:val="left"/>
    </w:pPr>
    <w:rPr>
      <w:kern w:val="0"/>
      <w:sz w:val="18"/>
      <w:szCs w:val="18"/>
    </w:rPr>
  </w:style>
  <w:style w:type="paragraph" w:styleId="33">
    <w:name w:val="header"/>
    <w:basedOn w:val="1"/>
    <w:link w:val="8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autoRedefine/>
    <w:unhideWhenUsed/>
    <w:qFormat/>
    <w:uiPriority w:val="39"/>
  </w:style>
  <w:style w:type="paragraph" w:styleId="35">
    <w:name w:val="toc 4"/>
    <w:basedOn w:val="1"/>
    <w:next w:val="1"/>
    <w:autoRedefine/>
    <w:qFormat/>
    <w:uiPriority w:val="39"/>
    <w:pPr>
      <w:ind w:left="1260" w:leftChars="600"/>
    </w:pPr>
    <w:rPr>
      <w:rFonts w:ascii="Calibri" w:hAnsi="Calibri" w:cs="Calibri"/>
      <w:szCs w:val="21"/>
    </w:rPr>
  </w:style>
  <w:style w:type="paragraph" w:styleId="36">
    <w:name w:val="Subtitle"/>
    <w:basedOn w:val="1"/>
    <w:next w:val="1"/>
    <w:link w:val="86"/>
    <w:autoRedefine/>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87"/>
    <w:autoRedefine/>
    <w:qFormat/>
    <w:uiPriority w:val="99"/>
    <w:pPr>
      <w:adjustRightInd w:val="0"/>
      <w:spacing w:line="312" w:lineRule="atLeast"/>
      <w:jc w:val="left"/>
      <w:textAlignment w:val="baseline"/>
    </w:pPr>
    <w:rPr>
      <w:kern w:val="0"/>
      <w:sz w:val="18"/>
      <w:szCs w:val="18"/>
    </w:rPr>
  </w:style>
  <w:style w:type="paragraph" w:styleId="39">
    <w:name w:val="toc 6"/>
    <w:basedOn w:val="1"/>
    <w:next w:val="1"/>
    <w:autoRedefine/>
    <w:qFormat/>
    <w:uiPriority w:val="39"/>
    <w:pPr>
      <w:ind w:left="2100" w:leftChars="1000"/>
    </w:pPr>
    <w:rPr>
      <w:rFonts w:ascii="Calibri" w:hAnsi="Calibri" w:cs="Calibri"/>
      <w:szCs w:val="21"/>
    </w:rPr>
  </w:style>
  <w:style w:type="paragraph" w:styleId="40">
    <w:name w:val="toc 2"/>
    <w:basedOn w:val="1"/>
    <w:next w:val="1"/>
    <w:autoRedefine/>
    <w:unhideWhenUsed/>
    <w:qFormat/>
    <w:uiPriority w:val="39"/>
    <w:pPr>
      <w:tabs>
        <w:tab w:val="right" w:leader="dot" w:pos="8296"/>
      </w:tabs>
      <w:ind w:left="420" w:leftChars="200"/>
    </w:pPr>
  </w:style>
  <w:style w:type="paragraph" w:styleId="41">
    <w:name w:val="toc 9"/>
    <w:basedOn w:val="1"/>
    <w:next w:val="1"/>
    <w:autoRedefine/>
    <w:qFormat/>
    <w:uiPriority w:val="39"/>
    <w:pPr>
      <w:ind w:left="3360" w:leftChars="1600"/>
    </w:pPr>
    <w:rPr>
      <w:rFonts w:ascii="Calibri" w:hAnsi="Calibri" w:cs="Calibri"/>
      <w:szCs w:val="21"/>
    </w:rPr>
  </w:style>
  <w:style w:type="paragraph" w:styleId="42">
    <w:name w:val="HTML Preformatted"/>
    <w:basedOn w:val="1"/>
    <w:link w:val="8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next w:val="21"/>
    <w:autoRedefine/>
    <w:unhideWhenUsed/>
    <w:qFormat/>
    <w:uiPriority w:val="0"/>
    <w:rPr>
      <w:rFonts w:ascii="Calibri" w:hAnsi="Calibri"/>
      <w:kern w:val="0"/>
      <w:sz w:val="24"/>
    </w:rPr>
  </w:style>
  <w:style w:type="paragraph" w:styleId="44">
    <w:name w:val="Title"/>
    <w:basedOn w:val="1"/>
    <w:next w:val="1"/>
    <w:link w:val="89"/>
    <w:autoRedefine/>
    <w:qFormat/>
    <w:uiPriority w:val="99"/>
    <w:pPr>
      <w:spacing w:before="240" w:after="60"/>
      <w:jc w:val="center"/>
      <w:outlineLvl w:val="0"/>
    </w:pPr>
    <w:rPr>
      <w:rFonts w:ascii="Cambria" w:hAnsi="Cambria"/>
      <w:b/>
      <w:bCs/>
      <w:sz w:val="32"/>
      <w:szCs w:val="32"/>
    </w:rPr>
  </w:style>
  <w:style w:type="table" w:styleId="46">
    <w:name w:val="Table Grid"/>
    <w:basedOn w:val="4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autoRedefine/>
    <w:qFormat/>
    <w:uiPriority w:val="22"/>
    <w:rPr>
      <w:b/>
      <w:bCs/>
    </w:rPr>
  </w:style>
  <w:style w:type="character" w:styleId="49">
    <w:name w:val="endnote reference"/>
    <w:autoRedefine/>
    <w:unhideWhenUsed/>
    <w:qFormat/>
    <w:uiPriority w:val="99"/>
    <w:rPr>
      <w:vertAlign w:val="superscript"/>
    </w:rPr>
  </w:style>
  <w:style w:type="character" w:styleId="50">
    <w:name w:val="page number"/>
    <w:autoRedefine/>
    <w:qFormat/>
    <w:uiPriority w:val="99"/>
  </w:style>
  <w:style w:type="character" w:styleId="51">
    <w:name w:val="Emphasis"/>
    <w:autoRedefine/>
    <w:qFormat/>
    <w:uiPriority w:val="99"/>
    <w:rPr>
      <w:i/>
      <w:iCs/>
    </w:rPr>
  </w:style>
  <w:style w:type="character" w:styleId="52">
    <w:name w:val="HTML Definition"/>
    <w:basedOn w:val="47"/>
    <w:autoRedefine/>
    <w:unhideWhenUsed/>
    <w:qFormat/>
    <w:uiPriority w:val="99"/>
  </w:style>
  <w:style w:type="character" w:styleId="53">
    <w:name w:val="HTML Typewriter"/>
    <w:basedOn w:val="47"/>
    <w:autoRedefine/>
    <w:unhideWhenUsed/>
    <w:qFormat/>
    <w:uiPriority w:val="99"/>
    <w:rPr>
      <w:rFonts w:hint="default" w:ascii="monospace" w:hAnsi="monospace" w:eastAsia="monospace" w:cs="monospace"/>
      <w:sz w:val="20"/>
    </w:rPr>
  </w:style>
  <w:style w:type="character" w:styleId="54">
    <w:name w:val="HTML Acronym"/>
    <w:basedOn w:val="47"/>
    <w:autoRedefine/>
    <w:unhideWhenUsed/>
    <w:qFormat/>
    <w:uiPriority w:val="99"/>
  </w:style>
  <w:style w:type="character" w:styleId="55">
    <w:name w:val="HTML Variable"/>
    <w:basedOn w:val="47"/>
    <w:autoRedefine/>
    <w:unhideWhenUsed/>
    <w:qFormat/>
    <w:uiPriority w:val="99"/>
  </w:style>
  <w:style w:type="character" w:styleId="56">
    <w:name w:val="Hyperlink"/>
    <w:basedOn w:val="47"/>
    <w:autoRedefine/>
    <w:unhideWhenUsed/>
    <w:qFormat/>
    <w:uiPriority w:val="99"/>
    <w:rPr>
      <w:color w:val="0000FF"/>
      <w:u w:val="single"/>
    </w:rPr>
  </w:style>
  <w:style w:type="character" w:styleId="57">
    <w:name w:val="HTML Code"/>
    <w:basedOn w:val="47"/>
    <w:autoRedefine/>
    <w:unhideWhenUsed/>
    <w:qFormat/>
    <w:uiPriority w:val="99"/>
    <w:rPr>
      <w:rFonts w:hint="default" w:ascii="monospace" w:hAnsi="monospace" w:eastAsia="monospace" w:cs="monospace"/>
      <w:sz w:val="20"/>
    </w:rPr>
  </w:style>
  <w:style w:type="character" w:styleId="58">
    <w:name w:val="annotation reference"/>
    <w:autoRedefine/>
    <w:qFormat/>
    <w:uiPriority w:val="0"/>
    <w:rPr>
      <w:sz w:val="21"/>
      <w:szCs w:val="21"/>
    </w:rPr>
  </w:style>
  <w:style w:type="character" w:styleId="59">
    <w:name w:val="HTML Cite"/>
    <w:basedOn w:val="47"/>
    <w:autoRedefine/>
    <w:unhideWhenUsed/>
    <w:qFormat/>
    <w:uiPriority w:val="99"/>
  </w:style>
  <w:style w:type="character" w:styleId="60">
    <w:name w:val="footnote reference"/>
    <w:autoRedefine/>
    <w:unhideWhenUsed/>
    <w:qFormat/>
    <w:uiPriority w:val="0"/>
    <w:rPr>
      <w:vertAlign w:val="superscript"/>
    </w:rPr>
  </w:style>
  <w:style w:type="character" w:styleId="61">
    <w:name w:val="HTML Keyboard"/>
    <w:basedOn w:val="47"/>
    <w:autoRedefine/>
    <w:unhideWhenUsed/>
    <w:qFormat/>
    <w:uiPriority w:val="99"/>
    <w:rPr>
      <w:rFonts w:hint="default" w:ascii="monospace" w:hAnsi="monospace" w:eastAsia="monospace" w:cs="monospace"/>
      <w:sz w:val="20"/>
    </w:rPr>
  </w:style>
  <w:style w:type="character" w:styleId="62">
    <w:name w:val="HTML Sample"/>
    <w:basedOn w:val="47"/>
    <w:autoRedefine/>
    <w:unhideWhenUsed/>
    <w:qFormat/>
    <w:uiPriority w:val="99"/>
    <w:rPr>
      <w:rFonts w:ascii="monospace" w:hAnsi="monospace" w:eastAsia="monospace" w:cs="monospace"/>
    </w:rPr>
  </w:style>
  <w:style w:type="paragraph" w:customStyle="1" w:styleId="63">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4">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65">
    <w:name w:val="标题 1 Char"/>
    <w:link w:val="2"/>
    <w:autoRedefine/>
    <w:qFormat/>
    <w:uiPriority w:val="99"/>
    <w:rPr>
      <w:b/>
      <w:bCs/>
      <w:kern w:val="44"/>
      <w:sz w:val="44"/>
      <w:szCs w:val="44"/>
    </w:rPr>
  </w:style>
  <w:style w:type="character" w:customStyle="1" w:styleId="66">
    <w:name w:val="标题 2 Char1"/>
    <w:link w:val="3"/>
    <w:autoRedefine/>
    <w:qFormat/>
    <w:uiPriority w:val="9"/>
    <w:rPr>
      <w:rFonts w:ascii="Cambria" w:hAnsi="Cambria" w:eastAsia="宋体" w:cs="Times New Roman"/>
      <w:b/>
      <w:bCs/>
      <w:kern w:val="2"/>
      <w:sz w:val="32"/>
      <w:szCs w:val="32"/>
    </w:rPr>
  </w:style>
  <w:style w:type="character" w:customStyle="1" w:styleId="67">
    <w:name w:val="标题 3 Char"/>
    <w:link w:val="4"/>
    <w:autoRedefine/>
    <w:qFormat/>
    <w:uiPriority w:val="99"/>
    <w:rPr>
      <w:b/>
      <w:bCs/>
      <w:kern w:val="2"/>
      <w:sz w:val="32"/>
      <w:szCs w:val="32"/>
    </w:rPr>
  </w:style>
  <w:style w:type="character" w:customStyle="1" w:styleId="68">
    <w:name w:val="标题 4 Char"/>
    <w:link w:val="5"/>
    <w:autoRedefine/>
    <w:qFormat/>
    <w:uiPriority w:val="99"/>
    <w:rPr>
      <w:rFonts w:ascii="Arial" w:hAnsi="Arial"/>
      <w:b/>
      <w:bCs/>
      <w:kern w:val="2"/>
      <w:sz w:val="28"/>
      <w:szCs w:val="28"/>
    </w:rPr>
  </w:style>
  <w:style w:type="character" w:customStyle="1" w:styleId="69">
    <w:name w:val="标题 5 Char"/>
    <w:link w:val="6"/>
    <w:autoRedefine/>
    <w:qFormat/>
    <w:uiPriority w:val="99"/>
    <w:rPr>
      <w:rFonts w:ascii="Times New Roman" w:hAnsi="Times New Roman"/>
      <w:b/>
      <w:bCs/>
      <w:kern w:val="2"/>
      <w:sz w:val="28"/>
      <w:szCs w:val="28"/>
    </w:rPr>
  </w:style>
  <w:style w:type="character" w:customStyle="1" w:styleId="70">
    <w:name w:val="正文缩进 Char"/>
    <w:link w:val="7"/>
    <w:autoRedefine/>
    <w:qFormat/>
    <w:uiPriority w:val="99"/>
    <w:rPr>
      <w:kern w:val="2"/>
      <w:sz w:val="21"/>
    </w:rPr>
  </w:style>
  <w:style w:type="character" w:customStyle="1" w:styleId="71">
    <w:name w:val="标题 6 Char"/>
    <w:link w:val="12"/>
    <w:autoRedefine/>
    <w:qFormat/>
    <w:uiPriority w:val="9"/>
    <w:rPr>
      <w:rFonts w:ascii="Cambria" w:hAnsi="Cambria"/>
      <w:b/>
      <w:bCs/>
      <w:sz w:val="24"/>
      <w:szCs w:val="24"/>
    </w:rPr>
  </w:style>
  <w:style w:type="character" w:customStyle="1" w:styleId="72">
    <w:name w:val="标题 7 Char"/>
    <w:link w:val="13"/>
    <w:autoRedefine/>
    <w:qFormat/>
    <w:uiPriority w:val="9"/>
    <w:rPr>
      <w:b/>
      <w:bCs/>
      <w:sz w:val="24"/>
      <w:szCs w:val="24"/>
    </w:rPr>
  </w:style>
  <w:style w:type="character" w:customStyle="1" w:styleId="73">
    <w:name w:val="标题 8 Char1"/>
    <w:link w:val="14"/>
    <w:autoRedefine/>
    <w:semiHidden/>
    <w:qFormat/>
    <w:uiPriority w:val="9"/>
    <w:rPr>
      <w:rFonts w:ascii="等线 Light" w:hAnsi="等线 Light" w:eastAsia="等线 Light" w:cs="Times New Roman"/>
      <w:kern w:val="2"/>
      <w:sz w:val="24"/>
      <w:szCs w:val="24"/>
    </w:rPr>
  </w:style>
  <w:style w:type="character" w:customStyle="1" w:styleId="74">
    <w:name w:val="标题 9 Char"/>
    <w:link w:val="15"/>
    <w:autoRedefine/>
    <w:qFormat/>
    <w:uiPriority w:val="9"/>
    <w:rPr>
      <w:rFonts w:ascii="Cambria" w:hAnsi="Cambria"/>
      <w:szCs w:val="21"/>
    </w:rPr>
  </w:style>
  <w:style w:type="character" w:customStyle="1" w:styleId="75">
    <w:name w:val="文档结构图 Char"/>
    <w:link w:val="20"/>
    <w:autoRedefine/>
    <w:qFormat/>
    <w:uiPriority w:val="99"/>
    <w:rPr>
      <w:kern w:val="2"/>
      <w:sz w:val="24"/>
      <w:szCs w:val="24"/>
      <w:shd w:val="clear" w:color="auto" w:fill="000080"/>
    </w:rPr>
  </w:style>
  <w:style w:type="character" w:customStyle="1" w:styleId="76">
    <w:name w:val="批注文字 Char3"/>
    <w:link w:val="9"/>
    <w:autoRedefine/>
    <w:qFormat/>
    <w:uiPriority w:val="99"/>
    <w:rPr>
      <w:rFonts w:ascii="Times New Roman" w:hAnsi="Times New Roman"/>
      <w:kern w:val="2"/>
      <w:sz w:val="21"/>
      <w:szCs w:val="24"/>
    </w:rPr>
  </w:style>
  <w:style w:type="character" w:customStyle="1" w:styleId="77">
    <w:name w:val="正文文本 3 Char"/>
    <w:link w:val="21"/>
    <w:autoRedefine/>
    <w:semiHidden/>
    <w:qFormat/>
    <w:uiPriority w:val="99"/>
    <w:rPr>
      <w:kern w:val="2"/>
      <w:sz w:val="16"/>
      <w:szCs w:val="16"/>
    </w:rPr>
  </w:style>
  <w:style w:type="character" w:customStyle="1" w:styleId="78">
    <w:name w:val="正文文本 Char1"/>
    <w:link w:val="22"/>
    <w:autoRedefine/>
    <w:qFormat/>
    <w:uiPriority w:val="99"/>
    <w:rPr>
      <w:rFonts w:ascii="Times New Roman" w:hAnsi="Times New Roman"/>
      <w:kern w:val="2"/>
      <w:sz w:val="21"/>
      <w:szCs w:val="24"/>
    </w:rPr>
  </w:style>
  <w:style w:type="character" w:customStyle="1" w:styleId="79">
    <w:name w:val="正文文本缩进 Char"/>
    <w:link w:val="10"/>
    <w:autoRedefine/>
    <w:qFormat/>
    <w:uiPriority w:val="0"/>
    <w:rPr>
      <w:rFonts w:ascii="仿宋_GB2312" w:hAnsi="Times New Roman" w:eastAsia="仿宋_GB2312" w:cs="Times New Roman"/>
      <w:sz w:val="32"/>
      <w:szCs w:val="20"/>
    </w:rPr>
  </w:style>
  <w:style w:type="character" w:customStyle="1" w:styleId="80">
    <w:name w:val="纯文本 Char3"/>
    <w:link w:val="27"/>
    <w:autoRedefine/>
    <w:qFormat/>
    <w:uiPriority w:val="99"/>
    <w:rPr>
      <w:rFonts w:ascii="宋体" w:hAnsi="Courier New" w:eastAsia="宋体" w:cs="Courier New"/>
      <w:szCs w:val="21"/>
    </w:rPr>
  </w:style>
  <w:style w:type="character" w:customStyle="1" w:styleId="81">
    <w:name w:val="日期 Char"/>
    <w:link w:val="29"/>
    <w:autoRedefine/>
    <w:qFormat/>
    <w:uiPriority w:val="99"/>
    <w:rPr>
      <w:rFonts w:ascii="Times New Roman" w:hAnsi="Times New Roman"/>
      <w:kern w:val="2"/>
      <w:sz w:val="21"/>
      <w:szCs w:val="24"/>
    </w:rPr>
  </w:style>
  <w:style w:type="character" w:customStyle="1" w:styleId="82">
    <w:name w:val="正文文本缩进 2 Char"/>
    <w:link w:val="30"/>
    <w:autoRedefine/>
    <w:qFormat/>
    <w:uiPriority w:val="99"/>
    <w:rPr>
      <w:kern w:val="2"/>
      <w:sz w:val="24"/>
      <w:szCs w:val="24"/>
    </w:rPr>
  </w:style>
  <w:style w:type="character" w:customStyle="1" w:styleId="83">
    <w:name w:val="批注框文本 Char"/>
    <w:link w:val="31"/>
    <w:autoRedefine/>
    <w:qFormat/>
    <w:locked/>
    <w:uiPriority w:val="99"/>
    <w:rPr>
      <w:kern w:val="2"/>
      <w:sz w:val="18"/>
      <w:szCs w:val="18"/>
    </w:rPr>
  </w:style>
  <w:style w:type="character" w:customStyle="1" w:styleId="84">
    <w:name w:val="页脚 Char"/>
    <w:link w:val="32"/>
    <w:autoRedefine/>
    <w:qFormat/>
    <w:uiPriority w:val="99"/>
    <w:rPr>
      <w:sz w:val="18"/>
      <w:szCs w:val="18"/>
    </w:rPr>
  </w:style>
  <w:style w:type="character" w:customStyle="1" w:styleId="85">
    <w:name w:val="页眉 Char"/>
    <w:link w:val="33"/>
    <w:autoRedefine/>
    <w:qFormat/>
    <w:uiPriority w:val="99"/>
    <w:rPr>
      <w:sz w:val="18"/>
      <w:szCs w:val="18"/>
    </w:rPr>
  </w:style>
  <w:style w:type="character" w:customStyle="1" w:styleId="86">
    <w:name w:val="副标题 Char"/>
    <w:link w:val="36"/>
    <w:autoRedefine/>
    <w:qFormat/>
    <w:uiPriority w:val="11"/>
    <w:rPr>
      <w:rFonts w:ascii="Cambria" w:hAnsi="Cambria"/>
      <w:b/>
      <w:bCs/>
      <w:kern w:val="28"/>
      <w:sz w:val="32"/>
      <w:szCs w:val="32"/>
    </w:rPr>
  </w:style>
  <w:style w:type="character" w:customStyle="1" w:styleId="87">
    <w:name w:val="脚注文本 Char"/>
    <w:link w:val="38"/>
    <w:autoRedefine/>
    <w:qFormat/>
    <w:uiPriority w:val="99"/>
    <w:rPr>
      <w:sz w:val="18"/>
      <w:szCs w:val="18"/>
    </w:rPr>
  </w:style>
  <w:style w:type="character" w:customStyle="1" w:styleId="88">
    <w:name w:val="HTML 预设格式 Char"/>
    <w:link w:val="42"/>
    <w:autoRedefine/>
    <w:qFormat/>
    <w:uiPriority w:val="99"/>
    <w:rPr>
      <w:rFonts w:ascii="宋体" w:hAnsi="宋体"/>
      <w:sz w:val="24"/>
      <w:szCs w:val="24"/>
    </w:rPr>
  </w:style>
  <w:style w:type="character" w:customStyle="1" w:styleId="89">
    <w:name w:val="标题 Char"/>
    <w:link w:val="44"/>
    <w:autoRedefine/>
    <w:qFormat/>
    <w:uiPriority w:val="99"/>
    <w:rPr>
      <w:rFonts w:ascii="Cambria" w:hAnsi="Cambria"/>
      <w:b/>
      <w:bCs/>
      <w:kern w:val="2"/>
      <w:sz w:val="32"/>
      <w:szCs w:val="32"/>
    </w:rPr>
  </w:style>
  <w:style w:type="character" w:customStyle="1" w:styleId="90">
    <w:name w:val="批注主题 Char"/>
    <w:link w:val="8"/>
    <w:autoRedefine/>
    <w:qFormat/>
    <w:uiPriority w:val="99"/>
    <w:rPr>
      <w:rFonts w:ascii="Times New Roman" w:hAnsi="Times New Roman"/>
      <w:b/>
      <w:bCs/>
      <w:kern w:val="2"/>
      <w:sz w:val="21"/>
      <w:szCs w:val="24"/>
    </w:rPr>
  </w:style>
  <w:style w:type="character" w:customStyle="1" w:styleId="91">
    <w:name w:val="访问过的超链接1"/>
    <w:autoRedefine/>
    <w:qFormat/>
    <w:uiPriority w:val="99"/>
    <w:rPr>
      <w:color w:val="800080"/>
      <w:u w:val="single"/>
    </w:rPr>
  </w:style>
  <w:style w:type="character" w:customStyle="1" w:styleId="92">
    <w:name w:val="书籍标题1"/>
    <w:autoRedefine/>
    <w:qFormat/>
    <w:uiPriority w:val="99"/>
    <w:rPr>
      <w:b/>
      <w:bCs/>
      <w:smallCaps/>
      <w:spacing w:val="5"/>
    </w:rPr>
  </w:style>
  <w:style w:type="character" w:customStyle="1" w:styleId="93">
    <w:name w:val="Body text|5_"/>
    <w:link w:val="94"/>
    <w:autoRedefine/>
    <w:qFormat/>
    <w:uiPriority w:val="0"/>
    <w:rPr>
      <w:rFonts w:ascii="宋体" w:hAnsi="宋体" w:cs="宋体"/>
      <w:sz w:val="52"/>
      <w:szCs w:val="52"/>
      <w:lang w:val="zh-CN" w:bidi="zh-CN"/>
    </w:rPr>
  </w:style>
  <w:style w:type="paragraph" w:customStyle="1" w:styleId="94">
    <w:name w:val="Body text|5"/>
    <w:basedOn w:val="1"/>
    <w:link w:val="93"/>
    <w:autoRedefine/>
    <w:qFormat/>
    <w:uiPriority w:val="0"/>
    <w:pPr>
      <w:jc w:val="center"/>
    </w:pPr>
    <w:rPr>
      <w:rFonts w:ascii="宋体" w:hAnsi="宋体" w:cs="宋体"/>
      <w:kern w:val="0"/>
      <w:sz w:val="52"/>
      <w:szCs w:val="52"/>
      <w:lang w:val="zh-CN" w:bidi="zh-CN"/>
    </w:rPr>
  </w:style>
  <w:style w:type="character" w:customStyle="1" w:styleId="95">
    <w:name w:val="Body text|1_"/>
    <w:link w:val="96"/>
    <w:autoRedefine/>
    <w:qFormat/>
    <w:uiPriority w:val="0"/>
    <w:rPr>
      <w:rFonts w:ascii="宋体" w:hAnsi="宋体" w:cs="宋体"/>
      <w:kern w:val="2"/>
      <w:sz w:val="21"/>
      <w:lang w:val="zh-CN" w:bidi="zh-CN"/>
    </w:rPr>
  </w:style>
  <w:style w:type="paragraph" w:customStyle="1" w:styleId="96">
    <w:name w:val="Body text|1"/>
    <w:basedOn w:val="1"/>
    <w:link w:val="95"/>
    <w:autoRedefine/>
    <w:qFormat/>
    <w:uiPriority w:val="0"/>
    <w:pPr>
      <w:spacing w:line="360" w:lineRule="auto"/>
      <w:ind w:firstLine="400"/>
    </w:pPr>
    <w:rPr>
      <w:rFonts w:ascii="宋体" w:hAnsi="宋体" w:cs="宋体"/>
      <w:szCs w:val="20"/>
      <w:lang w:val="zh-CN" w:bidi="zh-CN"/>
    </w:rPr>
  </w:style>
  <w:style w:type="character" w:customStyle="1" w:styleId="97">
    <w:name w:val="Table caption|1_"/>
    <w:link w:val="98"/>
    <w:autoRedefine/>
    <w:qFormat/>
    <w:uiPriority w:val="0"/>
    <w:rPr>
      <w:rFonts w:ascii="宋体" w:hAnsi="宋体" w:cs="宋体"/>
      <w:lang w:val="zh-CN" w:bidi="zh-CN"/>
    </w:rPr>
  </w:style>
  <w:style w:type="paragraph" w:customStyle="1" w:styleId="98">
    <w:name w:val="Table caption|1"/>
    <w:basedOn w:val="1"/>
    <w:link w:val="97"/>
    <w:autoRedefine/>
    <w:qFormat/>
    <w:uiPriority w:val="0"/>
    <w:pPr>
      <w:jc w:val="left"/>
    </w:pPr>
    <w:rPr>
      <w:rFonts w:ascii="宋体" w:hAnsi="宋体" w:cs="宋体"/>
      <w:kern w:val="0"/>
      <w:sz w:val="20"/>
      <w:szCs w:val="20"/>
      <w:lang w:val="zh-CN" w:bidi="zh-CN"/>
    </w:rPr>
  </w:style>
  <w:style w:type="character" w:customStyle="1" w:styleId="99">
    <w:name w:val="Heading #4|1_"/>
    <w:link w:val="100"/>
    <w:autoRedefine/>
    <w:qFormat/>
    <w:uiPriority w:val="0"/>
    <w:rPr>
      <w:rFonts w:ascii="宋体" w:hAnsi="宋体" w:cs="宋体"/>
      <w:lang w:val="zh-CN" w:bidi="zh-CN"/>
    </w:rPr>
  </w:style>
  <w:style w:type="paragraph" w:customStyle="1" w:styleId="100">
    <w:name w:val="Heading #4|1"/>
    <w:basedOn w:val="1"/>
    <w:link w:val="99"/>
    <w:autoRedefine/>
    <w:qFormat/>
    <w:uiPriority w:val="0"/>
    <w:pPr>
      <w:spacing w:after="120"/>
      <w:jc w:val="left"/>
      <w:outlineLvl w:val="3"/>
    </w:pPr>
    <w:rPr>
      <w:rFonts w:ascii="宋体" w:hAnsi="宋体" w:cs="宋体"/>
      <w:kern w:val="0"/>
      <w:sz w:val="20"/>
      <w:szCs w:val="20"/>
      <w:lang w:val="zh-CN" w:bidi="zh-CN"/>
    </w:rPr>
  </w:style>
  <w:style w:type="character" w:customStyle="1" w:styleId="101">
    <w:name w:val="Body text|2_"/>
    <w:link w:val="102"/>
    <w:autoRedefine/>
    <w:qFormat/>
    <w:uiPriority w:val="0"/>
    <w:rPr>
      <w:sz w:val="21"/>
    </w:rPr>
  </w:style>
  <w:style w:type="paragraph" w:customStyle="1" w:styleId="102">
    <w:name w:val="Body text|2"/>
    <w:basedOn w:val="1"/>
    <w:link w:val="101"/>
    <w:autoRedefine/>
    <w:qFormat/>
    <w:uiPriority w:val="0"/>
    <w:pPr>
      <w:spacing w:after="30"/>
      <w:ind w:firstLine="420"/>
      <w:jc w:val="left"/>
    </w:pPr>
    <w:rPr>
      <w:kern w:val="0"/>
      <w:szCs w:val="20"/>
    </w:rPr>
  </w:style>
  <w:style w:type="character" w:customStyle="1" w:styleId="103">
    <w:name w:val="Heading #1|1_"/>
    <w:link w:val="104"/>
    <w:autoRedefine/>
    <w:qFormat/>
    <w:uiPriority w:val="0"/>
    <w:rPr>
      <w:rFonts w:ascii="宋体" w:hAnsi="宋体" w:cs="宋体"/>
      <w:sz w:val="38"/>
      <w:szCs w:val="38"/>
      <w:lang w:val="zh-CN" w:bidi="zh-CN"/>
    </w:rPr>
  </w:style>
  <w:style w:type="paragraph" w:customStyle="1" w:styleId="104">
    <w:name w:val="Heading #1|1"/>
    <w:basedOn w:val="1"/>
    <w:link w:val="103"/>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5">
    <w:name w:val="Header or footer|2_"/>
    <w:link w:val="106"/>
    <w:autoRedefine/>
    <w:qFormat/>
    <w:uiPriority w:val="0"/>
    <w:rPr>
      <w:lang w:val="zh-CN" w:bidi="zh-CN"/>
    </w:rPr>
  </w:style>
  <w:style w:type="paragraph" w:customStyle="1" w:styleId="106">
    <w:name w:val="Header or footer|2"/>
    <w:basedOn w:val="1"/>
    <w:link w:val="105"/>
    <w:autoRedefine/>
    <w:qFormat/>
    <w:uiPriority w:val="0"/>
    <w:pPr>
      <w:jc w:val="left"/>
    </w:pPr>
    <w:rPr>
      <w:kern w:val="0"/>
      <w:sz w:val="20"/>
      <w:szCs w:val="20"/>
      <w:lang w:val="zh-CN" w:bidi="zh-CN"/>
    </w:rPr>
  </w:style>
  <w:style w:type="character" w:customStyle="1" w:styleId="107">
    <w:name w:val="Title Char"/>
    <w:autoRedefine/>
    <w:qFormat/>
    <w:uiPriority w:val="99"/>
    <w:rPr>
      <w:rFonts w:ascii="Cambria" w:hAnsi="Cambria" w:cs="Cambria"/>
      <w:b/>
      <w:bCs/>
      <w:sz w:val="32"/>
      <w:szCs w:val="32"/>
    </w:rPr>
  </w:style>
  <w:style w:type="character" w:customStyle="1" w:styleId="108">
    <w:name w:val="Body text|3_"/>
    <w:link w:val="109"/>
    <w:autoRedefine/>
    <w:qFormat/>
    <w:uiPriority w:val="0"/>
    <w:rPr>
      <w:rFonts w:ascii="宋体" w:hAnsi="宋体" w:cs="宋体"/>
      <w:lang w:val="zh-CN" w:bidi="zh-CN"/>
    </w:rPr>
  </w:style>
  <w:style w:type="paragraph" w:customStyle="1" w:styleId="109">
    <w:name w:val="Body text|3"/>
    <w:basedOn w:val="1"/>
    <w:link w:val="108"/>
    <w:autoRedefine/>
    <w:qFormat/>
    <w:uiPriority w:val="0"/>
    <w:pPr>
      <w:spacing w:after="340"/>
      <w:jc w:val="left"/>
    </w:pPr>
    <w:rPr>
      <w:rFonts w:ascii="宋体" w:hAnsi="宋体" w:cs="宋体"/>
      <w:kern w:val="0"/>
      <w:sz w:val="20"/>
      <w:szCs w:val="20"/>
      <w:lang w:val="zh-CN" w:bidi="zh-CN"/>
    </w:rPr>
  </w:style>
  <w:style w:type="character" w:customStyle="1" w:styleId="110">
    <w:name w:val="Table of contents|1_"/>
    <w:link w:val="111"/>
    <w:autoRedefine/>
    <w:qFormat/>
    <w:uiPriority w:val="0"/>
    <w:rPr>
      <w:rFonts w:ascii="宋体" w:hAnsi="宋体" w:cs="宋体"/>
      <w:lang w:val="zh-CN" w:bidi="zh-CN"/>
    </w:rPr>
  </w:style>
  <w:style w:type="paragraph" w:customStyle="1" w:styleId="111">
    <w:name w:val="Table of contents|1"/>
    <w:basedOn w:val="1"/>
    <w:link w:val="110"/>
    <w:autoRedefine/>
    <w:qFormat/>
    <w:uiPriority w:val="0"/>
    <w:pPr>
      <w:spacing w:after="100"/>
      <w:ind w:firstLine="600"/>
      <w:jc w:val="left"/>
    </w:pPr>
    <w:rPr>
      <w:rFonts w:ascii="宋体" w:hAnsi="宋体" w:cs="宋体"/>
      <w:kern w:val="0"/>
      <w:sz w:val="20"/>
      <w:szCs w:val="20"/>
      <w:lang w:val="zh-CN" w:bidi="zh-CN"/>
    </w:rPr>
  </w:style>
  <w:style w:type="character" w:customStyle="1" w:styleId="112">
    <w:name w:val="Date Char"/>
    <w:autoRedefine/>
    <w:qFormat/>
    <w:uiPriority w:val="99"/>
    <w:rPr>
      <w:rFonts w:eastAsia="宋体"/>
      <w:kern w:val="2"/>
      <w:sz w:val="24"/>
      <w:szCs w:val="24"/>
      <w:lang w:val="en-US" w:eastAsia="zh-CN"/>
    </w:rPr>
  </w:style>
  <w:style w:type="character" w:customStyle="1" w:styleId="113">
    <w:name w:val="Char Char9"/>
    <w:autoRedefine/>
    <w:qFormat/>
    <w:uiPriority w:val="99"/>
    <w:rPr>
      <w:rFonts w:eastAsia="宋体"/>
      <w:b/>
      <w:bCs/>
      <w:kern w:val="44"/>
      <w:sz w:val="44"/>
      <w:szCs w:val="44"/>
      <w:lang w:val="en-US" w:eastAsia="zh-CN"/>
    </w:rPr>
  </w:style>
  <w:style w:type="character" w:customStyle="1" w:styleId="114">
    <w:name w:val="Document Map Char"/>
    <w:autoRedefine/>
    <w:qFormat/>
    <w:uiPriority w:val="99"/>
    <w:rPr>
      <w:rFonts w:eastAsia="宋体"/>
      <w:kern w:val="2"/>
      <w:sz w:val="24"/>
      <w:szCs w:val="24"/>
      <w:lang w:val="en-US" w:eastAsia="zh-CN"/>
    </w:rPr>
  </w:style>
  <w:style w:type="character" w:customStyle="1" w:styleId="115">
    <w:name w:val="Header Char"/>
    <w:autoRedefine/>
    <w:qFormat/>
    <w:uiPriority w:val="99"/>
    <w:rPr>
      <w:rFonts w:eastAsia="宋体"/>
      <w:kern w:val="2"/>
      <w:sz w:val="18"/>
      <w:szCs w:val="18"/>
      <w:lang w:val="en-US" w:eastAsia="zh-CN"/>
    </w:rPr>
  </w:style>
  <w:style w:type="character" w:customStyle="1" w:styleId="116">
    <w:name w:val="明显参考1"/>
    <w:autoRedefine/>
    <w:qFormat/>
    <w:uiPriority w:val="99"/>
    <w:rPr>
      <w:b/>
      <w:bCs/>
      <w:smallCaps/>
      <w:color w:val="auto"/>
      <w:spacing w:val="5"/>
      <w:u w:val="single"/>
    </w:rPr>
  </w:style>
  <w:style w:type="character" w:customStyle="1" w:styleId="117">
    <w:name w:val="Heading 1 Char"/>
    <w:autoRedefine/>
    <w:qFormat/>
    <w:uiPriority w:val="99"/>
    <w:rPr>
      <w:rFonts w:eastAsia="宋体"/>
      <w:b/>
      <w:bCs/>
      <w:kern w:val="44"/>
      <w:sz w:val="44"/>
      <w:szCs w:val="44"/>
      <w:lang w:val="en-US" w:eastAsia="zh-CN"/>
    </w:rPr>
  </w:style>
  <w:style w:type="character" w:customStyle="1" w:styleId="118">
    <w:name w:val="Comment Text Char"/>
    <w:autoRedefine/>
    <w:qFormat/>
    <w:uiPriority w:val="99"/>
    <w:rPr>
      <w:sz w:val="24"/>
      <w:szCs w:val="24"/>
    </w:rPr>
  </w:style>
  <w:style w:type="character" w:customStyle="1" w:styleId="119">
    <w:name w:val="Char Char23"/>
    <w:autoRedefine/>
    <w:qFormat/>
    <w:uiPriority w:val="99"/>
    <w:rPr>
      <w:rFonts w:eastAsia="宋体"/>
      <w:b/>
      <w:bCs/>
      <w:kern w:val="44"/>
      <w:sz w:val="44"/>
      <w:szCs w:val="44"/>
      <w:lang w:val="en-US" w:eastAsia="zh-CN"/>
    </w:rPr>
  </w:style>
  <w:style w:type="character" w:customStyle="1" w:styleId="120">
    <w:name w:val="Char Char181"/>
    <w:autoRedefine/>
    <w:qFormat/>
    <w:uiPriority w:val="99"/>
    <w:rPr>
      <w:b/>
      <w:bCs/>
      <w:kern w:val="44"/>
      <w:sz w:val="44"/>
      <w:szCs w:val="44"/>
    </w:rPr>
  </w:style>
  <w:style w:type="character" w:customStyle="1" w:styleId="121">
    <w:name w:val="Char Char22"/>
    <w:autoRedefine/>
    <w:qFormat/>
    <w:uiPriority w:val="99"/>
    <w:rPr>
      <w:rFonts w:ascii="Times New Roman" w:hAnsi="Times New Roman" w:eastAsia="宋体" w:cs="Times New Roman"/>
      <w:b/>
      <w:bCs/>
      <w:kern w:val="44"/>
      <w:sz w:val="44"/>
      <w:szCs w:val="44"/>
    </w:rPr>
  </w:style>
  <w:style w:type="character" w:customStyle="1" w:styleId="122">
    <w:name w:val="引用 Char1"/>
    <w:autoRedefine/>
    <w:qFormat/>
    <w:uiPriority w:val="99"/>
    <w:rPr>
      <w:rFonts w:ascii="Times New Roman" w:hAnsi="Times New Roman" w:eastAsia="宋体" w:cs="Times New Roman"/>
      <w:i/>
      <w:iCs/>
      <w:color w:val="000000"/>
      <w:sz w:val="24"/>
      <w:szCs w:val="24"/>
    </w:rPr>
  </w:style>
  <w:style w:type="character" w:customStyle="1" w:styleId="123">
    <w:name w:val="Heading 3 Char1"/>
    <w:autoRedefine/>
    <w:qFormat/>
    <w:uiPriority w:val="99"/>
    <w:rPr>
      <w:rFonts w:eastAsia="宋体"/>
      <w:b/>
      <w:bCs/>
      <w:kern w:val="2"/>
      <w:sz w:val="32"/>
      <w:szCs w:val="32"/>
      <w:lang w:val="en-US" w:eastAsia="zh-CN"/>
    </w:rPr>
  </w:style>
  <w:style w:type="character" w:customStyle="1" w:styleId="124">
    <w:name w:val="明显强调1"/>
    <w:autoRedefine/>
    <w:qFormat/>
    <w:uiPriority w:val="99"/>
    <w:rPr>
      <w:b/>
      <w:bCs/>
      <w:i/>
      <w:iCs/>
      <w:color w:val="4F81BD"/>
    </w:rPr>
  </w:style>
  <w:style w:type="character" w:customStyle="1" w:styleId="125">
    <w:name w:val="明显引用 Char1"/>
    <w:autoRedefine/>
    <w:qFormat/>
    <w:uiPriority w:val="99"/>
    <w:rPr>
      <w:rFonts w:ascii="Times New Roman" w:hAnsi="Times New Roman" w:eastAsia="宋体" w:cs="Times New Roman"/>
      <w:b/>
      <w:bCs/>
      <w:i/>
      <w:iCs/>
      <w:color w:val="4F81BD"/>
      <w:sz w:val="24"/>
      <w:szCs w:val="24"/>
    </w:rPr>
  </w:style>
  <w:style w:type="character" w:customStyle="1" w:styleId="126">
    <w:name w:val="标题 Char2"/>
    <w:autoRedefine/>
    <w:qFormat/>
    <w:uiPriority w:val="99"/>
    <w:rPr>
      <w:rFonts w:ascii="Cambria" w:hAnsi="Cambria" w:eastAsia="宋体" w:cs="Cambria"/>
      <w:b/>
      <w:bCs/>
      <w:sz w:val="32"/>
      <w:szCs w:val="32"/>
    </w:rPr>
  </w:style>
  <w:style w:type="character" w:customStyle="1" w:styleId="127">
    <w:name w:val="标题 Char1"/>
    <w:autoRedefine/>
    <w:qFormat/>
    <w:uiPriority w:val="99"/>
    <w:rPr>
      <w:rFonts w:ascii="Cambria" w:hAnsi="Cambria" w:eastAsia="宋体" w:cs="Cambria"/>
      <w:b/>
      <w:bCs/>
      <w:sz w:val="32"/>
      <w:szCs w:val="32"/>
    </w:rPr>
  </w:style>
  <w:style w:type="character" w:customStyle="1" w:styleId="128">
    <w:name w:val="Heading 5 Char"/>
    <w:autoRedefine/>
    <w:qFormat/>
    <w:uiPriority w:val="99"/>
    <w:rPr>
      <w:rFonts w:eastAsia="宋体"/>
      <w:b/>
      <w:bCs/>
      <w:kern w:val="2"/>
      <w:sz w:val="28"/>
      <w:szCs w:val="28"/>
      <w:lang w:val="en-US" w:eastAsia="zh-CN"/>
    </w:rPr>
  </w:style>
  <w:style w:type="character" w:customStyle="1" w:styleId="129">
    <w:name w:val="标题 1 字符1"/>
    <w:autoRedefine/>
    <w:qFormat/>
    <w:uiPriority w:val="0"/>
    <w:rPr>
      <w:b/>
      <w:bCs/>
      <w:kern w:val="44"/>
      <w:sz w:val="44"/>
      <w:szCs w:val="44"/>
    </w:rPr>
  </w:style>
  <w:style w:type="character" w:customStyle="1" w:styleId="130">
    <w:name w:val="明显引用 Char"/>
    <w:link w:val="131"/>
    <w:autoRedefine/>
    <w:qFormat/>
    <w:locked/>
    <w:uiPriority w:val="99"/>
    <w:rPr>
      <w:b/>
      <w:bCs/>
      <w:i/>
      <w:iCs/>
      <w:color w:val="4F81BD"/>
    </w:rPr>
  </w:style>
  <w:style w:type="paragraph" w:customStyle="1" w:styleId="131">
    <w:name w:val="明显引用1"/>
    <w:basedOn w:val="1"/>
    <w:next w:val="1"/>
    <w:link w:val="130"/>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2">
    <w:name w:val="textcontents"/>
    <w:autoRedefine/>
    <w:qFormat/>
    <w:uiPriority w:val="99"/>
  </w:style>
  <w:style w:type="character" w:customStyle="1" w:styleId="133">
    <w:name w:val="Char Char19"/>
    <w:autoRedefine/>
    <w:qFormat/>
    <w:uiPriority w:val="99"/>
    <w:rPr>
      <w:rFonts w:ascii="Arial" w:hAnsi="Arial" w:eastAsia="宋体" w:cs="Arial"/>
      <w:b/>
      <w:bCs/>
      <w:sz w:val="28"/>
      <w:szCs w:val="28"/>
    </w:rPr>
  </w:style>
  <w:style w:type="character" w:customStyle="1" w:styleId="134">
    <w:name w:val="批注文字 Char"/>
    <w:autoRedefine/>
    <w:qFormat/>
    <w:uiPriority w:val="99"/>
    <w:rPr>
      <w:rFonts w:ascii="Times New Roman" w:hAnsi="Times New Roman"/>
      <w:kern w:val="2"/>
      <w:sz w:val="21"/>
      <w:szCs w:val="24"/>
    </w:rPr>
  </w:style>
  <w:style w:type="character" w:customStyle="1" w:styleId="135">
    <w:name w:val="标题5 Char Char"/>
    <w:link w:val="136"/>
    <w:autoRedefine/>
    <w:qFormat/>
    <w:locked/>
    <w:uiPriority w:val="99"/>
    <w:rPr>
      <w:rFonts w:ascii="Arial" w:hAnsi="Arial" w:cs="Arial"/>
      <w:b/>
      <w:bCs/>
      <w:sz w:val="32"/>
      <w:szCs w:val="32"/>
    </w:rPr>
  </w:style>
  <w:style w:type="paragraph" w:customStyle="1" w:styleId="136">
    <w:name w:val="标题5"/>
    <w:basedOn w:val="4"/>
    <w:link w:val="135"/>
    <w:autoRedefine/>
    <w:qFormat/>
    <w:uiPriority w:val="99"/>
    <w:pPr>
      <w:spacing w:line="413" w:lineRule="auto"/>
    </w:pPr>
    <w:rPr>
      <w:rFonts w:ascii="Arial" w:hAnsi="Arial"/>
      <w:kern w:val="0"/>
    </w:rPr>
  </w:style>
  <w:style w:type="character" w:customStyle="1" w:styleId="137">
    <w:name w:val="纯文本 字符"/>
    <w:autoRedefine/>
    <w:qFormat/>
    <w:uiPriority w:val="0"/>
    <w:rPr>
      <w:rFonts w:ascii="宋体" w:hAnsi="Courier New" w:eastAsia="宋体" w:cs="Courier New"/>
      <w:szCs w:val="21"/>
    </w:rPr>
  </w:style>
  <w:style w:type="character" w:customStyle="1" w:styleId="138">
    <w:name w:val="引用 Char"/>
    <w:link w:val="139"/>
    <w:autoRedefine/>
    <w:qFormat/>
    <w:locked/>
    <w:uiPriority w:val="99"/>
    <w:rPr>
      <w:i/>
      <w:iCs/>
      <w:color w:val="000000"/>
    </w:rPr>
  </w:style>
  <w:style w:type="paragraph" w:customStyle="1" w:styleId="139">
    <w:name w:val="引用1"/>
    <w:basedOn w:val="1"/>
    <w:next w:val="1"/>
    <w:link w:val="138"/>
    <w:autoRedefine/>
    <w:qFormat/>
    <w:uiPriority w:val="99"/>
    <w:rPr>
      <w:i/>
      <w:iCs/>
      <w:color w:val="000000"/>
      <w:kern w:val="0"/>
      <w:sz w:val="20"/>
      <w:szCs w:val="20"/>
    </w:rPr>
  </w:style>
  <w:style w:type="character" w:customStyle="1" w:styleId="140">
    <w:name w:val="纯文本 Char"/>
    <w:autoRedefine/>
    <w:qFormat/>
    <w:uiPriority w:val="0"/>
    <w:rPr>
      <w:rFonts w:ascii="宋体" w:hAnsi="Courier New" w:eastAsia="宋体" w:cs="Courier New"/>
      <w:szCs w:val="21"/>
    </w:rPr>
  </w:style>
  <w:style w:type="character" w:customStyle="1" w:styleId="141">
    <w:name w:val="日期 Char1"/>
    <w:autoRedefine/>
    <w:qFormat/>
    <w:uiPriority w:val="99"/>
    <w:rPr>
      <w:rFonts w:ascii="Times New Roman" w:hAnsi="Times New Roman" w:eastAsia="宋体" w:cs="Times New Roman"/>
      <w:sz w:val="24"/>
      <w:szCs w:val="24"/>
    </w:rPr>
  </w:style>
  <w:style w:type="character" w:customStyle="1" w:styleId="142">
    <w:name w:val="纯文本 字符2"/>
    <w:autoRedefine/>
    <w:qFormat/>
    <w:uiPriority w:val="0"/>
    <w:rPr>
      <w:rFonts w:ascii="宋体" w:hAnsi="Courier New" w:eastAsia="宋体" w:cs="Courier New"/>
      <w:szCs w:val="21"/>
    </w:rPr>
  </w:style>
  <w:style w:type="character" w:customStyle="1" w:styleId="143">
    <w:name w:val="Char Char91"/>
    <w:autoRedefine/>
    <w:qFormat/>
    <w:uiPriority w:val="99"/>
    <w:rPr>
      <w:rFonts w:eastAsia="宋体"/>
      <w:b/>
      <w:bCs/>
      <w:kern w:val="44"/>
      <w:sz w:val="44"/>
      <w:szCs w:val="44"/>
      <w:lang w:val="en-US" w:eastAsia="zh-CN"/>
    </w:rPr>
  </w:style>
  <w:style w:type="character" w:customStyle="1" w:styleId="144">
    <w:name w:val="批注文字 字符1"/>
    <w:autoRedefine/>
    <w:qFormat/>
    <w:uiPriority w:val="0"/>
    <w:rPr>
      <w:rFonts w:ascii="Times New Roman" w:hAnsi="Times New Roman"/>
      <w:kern w:val="2"/>
      <w:sz w:val="21"/>
      <w:szCs w:val="24"/>
    </w:rPr>
  </w:style>
  <w:style w:type="character" w:customStyle="1" w:styleId="145">
    <w:name w:val="Char Char6"/>
    <w:autoRedefine/>
    <w:qFormat/>
    <w:uiPriority w:val="99"/>
    <w:rPr>
      <w:rFonts w:eastAsia="宋体"/>
      <w:b/>
      <w:bCs/>
      <w:kern w:val="44"/>
      <w:sz w:val="44"/>
      <w:szCs w:val="44"/>
      <w:lang w:val="en-US" w:eastAsia="zh-CN"/>
    </w:rPr>
  </w:style>
  <w:style w:type="character" w:customStyle="1" w:styleId="14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7">
    <w:name w:val="Comment Text Char1"/>
    <w:autoRedefine/>
    <w:qFormat/>
    <w:uiPriority w:val="99"/>
    <w:rPr>
      <w:sz w:val="24"/>
      <w:szCs w:val="24"/>
    </w:rPr>
  </w:style>
  <w:style w:type="character" w:customStyle="1" w:styleId="148">
    <w:name w:val="纯文本 字符1"/>
    <w:autoRedefine/>
    <w:qFormat/>
    <w:uiPriority w:val="0"/>
    <w:rPr>
      <w:rFonts w:ascii="宋体" w:hAnsi="Courier New"/>
    </w:rPr>
  </w:style>
  <w:style w:type="character" w:customStyle="1" w:styleId="149">
    <w:name w:val="Footer Char"/>
    <w:autoRedefine/>
    <w:qFormat/>
    <w:uiPriority w:val="99"/>
    <w:rPr>
      <w:rFonts w:eastAsia="宋体"/>
      <w:kern w:val="2"/>
      <w:sz w:val="18"/>
      <w:szCs w:val="18"/>
      <w:lang w:val="en-US" w:eastAsia="zh-CN"/>
    </w:rPr>
  </w:style>
  <w:style w:type="character" w:customStyle="1" w:styleId="150">
    <w:name w:val="正文文本 Char"/>
    <w:autoRedefine/>
    <w:qFormat/>
    <w:uiPriority w:val="99"/>
    <w:rPr>
      <w:rFonts w:ascii="Times New Roman" w:hAnsi="Times New Roman"/>
      <w:kern w:val="2"/>
      <w:sz w:val="21"/>
      <w:szCs w:val="24"/>
    </w:rPr>
  </w:style>
  <w:style w:type="character" w:customStyle="1" w:styleId="151">
    <w:name w:val="Body Text Indent 2 Char"/>
    <w:autoRedefine/>
    <w:qFormat/>
    <w:uiPriority w:val="99"/>
    <w:rPr>
      <w:rFonts w:eastAsia="宋体"/>
      <w:kern w:val="2"/>
      <w:sz w:val="24"/>
      <w:szCs w:val="24"/>
      <w:lang w:val="en-US" w:eastAsia="zh-CN"/>
    </w:rPr>
  </w:style>
  <w:style w:type="character" w:customStyle="1" w:styleId="152">
    <w:name w:val="批注文字 字符"/>
    <w:autoRedefine/>
    <w:qFormat/>
    <w:uiPriority w:val="0"/>
    <w:rPr>
      <w:rFonts w:ascii="Times New Roman" w:hAnsi="Times New Roman"/>
      <w:kern w:val="2"/>
      <w:sz w:val="21"/>
      <w:szCs w:val="24"/>
    </w:rPr>
  </w:style>
  <w:style w:type="character" w:customStyle="1" w:styleId="153">
    <w:name w:val="标题 2 Char"/>
    <w:autoRedefine/>
    <w:qFormat/>
    <w:uiPriority w:val="99"/>
    <w:rPr>
      <w:rFonts w:ascii="Cambria" w:hAnsi="Cambria" w:eastAsia="宋体" w:cs="Times New Roman"/>
      <w:b/>
      <w:bCs/>
      <w:kern w:val="2"/>
      <w:sz w:val="32"/>
      <w:szCs w:val="32"/>
    </w:rPr>
  </w:style>
  <w:style w:type="character" w:customStyle="1" w:styleId="154">
    <w:name w:val="标题 8 Char"/>
    <w:autoRedefine/>
    <w:qFormat/>
    <w:uiPriority w:val="9"/>
    <w:rPr>
      <w:rFonts w:ascii="Arial" w:hAnsi="Arial" w:eastAsia="黑体"/>
      <w:kern w:val="2"/>
      <w:sz w:val="24"/>
      <w:szCs w:val="24"/>
    </w:rPr>
  </w:style>
  <w:style w:type="character" w:customStyle="1" w:styleId="155">
    <w:name w:val="apple-style-span"/>
    <w:autoRedefine/>
    <w:qFormat/>
    <w:uiPriority w:val="0"/>
  </w:style>
  <w:style w:type="character" w:customStyle="1" w:styleId="156">
    <w:name w:val="正文文本 字符"/>
    <w:autoRedefine/>
    <w:qFormat/>
    <w:uiPriority w:val="0"/>
    <w:rPr>
      <w:rFonts w:ascii="Times New Roman" w:hAnsi="Times New Roman"/>
      <w:kern w:val="2"/>
      <w:sz w:val="21"/>
      <w:szCs w:val="24"/>
    </w:rPr>
  </w:style>
  <w:style w:type="character" w:customStyle="1" w:styleId="157">
    <w:name w:val="批注文字 Char2"/>
    <w:autoRedefine/>
    <w:qFormat/>
    <w:uiPriority w:val="0"/>
    <w:rPr>
      <w:rFonts w:ascii="Times New Roman" w:hAnsi="Times New Roman"/>
      <w:kern w:val="2"/>
      <w:sz w:val="21"/>
      <w:szCs w:val="24"/>
    </w:rPr>
  </w:style>
  <w:style w:type="character" w:customStyle="1" w:styleId="158">
    <w:name w:val="正文2 Char Char"/>
    <w:link w:val="159"/>
    <w:autoRedefine/>
    <w:qFormat/>
    <w:uiPriority w:val="0"/>
    <w:rPr>
      <w:kern w:val="2"/>
      <w:sz w:val="24"/>
    </w:rPr>
  </w:style>
  <w:style w:type="paragraph" w:customStyle="1" w:styleId="159">
    <w:name w:val="正文2"/>
    <w:basedOn w:val="1"/>
    <w:link w:val="158"/>
    <w:autoRedefine/>
    <w:qFormat/>
    <w:uiPriority w:val="0"/>
    <w:pPr>
      <w:adjustRightInd w:val="0"/>
      <w:spacing w:before="156" w:line="360" w:lineRule="auto"/>
      <w:ind w:firstLine="510" w:firstLineChars="200"/>
    </w:pPr>
    <w:rPr>
      <w:sz w:val="24"/>
      <w:szCs w:val="20"/>
    </w:rPr>
  </w:style>
  <w:style w:type="character" w:customStyle="1" w:styleId="160">
    <w:name w:val="不明显强调1"/>
    <w:autoRedefine/>
    <w:qFormat/>
    <w:uiPriority w:val="99"/>
    <w:rPr>
      <w:i/>
      <w:iCs/>
      <w:color w:val="808080"/>
    </w:rPr>
  </w:style>
  <w:style w:type="character" w:customStyle="1" w:styleId="161">
    <w:name w:val="Body text|6_"/>
    <w:link w:val="162"/>
    <w:autoRedefine/>
    <w:qFormat/>
    <w:uiPriority w:val="0"/>
    <w:rPr>
      <w:rFonts w:ascii="Arial" w:hAnsi="Arial" w:eastAsia="Arial" w:cs="Arial"/>
      <w:lang w:val="zh-CN"/>
    </w:rPr>
  </w:style>
  <w:style w:type="paragraph" w:customStyle="1" w:styleId="162">
    <w:name w:val="Body text|6"/>
    <w:basedOn w:val="1"/>
    <w:link w:val="161"/>
    <w:autoRedefine/>
    <w:qFormat/>
    <w:uiPriority w:val="0"/>
    <w:pPr>
      <w:ind w:hanging="2220"/>
      <w:jc w:val="left"/>
    </w:pPr>
    <w:rPr>
      <w:rFonts w:ascii="Arial" w:hAnsi="Arial" w:eastAsia="Arial"/>
      <w:kern w:val="0"/>
      <w:sz w:val="20"/>
      <w:szCs w:val="20"/>
      <w:lang w:val="zh-CN"/>
    </w:rPr>
  </w:style>
  <w:style w:type="character" w:customStyle="1" w:styleId="163">
    <w:name w:val="批注文字 Char Char"/>
    <w:autoRedefine/>
    <w:qFormat/>
    <w:uiPriority w:val="99"/>
    <w:rPr>
      <w:rFonts w:ascii="宋体" w:hAnsi="Times New Roman" w:eastAsia="宋体" w:cs="宋体"/>
      <w:sz w:val="20"/>
      <w:szCs w:val="20"/>
    </w:rPr>
  </w:style>
  <w:style w:type="character" w:customStyle="1" w:styleId="164">
    <w:name w:val="Heading 3 Char"/>
    <w:autoRedefine/>
    <w:qFormat/>
    <w:uiPriority w:val="99"/>
    <w:rPr>
      <w:b/>
      <w:bCs/>
      <w:kern w:val="2"/>
      <w:sz w:val="32"/>
      <w:szCs w:val="32"/>
    </w:rPr>
  </w:style>
  <w:style w:type="character" w:customStyle="1" w:styleId="165">
    <w:name w:val="Heading 2 Char"/>
    <w:autoRedefine/>
    <w:qFormat/>
    <w:uiPriority w:val="99"/>
    <w:rPr>
      <w:rFonts w:ascii="Arial" w:hAnsi="Arial" w:eastAsia="黑体" w:cs="Arial"/>
      <w:b/>
      <w:bCs/>
      <w:kern w:val="2"/>
      <w:sz w:val="32"/>
      <w:szCs w:val="32"/>
      <w:lang w:val="en-US" w:eastAsia="zh-CN"/>
    </w:rPr>
  </w:style>
  <w:style w:type="character" w:customStyle="1" w:styleId="166">
    <w:name w:val="Balloon Text Char"/>
    <w:autoRedefine/>
    <w:qFormat/>
    <w:uiPriority w:val="99"/>
    <w:rPr>
      <w:sz w:val="18"/>
      <w:szCs w:val="18"/>
    </w:rPr>
  </w:style>
  <w:style w:type="character" w:customStyle="1" w:styleId="167">
    <w:name w:val="文档结构图 Char1"/>
    <w:autoRedefine/>
    <w:qFormat/>
    <w:uiPriority w:val="99"/>
    <w:rPr>
      <w:rFonts w:ascii="宋体" w:hAnsi="Times New Roman" w:eastAsia="宋体" w:cs="宋体"/>
      <w:sz w:val="18"/>
      <w:szCs w:val="18"/>
    </w:rPr>
  </w:style>
  <w:style w:type="character" w:customStyle="1" w:styleId="168">
    <w:name w:val="Footnote Text Char"/>
    <w:autoRedefine/>
    <w:qFormat/>
    <w:uiPriority w:val="99"/>
    <w:rPr>
      <w:rFonts w:eastAsia="宋体"/>
      <w:sz w:val="18"/>
      <w:szCs w:val="18"/>
      <w:lang w:val="en-US" w:eastAsia="zh-CN"/>
    </w:rPr>
  </w:style>
  <w:style w:type="character" w:customStyle="1" w:styleId="169">
    <w:name w:val="Char Char21"/>
    <w:autoRedefine/>
    <w:qFormat/>
    <w:uiPriority w:val="99"/>
    <w:rPr>
      <w:rFonts w:ascii="Arial" w:hAnsi="Arial" w:eastAsia="黑体" w:cs="Arial"/>
      <w:b/>
      <w:bCs/>
      <w:sz w:val="32"/>
      <w:szCs w:val="32"/>
    </w:rPr>
  </w:style>
  <w:style w:type="character" w:customStyle="1" w:styleId="170">
    <w:name w:val="Other|1_"/>
    <w:link w:val="171"/>
    <w:autoRedefine/>
    <w:qFormat/>
    <w:uiPriority w:val="0"/>
    <w:rPr>
      <w:rFonts w:ascii="宋体" w:hAnsi="宋体" w:cs="宋体"/>
      <w:lang w:val="zh-CN" w:bidi="zh-CN"/>
    </w:rPr>
  </w:style>
  <w:style w:type="paragraph" w:customStyle="1" w:styleId="171">
    <w:name w:val="Other|1"/>
    <w:basedOn w:val="1"/>
    <w:link w:val="170"/>
    <w:autoRedefine/>
    <w:qFormat/>
    <w:uiPriority w:val="0"/>
    <w:pPr>
      <w:spacing w:line="360" w:lineRule="auto"/>
      <w:ind w:firstLine="400"/>
      <w:jc w:val="left"/>
    </w:pPr>
    <w:rPr>
      <w:rFonts w:ascii="宋体" w:hAnsi="宋体" w:cs="宋体"/>
      <w:kern w:val="0"/>
      <w:sz w:val="20"/>
      <w:szCs w:val="20"/>
      <w:lang w:val="zh-CN" w:bidi="zh-CN"/>
    </w:rPr>
  </w:style>
  <w:style w:type="character" w:customStyle="1" w:styleId="172">
    <w:name w:val="Body Text Indent Char"/>
    <w:autoRedefine/>
    <w:qFormat/>
    <w:uiPriority w:val="99"/>
    <w:rPr>
      <w:rFonts w:ascii="宋体" w:hAnsi="宋体" w:eastAsia="宋体" w:cs="宋体"/>
      <w:kern w:val="2"/>
      <w:sz w:val="21"/>
      <w:szCs w:val="21"/>
      <w:lang w:val="en-US" w:eastAsia="zh-CN"/>
    </w:rPr>
  </w:style>
  <w:style w:type="character" w:customStyle="1" w:styleId="173">
    <w:name w:val="不明显参考1"/>
    <w:autoRedefine/>
    <w:qFormat/>
    <w:uiPriority w:val="99"/>
    <w:rPr>
      <w:smallCaps/>
      <w:color w:val="auto"/>
      <w:u w:val="single"/>
    </w:rPr>
  </w:style>
  <w:style w:type="character" w:customStyle="1" w:styleId="174">
    <w:name w:val="Heading 4 Char"/>
    <w:autoRedefine/>
    <w:qFormat/>
    <w:uiPriority w:val="99"/>
    <w:rPr>
      <w:rFonts w:ascii="Arial" w:hAnsi="Arial" w:eastAsia="宋体" w:cs="Arial"/>
      <w:b/>
      <w:bCs/>
      <w:kern w:val="2"/>
      <w:sz w:val="28"/>
      <w:szCs w:val="28"/>
      <w:lang w:val="en-US" w:eastAsia="zh-CN"/>
    </w:rPr>
  </w:style>
  <w:style w:type="character" w:customStyle="1" w:styleId="175">
    <w:name w:val="Body text|7_"/>
    <w:link w:val="176"/>
    <w:autoRedefine/>
    <w:qFormat/>
    <w:uiPriority w:val="0"/>
    <w:rPr>
      <w:rFonts w:ascii="Courier New" w:hAnsi="Courier New" w:eastAsia="Courier New" w:cs="Courier New"/>
      <w:b/>
      <w:bCs/>
      <w:sz w:val="8"/>
      <w:szCs w:val="8"/>
      <w:lang w:val="zh-CN"/>
    </w:rPr>
  </w:style>
  <w:style w:type="paragraph" w:customStyle="1" w:styleId="176">
    <w:name w:val="Body text|7"/>
    <w:basedOn w:val="1"/>
    <w:link w:val="175"/>
    <w:autoRedefine/>
    <w:qFormat/>
    <w:uiPriority w:val="0"/>
    <w:pPr>
      <w:ind w:hanging="1760"/>
      <w:jc w:val="left"/>
    </w:pPr>
    <w:rPr>
      <w:rFonts w:ascii="Courier New" w:hAnsi="Courier New" w:eastAsia="Courier New"/>
      <w:b/>
      <w:bCs/>
      <w:kern w:val="0"/>
      <w:sz w:val="8"/>
      <w:szCs w:val="8"/>
      <w:lang w:val="zh-CN"/>
    </w:rPr>
  </w:style>
  <w:style w:type="character" w:customStyle="1" w:styleId="177">
    <w:name w:val="Char Char20"/>
    <w:autoRedefine/>
    <w:qFormat/>
    <w:uiPriority w:val="99"/>
    <w:rPr>
      <w:rFonts w:ascii="Times New Roman" w:hAnsi="Times New Roman" w:eastAsia="宋体" w:cs="Times New Roman"/>
      <w:b/>
      <w:bCs/>
      <w:sz w:val="32"/>
      <w:szCs w:val="32"/>
    </w:rPr>
  </w:style>
  <w:style w:type="character" w:customStyle="1" w:styleId="178">
    <w:name w:val="Body text|4_"/>
    <w:link w:val="179"/>
    <w:autoRedefine/>
    <w:qFormat/>
    <w:uiPriority w:val="0"/>
    <w:rPr>
      <w:rFonts w:ascii="宋体" w:hAnsi="宋体" w:cs="宋体"/>
      <w:b/>
      <w:bCs/>
      <w:sz w:val="17"/>
      <w:szCs w:val="17"/>
      <w:lang w:val="zh-CN" w:bidi="zh-CN"/>
    </w:rPr>
  </w:style>
  <w:style w:type="paragraph" w:customStyle="1" w:styleId="179">
    <w:name w:val="Body text|4"/>
    <w:basedOn w:val="1"/>
    <w:link w:val="178"/>
    <w:autoRedefine/>
    <w:qFormat/>
    <w:uiPriority w:val="0"/>
    <w:pPr>
      <w:spacing w:line="281" w:lineRule="exact"/>
      <w:jc w:val="center"/>
    </w:pPr>
    <w:rPr>
      <w:rFonts w:ascii="宋体" w:hAnsi="宋体" w:cs="宋体"/>
      <w:b/>
      <w:bCs/>
      <w:kern w:val="0"/>
      <w:sz w:val="17"/>
      <w:szCs w:val="17"/>
      <w:lang w:val="zh-CN" w:bidi="zh-CN"/>
    </w:rPr>
  </w:style>
  <w:style w:type="character" w:customStyle="1" w:styleId="180">
    <w:name w:val="Comment Subject Char"/>
    <w:autoRedefine/>
    <w:qFormat/>
    <w:uiPriority w:val="99"/>
    <w:rPr>
      <w:b/>
      <w:bCs/>
      <w:sz w:val="24"/>
      <w:szCs w:val="24"/>
    </w:rPr>
  </w:style>
  <w:style w:type="character" w:customStyle="1" w:styleId="181">
    <w:name w:val="Heading #2|1_"/>
    <w:link w:val="182"/>
    <w:autoRedefine/>
    <w:qFormat/>
    <w:uiPriority w:val="0"/>
    <w:rPr>
      <w:rFonts w:ascii="宋体" w:hAnsi="宋体" w:cs="宋体"/>
      <w:sz w:val="34"/>
      <w:szCs w:val="34"/>
      <w:lang w:val="zh-CN" w:bidi="zh-CN"/>
    </w:rPr>
  </w:style>
  <w:style w:type="paragraph" w:customStyle="1" w:styleId="182">
    <w:name w:val="Heading #2|1"/>
    <w:basedOn w:val="1"/>
    <w:link w:val="181"/>
    <w:autoRedefine/>
    <w:qFormat/>
    <w:uiPriority w:val="0"/>
    <w:pPr>
      <w:spacing w:after="900"/>
      <w:jc w:val="center"/>
      <w:outlineLvl w:val="1"/>
    </w:pPr>
    <w:rPr>
      <w:rFonts w:ascii="宋体" w:hAnsi="宋体" w:cs="宋体"/>
      <w:kern w:val="0"/>
      <w:sz w:val="34"/>
      <w:szCs w:val="34"/>
      <w:lang w:val="zh-CN" w:bidi="zh-CN"/>
    </w:rPr>
  </w:style>
  <w:style w:type="character" w:customStyle="1" w:styleId="183">
    <w:name w:val="批注框文本 Char1"/>
    <w:autoRedefine/>
    <w:qFormat/>
    <w:uiPriority w:val="99"/>
    <w:rPr>
      <w:rFonts w:ascii="Times New Roman" w:hAnsi="Times New Roman" w:eastAsia="宋体" w:cs="Times New Roman"/>
      <w:sz w:val="18"/>
      <w:szCs w:val="18"/>
    </w:rPr>
  </w:style>
  <w:style w:type="character" w:customStyle="1" w:styleId="184">
    <w:name w:val="Char Char18"/>
    <w:autoRedefine/>
    <w:qFormat/>
    <w:uiPriority w:val="99"/>
    <w:rPr>
      <w:rFonts w:ascii="Times New Roman" w:hAnsi="Times New Roman" w:eastAsia="宋体" w:cs="Times New Roman"/>
      <w:b/>
      <w:bCs/>
      <w:sz w:val="28"/>
      <w:szCs w:val="28"/>
    </w:rPr>
  </w:style>
  <w:style w:type="character" w:customStyle="1" w:styleId="185">
    <w:name w:val="批注主题 Char1"/>
    <w:autoRedefine/>
    <w:qFormat/>
    <w:uiPriority w:val="99"/>
    <w:rPr>
      <w:rFonts w:ascii="Times New Roman" w:hAnsi="Times New Roman" w:eastAsia="宋体" w:cs="Times New Roman"/>
      <w:b/>
      <w:bCs/>
      <w:sz w:val="24"/>
      <w:szCs w:val="24"/>
    </w:rPr>
  </w:style>
  <w:style w:type="character" w:customStyle="1" w:styleId="186">
    <w:name w:val="Char Char24"/>
    <w:autoRedefine/>
    <w:qFormat/>
    <w:uiPriority w:val="99"/>
    <w:rPr>
      <w:rFonts w:eastAsia="宋体"/>
      <w:b/>
      <w:bCs/>
      <w:kern w:val="44"/>
      <w:sz w:val="44"/>
      <w:szCs w:val="44"/>
      <w:lang w:val="en-US" w:eastAsia="zh-CN"/>
    </w:rPr>
  </w:style>
  <w:style w:type="character" w:customStyle="1" w:styleId="187">
    <w:name w:val="标题4 Char Char"/>
    <w:link w:val="188"/>
    <w:autoRedefine/>
    <w:qFormat/>
    <w:locked/>
    <w:uiPriority w:val="99"/>
    <w:rPr>
      <w:rFonts w:ascii="Arial" w:hAnsi="Arial" w:cs="Arial"/>
      <w:b/>
      <w:bCs/>
      <w:sz w:val="32"/>
      <w:szCs w:val="32"/>
    </w:rPr>
  </w:style>
  <w:style w:type="paragraph" w:customStyle="1" w:styleId="188">
    <w:name w:val="标题4"/>
    <w:basedOn w:val="3"/>
    <w:next w:val="24"/>
    <w:link w:val="187"/>
    <w:autoRedefine/>
    <w:qFormat/>
    <w:uiPriority w:val="99"/>
    <w:pPr>
      <w:spacing w:before="60" w:after="60" w:line="413" w:lineRule="auto"/>
    </w:pPr>
    <w:rPr>
      <w:rFonts w:ascii="Arial" w:hAnsi="Arial"/>
      <w:kern w:val="0"/>
    </w:rPr>
  </w:style>
  <w:style w:type="character" w:customStyle="1" w:styleId="189">
    <w:name w:val="Plain Text Char"/>
    <w:autoRedefine/>
    <w:qFormat/>
    <w:uiPriority w:val="99"/>
    <w:rPr>
      <w:rFonts w:ascii="宋体" w:hAnsi="Courier New" w:eastAsia="宋体" w:cs="宋体"/>
      <w:sz w:val="24"/>
      <w:szCs w:val="24"/>
    </w:rPr>
  </w:style>
  <w:style w:type="character" w:customStyle="1" w:styleId="190">
    <w:name w:val="Header or footer|1_"/>
    <w:link w:val="191"/>
    <w:autoRedefine/>
    <w:qFormat/>
    <w:uiPriority w:val="0"/>
    <w:rPr>
      <w:sz w:val="17"/>
      <w:szCs w:val="17"/>
      <w:lang w:val="zh-CN" w:bidi="zh-CN"/>
    </w:rPr>
  </w:style>
  <w:style w:type="paragraph" w:customStyle="1" w:styleId="191">
    <w:name w:val="Header or footer|1"/>
    <w:basedOn w:val="1"/>
    <w:link w:val="190"/>
    <w:autoRedefine/>
    <w:qFormat/>
    <w:uiPriority w:val="0"/>
    <w:pPr>
      <w:jc w:val="center"/>
    </w:pPr>
    <w:rPr>
      <w:kern w:val="0"/>
      <w:sz w:val="17"/>
      <w:szCs w:val="17"/>
      <w:lang w:val="zh-CN" w:bidi="zh-CN"/>
    </w:rPr>
  </w:style>
  <w:style w:type="character" w:customStyle="1" w:styleId="192">
    <w:name w:val="Heading #3|1_"/>
    <w:link w:val="193"/>
    <w:autoRedefine/>
    <w:qFormat/>
    <w:uiPriority w:val="0"/>
    <w:rPr>
      <w:rFonts w:ascii="宋体" w:hAnsi="宋体" w:cs="宋体"/>
      <w:sz w:val="28"/>
      <w:szCs w:val="28"/>
      <w:lang w:val="zh-CN" w:bidi="zh-CN"/>
    </w:rPr>
  </w:style>
  <w:style w:type="paragraph" w:customStyle="1" w:styleId="193">
    <w:name w:val="Heading #3|1"/>
    <w:basedOn w:val="1"/>
    <w:link w:val="192"/>
    <w:autoRedefine/>
    <w:qFormat/>
    <w:uiPriority w:val="0"/>
    <w:pPr>
      <w:spacing w:after="570"/>
      <w:jc w:val="center"/>
      <w:outlineLvl w:val="2"/>
    </w:pPr>
    <w:rPr>
      <w:rFonts w:ascii="宋体" w:hAnsi="宋体" w:cs="宋体"/>
      <w:kern w:val="0"/>
      <w:sz w:val="28"/>
      <w:szCs w:val="28"/>
      <w:lang w:val="zh-CN" w:bidi="zh-CN"/>
    </w:rPr>
  </w:style>
  <w:style w:type="character" w:styleId="194">
    <w:name w:val="Placeholder Text"/>
    <w:autoRedefine/>
    <w:unhideWhenUsed/>
    <w:qFormat/>
    <w:uiPriority w:val="99"/>
    <w:rPr>
      <w:color w:val="808080"/>
    </w:rPr>
  </w:style>
  <w:style w:type="paragraph" w:customStyle="1" w:styleId="195">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6">
    <w:name w:val="List Paragraph"/>
    <w:basedOn w:val="1"/>
    <w:autoRedefine/>
    <w:qFormat/>
    <w:uiPriority w:val="34"/>
    <w:pPr>
      <w:ind w:firstLine="420" w:firstLineChars="200"/>
    </w:pPr>
  </w:style>
  <w:style w:type="paragraph" w:customStyle="1" w:styleId="197">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9">
    <w:name w:val="Char Char Char Char Char Char Char"/>
    <w:basedOn w:val="1"/>
    <w:autoRedefine/>
    <w:qFormat/>
    <w:uiPriority w:val="99"/>
    <w:pPr>
      <w:widowControl/>
      <w:spacing w:after="160" w:line="240" w:lineRule="exact"/>
      <w:jc w:val="left"/>
    </w:pPr>
    <w:rPr>
      <w:szCs w:val="21"/>
    </w:rPr>
  </w:style>
  <w:style w:type="paragraph" w:customStyle="1" w:styleId="200">
    <w:name w:val="Char"/>
    <w:basedOn w:val="1"/>
    <w:autoRedefine/>
    <w:qFormat/>
    <w:uiPriority w:val="99"/>
    <w:pPr>
      <w:widowControl/>
      <w:spacing w:after="160" w:line="240" w:lineRule="exact"/>
      <w:jc w:val="left"/>
    </w:pPr>
    <w:rPr>
      <w:szCs w:val="21"/>
    </w:rPr>
  </w:style>
  <w:style w:type="paragraph" w:customStyle="1" w:styleId="201">
    <w:name w:val="默认段落字体 Para Char Char Char Char Char Char Char Char Char1 Char Char Char Char"/>
    <w:basedOn w:val="1"/>
    <w:autoRedefine/>
    <w:qFormat/>
    <w:uiPriority w:val="0"/>
    <w:rPr>
      <w:rFonts w:ascii="Tahoma" w:hAnsi="Tahoma"/>
      <w:sz w:val="24"/>
      <w:szCs w:val="20"/>
    </w:rPr>
  </w:style>
  <w:style w:type="paragraph" w:customStyle="1" w:styleId="202">
    <w:name w:val="Table Paragraph"/>
    <w:basedOn w:val="1"/>
    <w:autoRedefine/>
    <w:qFormat/>
    <w:uiPriority w:val="1"/>
    <w:pPr>
      <w:jc w:val="left"/>
    </w:pPr>
    <w:rPr>
      <w:rFonts w:ascii="Calibri" w:hAnsi="Calibri"/>
      <w:kern w:val="0"/>
      <w:sz w:val="22"/>
      <w:szCs w:val="22"/>
      <w:lang w:eastAsia="en-US"/>
    </w:rPr>
  </w:style>
  <w:style w:type="paragraph" w:customStyle="1" w:styleId="20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04">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205">
    <w:name w:val="列出段落1"/>
    <w:basedOn w:val="1"/>
    <w:autoRedefine/>
    <w:qFormat/>
    <w:uiPriority w:val="99"/>
    <w:pPr>
      <w:ind w:firstLine="420" w:firstLineChars="200"/>
    </w:pPr>
    <w:rPr>
      <w:rFonts w:ascii="Calibri" w:hAnsi="Calibri" w:cs="Calibri"/>
      <w:szCs w:val="21"/>
    </w:rPr>
  </w:style>
  <w:style w:type="paragraph" w:customStyle="1" w:styleId="206">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208">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autoRedefine/>
    <w:qFormat/>
    <w:uiPriority w:val="99"/>
    <w:pPr>
      <w:widowControl/>
    </w:pPr>
    <w:rPr>
      <w:rFonts w:ascii="Calibri" w:hAnsi="Calibri" w:cs="Calibri"/>
      <w:kern w:val="0"/>
      <w:szCs w:val="21"/>
    </w:rPr>
  </w:style>
  <w:style w:type="paragraph" w:customStyle="1" w:styleId="210">
    <w:name w:val="1"/>
    <w:basedOn w:val="1"/>
    <w:next w:val="1"/>
    <w:autoRedefine/>
    <w:qFormat/>
    <w:uiPriority w:val="99"/>
    <w:rPr>
      <w:szCs w:val="21"/>
    </w:rPr>
  </w:style>
  <w:style w:type="paragraph" w:customStyle="1" w:styleId="211">
    <w:name w:val="列出段落2"/>
    <w:basedOn w:val="1"/>
    <w:autoRedefine/>
    <w:qFormat/>
    <w:uiPriority w:val="99"/>
    <w:pPr>
      <w:ind w:firstLine="420" w:firstLineChars="200"/>
    </w:pPr>
    <w:rPr>
      <w:rFonts w:ascii="Calibri" w:hAnsi="Calibri" w:cs="Calibri"/>
      <w:szCs w:val="21"/>
    </w:rPr>
  </w:style>
  <w:style w:type="paragraph" w:customStyle="1" w:styleId="212">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13">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3"/>
    <w:autoRedefine/>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autoRedefine/>
    <w:qFormat/>
    <w:uiPriority w:val="99"/>
    <w:pPr>
      <w:widowControl/>
      <w:spacing w:after="160" w:line="240" w:lineRule="exact"/>
      <w:jc w:val="left"/>
    </w:pPr>
    <w:rPr>
      <w:szCs w:val="21"/>
    </w:rPr>
  </w:style>
  <w:style w:type="paragraph" w:customStyle="1" w:styleId="219">
    <w:name w:val="_Style 37"/>
    <w:basedOn w:val="1"/>
    <w:next w:val="1"/>
    <w:autoRedefine/>
    <w:qFormat/>
    <w:uiPriority w:val="99"/>
    <w:rPr>
      <w:szCs w:val="21"/>
    </w:rPr>
  </w:style>
  <w:style w:type="paragraph" w:customStyle="1" w:styleId="220">
    <w:name w:val="样式 标题 3 + (中文) 黑体 小四 非加粗 段前: 7.8 磅 段后: 0 磅 行距: 固定值 20 磅"/>
    <w:basedOn w:val="4"/>
    <w:autoRedefine/>
    <w:qFormat/>
    <w:uiPriority w:val="99"/>
    <w:pPr>
      <w:spacing w:before="0" w:after="0" w:line="400" w:lineRule="exact"/>
    </w:pPr>
    <w:rPr>
      <w:rFonts w:eastAsia="黑体"/>
      <w:b w:val="0"/>
      <w:bCs w:val="0"/>
      <w:lang w:val="zh-CN"/>
    </w:rPr>
  </w:style>
  <w:style w:type="paragraph" w:styleId="22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22"/>
    <w:autoRedefine/>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autoRedefine/>
    <w:qFormat/>
    <w:uiPriority w:val="99"/>
    <w:pPr>
      <w:ind w:firstLine="420" w:firstLineChars="200"/>
      <w:jc w:val="left"/>
    </w:pPr>
    <w:rPr>
      <w:rFonts w:ascii="Times New Roman)" w:hAnsi="Times New Roman)" w:eastAsia="宋体正文"/>
      <w:color w:val="000000"/>
      <w:kern w:val="0"/>
      <w:lang w:eastAsia="en-US" w:bidi="en-US"/>
    </w:rPr>
  </w:style>
  <w:style w:type="character" w:customStyle="1" w:styleId="224">
    <w:name w:val="bookmark-item"/>
    <w:autoRedefine/>
    <w:qFormat/>
    <w:uiPriority w:val="0"/>
  </w:style>
  <w:style w:type="character" w:customStyle="1" w:styleId="225">
    <w:name w:val="纯文本 Char2"/>
    <w:autoRedefine/>
    <w:qFormat/>
    <w:uiPriority w:val="0"/>
    <w:rPr>
      <w:rFonts w:ascii="宋体" w:hAnsi="Courier New" w:eastAsia="宋体" w:cs="Courier New"/>
      <w:szCs w:val="21"/>
    </w:rPr>
  </w:style>
  <w:style w:type="character" w:customStyle="1" w:styleId="226">
    <w:name w:val="页脚 Char1"/>
    <w:autoRedefine/>
    <w:qFormat/>
    <w:uiPriority w:val="99"/>
    <w:rPr>
      <w:rFonts w:ascii="Times New Roman" w:hAnsi="Times New Roman" w:eastAsia="宋体" w:cs="Times New Roman"/>
      <w:sz w:val="18"/>
      <w:szCs w:val="18"/>
    </w:rPr>
  </w:style>
  <w:style w:type="paragraph" w:customStyle="1" w:styleId="227">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标题 4_1"/>
    <w:basedOn w:val="230"/>
    <w:next w:val="230"/>
    <w:autoRedefine/>
    <w:qFormat/>
    <w:uiPriority w:val="0"/>
    <w:pPr>
      <w:keepNext/>
      <w:keepLines/>
      <w:spacing w:before="280" w:after="290" w:line="372" w:lineRule="auto"/>
      <w:outlineLvl w:val="3"/>
    </w:pPr>
    <w:rPr>
      <w:rFonts w:ascii="Cambria" w:hAnsi="Cambria"/>
      <w:b/>
      <w:bCs/>
      <w:sz w:val="28"/>
      <w:szCs w:val="28"/>
    </w:rPr>
  </w:style>
  <w:style w:type="paragraph" w:customStyle="1" w:styleId="232">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3">
    <w:name w:val="first-child"/>
    <w:basedOn w:val="47"/>
    <w:autoRedefine/>
    <w:qFormat/>
    <w:uiPriority w:val="0"/>
  </w:style>
  <w:style w:type="character" w:customStyle="1" w:styleId="234">
    <w:name w:val="NormalCharacter"/>
    <w:autoRedefine/>
    <w:qFormat/>
    <w:uiPriority w:val="0"/>
  </w:style>
  <w:style w:type="character" w:customStyle="1" w:styleId="235">
    <w:name w:val="layui-layer-tabnow"/>
    <w:basedOn w:val="47"/>
    <w:autoRedefine/>
    <w:qFormat/>
    <w:uiPriority w:val="0"/>
    <w:rPr>
      <w:bdr w:val="single" w:color="CCCCCC" w:sz="6" w:space="0"/>
      <w:shd w:val="clear" w:color="auto" w:fill="FFFFFF"/>
    </w:rPr>
  </w:style>
  <w:style w:type="paragraph" w:customStyle="1" w:styleId="236">
    <w:name w:val="Normal_0"/>
    <w:basedOn w:val="237"/>
    <w:autoRedefine/>
    <w:qFormat/>
    <w:uiPriority w:val="0"/>
    <w:rPr>
      <w:rFonts w:ascii="Times New Roman" w:hAnsi="Times New Roman" w:eastAsia="Times New Roman" w:cs="Times New Roman"/>
      <w:sz w:val="24"/>
      <w:szCs w:val="24"/>
      <w:lang w:val="en-US" w:eastAsia="zh-CN" w:bidi="ar-SA"/>
    </w:rPr>
  </w:style>
  <w:style w:type="paragraph" w:customStyle="1" w:styleId="23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3"/>
    <w:autoRedefine/>
    <w:qFormat/>
    <w:uiPriority w:val="0"/>
    <w:rPr>
      <w:rFonts w:ascii="Times New Roman" w:hAnsi="Times New Roman" w:eastAsia="Times New Roman" w:cs="Times New Roman"/>
      <w:sz w:val="24"/>
      <w:szCs w:val="24"/>
      <w:lang w:val="en-US" w:eastAsia="zh-CN" w:bidi="ar-SA"/>
    </w:rPr>
  </w:style>
  <w:style w:type="paragraph" w:customStyle="1" w:styleId="24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Normal_18"/>
    <w:autoRedefine/>
    <w:qFormat/>
    <w:uiPriority w:val="0"/>
    <w:rPr>
      <w:rFonts w:ascii="Times New Roman" w:hAnsi="Times New Roman" w:eastAsia="Times New Roman" w:cs="Times New Roman"/>
      <w:sz w:val="24"/>
      <w:szCs w:val="24"/>
      <w:lang w:val="en-US" w:eastAsia="zh-CN" w:bidi="ar-SA"/>
    </w:rPr>
  </w:style>
  <w:style w:type="character" w:customStyle="1" w:styleId="242">
    <w:name w:val="批注文字 Char1"/>
    <w:autoRedefine/>
    <w:qFormat/>
    <w:uiPriority w:val="99"/>
    <w:rPr>
      <w:rFonts w:ascii="Times New Roman" w:hAnsi="Times New Roman"/>
      <w:kern w:val="2"/>
      <w:sz w:val="21"/>
      <w:szCs w:val="24"/>
    </w:rPr>
  </w:style>
  <w:style w:type="character" w:customStyle="1" w:styleId="243">
    <w:name w:val="纯文本 Char1"/>
    <w:autoRedefine/>
    <w:qFormat/>
    <w:uiPriority w:val="99"/>
    <w:rPr>
      <w:rFonts w:ascii="宋体" w:hAnsi="Courier New" w:eastAsia="宋体" w:cs="Courier New"/>
      <w:szCs w:val="21"/>
    </w:rPr>
  </w:style>
  <w:style w:type="paragraph" w:customStyle="1" w:styleId="244">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45">
    <w:name w:val="首行缩进"/>
    <w:basedOn w:val="1"/>
    <w:qFormat/>
    <w:uiPriority w:val="0"/>
    <w:pPr>
      <w:spacing w:line="400" w:lineRule="exact"/>
      <w:ind w:firstLine="480" w:firstLineChars="200"/>
      <w:jc w:val="left"/>
    </w:pPr>
    <w:rPr>
      <w:rFonts w:ascii="Times New Roman" w:hAnsi="Times New Roman" w:eastAsia="宋体" w:cs="Times New Roman"/>
      <w:lang w:val="zh-CN"/>
    </w:rPr>
  </w:style>
  <w:style w:type="paragraph" w:customStyle="1" w:styleId="246">
    <w:name w:val="正文_2_0_0"/>
    <w:basedOn w:val="230"/>
    <w:qFormat/>
    <w:uiPriority w:val="0"/>
    <w:rPr>
      <w:rFonts w:ascii="Times New Roman" w:hAnsi="Times New Roman" w:eastAsia="宋体" w:cs="Times New Roman"/>
    </w:rPr>
  </w:style>
  <w:style w:type="paragraph" w:customStyle="1" w:styleId="247">
    <w:name w:val="正文_2_1_0"/>
    <w:basedOn w:val="230"/>
    <w:qFormat/>
    <w:uiPriority w:val="0"/>
    <w:rPr>
      <w:rFonts w:ascii="Calibri" w:hAnsi="Calibri" w:eastAsia="宋体" w:cs="Times New Roman"/>
    </w:rPr>
  </w:style>
  <w:style w:type="paragraph" w:customStyle="1" w:styleId="248">
    <w:name w:val="正文文本_1"/>
    <w:basedOn w:val="229"/>
    <w:next w:val="249"/>
    <w:qFormat/>
    <w:uiPriority w:val="99"/>
    <w:pPr>
      <w:spacing w:after="120"/>
    </w:pPr>
    <w:rPr>
      <w:rFonts w:ascii="Times New Roman" w:hAnsi="Times New Roman"/>
      <w:szCs w:val="24"/>
    </w:rPr>
  </w:style>
  <w:style w:type="paragraph" w:customStyle="1" w:styleId="249">
    <w:name w:val="Default_0"/>
    <w:next w:val="250"/>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0">
    <w:name w:val="正文文字 6"/>
    <w:next w:val="229"/>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51">
    <w:name w:val="正文_2_1"/>
    <w:next w:val="2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目录 1_0_0"/>
    <w:basedOn w:val="251"/>
    <w:next w:val="251"/>
    <w:qFormat/>
    <w:uiPriority w:val="39"/>
    <w:pPr>
      <w:tabs>
        <w:tab w:val="right" w:leader="dot" w:pos="8296"/>
      </w:tabs>
    </w:pPr>
    <w:rPr>
      <w:rFonts w:ascii="宋体" w:hAnsi="Times New Roman" w:eastAsia="楷体_GB2312" w:cs="TimesNewRomanPSMT"/>
      <w:b/>
      <w:kern w:val="0"/>
      <w:sz w:val="28"/>
      <w:szCs w:val="20"/>
    </w:rPr>
  </w:style>
  <w:style w:type="paragraph" w:customStyle="1" w:styleId="253">
    <w:name w:val="正文缩进_0"/>
    <w:basedOn w:val="251"/>
    <w:qFormat/>
    <w:uiPriority w:val="99"/>
    <w:pPr>
      <w:ind w:firstLine="420"/>
    </w:pPr>
    <w:rPr>
      <w:rFonts w:ascii="Times New Roman" w:hAnsi="Times New Roman"/>
      <w:szCs w:val="20"/>
    </w:rPr>
  </w:style>
  <w:style w:type="paragraph" w:customStyle="1" w:styleId="254">
    <w:name w:val="正文_2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正文_2_1_0_0"/>
    <w:qFormat/>
    <w:uiPriority w:val="0"/>
    <w:pPr>
      <w:widowControl w:val="0"/>
      <w:jc w:val="both"/>
    </w:pPr>
    <w:rPr>
      <w:rFonts w:ascii="Calibri" w:hAnsi="Calibri" w:eastAsia="宋体" w:cs="Times New Roman"/>
      <w:kern w:val="2"/>
      <w:sz w:val="21"/>
      <w:szCs w:val="22"/>
      <w:lang w:val="en-US" w:eastAsia="zh-CN" w:bidi="ar-SA"/>
    </w:rPr>
  </w:style>
  <w:style w:type="table" w:customStyle="1" w:styleId="256">
    <w:name w:val="Table Normal"/>
    <w:unhideWhenUsed/>
    <w:qFormat/>
    <w:uiPriority w:val="0"/>
    <w:tblPr>
      <w:tblCellMar>
        <w:top w:w="0" w:type="dxa"/>
        <w:left w:w="0" w:type="dxa"/>
        <w:bottom w:w="0" w:type="dxa"/>
        <w:right w:w="0" w:type="dxa"/>
      </w:tblCellMar>
    </w:tblPr>
  </w:style>
  <w:style w:type="paragraph" w:customStyle="1" w:styleId="257">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123</Pages>
  <Words>70951</Words>
  <Characters>74552</Characters>
  <Lines>698</Lines>
  <Paragraphs>196</Paragraphs>
  <TotalTime>2</TotalTime>
  <ScaleCrop>false</ScaleCrop>
  <LinksUpToDate>false</LinksUpToDate>
  <CharactersWithSpaces>79788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2023-12-27T03:12:00Z</dcterms:created>
  <dc:creator>唐冰</dc:creator>
  <cp:lastModifiedBy>半颗糖葫芦</cp:lastModifiedBy>
  <cp:lastPrinted>2024-07-22T02:23:00Z</cp:lastPrinted>
  <dcterms:modified xsi:type="dcterms:W3CDTF">2024-07-22T08:25:15Z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88441B8F95264180940526B16AB224BE_13</vt:lpwstr>
  </property>
</Properties>
</file>